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_Toc106179859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_Toc106179860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_Toc106179861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_Toc106179863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_Toc106179864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_Toc106179866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_Toc106179867 \h </w:instrText>
      </w:r>
      <w:r>
        <w:fldChar w:fldCharType="separate"/>
      </w:r>
      <w:r>
        <w:t>5</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_Toc106179868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_Toc106179869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_Toc106179871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_Toc106179872 \h </w:instrText>
      </w:r>
      <w:r>
        <w:fldChar w:fldCharType="separate"/>
      </w:r>
      <w:r>
        <w:t>8</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_Toc106179873 \h </w:instrText>
      </w:r>
      <w:r>
        <w:fldChar w:fldCharType="separate"/>
      </w:r>
      <w:r>
        <w:t>8</w:t>
      </w:r>
      <w:r>
        <w:fldChar w:fldCharType="end"/>
      </w:r>
    </w:p>
    <w:p>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_Toc106179874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_Toc106179875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_Toc106179878 \h </w:instrText>
      </w:r>
      <w:r>
        <w:fldChar w:fldCharType="separate"/>
      </w:r>
      <w:r>
        <w:t>11</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_Toc106179879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_Toc106179881 \h </w:instrText>
      </w:r>
      <w:r>
        <w:fldChar w:fldCharType="separate"/>
      </w:r>
      <w:r>
        <w:t>19</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_Toc106179882 \h </w:instrText>
      </w:r>
      <w:r>
        <w:fldChar w:fldCharType="separate"/>
      </w:r>
      <w:r>
        <w:t>19</w:t>
      </w:r>
      <w:r>
        <w:fldChar w:fldCharType="end"/>
      </w:r>
    </w:p>
    <w:p>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_Toc106179883 \h </w:instrText>
      </w:r>
      <w:r>
        <w:fldChar w:fldCharType="separate"/>
      </w:r>
      <w:r>
        <w:t>20</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_Toc106179884 \h </w:instrText>
      </w:r>
      <w:r>
        <w:fldChar w:fldCharType="separate"/>
      </w:r>
      <w:r>
        <w:t>21</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_Toc106179885 \h </w:instrText>
      </w:r>
      <w:r>
        <w:fldChar w:fldCharType="separate"/>
      </w:r>
      <w:r>
        <w:t>21</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_Toc106179886 \h </w:instrText>
      </w:r>
      <w:r>
        <w:fldChar w:fldCharType="separate"/>
      </w:r>
      <w:r>
        <w:t>23</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_Toc106179887 \h </w:instrText>
      </w:r>
      <w:r>
        <w:fldChar w:fldCharType="separate"/>
      </w:r>
      <w:r>
        <w:t>25</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_Toc106179888 \h </w:instrText>
      </w:r>
      <w:r>
        <w:fldChar w:fldCharType="separate"/>
      </w:r>
      <w:r>
        <w:t>25</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_Toc106179889 \h </w:instrText>
      </w:r>
      <w:r>
        <w:fldChar w:fldCharType="separate"/>
      </w:r>
      <w:r>
        <w:t>26</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_Toc106179890 \h </w:instrText>
      </w:r>
      <w:r>
        <w:fldChar w:fldCharType="separate"/>
      </w:r>
      <w:r>
        <w:t>26</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_Toc106179891 \h </w:instrText>
      </w:r>
      <w:r>
        <w:fldChar w:fldCharType="separate"/>
      </w:r>
      <w:r>
        <w:t>27</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_Toc106179892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_Toc106179894 \h </w:instrText>
      </w:r>
      <w:r>
        <w:fldChar w:fldCharType="separate"/>
      </w:r>
      <w:r>
        <w:t>29</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_Toc106179895 \h </w:instrText>
      </w:r>
      <w:r>
        <w:fldChar w:fldCharType="separate"/>
      </w:r>
      <w:r>
        <w:t>29</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_Toc106179896 \h </w:instrText>
      </w:r>
      <w:r>
        <w:fldChar w:fldCharType="separate"/>
      </w:r>
      <w:r>
        <w:t>30</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_Toc106179897 \h </w:instrText>
      </w:r>
      <w:r>
        <w:fldChar w:fldCharType="separate"/>
      </w:r>
      <w:r>
        <w:t>33</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_Toc106179898 \h </w:instrText>
      </w:r>
      <w:r>
        <w:fldChar w:fldCharType="separate"/>
      </w:r>
      <w:r>
        <w:t>33</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_Toc106179899 \h </w:instrText>
      </w:r>
      <w:r>
        <w:fldChar w:fldCharType="separate"/>
      </w:r>
      <w:r>
        <w:t>35</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_Toc106179900 \h </w:instrText>
      </w:r>
      <w:r>
        <w:fldChar w:fldCharType="separate"/>
      </w:r>
      <w:r>
        <w:t>37</w:t>
      </w:r>
      <w:r>
        <w:fldChar w:fldCharType="end"/>
      </w:r>
    </w:p>
    <w:p>
      <w:pPr>
        <w:pStyle w:val="TOC8"/>
        <w:rPr>
          <w:rFonts w:asciiTheme="minorHAnsi" w:eastAsiaTheme="minorEastAsia" w:hAnsiTheme="minorHAnsi" w:cstheme="minorBidi"/>
          <w:szCs w:val="22"/>
        </w:rPr>
      </w:pPr>
      <w:r>
        <w:t>36A.</w:t>
      </w:r>
      <w:r>
        <w:tab/>
        <w:t>Water supplied through commercial standpipes within areas over which a water deficiency declaration applies</w:t>
      </w:r>
      <w:r>
        <w:tab/>
      </w:r>
      <w:r>
        <w:fldChar w:fldCharType="begin"/>
      </w:r>
      <w:r>
        <w:instrText xml:space="preserve"> PAGEREF _Toc106179901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_Toc106179903 \h </w:instrText>
      </w:r>
      <w:r>
        <w:fldChar w:fldCharType="separate"/>
      </w:r>
      <w:r>
        <w:t>38</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_Toc106179904 \h </w:instrText>
      </w:r>
      <w:r>
        <w:fldChar w:fldCharType="separate"/>
      </w:r>
      <w:r>
        <w:t>39</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_Toc106179905 \h </w:instrText>
      </w:r>
      <w:r>
        <w:fldChar w:fldCharType="separate"/>
      </w:r>
      <w:r>
        <w:t>39</w:t>
      </w:r>
      <w:r>
        <w:fldChar w:fldCharType="end"/>
      </w:r>
    </w:p>
    <w:p>
      <w:pPr>
        <w:pStyle w:val="TOC8"/>
        <w:rPr>
          <w:rFonts w:asciiTheme="minorHAnsi" w:eastAsiaTheme="minorEastAsia" w:hAnsiTheme="minorHAnsi" w:cstheme="minorBidi"/>
          <w:szCs w:val="22"/>
        </w:rPr>
      </w:pPr>
      <w:r>
        <w:lastRenderedPageBreak/>
        <w:t>40.</w:t>
      </w:r>
      <w:r>
        <w:tab/>
        <w:t>Classification of land</w:t>
      </w:r>
      <w:r>
        <w:tab/>
      </w:r>
      <w:r>
        <w:fldChar w:fldCharType="begin"/>
      </w:r>
      <w:r>
        <w:instrText xml:space="preserve"> PAGEREF _Toc106179906 \h </w:instrText>
      </w:r>
      <w:r>
        <w:fldChar w:fldCharType="separate"/>
      </w:r>
      <w:r>
        <w:t>40</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_Toc106179907 \h </w:instrText>
      </w:r>
      <w:r>
        <w:fldChar w:fldCharType="separate"/>
      </w:r>
      <w:r>
        <w:t>42</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_Toc106179908 \h </w:instrText>
      </w:r>
      <w:r>
        <w:fldChar w:fldCharType="separate"/>
      </w:r>
      <w:r>
        <w:t>42</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_Toc106179909 \h </w:instrText>
      </w:r>
      <w:r>
        <w:fldChar w:fldCharType="separate"/>
      </w:r>
      <w:r>
        <w:t>44</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_Toc106179910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_Toc106179912 \h </w:instrText>
      </w:r>
      <w:r>
        <w:fldChar w:fldCharType="separate"/>
      </w:r>
      <w:r>
        <w:t>45</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_Toc106179913 \h </w:instrText>
      </w:r>
      <w:r>
        <w:fldChar w:fldCharType="separate"/>
      </w:r>
      <w:r>
        <w:t>46</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_Toc106179914 \h </w:instrText>
      </w:r>
      <w:r>
        <w:fldChar w:fldCharType="separate"/>
      </w:r>
      <w:r>
        <w:t>47</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_Toc106179915 \h </w:instrText>
      </w:r>
      <w:r>
        <w:fldChar w:fldCharType="separate"/>
      </w:r>
      <w:r>
        <w:t>48</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_Toc106179916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_Toc106179918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_Toc106179920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_Toc106179923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_Toc106179926 \h </w:instrText>
      </w:r>
      <w:r>
        <w:fldChar w:fldCharType="separate"/>
      </w:r>
      <w:r>
        <w:t>51</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_Toc106179927 \h </w:instrText>
      </w:r>
      <w:r>
        <w:fldChar w:fldCharType="separate"/>
      </w:r>
      <w:r>
        <w:t>51</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_Toc106179928 \h </w:instrText>
      </w:r>
      <w:r>
        <w:fldChar w:fldCharType="separate"/>
      </w:r>
      <w:r>
        <w:t>51</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_Toc106179929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_Toc106179931 \h </w:instrText>
      </w:r>
      <w:r>
        <w:fldChar w:fldCharType="separate"/>
      </w:r>
      <w:r>
        <w:t>52</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_Toc106179932 \h </w:instrText>
      </w:r>
      <w:r>
        <w:fldChar w:fldCharType="separate"/>
      </w:r>
      <w:r>
        <w:t>52</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_Toc106179933 \h </w:instrText>
      </w:r>
      <w:r>
        <w:fldChar w:fldCharType="separate"/>
      </w:r>
      <w:r>
        <w:t>53</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_Toc106179934 \h </w:instrText>
      </w:r>
      <w:r>
        <w:fldChar w:fldCharType="separate"/>
      </w:r>
      <w:r>
        <w:t>53</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_Toc106179935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_Toc106179937 \h </w:instrText>
      </w:r>
      <w:r>
        <w:fldChar w:fldCharType="separate"/>
      </w:r>
      <w:r>
        <w:t>54</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_Toc106179938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_Toc106179941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_Toc106179942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_Toc106179943 \h </w:instrText>
      </w:r>
      <w:r>
        <w:fldChar w:fldCharType="separate"/>
      </w:r>
      <w:r>
        <w:t>56</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_Toc106179944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5.</w:t>
      </w:r>
      <w:r>
        <w:tab/>
        <w:t>Consumption charges for 2021/22 and subsequent years</w:t>
      </w:r>
      <w:r>
        <w:tab/>
      </w:r>
      <w:r>
        <w:fldChar w:fldCharType="begin"/>
      </w:r>
      <w:r>
        <w:instrText xml:space="preserve"> PAGEREF _Toc106179946 \h </w:instrText>
      </w:r>
      <w:r>
        <w:fldChar w:fldCharType="separate"/>
      </w:r>
      <w:r>
        <w:t>57</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_Toc106179947 \h </w:instrText>
      </w:r>
      <w:r>
        <w:fldChar w:fldCharType="separate"/>
      </w:r>
      <w:r>
        <w:t>57</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_Toc106179948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_Toc106179951 \h </w:instrText>
      </w:r>
      <w:r>
        <w:fldChar w:fldCharType="separate"/>
      </w:r>
      <w:r>
        <w:t>58</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_Toc106179952 \h </w:instrText>
      </w:r>
      <w:r>
        <w:fldChar w:fldCharType="separate"/>
      </w:r>
      <w:r>
        <w:t>58</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_Toc106179953 \h </w:instrText>
      </w:r>
      <w:r>
        <w:fldChar w:fldCharType="separate"/>
      </w:r>
      <w:r>
        <w:t>58</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_Toc106179954 \h </w:instrText>
      </w:r>
      <w:r>
        <w:fldChar w:fldCharType="separate"/>
      </w:r>
      <w:r>
        <w:t>58</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_Toc106179955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6.</w:t>
      </w:r>
      <w:r>
        <w:tab/>
        <w:t>Consumption charges for 2021/22 and subsequent years</w:t>
      </w:r>
      <w:r>
        <w:tab/>
      </w:r>
      <w:r>
        <w:fldChar w:fldCharType="begin"/>
      </w:r>
      <w:r>
        <w:instrText xml:space="preserve"> PAGEREF _Toc106179957 \h </w:instrText>
      </w:r>
      <w:r>
        <w:fldChar w:fldCharType="separate"/>
      </w:r>
      <w:r>
        <w:t>59</w:t>
      </w:r>
      <w:r>
        <w:fldChar w:fldCharType="end"/>
      </w:r>
    </w:p>
    <w:p>
      <w:pPr>
        <w:pStyle w:val="TOC8"/>
        <w:rPr>
          <w:rFonts w:asciiTheme="minorHAnsi" w:eastAsiaTheme="minorEastAsia" w:hAnsiTheme="minorHAnsi" w:cstheme="minorBidi"/>
          <w:szCs w:val="22"/>
        </w:rPr>
      </w:pPr>
      <w:r>
        <w:lastRenderedPageBreak/>
        <w:t>7.</w:t>
      </w:r>
      <w:r>
        <w:tab/>
        <w:t>Residential lots</w:t>
      </w:r>
      <w:r>
        <w:tab/>
      </w:r>
      <w:r>
        <w:fldChar w:fldCharType="begin"/>
      </w:r>
      <w:r>
        <w:instrText xml:space="preserve"> PAGEREF _Toc106179958 \h </w:instrText>
      </w:r>
      <w:r>
        <w:fldChar w:fldCharType="separate"/>
      </w:r>
      <w:r>
        <w:t>59</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_Toc106179959 \h </w:instrText>
      </w:r>
      <w:r>
        <w:fldChar w:fldCharType="separate"/>
      </w:r>
      <w:r>
        <w:t>59</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_Toc106179960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_Toc106179964 \h </w:instrText>
      </w:r>
      <w:r>
        <w:fldChar w:fldCharType="separate"/>
      </w:r>
      <w:r>
        <w:t>60</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_Toc106179965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_Toc106179967 \h </w:instrText>
      </w:r>
      <w:r>
        <w:fldChar w:fldCharType="separate"/>
      </w:r>
      <w:r>
        <w:t>61</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_Toc106179968 \h </w:instrText>
      </w:r>
      <w:r>
        <w:fldChar w:fldCharType="separate"/>
      </w:r>
      <w:r>
        <w:t>61</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_Toc106179969 \h </w:instrText>
      </w:r>
      <w:r>
        <w:fldChar w:fldCharType="separate"/>
      </w:r>
      <w:r>
        <w:t>61</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_Toc106179970 \h </w:instrText>
      </w:r>
      <w:r>
        <w:fldChar w:fldCharType="separate"/>
      </w:r>
      <w:r>
        <w:t>61</w:t>
      </w:r>
      <w:r>
        <w:fldChar w:fldCharType="end"/>
      </w:r>
    </w:p>
    <w:p>
      <w:pPr>
        <w:pStyle w:val="TOC8"/>
        <w:rPr>
          <w:rFonts w:asciiTheme="minorHAnsi" w:eastAsiaTheme="minorEastAsia" w:hAnsiTheme="minorHAnsi" w:cstheme="minorBidi"/>
          <w:szCs w:val="22"/>
        </w:rPr>
      </w:pPr>
      <w:r>
        <w:t>7.</w:t>
      </w:r>
      <w:r>
        <w:tab/>
        <w:t>Non</w:t>
      </w:r>
      <w:r>
        <w:noBreakHyphen/>
        <w:t>residential lots in strata titles scheme or community titles scheme that share a service</w:t>
      </w:r>
      <w:r>
        <w:tab/>
      </w:r>
      <w:r>
        <w:fldChar w:fldCharType="begin"/>
      </w:r>
      <w:r>
        <w:instrText xml:space="preserve"> PAGEREF _Toc106179971 \h </w:instrText>
      </w:r>
      <w:r>
        <w:fldChar w:fldCharType="separate"/>
      </w:r>
      <w:r>
        <w:t>61</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_Toc106179972 \h </w:instrText>
      </w:r>
      <w:r>
        <w:fldChar w:fldCharType="separate"/>
      </w:r>
      <w:r>
        <w:t>62</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_Toc106179973 \h </w:instrText>
      </w:r>
      <w:r>
        <w:fldChar w:fldCharType="separate"/>
      </w:r>
      <w:r>
        <w:t>62</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_Toc106179974 \h </w:instrText>
      </w:r>
      <w:r>
        <w:fldChar w:fldCharType="separate"/>
      </w:r>
      <w:r>
        <w:t>62</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storage units, parking bays and certain lots in strata titles scheme or community titles scheme)</w:t>
      </w:r>
      <w:r>
        <w:tab/>
      </w:r>
      <w:r>
        <w:fldChar w:fldCharType="begin"/>
      </w:r>
      <w:r>
        <w:instrText xml:space="preserve"> PAGEREF _Toc106179975 \h </w:instrText>
      </w:r>
      <w:r>
        <w:fldChar w:fldCharType="separate"/>
      </w:r>
      <w:r>
        <w:t>62</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_Toc106179976 \h </w:instrText>
      </w:r>
      <w:r>
        <w:fldChar w:fldCharType="separate"/>
      </w:r>
      <w:r>
        <w:t>63</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_Toc106179977 \h </w:instrText>
      </w:r>
      <w:r>
        <w:fldChar w:fldCharType="separate"/>
      </w:r>
      <w:r>
        <w:t>64</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_Toc106179978 \h </w:instrText>
      </w:r>
      <w:r>
        <w:fldChar w:fldCharType="separate"/>
      </w:r>
      <w:r>
        <w:t>64</w:t>
      </w:r>
      <w:r>
        <w:fldChar w:fldCharType="end"/>
      </w:r>
    </w:p>
    <w:p>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_Toc106179979 \h </w:instrText>
      </w:r>
      <w:r>
        <w:fldChar w:fldCharType="separate"/>
      </w:r>
      <w:r>
        <w:t>64</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_Toc106179980 \h </w:instrText>
      </w:r>
      <w:r>
        <w:fldChar w:fldCharType="separate"/>
      </w:r>
      <w:r>
        <w:t>64</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_Toc106179981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18.</w:t>
      </w:r>
      <w:r>
        <w:tab/>
        <w:t>Stock</w:t>
      </w:r>
      <w:r>
        <w:tab/>
      </w:r>
      <w:r>
        <w:fldChar w:fldCharType="begin"/>
      </w:r>
      <w:r>
        <w:instrText xml:space="preserve"> PAGEREF _Toc106179983 \h </w:instrText>
      </w:r>
      <w:r>
        <w:fldChar w:fldCharType="separate"/>
      </w:r>
      <w:r>
        <w:t>65</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_Toc106179984 \h </w:instrText>
      </w:r>
      <w:r>
        <w:fldChar w:fldCharType="separate"/>
      </w:r>
      <w:r>
        <w:t>66</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_Toc106179985 \h </w:instrText>
      </w:r>
      <w:r>
        <w:fldChar w:fldCharType="separate"/>
      </w:r>
      <w:r>
        <w:t>66</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_Toc106179986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2021/22 and subsequent years</w:t>
      </w:r>
      <w:r>
        <w:tab/>
      </w:r>
      <w:r>
        <w:fldChar w:fldCharType="begin"/>
      </w:r>
      <w:r>
        <w:instrText xml:space="preserve"> PAGEREF _Toc106179989 \h </w:instrText>
      </w:r>
      <w:r>
        <w:fldChar w:fldCharType="separate"/>
      </w:r>
      <w:r>
        <w:t>66</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_Toc106179990 \h </w:instrText>
      </w:r>
      <w:r>
        <w:fldChar w:fldCharType="separate"/>
      </w:r>
      <w:r>
        <w:t>66</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_Toc106179991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_Toc106179993 \h </w:instrText>
      </w:r>
      <w:r>
        <w:fldChar w:fldCharType="separate"/>
      </w:r>
      <w:r>
        <w:t>67</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_Toc106179994 \h </w:instrText>
      </w:r>
      <w:r>
        <w:fldChar w:fldCharType="separate"/>
      </w:r>
      <w:r>
        <w:t>68</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_Toc106179995 \h </w:instrText>
      </w:r>
      <w:r>
        <w:fldChar w:fldCharType="separate"/>
      </w:r>
      <w:r>
        <w:t>68</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_Toc106179996 \h </w:instrText>
      </w:r>
      <w:r>
        <w:fldChar w:fldCharType="separate"/>
      </w:r>
      <w:r>
        <w:t>69</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_Toc106179997 \h </w:instrText>
      </w:r>
      <w:r>
        <w:fldChar w:fldCharType="separate"/>
      </w:r>
      <w:r>
        <w:t>70</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_Toc106179998 \h </w:instrText>
      </w:r>
      <w:r>
        <w:fldChar w:fldCharType="separate"/>
      </w:r>
      <w:r>
        <w:t>71</w:t>
      </w:r>
      <w:r>
        <w:fldChar w:fldCharType="end"/>
      </w:r>
    </w:p>
    <w:p>
      <w:pPr>
        <w:pStyle w:val="TOC8"/>
        <w:rPr>
          <w:rFonts w:asciiTheme="minorHAnsi" w:eastAsiaTheme="minorEastAsia" w:hAnsiTheme="minorHAnsi" w:cstheme="minorBidi"/>
          <w:szCs w:val="22"/>
        </w:rPr>
      </w:pPr>
      <w:r>
        <w:t>31.</w:t>
      </w:r>
      <w:r>
        <w:tab/>
        <w:t>Strata</w:t>
      </w:r>
      <w:r>
        <w:noBreakHyphen/>
        <w:t>titled or long</w:t>
      </w:r>
      <w:r>
        <w:noBreakHyphen/>
        <w:t>term residential caravan bays</w:t>
      </w:r>
      <w:r>
        <w:tab/>
      </w:r>
      <w:r>
        <w:fldChar w:fldCharType="begin"/>
      </w:r>
      <w:r>
        <w:instrText xml:space="preserve"> PAGEREF _Toc106179999 \h </w:instrText>
      </w:r>
      <w:r>
        <w:fldChar w:fldCharType="separate"/>
      </w:r>
      <w:r>
        <w:t>72</w:t>
      </w:r>
      <w:r>
        <w:fldChar w:fldCharType="end"/>
      </w:r>
    </w:p>
    <w:p>
      <w:pPr>
        <w:pStyle w:val="TOC8"/>
        <w:rPr>
          <w:rFonts w:asciiTheme="minorHAnsi" w:eastAsiaTheme="minorEastAsia" w:hAnsiTheme="minorHAnsi" w:cstheme="minorBidi"/>
          <w:szCs w:val="22"/>
        </w:rPr>
      </w:pPr>
      <w:r>
        <w:t>32.</w:t>
      </w:r>
      <w:r>
        <w:tab/>
        <w:t>Government trading organisations and non</w:t>
      </w:r>
      <w:r>
        <w:noBreakHyphen/>
        <w:t>commercial government property</w:t>
      </w:r>
      <w:r>
        <w:tab/>
      </w:r>
      <w:r>
        <w:fldChar w:fldCharType="begin"/>
      </w:r>
      <w:r>
        <w:instrText xml:space="preserve"> PAGEREF _Toc106180000 \h </w:instrText>
      </w:r>
      <w:r>
        <w:fldChar w:fldCharType="separate"/>
      </w:r>
      <w:r>
        <w:t>73</w:t>
      </w:r>
      <w:r>
        <w:fldChar w:fldCharType="end"/>
      </w:r>
    </w:p>
    <w:p>
      <w:pPr>
        <w:pStyle w:val="TOC8"/>
        <w:rPr>
          <w:rFonts w:asciiTheme="minorHAnsi" w:eastAsiaTheme="minorEastAsia" w:hAnsiTheme="minorHAnsi" w:cstheme="minorBidi"/>
          <w:szCs w:val="22"/>
        </w:rPr>
      </w:pPr>
      <w:r>
        <w:t>33.</w:t>
      </w:r>
      <w:r>
        <w:tab/>
        <w:t>Coral Bay desalinated</w:t>
      </w:r>
      <w:r>
        <w:tab/>
      </w:r>
      <w:r>
        <w:fldChar w:fldCharType="begin"/>
      </w:r>
      <w:r>
        <w:instrText xml:space="preserve"> PAGEREF _Toc106180001 \h </w:instrText>
      </w:r>
      <w:r>
        <w:fldChar w:fldCharType="separate"/>
      </w:r>
      <w:r>
        <w:t>73</w:t>
      </w:r>
      <w:r>
        <w:fldChar w:fldCharType="end"/>
      </w:r>
    </w:p>
    <w:p>
      <w:pPr>
        <w:pStyle w:val="TOC8"/>
        <w:rPr>
          <w:rFonts w:asciiTheme="minorHAnsi" w:eastAsiaTheme="minorEastAsia" w:hAnsiTheme="minorHAnsi" w:cstheme="minorBidi"/>
          <w:szCs w:val="22"/>
        </w:rPr>
      </w:pPr>
      <w:r>
        <w:t>34.</w:t>
      </w:r>
      <w:r>
        <w:tab/>
        <w:t>Denham desalinated</w:t>
      </w:r>
      <w:r>
        <w:tab/>
      </w:r>
      <w:r>
        <w:fldChar w:fldCharType="begin"/>
      </w:r>
      <w:r>
        <w:instrText xml:space="preserve"> PAGEREF _Toc106180002 \h </w:instrText>
      </w:r>
      <w:r>
        <w:fldChar w:fldCharType="separate"/>
      </w:r>
      <w:r>
        <w:t>73</w:t>
      </w:r>
      <w:r>
        <w:fldChar w:fldCharType="end"/>
      </w:r>
    </w:p>
    <w:p>
      <w:pPr>
        <w:pStyle w:val="TOC8"/>
        <w:rPr>
          <w:rFonts w:asciiTheme="minorHAnsi" w:eastAsiaTheme="minorEastAsia" w:hAnsiTheme="minorHAnsi" w:cstheme="minorBidi"/>
          <w:szCs w:val="22"/>
        </w:rPr>
      </w:pPr>
      <w:r>
        <w:t>35.</w:t>
      </w:r>
      <w:r>
        <w:tab/>
        <w:t>Garden service connection in Mulataga, Karratha</w:t>
      </w:r>
      <w:r>
        <w:tab/>
      </w:r>
      <w:r>
        <w:fldChar w:fldCharType="begin"/>
      </w:r>
      <w:r>
        <w:instrText xml:space="preserve"> PAGEREF _Toc106180003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36.</w:t>
      </w:r>
      <w:r>
        <w:tab/>
        <w:t>Local government standpipes</w:t>
      </w:r>
      <w:r>
        <w:tab/>
      </w:r>
      <w:r>
        <w:fldChar w:fldCharType="begin"/>
      </w:r>
      <w:r>
        <w:instrText xml:space="preserve"> PAGEREF _Toc106180005 \h </w:instrText>
      </w:r>
      <w:r>
        <w:fldChar w:fldCharType="separate"/>
      </w:r>
      <w:r>
        <w:t>74</w:t>
      </w:r>
      <w:r>
        <w:fldChar w:fldCharType="end"/>
      </w:r>
    </w:p>
    <w:p>
      <w:pPr>
        <w:pStyle w:val="TOC8"/>
        <w:rPr>
          <w:rFonts w:asciiTheme="minorHAnsi" w:eastAsiaTheme="minorEastAsia" w:hAnsiTheme="minorHAnsi" w:cstheme="minorBidi"/>
          <w:szCs w:val="22"/>
        </w:rPr>
      </w:pPr>
      <w:r>
        <w:t>37.</w:t>
      </w:r>
      <w:r>
        <w:tab/>
        <w:t>Shipping</w:t>
      </w:r>
      <w:r>
        <w:tab/>
      </w:r>
      <w:r>
        <w:fldChar w:fldCharType="begin"/>
      </w:r>
      <w:r>
        <w:instrText xml:space="preserve"> PAGEREF _Toc106180006 \h </w:instrText>
      </w:r>
      <w:r>
        <w:fldChar w:fldCharType="separate"/>
      </w:r>
      <w:r>
        <w:t>74</w:t>
      </w:r>
      <w:r>
        <w:fldChar w:fldCharType="end"/>
      </w:r>
    </w:p>
    <w:p>
      <w:pPr>
        <w:pStyle w:val="TOC8"/>
        <w:rPr>
          <w:rFonts w:asciiTheme="minorHAnsi" w:eastAsiaTheme="minorEastAsia" w:hAnsiTheme="minorHAnsi" w:cstheme="minorBidi"/>
          <w:szCs w:val="22"/>
        </w:rPr>
      </w:pPr>
      <w:r>
        <w:t>38.</w:t>
      </w:r>
      <w:r>
        <w:tab/>
        <w:t>Stock</w:t>
      </w:r>
      <w:r>
        <w:tab/>
      </w:r>
      <w:r>
        <w:fldChar w:fldCharType="begin"/>
      </w:r>
      <w:r>
        <w:instrText xml:space="preserve"> PAGEREF _Toc106180007 \h </w:instrText>
      </w:r>
      <w:r>
        <w:fldChar w:fldCharType="separate"/>
      </w:r>
      <w:r>
        <w:t>75</w:t>
      </w:r>
      <w:r>
        <w:fldChar w:fldCharType="end"/>
      </w:r>
    </w:p>
    <w:p>
      <w:pPr>
        <w:pStyle w:val="TOC8"/>
        <w:rPr>
          <w:rFonts w:asciiTheme="minorHAnsi" w:eastAsiaTheme="minorEastAsia" w:hAnsiTheme="minorHAnsi" w:cstheme="minorBidi"/>
          <w:szCs w:val="22"/>
        </w:rPr>
      </w:pPr>
      <w:r>
        <w:t>39.</w:t>
      </w:r>
      <w:r>
        <w:tab/>
        <w:t>Hydrant standpipes</w:t>
      </w:r>
      <w:r>
        <w:tab/>
      </w:r>
      <w:r>
        <w:fldChar w:fldCharType="begin"/>
      </w:r>
      <w:r>
        <w:instrText xml:space="preserve"> PAGEREF _Toc106180008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_Toc106180011 \h </w:instrText>
      </w:r>
      <w:r>
        <w:fldChar w:fldCharType="separate"/>
      </w:r>
      <w:r>
        <w:t>76</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_Toc106180012 \h </w:instrText>
      </w:r>
      <w:r>
        <w:fldChar w:fldCharType="separate"/>
      </w:r>
      <w:r>
        <w:t>76</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_Toc106180013 \h </w:instrText>
      </w:r>
      <w:r>
        <w:fldChar w:fldCharType="separate"/>
      </w:r>
      <w:r>
        <w:t>76</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_Toc106180014 \h </w:instrText>
      </w:r>
      <w:r>
        <w:fldChar w:fldCharType="separate"/>
      </w:r>
      <w:r>
        <w:t>76</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_Toc106180015 \h </w:instrText>
      </w:r>
      <w:r>
        <w:fldChar w:fldCharType="separate"/>
      </w:r>
      <w:r>
        <w:t>77</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_Toc106180016 \h </w:instrText>
      </w:r>
      <w:r>
        <w:fldChar w:fldCharType="separate"/>
      </w:r>
      <w:r>
        <w:t>77</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_Toc106180017 \h </w:instrText>
      </w:r>
      <w:r>
        <w:fldChar w:fldCharType="separate"/>
      </w:r>
      <w:r>
        <w:t>77</w:t>
      </w:r>
      <w:r>
        <w:fldChar w:fldCharType="end"/>
      </w:r>
    </w:p>
    <w:p>
      <w:pPr>
        <w:pStyle w:val="TOC8"/>
        <w:rPr>
          <w:rFonts w:asciiTheme="minorHAnsi" w:eastAsiaTheme="minorEastAsia" w:hAnsiTheme="minorHAnsi" w:cstheme="minorBidi"/>
          <w:szCs w:val="22"/>
        </w:rPr>
      </w:pPr>
      <w:r>
        <w:lastRenderedPageBreak/>
        <w:t>8.</w:t>
      </w:r>
      <w:r>
        <w:tab/>
        <w:t>Land from which trade waste is discharged into sewer through grease arrestor</w:t>
      </w:r>
      <w:r>
        <w:tab/>
      </w:r>
      <w:r>
        <w:fldChar w:fldCharType="begin"/>
      </w:r>
      <w:r>
        <w:instrText xml:space="preserve"> PAGEREF _Toc106180018 \h </w:instrText>
      </w:r>
      <w:r>
        <w:fldChar w:fldCharType="separate"/>
      </w:r>
      <w:r>
        <w:t>78</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_Toc106180019 \h </w:instrText>
      </w:r>
      <w:r>
        <w:fldChar w:fldCharType="separate"/>
      </w:r>
      <w:r>
        <w:t>78</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_Toc106180020 \h </w:instrText>
      </w:r>
      <w:r>
        <w:fldChar w:fldCharType="separate"/>
      </w:r>
      <w:r>
        <w:t>78</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_Toc106180021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2021/22 and subsequent years</w:t>
      </w:r>
      <w:r>
        <w:tab/>
      </w:r>
      <w:r>
        <w:fldChar w:fldCharType="begin"/>
      </w:r>
      <w:r>
        <w:instrText xml:space="preserve"> PAGEREF _Toc106180024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_Toc106180026 \h </w:instrText>
      </w:r>
      <w:r>
        <w:fldChar w:fldCharType="separate"/>
      </w:r>
      <w:r>
        <w:t>85</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_Toc106180027 \h </w:instrText>
      </w:r>
      <w:r>
        <w:fldChar w:fldCharType="separate"/>
      </w:r>
      <w:r>
        <w:t>85</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_Toc106180028 \h </w:instrText>
      </w:r>
      <w:r>
        <w:fldChar w:fldCharType="separate"/>
      </w:r>
      <w:r>
        <w:t>86</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_Toc106180029 \h </w:instrText>
      </w:r>
      <w:r>
        <w:fldChar w:fldCharType="separate"/>
      </w:r>
      <w:r>
        <w:t>86</w:t>
      </w:r>
      <w:r>
        <w:fldChar w:fldCharType="end"/>
      </w:r>
    </w:p>
    <w:p>
      <w:pPr>
        <w:pStyle w:val="TOC8"/>
        <w:rPr>
          <w:rFonts w:asciiTheme="minorHAnsi" w:eastAsiaTheme="minorEastAsia" w:hAnsiTheme="minorHAnsi" w:cstheme="minorBidi"/>
          <w:szCs w:val="22"/>
        </w:rPr>
      </w:pPr>
      <w:r>
        <w:t>17.</w:t>
      </w:r>
      <w:r>
        <w:tab/>
        <w:t>Certain metropolitan units</w:t>
      </w:r>
      <w:r>
        <w:tab/>
      </w:r>
      <w:r>
        <w:fldChar w:fldCharType="begin"/>
      </w:r>
      <w:r>
        <w:instrText xml:space="preserve"> PAGEREF _Toc106180030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_Toc106180032 \h </w:instrText>
      </w:r>
      <w:r>
        <w:fldChar w:fldCharType="separate"/>
      </w:r>
      <w:r>
        <w:t>88</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_Toc106180033 \h </w:instrText>
      </w:r>
      <w:r>
        <w:fldChar w:fldCharType="separate"/>
      </w:r>
      <w:r>
        <w:t>88</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_Toc106180034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_Toc106180036 \h </w:instrText>
      </w:r>
      <w:r>
        <w:fldChar w:fldCharType="separate"/>
      </w:r>
      <w:r>
        <w:t>89</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_Toc106180037 \h </w:instrText>
      </w:r>
      <w:r>
        <w:fldChar w:fldCharType="separate"/>
      </w:r>
      <w:r>
        <w:t>90</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_Toc106180038 \h </w:instrText>
      </w:r>
      <w:r>
        <w:fldChar w:fldCharType="separate"/>
      </w:r>
      <w:r>
        <w:t>91</w:t>
      </w:r>
      <w:r>
        <w:fldChar w:fldCharType="end"/>
      </w:r>
    </w:p>
    <w:p>
      <w:pPr>
        <w:pStyle w:val="TOC8"/>
        <w:rPr>
          <w:rFonts w:asciiTheme="minorHAnsi" w:eastAsiaTheme="minorEastAsia" w:hAnsiTheme="minorHAnsi" w:cstheme="minorBidi"/>
          <w:szCs w:val="22"/>
        </w:rPr>
      </w:pPr>
      <w:r>
        <w:t>24.</w:t>
      </w:r>
      <w:r>
        <w:tab/>
        <w:t>Certain non</w:t>
      </w:r>
      <w:r>
        <w:noBreakHyphen/>
        <w:t>metropolitan units</w:t>
      </w:r>
      <w:r>
        <w:tab/>
      </w:r>
      <w:r>
        <w:fldChar w:fldCharType="begin"/>
      </w:r>
      <w:r>
        <w:instrText xml:space="preserve"> PAGEREF _Toc106180039 \h </w:instrText>
      </w:r>
      <w:r>
        <w:fldChar w:fldCharType="separate"/>
      </w:r>
      <w:r>
        <w:t>92</w:t>
      </w:r>
      <w:r>
        <w:fldChar w:fldCharType="end"/>
      </w:r>
    </w:p>
    <w:p>
      <w:pPr>
        <w:pStyle w:val="TOC8"/>
        <w:rPr>
          <w:rFonts w:asciiTheme="minorHAnsi" w:eastAsiaTheme="minorEastAsia" w:hAnsiTheme="minorHAnsi" w:cstheme="minorBidi"/>
          <w:szCs w:val="22"/>
        </w:rPr>
      </w:pPr>
      <w:r>
        <w:t>24A.</w:t>
      </w:r>
      <w:r>
        <w:tab/>
        <w:t>Non</w:t>
      </w:r>
      <w:r>
        <w:noBreakHyphen/>
        <w:t>metropolitan government trading organisation and non</w:t>
      </w:r>
      <w:r>
        <w:noBreakHyphen/>
        <w:t>commercial government property</w:t>
      </w:r>
      <w:r>
        <w:tab/>
      </w:r>
      <w:r>
        <w:fldChar w:fldCharType="begin"/>
      </w:r>
      <w:r>
        <w:instrText xml:space="preserve"> PAGEREF _Toc106180040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_Toc106180042 \h </w:instrText>
      </w:r>
      <w:r>
        <w:fldChar w:fldCharType="separate"/>
      </w:r>
      <w:r>
        <w:t>93</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_Toc106180043 \h </w:instrText>
      </w:r>
      <w:r>
        <w:fldChar w:fldCharType="separate"/>
      </w:r>
      <w:r>
        <w:t>94</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_Toc106180044 \h </w:instrText>
      </w:r>
      <w:r>
        <w:fldChar w:fldCharType="separate"/>
      </w:r>
      <w:r>
        <w:t>94</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_Toc106180045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Discharge charges: trade waste and effluent</w:t>
      </w:r>
    </w:p>
    <w:p>
      <w:pPr>
        <w:pStyle w:val="TOC8"/>
        <w:rPr>
          <w:rFonts w:asciiTheme="minorHAnsi" w:eastAsiaTheme="minorEastAsia" w:hAnsiTheme="minorHAnsi" w:cstheme="minorBidi"/>
          <w:szCs w:val="22"/>
        </w:rPr>
      </w:pPr>
      <w:r>
        <w:t>29.</w:t>
      </w:r>
      <w:r>
        <w:tab/>
        <w:t>Discharge charges for 2021/22 and subsequent years</w:t>
      </w:r>
      <w:r>
        <w:tab/>
      </w:r>
      <w:r>
        <w:fldChar w:fldCharType="begin"/>
      </w:r>
      <w:r>
        <w:instrText xml:space="preserve"> PAGEREF _Toc106180047 \h </w:instrText>
      </w:r>
      <w:r>
        <w:fldChar w:fldCharType="separate"/>
      </w:r>
      <w:r>
        <w:t>96</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_Toc106180048 \h </w:instrText>
      </w:r>
      <w:r>
        <w:fldChar w:fldCharType="separate"/>
      </w:r>
      <w:r>
        <w:t>96</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_Toc106180049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2021/22 and subsequent years</w:t>
      </w:r>
      <w:r>
        <w:tab/>
      </w:r>
      <w:r>
        <w:fldChar w:fldCharType="begin"/>
      </w:r>
      <w:r>
        <w:instrText xml:space="preserve"> PAGEREF _Toc106180051 \h </w:instrText>
      </w:r>
      <w:r>
        <w:fldChar w:fldCharType="separate"/>
      </w:r>
      <w:r>
        <w:t>100</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_Toc106180052 \h </w:instrText>
      </w:r>
      <w:r>
        <w:fldChar w:fldCharType="separate"/>
      </w:r>
      <w:r>
        <w:t>100</w:t>
      </w:r>
      <w:r>
        <w:fldChar w:fldCharType="end"/>
      </w:r>
    </w:p>
    <w:p>
      <w:pPr>
        <w:pStyle w:val="TOC8"/>
        <w:rPr>
          <w:rFonts w:asciiTheme="minorHAnsi" w:eastAsiaTheme="minorEastAsia" w:hAnsiTheme="minorHAnsi" w:cstheme="minorBidi"/>
          <w:szCs w:val="22"/>
        </w:rPr>
      </w:pPr>
      <w:r>
        <w:t>3.</w:t>
      </w:r>
      <w:r>
        <w:tab/>
        <w:t>Storage units or parking bays in strata titles scheme or community titles scheme</w:t>
      </w:r>
      <w:r>
        <w:tab/>
      </w:r>
      <w:r>
        <w:fldChar w:fldCharType="begin"/>
      </w:r>
      <w:r>
        <w:instrText xml:space="preserve"> PAGEREF _Toc106180053 \h </w:instrText>
      </w:r>
      <w:r>
        <w:fldChar w:fldCharType="separate"/>
      </w:r>
      <w:r>
        <w:t>100</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_Toc106180054 \h </w:instrText>
      </w:r>
      <w:r>
        <w:fldChar w:fldCharType="separate"/>
      </w:r>
      <w:r>
        <w:t>100</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_Toc106180055 \h </w:instrText>
      </w:r>
      <w:r>
        <w:fldChar w:fldCharType="separate"/>
      </w:r>
      <w:r>
        <w:t>100</w:t>
      </w:r>
      <w:r>
        <w:fldChar w:fldCharType="end"/>
      </w:r>
    </w:p>
    <w:p>
      <w:pPr>
        <w:pStyle w:val="TOC8"/>
        <w:rPr>
          <w:rFonts w:asciiTheme="minorHAnsi" w:eastAsiaTheme="minorEastAsia" w:hAnsiTheme="minorHAnsi" w:cstheme="minorBidi"/>
          <w:szCs w:val="22"/>
        </w:rPr>
      </w:pPr>
      <w:r>
        <w:t>6.</w:t>
      </w:r>
      <w:r>
        <w:tab/>
        <w:t>Non</w:t>
      </w:r>
      <w:r>
        <w:noBreakHyphen/>
        <w:t>residential (except strata titled caravan bays and storage units or parking bays in strata titles scheme or community titles scheme)</w:t>
      </w:r>
      <w:r>
        <w:tab/>
      </w:r>
      <w:r>
        <w:fldChar w:fldCharType="begin"/>
      </w:r>
      <w:r>
        <w:instrText xml:space="preserve"> PAGEREF _Toc106180056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2021/22 and subsequent years</w:t>
      </w:r>
      <w:r>
        <w:tab/>
      </w:r>
      <w:r>
        <w:fldChar w:fldCharType="begin"/>
      </w:r>
      <w:r>
        <w:instrText xml:space="preserve"> PAGEREF _Toc106180058 \h </w:instrText>
      </w:r>
      <w:r>
        <w:fldChar w:fldCharType="separate"/>
      </w:r>
      <w:r>
        <w:t>102</w:t>
      </w:r>
      <w:r>
        <w:fldChar w:fldCharType="end"/>
      </w:r>
    </w:p>
    <w:p>
      <w:pPr>
        <w:pStyle w:val="TOC8"/>
        <w:rPr>
          <w:rFonts w:asciiTheme="minorHAnsi" w:eastAsiaTheme="minorEastAsia" w:hAnsiTheme="minorHAnsi" w:cstheme="minorBidi"/>
          <w:szCs w:val="22"/>
        </w:rPr>
      </w:pPr>
      <w:r>
        <w:t>2.</w:t>
      </w:r>
      <w:r>
        <w:tab/>
        <w:t>Water provided as irrigation service</w:t>
      </w:r>
      <w:r>
        <w:tab/>
      </w:r>
      <w:r>
        <w:fldChar w:fldCharType="begin"/>
      </w:r>
      <w:r>
        <w:instrText xml:space="preserve"> PAGEREF _Toc106180059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Requests for sub</w:t>
      </w:r>
      <w:r>
        <w:noBreakHyphen/>
        <w:t>meter installations: multi</w:t>
      </w:r>
      <w:r>
        <w:noBreakHyphen/>
        <w:t>unit developments</w:t>
      </w:r>
      <w:r>
        <w:tab/>
      </w:r>
      <w:r>
        <w:fldChar w:fldCharType="begin"/>
      </w:r>
      <w:r>
        <w:instrText xml:space="preserve"> PAGEREF _Toc106180061 \h </w:instrText>
      </w:r>
      <w:r>
        <w:fldChar w:fldCharType="separate"/>
      </w:r>
      <w:r>
        <w:t>103</w:t>
      </w:r>
      <w:r>
        <w:fldChar w:fldCharType="end"/>
      </w:r>
    </w:p>
    <w:p>
      <w:pPr>
        <w:pStyle w:val="TOC8"/>
        <w:rPr>
          <w:rFonts w:asciiTheme="minorHAnsi" w:eastAsiaTheme="minorEastAsia" w:hAnsiTheme="minorHAnsi" w:cstheme="minorBidi"/>
          <w:szCs w:val="22"/>
        </w:rPr>
      </w:pPr>
      <w:r>
        <w:t>2.</w:t>
      </w:r>
      <w:r>
        <w:tab/>
        <w:t>Sub</w:t>
      </w:r>
      <w:r>
        <w:noBreakHyphen/>
        <w:t>meter installations: multi</w:t>
      </w:r>
      <w:r>
        <w:noBreakHyphen/>
        <w:t>unit developments</w:t>
      </w:r>
      <w:r>
        <w:tab/>
      </w:r>
      <w:r>
        <w:fldChar w:fldCharType="begin"/>
      </w:r>
      <w:r>
        <w:instrText xml:space="preserve"> PAGEREF _Toc106180062 \h </w:instrText>
      </w:r>
      <w:r>
        <w:fldChar w:fldCharType="separate"/>
      </w:r>
      <w:r>
        <w:t>103</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_Toc106180063 \h </w:instrText>
      </w:r>
      <w:r>
        <w:fldChar w:fldCharType="separate"/>
      </w:r>
      <w:r>
        <w:t>103</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_Toc106180064 \h </w:instrText>
      </w:r>
      <w:r>
        <w:fldChar w:fldCharType="separate"/>
      </w:r>
      <w:r>
        <w:t>103</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_Toc106180065 \h </w:instrText>
      </w:r>
      <w:r>
        <w:fldChar w:fldCharType="separate"/>
      </w:r>
      <w:r>
        <w:t>104</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_Toc106180066 \h </w:instrText>
      </w:r>
      <w:r>
        <w:fldChar w:fldCharType="separate"/>
      </w:r>
      <w:r>
        <w:t>104</w:t>
      </w:r>
      <w:r>
        <w:fldChar w:fldCharType="end"/>
      </w:r>
    </w:p>
    <w:p>
      <w:pPr>
        <w:pStyle w:val="TOC8"/>
        <w:rPr>
          <w:rFonts w:asciiTheme="minorHAnsi" w:eastAsiaTheme="minorEastAsia" w:hAnsiTheme="minorHAnsi" w:cstheme="minorBidi"/>
          <w:szCs w:val="22"/>
        </w:rPr>
      </w:pPr>
      <w:r>
        <w:t>7.</w:t>
      </w:r>
      <w:r>
        <w:tab/>
        <w:t>Relocating water supply connection</w:t>
      </w:r>
      <w:r>
        <w:tab/>
      </w:r>
      <w:r>
        <w:fldChar w:fldCharType="begin"/>
      </w:r>
      <w:r>
        <w:instrText xml:space="preserve"> PAGEREF _Toc106180067 \h </w:instrText>
      </w:r>
      <w:r>
        <w:fldChar w:fldCharType="separate"/>
      </w:r>
      <w:r>
        <w:t>104</w:t>
      </w:r>
      <w:r>
        <w:fldChar w:fldCharType="end"/>
      </w:r>
    </w:p>
    <w:p>
      <w:pPr>
        <w:pStyle w:val="TOC8"/>
        <w:rPr>
          <w:rFonts w:asciiTheme="minorHAnsi" w:eastAsiaTheme="minorEastAsia" w:hAnsiTheme="minorHAnsi" w:cstheme="minorBidi"/>
          <w:szCs w:val="22"/>
        </w:rPr>
      </w:pPr>
      <w:r>
        <w:t>8.</w:t>
      </w:r>
      <w:r>
        <w:tab/>
        <w:t>Proposal to connect to sewer</w:t>
      </w:r>
      <w:r>
        <w:tab/>
      </w:r>
      <w:r>
        <w:fldChar w:fldCharType="begin"/>
      </w:r>
      <w:r>
        <w:instrText xml:space="preserve"> PAGEREF _Toc106180068 \h </w:instrText>
      </w:r>
      <w:r>
        <w:fldChar w:fldCharType="separate"/>
      </w:r>
      <w:r>
        <w:t>105</w:t>
      </w:r>
      <w:r>
        <w:fldChar w:fldCharType="end"/>
      </w:r>
    </w:p>
    <w:p>
      <w:pPr>
        <w:pStyle w:val="TOC8"/>
        <w:rPr>
          <w:rFonts w:asciiTheme="minorHAnsi" w:eastAsiaTheme="minorEastAsia" w:hAnsiTheme="minorHAnsi" w:cstheme="minorBidi"/>
          <w:szCs w:val="22"/>
        </w:rPr>
      </w:pPr>
      <w:r>
        <w:lastRenderedPageBreak/>
        <w:t>9.</w:t>
      </w:r>
      <w:r>
        <w:tab/>
        <w:t>Installing sewer junction</w:t>
      </w:r>
      <w:r>
        <w:tab/>
      </w:r>
      <w:r>
        <w:fldChar w:fldCharType="begin"/>
      </w:r>
      <w:r>
        <w:instrText xml:space="preserve"> PAGEREF _Toc106180069 \h </w:instrText>
      </w:r>
      <w:r>
        <w:fldChar w:fldCharType="separate"/>
      </w:r>
      <w:r>
        <w:t>106</w:t>
      </w:r>
      <w:r>
        <w:fldChar w:fldCharType="end"/>
      </w:r>
    </w:p>
    <w:p>
      <w:pPr>
        <w:pStyle w:val="TOC8"/>
        <w:rPr>
          <w:rFonts w:asciiTheme="minorHAnsi" w:eastAsiaTheme="minorEastAsia" w:hAnsiTheme="minorHAnsi" w:cstheme="minorBidi"/>
          <w:szCs w:val="22"/>
        </w:rPr>
      </w:pPr>
      <w:r>
        <w:t>10.</w:t>
      </w:r>
      <w:r>
        <w:tab/>
        <w:t>Hire of standpipe for fire hydrant</w:t>
      </w:r>
      <w:r>
        <w:tab/>
      </w:r>
      <w:r>
        <w:fldChar w:fldCharType="begin"/>
      </w:r>
      <w:r>
        <w:instrText xml:space="preserve"> PAGEREF _Toc106180070 \h </w:instrText>
      </w:r>
      <w:r>
        <w:fldChar w:fldCharType="separate"/>
      </w:r>
      <w:r>
        <w:t>106</w:t>
      </w:r>
      <w:r>
        <w:fldChar w:fldCharType="end"/>
      </w:r>
    </w:p>
    <w:p>
      <w:pPr>
        <w:pStyle w:val="TOC8"/>
        <w:rPr>
          <w:rFonts w:asciiTheme="minorHAnsi" w:eastAsiaTheme="minorEastAsia" w:hAnsiTheme="minorHAnsi" w:cstheme="minorBidi"/>
          <w:szCs w:val="22"/>
        </w:rPr>
      </w:pPr>
      <w:r>
        <w:t>11.</w:t>
      </w:r>
      <w:r>
        <w:tab/>
        <w:t>Trade waste: routine services</w:t>
      </w:r>
      <w:r>
        <w:tab/>
      </w:r>
      <w:r>
        <w:fldChar w:fldCharType="begin"/>
      </w:r>
      <w:r>
        <w:instrText xml:space="preserve"> PAGEREF _Toc106180071 \h </w:instrText>
      </w:r>
      <w:r>
        <w:fldChar w:fldCharType="separate"/>
      </w:r>
      <w:r>
        <w:t>106</w:t>
      </w:r>
      <w:r>
        <w:fldChar w:fldCharType="end"/>
      </w:r>
    </w:p>
    <w:p>
      <w:pPr>
        <w:pStyle w:val="TOC8"/>
        <w:rPr>
          <w:rFonts w:asciiTheme="minorHAnsi" w:eastAsiaTheme="minorEastAsia" w:hAnsiTheme="minorHAnsi" w:cstheme="minorBidi"/>
          <w:szCs w:val="22"/>
        </w:rPr>
      </w:pPr>
      <w:r>
        <w:t>12.</w:t>
      </w:r>
      <w:r>
        <w:tab/>
        <w:t>Trade waste: ad hoc services</w:t>
      </w:r>
      <w:r>
        <w:tab/>
      </w:r>
      <w:r>
        <w:fldChar w:fldCharType="begin"/>
      </w:r>
      <w:r>
        <w:instrText xml:space="preserve"> PAGEREF _Toc106180072 \h </w:instrText>
      </w:r>
      <w:r>
        <w:fldChar w:fldCharType="separate"/>
      </w:r>
      <w:r>
        <w:t>107</w:t>
      </w:r>
      <w:r>
        <w:fldChar w:fldCharType="end"/>
      </w:r>
    </w:p>
    <w:p>
      <w:pPr>
        <w:pStyle w:val="TOC8"/>
        <w:rPr>
          <w:rFonts w:asciiTheme="minorHAnsi" w:eastAsiaTheme="minorEastAsia" w:hAnsiTheme="minorHAnsi" w:cstheme="minorBidi"/>
          <w:szCs w:val="22"/>
        </w:rPr>
      </w:pPr>
      <w:r>
        <w:t>13.</w:t>
      </w:r>
      <w:r>
        <w:tab/>
        <w:t>Trade waste: one</w:t>
      </w:r>
      <w:r>
        <w:noBreakHyphen/>
        <w:t>off discharge services</w:t>
      </w:r>
      <w:r>
        <w:tab/>
      </w:r>
      <w:r>
        <w:fldChar w:fldCharType="begin"/>
      </w:r>
      <w:r>
        <w:instrText xml:space="preserve"> PAGEREF _Toc106180073 \h </w:instrText>
      </w:r>
      <w:r>
        <w:fldChar w:fldCharType="separate"/>
      </w:r>
      <w:r>
        <w:t>107</w:t>
      </w:r>
      <w:r>
        <w:fldChar w:fldCharType="end"/>
      </w:r>
    </w:p>
    <w:p>
      <w:pPr>
        <w:pStyle w:val="TOC8"/>
        <w:rPr>
          <w:rFonts w:asciiTheme="minorHAnsi" w:eastAsiaTheme="minorEastAsia" w:hAnsiTheme="minorHAnsi" w:cstheme="minorBidi"/>
          <w:szCs w:val="22"/>
        </w:rPr>
      </w:pPr>
      <w:r>
        <w:t>14.</w:t>
      </w:r>
      <w:r>
        <w:tab/>
        <w:t>Meter reading and other information</w:t>
      </w:r>
      <w:r>
        <w:tab/>
      </w:r>
      <w:r>
        <w:fldChar w:fldCharType="begin"/>
      </w:r>
      <w:r>
        <w:instrText xml:space="preserve"> PAGEREF _Toc106180074 \h </w:instrText>
      </w:r>
      <w:r>
        <w:fldChar w:fldCharType="separate"/>
      </w:r>
      <w:r>
        <w:t>107</w:t>
      </w:r>
      <w:r>
        <w:fldChar w:fldCharType="end"/>
      </w:r>
    </w:p>
    <w:p>
      <w:pPr>
        <w:pStyle w:val="TOC8"/>
        <w:rPr>
          <w:rFonts w:asciiTheme="minorHAnsi" w:eastAsiaTheme="minorEastAsia" w:hAnsiTheme="minorHAnsi" w:cstheme="minorBidi"/>
          <w:szCs w:val="22"/>
        </w:rPr>
      </w:pPr>
      <w:r>
        <w:t>15.</w:t>
      </w:r>
      <w:r>
        <w:tab/>
        <w:t>Copies of records</w:t>
      </w:r>
      <w:r>
        <w:tab/>
      </w:r>
      <w:r>
        <w:fldChar w:fldCharType="begin"/>
      </w:r>
      <w:r>
        <w:instrText xml:space="preserve"> PAGEREF _Toc106180075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_Toc106180078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_Toc106180082 \h </w:instrText>
      </w:r>
      <w:r>
        <w:fldChar w:fldCharType="separate"/>
      </w:r>
      <w:r>
        <w:t>131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_Toc106180083 \h </w:instrText>
      </w:r>
      <w:r>
        <w:fldChar w:fldCharType="separate"/>
      </w:r>
      <w:r>
        <w:t>132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_Toc106180084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3" w:name="_Toc106103874"/>
      <w:bookmarkStart w:id="4" w:name="_Toc106104102"/>
      <w:bookmarkStart w:id="5" w:name="_Toc106179630"/>
      <w:bookmarkStart w:id="6" w:name="_Toc10617985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106179859"/>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9" w:name="_Toc106179860"/>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0" w:name="_Toc106179861"/>
      <w:r>
        <w:rPr>
          <w:rStyle w:val="CharSectno"/>
        </w:rPr>
        <w:t>3</w:t>
      </w:r>
      <w:r>
        <w:t>.</w:t>
      </w:r>
      <w:r>
        <w:tab/>
        <w:t>Terms used</w:t>
      </w:r>
      <w:bookmarkEnd w:id="10"/>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1" w:name="_Toc106103878"/>
      <w:bookmarkStart w:id="12" w:name="_Toc106104106"/>
      <w:bookmarkStart w:id="13" w:name="_Toc106179634"/>
      <w:bookmarkStart w:id="14" w:name="_Toc106179862"/>
      <w:r>
        <w:rPr>
          <w:rStyle w:val="CharPartNo"/>
        </w:rPr>
        <w:lastRenderedPageBreak/>
        <w:t>Part 2</w:t>
      </w:r>
      <w:r>
        <w:rPr>
          <w:rStyle w:val="CharDivNo"/>
        </w:rPr>
        <w:t> </w:t>
      </w:r>
      <w:r>
        <w:t>—</w:t>
      </w:r>
      <w:r>
        <w:rPr>
          <w:rStyle w:val="CharDivText"/>
        </w:rPr>
        <w:t> </w:t>
      </w:r>
      <w:r>
        <w:rPr>
          <w:rStyle w:val="CharPartText"/>
        </w:rPr>
        <w:t>General provisions</w:t>
      </w:r>
      <w:bookmarkEnd w:id="11"/>
      <w:bookmarkEnd w:id="12"/>
      <w:bookmarkEnd w:id="13"/>
      <w:bookmarkEnd w:id="14"/>
    </w:p>
    <w:p>
      <w:pPr>
        <w:pStyle w:val="Heading5"/>
      </w:pPr>
      <w:bookmarkStart w:id="15" w:name="_Toc106179863"/>
      <w:r>
        <w:rPr>
          <w:rStyle w:val="CharSectno"/>
        </w:rPr>
        <w:t>4</w:t>
      </w:r>
      <w:r>
        <w:t>.</w:t>
      </w:r>
      <w:r>
        <w:tab/>
        <w:t>Annual charges and pro rata annual charges</w:t>
      </w:r>
      <w:bookmarkEnd w:id="15"/>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6" w:name="_Toc106179864"/>
      <w:r>
        <w:rPr>
          <w:rStyle w:val="CharSectno"/>
        </w:rPr>
        <w:t>5</w:t>
      </w:r>
      <w:r>
        <w:t>.</w:t>
      </w:r>
      <w:r>
        <w:tab/>
        <w:t>Amendment of consumption or discharge charges during charge period</w:t>
      </w:r>
      <w:bookmarkEnd w:id="16"/>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7" w:name="_Toc106103881"/>
      <w:bookmarkStart w:id="18" w:name="_Toc106104109"/>
      <w:bookmarkStart w:id="19" w:name="_Toc106179637"/>
      <w:bookmarkStart w:id="20" w:name="_Toc106179865"/>
      <w:r>
        <w:rPr>
          <w:rStyle w:val="CharPartNo"/>
        </w:rPr>
        <w:lastRenderedPageBreak/>
        <w:t>Part 3</w:t>
      </w:r>
      <w:r>
        <w:rPr>
          <w:rStyle w:val="CharDivNo"/>
        </w:rPr>
        <w:t> </w:t>
      </w:r>
      <w:r>
        <w:t>—</w:t>
      </w:r>
      <w:r>
        <w:rPr>
          <w:rStyle w:val="CharDivText"/>
        </w:rPr>
        <w:t> </w:t>
      </w:r>
      <w:r>
        <w:rPr>
          <w:rStyle w:val="CharPartText"/>
        </w:rPr>
        <w:t>Charges for Bunbury Water Corporation</w:t>
      </w:r>
      <w:bookmarkEnd w:id="17"/>
      <w:bookmarkEnd w:id="18"/>
      <w:bookmarkEnd w:id="19"/>
      <w:bookmarkEnd w:id="20"/>
    </w:p>
    <w:p>
      <w:pPr>
        <w:pStyle w:val="Heading5"/>
      </w:pPr>
      <w:bookmarkStart w:id="21" w:name="_Toc106179866"/>
      <w:r>
        <w:rPr>
          <w:rStyle w:val="CharSectno"/>
        </w:rPr>
        <w:t>6</w:t>
      </w:r>
      <w:r>
        <w:t>.</w:t>
      </w:r>
      <w:r>
        <w:tab/>
        <w:t>Terms used</w:t>
      </w:r>
      <w:bookmarkEnd w:id="21"/>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22" w:name="_Toc106179867"/>
      <w:r>
        <w:rPr>
          <w:rStyle w:val="CharSectno"/>
        </w:rPr>
        <w:t>7</w:t>
      </w:r>
      <w:r>
        <w:t>.</w:t>
      </w:r>
      <w:r>
        <w:tab/>
        <w:t>Water supply charges</w:t>
      </w:r>
      <w:bookmarkEnd w:id="22"/>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23" w:name="_Toc106179868"/>
      <w:r>
        <w:rPr>
          <w:rStyle w:val="CharSectno"/>
        </w:rPr>
        <w:t>9</w:t>
      </w:r>
      <w:r>
        <w:t>.</w:t>
      </w:r>
      <w:r>
        <w:tab/>
        <w:t>Concessions</w:t>
      </w:r>
      <w:bookmarkEnd w:id="23"/>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lastRenderedPageBreak/>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4" w:name="_Toc106179869"/>
      <w:r>
        <w:rPr>
          <w:rStyle w:val="CharSectno"/>
        </w:rPr>
        <w:t>10</w:t>
      </w:r>
      <w:r>
        <w:t>.</w:t>
      </w:r>
      <w:r>
        <w:tab/>
        <w:t>Interest accruing on overdue amounts</w:t>
      </w:r>
      <w:bookmarkEnd w:id="24"/>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10 amended: Gazette 30 Jun 2015 p. 2363; 27 Jun 2016 p. 2538; 23 Jun 2017 p. 3324; SL 2020/95 r. 4; SL 2021/80 r. 4.]</w:t>
      </w:r>
    </w:p>
    <w:p>
      <w:pPr>
        <w:pStyle w:val="Heading2"/>
      </w:pPr>
      <w:bookmarkStart w:id="25" w:name="_Toc106103886"/>
      <w:bookmarkStart w:id="26" w:name="_Toc106104114"/>
      <w:bookmarkStart w:id="27" w:name="_Toc106179642"/>
      <w:bookmarkStart w:id="28" w:name="_Toc106179870"/>
      <w:r>
        <w:rPr>
          <w:rStyle w:val="CharPartNo"/>
        </w:rPr>
        <w:lastRenderedPageBreak/>
        <w:t>Part 4</w:t>
      </w:r>
      <w:r>
        <w:rPr>
          <w:rStyle w:val="CharDivNo"/>
        </w:rPr>
        <w:t> </w:t>
      </w:r>
      <w:r>
        <w:t>—</w:t>
      </w:r>
      <w:r>
        <w:rPr>
          <w:rStyle w:val="CharDivText"/>
        </w:rPr>
        <w:t> </w:t>
      </w:r>
      <w:r>
        <w:rPr>
          <w:rStyle w:val="CharPartText"/>
        </w:rPr>
        <w:t>Charges for Busselton Water Corporation</w:t>
      </w:r>
      <w:bookmarkEnd w:id="25"/>
      <w:bookmarkEnd w:id="26"/>
      <w:bookmarkEnd w:id="27"/>
      <w:bookmarkEnd w:id="28"/>
    </w:p>
    <w:p>
      <w:pPr>
        <w:pStyle w:val="Heading5"/>
      </w:pPr>
      <w:bookmarkStart w:id="29" w:name="_Toc106179871"/>
      <w:r>
        <w:rPr>
          <w:rStyle w:val="CharSectno"/>
        </w:rPr>
        <w:t>11</w:t>
      </w:r>
      <w:r>
        <w:t>.</w:t>
      </w:r>
      <w:r>
        <w:tab/>
        <w:t>Terms used</w:t>
      </w:r>
      <w:bookmarkEnd w:id="29"/>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30" w:name="_Toc106179872"/>
      <w:r>
        <w:rPr>
          <w:rStyle w:val="CharSectno"/>
        </w:rPr>
        <w:t>12</w:t>
      </w:r>
      <w:r>
        <w:t>.</w:t>
      </w:r>
      <w:r>
        <w:tab/>
        <w:t>Water supply charges</w:t>
      </w:r>
      <w:bookmarkEnd w:id="30"/>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31" w:name="_Toc106179873"/>
      <w:r>
        <w:rPr>
          <w:rStyle w:val="CharSectno"/>
        </w:rPr>
        <w:t>14</w:t>
      </w:r>
      <w:r>
        <w:t>.</w:t>
      </w:r>
      <w:r>
        <w:tab/>
        <w:t>Concessions</w:t>
      </w:r>
      <w:bookmarkEnd w:id="31"/>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 xml:space="preserve">for a charge set out in Schedule 2 item 7 — a 50% discount on the charge for the first 350 kL </w:t>
      </w:r>
      <w:r>
        <w:lastRenderedPageBreak/>
        <w:t>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2" w:name="_Toc106179874"/>
      <w:r>
        <w:rPr>
          <w:rStyle w:val="CharSectno"/>
        </w:rPr>
        <w:t>15A</w:t>
      </w:r>
      <w:r>
        <w:t>.</w:t>
      </w:r>
      <w:r>
        <w:tab/>
        <w:t>Permitted surcharge for using credit card or debit card</w:t>
      </w:r>
      <w:bookmarkEnd w:id="32"/>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33" w:name="_Toc106179875"/>
      <w:r>
        <w:rPr>
          <w:rStyle w:val="CharSectno"/>
        </w:rPr>
        <w:lastRenderedPageBreak/>
        <w:t>15</w:t>
      </w:r>
      <w:r>
        <w:t>.</w:t>
      </w:r>
      <w:r>
        <w:tab/>
        <w:t>Interest accruing on overdue amounts</w:t>
      </w:r>
      <w:bookmarkEnd w:id="33"/>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15 amended: Gazette 27 Jun 2016 p. 2538; 23 Jun 2017 p. 3324; SL 2020/95 r. 5; SL 2021/80 r. 5.]</w:t>
      </w:r>
    </w:p>
    <w:p>
      <w:pPr>
        <w:pStyle w:val="Heading2"/>
      </w:pPr>
      <w:bookmarkStart w:id="34" w:name="_Toc106103892"/>
      <w:bookmarkStart w:id="35" w:name="_Toc106104120"/>
      <w:bookmarkStart w:id="36" w:name="_Toc106179648"/>
      <w:bookmarkStart w:id="37" w:name="_Toc106179876"/>
      <w:r>
        <w:rPr>
          <w:rStyle w:val="CharPartNo"/>
        </w:rPr>
        <w:lastRenderedPageBreak/>
        <w:t>Part 5</w:t>
      </w:r>
      <w:r>
        <w:t> — </w:t>
      </w:r>
      <w:r>
        <w:rPr>
          <w:rStyle w:val="CharPartText"/>
        </w:rPr>
        <w:t>Charges for the Water Corporation</w:t>
      </w:r>
      <w:bookmarkEnd w:id="34"/>
      <w:bookmarkEnd w:id="35"/>
      <w:bookmarkEnd w:id="36"/>
      <w:bookmarkEnd w:id="37"/>
    </w:p>
    <w:p>
      <w:pPr>
        <w:pStyle w:val="Heading3"/>
      </w:pPr>
      <w:bookmarkStart w:id="38" w:name="_Toc106103893"/>
      <w:bookmarkStart w:id="39" w:name="_Toc106104121"/>
      <w:bookmarkStart w:id="40" w:name="_Toc106179649"/>
      <w:bookmarkStart w:id="41" w:name="_Toc106179877"/>
      <w:r>
        <w:rPr>
          <w:rStyle w:val="CharDivNo"/>
        </w:rPr>
        <w:t>Division 1</w:t>
      </w:r>
      <w:r>
        <w:t> — </w:t>
      </w:r>
      <w:r>
        <w:rPr>
          <w:rStyle w:val="CharDivText"/>
        </w:rPr>
        <w:t>Preliminary</w:t>
      </w:r>
      <w:bookmarkEnd w:id="38"/>
      <w:bookmarkEnd w:id="39"/>
      <w:bookmarkEnd w:id="40"/>
      <w:bookmarkEnd w:id="41"/>
    </w:p>
    <w:p>
      <w:pPr>
        <w:pStyle w:val="Heading5"/>
      </w:pPr>
      <w:bookmarkStart w:id="42" w:name="_Toc106179878"/>
      <w:r>
        <w:rPr>
          <w:rStyle w:val="CharSectno"/>
        </w:rPr>
        <w:t>16</w:t>
      </w:r>
      <w:r>
        <w:t>.</w:t>
      </w:r>
      <w:r>
        <w:tab/>
        <w:t>Terms used</w:t>
      </w:r>
      <w:bookmarkEnd w:id="42"/>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lastRenderedPageBreak/>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w:t>
      </w:r>
      <w:r>
        <w:lastRenderedPageBreak/>
        <w:t xml:space="preserve">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lastRenderedPageBreak/>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lastRenderedPageBreak/>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lastRenderedPageBreak/>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t>
      </w:r>
      <w:r>
        <w:lastRenderedPageBreak/>
        <w:t xml:space="preserve">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w:t>
      </w:r>
    </w:p>
    <w:p>
      <w:pPr>
        <w:pStyle w:val="Heading5"/>
      </w:pPr>
      <w:bookmarkStart w:id="43" w:name="_Toc106179879"/>
      <w:r>
        <w:rPr>
          <w:rStyle w:val="CharSectno"/>
        </w:rPr>
        <w:t>17</w:t>
      </w:r>
      <w:r>
        <w:t>.</w:t>
      </w:r>
      <w:r>
        <w:tab/>
        <w:t>Concessional land</w:t>
      </w:r>
      <w:bookmarkEnd w:id="43"/>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lastRenderedPageBreak/>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lastRenderedPageBreak/>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44" w:name="_Toc106103896"/>
      <w:bookmarkStart w:id="45" w:name="_Toc106104124"/>
      <w:bookmarkStart w:id="46" w:name="_Toc106179652"/>
      <w:bookmarkStart w:id="47" w:name="_Toc106179880"/>
      <w:r>
        <w:rPr>
          <w:rStyle w:val="CharDivNo"/>
        </w:rPr>
        <w:t>Division 2</w:t>
      </w:r>
      <w:r>
        <w:t> — </w:t>
      </w:r>
      <w:r>
        <w:rPr>
          <w:rStyle w:val="CharDivText"/>
        </w:rPr>
        <w:t>Provisions of general application</w:t>
      </w:r>
      <w:bookmarkEnd w:id="44"/>
      <w:bookmarkEnd w:id="45"/>
      <w:bookmarkEnd w:id="46"/>
      <w:bookmarkEnd w:id="47"/>
    </w:p>
    <w:p>
      <w:pPr>
        <w:pStyle w:val="Heading5"/>
      </w:pPr>
      <w:bookmarkStart w:id="48" w:name="_Toc106179881"/>
      <w:r>
        <w:rPr>
          <w:rStyle w:val="CharSectno"/>
        </w:rPr>
        <w:t>18</w:t>
      </w:r>
      <w:r>
        <w:t>.</w:t>
      </w:r>
      <w:r>
        <w:tab/>
        <w:t>Application of this Division</w:t>
      </w:r>
      <w:bookmarkEnd w:id="48"/>
    </w:p>
    <w:p>
      <w:pPr>
        <w:pStyle w:val="Subsection"/>
      </w:pPr>
      <w:r>
        <w:tab/>
      </w:r>
      <w:r>
        <w:tab/>
        <w:t>This Division applies to water service charges applicable under Divisions 3, 4, 5 and 6.</w:t>
      </w:r>
    </w:p>
    <w:p>
      <w:pPr>
        <w:pStyle w:val="Heading5"/>
      </w:pPr>
      <w:bookmarkStart w:id="49" w:name="_Toc106179882"/>
      <w:r>
        <w:rPr>
          <w:rStyle w:val="CharSectno"/>
        </w:rPr>
        <w:t>19</w:t>
      </w:r>
      <w:r>
        <w:t>.</w:t>
      </w:r>
      <w:r>
        <w:tab/>
        <w:t>Payment of charges</w:t>
      </w:r>
      <w:bookmarkEnd w:id="49"/>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lastRenderedPageBreak/>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50" w:name="_Toc106179883"/>
      <w:r>
        <w:rPr>
          <w:rStyle w:val="CharSectno"/>
        </w:rPr>
        <w:t>20</w:t>
      </w:r>
      <w:r>
        <w:t>.</w:t>
      </w:r>
      <w:r>
        <w:tab/>
        <w:t>Permitted surcharge for using credit card or debit card</w:t>
      </w:r>
      <w:bookmarkEnd w:id="50"/>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51" w:name="_Toc106179884"/>
      <w:r>
        <w:rPr>
          <w:rStyle w:val="CharSectno"/>
        </w:rPr>
        <w:lastRenderedPageBreak/>
        <w:t>21</w:t>
      </w:r>
      <w:r>
        <w:t>.</w:t>
      </w:r>
      <w:r>
        <w:tab/>
        <w:t>Special payment arrangements</w:t>
      </w:r>
      <w:bookmarkEnd w:id="51"/>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52" w:name="_Toc106179885"/>
      <w:r>
        <w:rPr>
          <w:rStyle w:val="CharSectno"/>
        </w:rPr>
        <w:t>22</w:t>
      </w:r>
      <w:r>
        <w:t>.</w:t>
      </w:r>
      <w:r>
        <w:tab/>
        <w:t>Estimating quantity of water or wastewater supplied, discharged or drained</w:t>
      </w:r>
      <w:bookmarkEnd w:id="52"/>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lastRenderedPageBreak/>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53" w:name="_Toc106179886"/>
      <w:r>
        <w:rPr>
          <w:rStyle w:val="CharSectno"/>
        </w:rPr>
        <w:lastRenderedPageBreak/>
        <w:t>23</w:t>
      </w:r>
      <w:r>
        <w:t>.</w:t>
      </w:r>
      <w:r>
        <w:tab/>
        <w:t>Determining quality and quantity of trade waste discharged</w:t>
      </w:r>
      <w:bookmarkEnd w:id="53"/>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 xml:space="preserve">Metropolitan Water </w:t>
      </w:r>
      <w:r>
        <w:rPr>
          <w:i/>
        </w:rPr>
        <w:lastRenderedPageBreak/>
        <w:t>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54" w:name="_Toc106179887"/>
      <w:r>
        <w:rPr>
          <w:rStyle w:val="CharSectno"/>
        </w:rPr>
        <w:lastRenderedPageBreak/>
        <w:t>24</w:t>
      </w:r>
      <w:r>
        <w:t>.</w:t>
      </w:r>
      <w:r>
        <w:tab/>
        <w:t>Vacant land: minimum charges before revaluation</w:t>
      </w:r>
      <w:bookmarkEnd w:id="54"/>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55" w:name="_Toc106179888"/>
      <w:r>
        <w:rPr>
          <w:rStyle w:val="CharSectno"/>
        </w:rPr>
        <w:t>25</w:t>
      </w:r>
      <w:r>
        <w:t>.</w:t>
      </w:r>
      <w:r>
        <w:tab/>
        <w:t>Classification of land</w:t>
      </w:r>
      <w:bookmarkEnd w:id="55"/>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56" w:name="_Toc106179889"/>
      <w:r>
        <w:rPr>
          <w:rStyle w:val="CharSectno"/>
        </w:rPr>
        <w:lastRenderedPageBreak/>
        <w:t>26</w:t>
      </w:r>
      <w:r>
        <w:t>.</w:t>
      </w:r>
      <w:r>
        <w:tab/>
        <w:t>Classification of land: holiday accommodation</w:t>
      </w:r>
      <w:bookmarkEnd w:id="56"/>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57" w:name="_Toc106179890"/>
      <w:r>
        <w:rPr>
          <w:rStyle w:val="CharSectno"/>
        </w:rPr>
        <w:t>27</w:t>
      </w:r>
      <w:r>
        <w:t>.</w:t>
      </w:r>
      <w:r>
        <w:tab/>
        <w:t>Commercial caravan parks</w:t>
      </w:r>
      <w:bookmarkEnd w:id="57"/>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lastRenderedPageBreak/>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58" w:name="_Toc106179891"/>
      <w:r>
        <w:rPr>
          <w:rStyle w:val="CharSectno"/>
        </w:rPr>
        <w:t>28</w:t>
      </w:r>
      <w:r>
        <w:t>.</w:t>
      </w:r>
      <w:r>
        <w:tab/>
        <w:t>Maximum increases for various GRV based charges</w:t>
      </w:r>
      <w:bookmarkEnd w:id="58"/>
    </w:p>
    <w:p>
      <w:pPr>
        <w:pStyle w:val="Subsection"/>
      </w:pPr>
      <w:r>
        <w:tab/>
        <w:t>(1)</w:t>
      </w:r>
      <w:r>
        <w:tab/>
        <w:t>If, for a financial year, a water service charge calculated in respect of land under Schedule 4 item 2, 3 or 11 or Schedule 5 item 6 is more than 11.75% greater than the charge payable in respect of the land for the same service under the same circumstances in the previous financial year, the charge payable for the financial year cannot be more than 11.75%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w:t>
      </w:r>
      <w:r>
        <w:lastRenderedPageBreak/>
        <w:t xml:space="preserve">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w:t>
      </w:r>
    </w:p>
    <w:p>
      <w:pPr>
        <w:pStyle w:val="Ednotesection"/>
      </w:pPr>
      <w:r>
        <w:t>[</w:t>
      </w:r>
      <w:r>
        <w:rPr>
          <w:b/>
        </w:rPr>
        <w:t>28A.</w:t>
      </w:r>
      <w:r>
        <w:tab/>
        <w:t>Deleted: SL 2021/80 r. 7.]</w:t>
      </w:r>
    </w:p>
    <w:p>
      <w:pPr>
        <w:pStyle w:val="Heading5"/>
      </w:pPr>
      <w:bookmarkStart w:id="59" w:name="_Toc106179892"/>
      <w:r>
        <w:rPr>
          <w:rStyle w:val="CharSectno"/>
        </w:rPr>
        <w:t>29</w:t>
      </w:r>
      <w:r>
        <w:t>.</w:t>
      </w:r>
      <w:r>
        <w:tab/>
        <w:t>Interest accruing on overdue amounts</w:t>
      </w:r>
      <w:bookmarkEnd w:id="59"/>
    </w:p>
    <w:p>
      <w:pPr>
        <w:pStyle w:val="Subsection"/>
      </w:pPr>
      <w:r>
        <w:tab/>
      </w:r>
      <w:r>
        <w:tab/>
        <w:t xml:space="preserve">If an amount payable under this Part is overdue, interest accrues daily on any part of that amount unpaid after the day on which </w:t>
      </w:r>
      <w:r>
        <w:lastRenderedPageBreak/>
        <w:t xml:space="preserve">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60" w:name="_Toc106103909"/>
      <w:bookmarkStart w:id="61" w:name="_Toc106104137"/>
      <w:bookmarkStart w:id="62" w:name="_Toc106179665"/>
      <w:bookmarkStart w:id="63" w:name="_Toc106179893"/>
      <w:r>
        <w:rPr>
          <w:rStyle w:val="CharDivNo"/>
        </w:rPr>
        <w:t>Division 3</w:t>
      </w:r>
      <w:r>
        <w:t> — </w:t>
      </w:r>
      <w:r>
        <w:rPr>
          <w:rStyle w:val="CharDivText"/>
        </w:rPr>
        <w:t>Water supply charges</w:t>
      </w:r>
      <w:bookmarkEnd w:id="60"/>
      <w:bookmarkEnd w:id="61"/>
      <w:bookmarkEnd w:id="62"/>
      <w:bookmarkEnd w:id="63"/>
    </w:p>
    <w:p>
      <w:pPr>
        <w:pStyle w:val="Heading5"/>
      </w:pPr>
      <w:bookmarkStart w:id="64" w:name="_Toc106179894"/>
      <w:r>
        <w:rPr>
          <w:rStyle w:val="CharSectno"/>
        </w:rPr>
        <w:t>30</w:t>
      </w:r>
      <w:r>
        <w:t>.</w:t>
      </w:r>
      <w:r>
        <w:tab/>
        <w:t>Land connected to water supply works</w:t>
      </w:r>
      <w:bookmarkEnd w:id="64"/>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65" w:name="_Toc106179895"/>
      <w:r>
        <w:rPr>
          <w:rStyle w:val="CharSectno"/>
        </w:rPr>
        <w:t>31</w:t>
      </w:r>
      <w:r>
        <w:t>.</w:t>
      </w:r>
      <w:r>
        <w:tab/>
        <w:t>Water supply charges</w:t>
      </w:r>
      <w:bookmarkEnd w:id="65"/>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lastRenderedPageBreak/>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66" w:name="_Toc106179896"/>
      <w:r>
        <w:rPr>
          <w:rStyle w:val="CharSectno"/>
        </w:rPr>
        <w:t>32</w:t>
      </w:r>
      <w:r>
        <w:t>.</w:t>
      </w:r>
      <w:r>
        <w:tab/>
        <w:t>Classification of land</w:t>
      </w:r>
      <w:bookmarkEnd w:id="66"/>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lastRenderedPageBreak/>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keepNext/>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lastRenderedPageBreak/>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67" w:name="_Toc106179897"/>
      <w:r>
        <w:rPr>
          <w:rStyle w:val="CharSectno"/>
        </w:rPr>
        <w:lastRenderedPageBreak/>
        <w:t>33</w:t>
      </w:r>
      <w:r>
        <w:t>.</w:t>
      </w:r>
      <w:r>
        <w:tab/>
        <w:t>Change of occupancy during year</w:t>
      </w:r>
      <w:bookmarkEnd w:id="67"/>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keepNext/>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68" w:name="_Toc106179898"/>
      <w:r>
        <w:rPr>
          <w:rStyle w:val="CharSectno"/>
        </w:rPr>
        <w:t>34</w:t>
      </w:r>
      <w:r>
        <w:t>.</w:t>
      </w:r>
      <w:r>
        <w:tab/>
        <w:t>Concessions: consumption charges</w:t>
      </w:r>
      <w:bookmarkEnd w:id="68"/>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lastRenderedPageBreak/>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lastRenderedPageBreak/>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69" w:name="_Toc106179899"/>
      <w:r>
        <w:rPr>
          <w:rStyle w:val="CharSectno"/>
        </w:rPr>
        <w:t>35</w:t>
      </w:r>
      <w:r>
        <w:t>.</w:t>
      </w:r>
      <w:r>
        <w:tab/>
        <w:t>Concessions: certain occupiers of multi</w:t>
      </w:r>
      <w:r>
        <w:noBreakHyphen/>
        <w:t>unit developments</w:t>
      </w:r>
      <w:bookmarkEnd w:id="69"/>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lastRenderedPageBreak/>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lastRenderedPageBreak/>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70" w:name="_Toc106179900"/>
      <w:r>
        <w:rPr>
          <w:rStyle w:val="CharSectno"/>
        </w:rPr>
        <w:t>36</w:t>
      </w:r>
      <w:r>
        <w:t>.</w:t>
      </w:r>
      <w:r>
        <w:tab/>
        <w:t>Concessions: certain retirement village residents</w:t>
      </w:r>
      <w:bookmarkEnd w:id="70"/>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71" w:name="_Toc106179901"/>
      <w:r>
        <w:rPr>
          <w:rStyle w:val="CharSectno"/>
        </w:rPr>
        <w:t>36A</w:t>
      </w:r>
      <w:r>
        <w:t>.</w:t>
      </w:r>
      <w:r>
        <w:tab/>
        <w:t>Water supplied through commercial standpipes within areas over which a water deficiency declaration applies</w:t>
      </w:r>
      <w:bookmarkEnd w:id="71"/>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lastRenderedPageBreak/>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37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w:t>
      </w:r>
    </w:p>
    <w:p>
      <w:pPr>
        <w:pStyle w:val="Heading3"/>
        <w:keepNext w:val="0"/>
        <w:widowControl w:val="0"/>
      </w:pPr>
      <w:bookmarkStart w:id="72" w:name="_Toc106103918"/>
      <w:bookmarkStart w:id="73" w:name="_Toc106104146"/>
      <w:bookmarkStart w:id="74" w:name="_Toc106179674"/>
      <w:bookmarkStart w:id="75" w:name="_Toc106179902"/>
      <w:r>
        <w:rPr>
          <w:rStyle w:val="CharDivNo"/>
        </w:rPr>
        <w:t>Division 4</w:t>
      </w:r>
      <w:r>
        <w:t> — </w:t>
      </w:r>
      <w:r>
        <w:rPr>
          <w:rStyle w:val="CharDivText"/>
        </w:rPr>
        <w:t>Sewerage charges</w:t>
      </w:r>
      <w:bookmarkEnd w:id="72"/>
      <w:bookmarkEnd w:id="73"/>
      <w:bookmarkEnd w:id="74"/>
      <w:bookmarkEnd w:id="75"/>
    </w:p>
    <w:p>
      <w:pPr>
        <w:pStyle w:val="Heading5"/>
      </w:pPr>
      <w:bookmarkStart w:id="76" w:name="_Toc106179903"/>
      <w:r>
        <w:rPr>
          <w:rStyle w:val="CharSectno"/>
        </w:rPr>
        <w:t>37</w:t>
      </w:r>
      <w:r>
        <w:t>.</w:t>
      </w:r>
      <w:r>
        <w:tab/>
        <w:t>Land connected to sewerage works</w:t>
      </w:r>
      <w:bookmarkEnd w:id="76"/>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77" w:name="_Toc106179904"/>
      <w:r>
        <w:rPr>
          <w:rStyle w:val="CharSectno"/>
        </w:rPr>
        <w:lastRenderedPageBreak/>
        <w:t>38</w:t>
      </w:r>
      <w:r>
        <w:t>.</w:t>
      </w:r>
      <w:r>
        <w:tab/>
        <w:t>Sewerage areas</w:t>
      </w:r>
      <w:bookmarkEnd w:id="77"/>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78" w:name="_Toc106179905"/>
      <w:r>
        <w:rPr>
          <w:rStyle w:val="CharSectno"/>
        </w:rPr>
        <w:t>39</w:t>
      </w:r>
      <w:r>
        <w:t>.</w:t>
      </w:r>
      <w:r>
        <w:tab/>
        <w:t>Sewerage charges</w:t>
      </w:r>
      <w:bookmarkEnd w:id="78"/>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 xml:space="preserve">If the Water Corporation is satisfied that it is practicable for sewerage works of the Water Corporation to be connected to a wastewater inlet on land then, for the purposes of </w:t>
      </w:r>
      <w:r>
        <w:lastRenderedPageBreak/>
        <w:t>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79" w:name="_Toc106179906"/>
      <w:r>
        <w:rPr>
          <w:rStyle w:val="CharSectno"/>
        </w:rPr>
        <w:t>40</w:t>
      </w:r>
      <w:r>
        <w:t>.</w:t>
      </w:r>
      <w:r>
        <w:tab/>
        <w:t>Classification of land</w:t>
      </w:r>
      <w:bookmarkEnd w:id="79"/>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 xml:space="preserve">the land is also used for the purpose of primary production, which includes use for the purpose of a farm, market garden, kennel, plant nursery, </w:t>
      </w:r>
      <w:r>
        <w:lastRenderedPageBreak/>
        <w:t>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lastRenderedPageBreak/>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80" w:name="_Toc106179907"/>
      <w:r>
        <w:rPr>
          <w:rStyle w:val="CharSectno"/>
        </w:rPr>
        <w:t>41</w:t>
      </w:r>
      <w:r>
        <w:t>.</w:t>
      </w:r>
      <w:r>
        <w:tab/>
        <w:t>Minimum charges: Schedule 4 Division 2</w:t>
      </w:r>
      <w:bookmarkEnd w:id="80"/>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81" w:name="_Toc106179908"/>
      <w:r>
        <w:rPr>
          <w:rStyle w:val="CharSectno"/>
        </w:rPr>
        <w:t>42</w:t>
      </w:r>
      <w:r>
        <w:t>.</w:t>
      </w:r>
      <w:r>
        <w:tab/>
        <w:t>Estimating charge, or volume discharged, for previous year: Schedule 4 Division 2</w:t>
      </w:r>
      <w:bookmarkEnd w:id="81"/>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lastRenderedPageBreak/>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82" w:name="_Toc106179909"/>
      <w:r>
        <w:rPr>
          <w:rStyle w:val="CharSectno"/>
        </w:rPr>
        <w:lastRenderedPageBreak/>
        <w:t>43</w:t>
      </w:r>
      <w:r>
        <w:t>.</w:t>
      </w:r>
      <w:r>
        <w:tab/>
        <w:t>Determining number of major fixtures: Schedule 4 Division 2</w:t>
      </w:r>
      <w:bookmarkEnd w:id="82"/>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83" w:name="_Toc106179910"/>
      <w:r>
        <w:rPr>
          <w:rStyle w:val="CharSectno"/>
        </w:rPr>
        <w:t>44</w:t>
      </w:r>
      <w:r>
        <w:t>.</w:t>
      </w:r>
      <w:r>
        <w:tab/>
        <w:t>Concessions: certain retirement village residents</w:t>
      </w:r>
      <w:bookmarkEnd w:id="8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lastRenderedPageBreak/>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spacing w:before="180"/>
      </w:pPr>
      <w:bookmarkStart w:id="84" w:name="_Toc106103927"/>
      <w:bookmarkStart w:id="85" w:name="_Toc106104155"/>
      <w:bookmarkStart w:id="86" w:name="_Toc106179683"/>
      <w:bookmarkStart w:id="87" w:name="_Toc106179911"/>
      <w:r>
        <w:rPr>
          <w:rStyle w:val="CharDivNo"/>
        </w:rPr>
        <w:t>Division 5</w:t>
      </w:r>
      <w:r>
        <w:t> — </w:t>
      </w:r>
      <w:r>
        <w:rPr>
          <w:rStyle w:val="CharDivText"/>
        </w:rPr>
        <w:t>Drainage charges</w:t>
      </w:r>
      <w:bookmarkEnd w:id="84"/>
      <w:bookmarkEnd w:id="85"/>
      <w:bookmarkEnd w:id="86"/>
      <w:bookmarkEnd w:id="87"/>
    </w:p>
    <w:p>
      <w:pPr>
        <w:pStyle w:val="Heading5"/>
        <w:spacing w:before="180"/>
      </w:pPr>
      <w:bookmarkStart w:id="88" w:name="_Toc106179912"/>
      <w:r>
        <w:rPr>
          <w:rStyle w:val="CharSectno"/>
        </w:rPr>
        <w:t>45</w:t>
      </w:r>
      <w:r>
        <w:t>.</w:t>
      </w:r>
      <w:r>
        <w:tab/>
        <w:t>Drainage areas</w:t>
      </w:r>
      <w:bookmarkEnd w:id="88"/>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 xml:space="preserve">Water Services Legislation Amendment and Repeal </w:t>
      </w:r>
      <w:r>
        <w:rPr>
          <w:i/>
        </w:rPr>
        <w:lastRenderedPageBreak/>
        <w:t>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89" w:name="_Toc106179913"/>
      <w:r>
        <w:rPr>
          <w:rStyle w:val="CharSectno"/>
        </w:rPr>
        <w:t>46</w:t>
      </w:r>
      <w:r>
        <w:t>.</w:t>
      </w:r>
      <w:r>
        <w:tab/>
        <w:t>Drainage areas: notice of and objections to proposed designation</w:t>
      </w:r>
      <w:bookmarkEnd w:id="89"/>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lastRenderedPageBreak/>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90" w:name="_Toc106179914"/>
      <w:r>
        <w:rPr>
          <w:rStyle w:val="CharSectno"/>
        </w:rPr>
        <w:t>47</w:t>
      </w:r>
      <w:r>
        <w:t>.</w:t>
      </w:r>
      <w:r>
        <w:tab/>
        <w:t>Drainage charges</w:t>
      </w:r>
      <w:bookmarkEnd w:id="90"/>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tab/>
      </w:r>
      <w:r>
        <w:rPr>
          <w:rStyle w:val="CharDefText"/>
        </w:rPr>
        <w:t>rural land</w:t>
      </w:r>
      <w:r>
        <w:t xml:space="preserve"> means land zoned for agricultural or rural use under — </w:t>
      </w:r>
    </w:p>
    <w:p>
      <w:pPr>
        <w:pStyle w:val="Defpara"/>
      </w:pPr>
      <w:r>
        <w:tab/>
        <w:t>(a)</w:t>
      </w:r>
      <w:r>
        <w:tab/>
        <w:t xml:space="preserve">a local planning scheme made under the </w:t>
      </w:r>
      <w:r>
        <w:rPr>
          <w:i/>
        </w:rPr>
        <w:t>Planning and Development Act 2005</w:t>
      </w:r>
      <w:r>
        <w:t>; or</w:t>
      </w:r>
    </w:p>
    <w:p>
      <w:pPr>
        <w:pStyle w:val="Defpara"/>
        <w:keepNext/>
      </w:pPr>
      <w:r>
        <w:lastRenderedPageBreak/>
        <w:tab/>
        <w:t>(b)</w:t>
      </w:r>
      <w:r>
        <w:tab/>
        <w:t xml:space="preserve">the Swan Valley Planning Scheme in force under the </w:t>
      </w:r>
      <w:r>
        <w:rPr>
          <w:i/>
        </w:rPr>
        <w:t>Swan Valley Planning Act 2020</w:t>
      </w:r>
      <w:r>
        <w:t>.</w:t>
      </w:r>
    </w:p>
    <w:p>
      <w:pPr>
        <w:pStyle w:val="Footnotesection"/>
      </w:pPr>
      <w:r>
        <w:tab/>
        <w:t>[Regulation 47 amended: SL 2021/128 r. 4.]</w:t>
      </w:r>
    </w:p>
    <w:p>
      <w:pPr>
        <w:pStyle w:val="Heading5"/>
      </w:pPr>
      <w:bookmarkStart w:id="91" w:name="_Toc106179915"/>
      <w:r>
        <w:rPr>
          <w:rStyle w:val="CharSectno"/>
        </w:rPr>
        <w:t>48</w:t>
      </w:r>
      <w:r>
        <w:t>.</w:t>
      </w:r>
      <w:r>
        <w:tab/>
        <w:t>Classification of land</w:t>
      </w:r>
      <w:bookmarkEnd w:id="91"/>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lastRenderedPageBreak/>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92" w:name="_Toc106179916"/>
      <w:r>
        <w:rPr>
          <w:rStyle w:val="CharSectno"/>
        </w:rPr>
        <w:t>49</w:t>
      </w:r>
      <w:r>
        <w:t>.</w:t>
      </w:r>
      <w:r>
        <w:tab/>
        <w:t>Concessions: certain retirement village residents</w:t>
      </w:r>
      <w:bookmarkEnd w:id="9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93" w:name="_Toc106103933"/>
      <w:bookmarkStart w:id="94" w:name="_Toc106104161"/>
      <w:bookmarkStart w:id="95" w:name="_Toc106179689"/>
      <w:bookmarkStart w:id="96" w:name="_Toc106179917"/>
      <w:r>
        <w:rPr>
          <w:rStyle w:val="CharDivNo"/>
        </w:rPr>
        <w:t>Division 6</w:t>
      </w:r>
      <w:r>
        <w:t> — </w:t>
      </w:r>
      <w:r>
        <w:rPr>
          <w:rStyle w:val="CharDivText"/>
        </w:rPr>
        <w:t>Irrigation charges</w:t>
      </w:r>
      <w:bookmarkEnd w:id="93"/>
      <w:bookmarkEnd w:id="94"/>
      <w:bookmarkEnd w:id="95"/>
      <w:bookmarkEnd w:id="96"/>
    </w:p>
    <w:p>
      <w:pPr>
        <w:pStyle w:val="Heading5"/>
      </w:pPr>
      <w:bookmarkStart w:id="97" w:name="_Toc106179918"/>
      <w:r>
        <w:rPr>
          <w:rStyle w:val="CharSectno"/>
        </w:rPr>
        <w:t>50</w:t>
      </w:r>
      <w:r>
        <w:t>.</w:t>
      </w:r>
      <w:r>
        <w:tab/>
        <w:t>Charges for water supplied from certain irrigation works</w:t>
      </w:r>
      <w:bookmarkEnd w:id="97"/>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lastRenderedPageBreak/>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98" w:name="_Toc106103935"/>
      <w:bookmarkStart w:id="99" w:name="_Toc106104163"/>
      <w:bookmarkStart w:id="100" w:name="_Toc106179691"/>
      <w:bookmarkStart w:id="101" w:name="_Toc106179919"/>
      <w:r>
        <w:rPr>
          <w:rStyle w:val="CharDivNo"/>
        </w:rPr>
        <w:t>Division 7</w:t>
      </w:r>
      <w:r>
        <w:t> — </w:t>
      </w:r>
      <w:r>
        <w:rPr>
          <w:rStyle w:val="CharDivText"/>
        </w:rPr>
        <w:t>Miscellaneous charges</w:t>
      </w:r>
      <w:bookmarkEnd w:id="98"/>
      <w:bookmarkEnd w:id="99"/>
      <w:bookmarkEnd w:id="100"/>
      <w:bookmarkEnd w:id="101"/>
    </w:p>
    <w:p>
      <w:pPr>
        <w:pStyle w:val="Heading5"/>
        <w:keepLines w:val="0"/>
        <w:spacing w:before="180"/>
      </w:pPr>
      <w:bookmarkStart w:id="102" w:name="_Toc106179920"/>
      <w:r>
        <w:rPr>
          <w:rStyle w:val="CharSectno"/>
        </w:rPr>
        <w:t>51</w:t>
      </w:r>
      <w:r>
        <w:t>.</w:t>
      </w:r>
      <w:r>
        <w:tab/>
        <w:t>Miscellaneous charges</w:t>
      </w:r>
      <w:bookmarkEnd w:id="102"/>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03" w:name="_Toc106103937"/>
      <w:bookmarkStart w:id="104" w:name="_Toc106104165"/>
      <w:bookmarkStart w:id="105" w:name="_Toc106179693"/>
      <w:bookmarkStart w:id="106" w:name="_Toc106179921"/>
      <w:r>
        <w:rPr>
          <w:rStyle w:val="CharPartNo"/>
        </w:rPr>
        <w:lastRenderedPageBreak/>
        <w:t>Part 6</w:t>
      </w:r>
      <w:r>
        <w:t> — </w:t>
      </w:r>
      <w:r>
        <w:rPr>
          <w:rStyle w:val="CharPartText"/>
        </w:rPr>
        <w:t>Repeal of regulations and transitional provisions</w:t>
      </w:r>
      <w:bookmarkEnd w:id="103"/>
      <w:bookmarkEnd w:id="104"/>
      <w:bookmarkEnd w:id="105"/>
      <w:bookmarkEnd w:id="106"/>
    </w:p>
    <w:p>
      <w:pPr>
        <w:pStyle w:val="Heading3"/>
      </w:pPr>
      <w:bookmarkStart w:id="107" w:name="_Toc106103938"/>
      <w:bookmarkStart w:id="108" w:name="_Toc106104166"/>
      <w:bookmarkStart w:id="109" w:name="_Toc106179694"/>
      <w:bookmarkStart w:id="110" w:name="_Toc106179922"/>
      <w:r>
        <w:rPr>
          <w:rStyle w:val="CharDivNo"/>
        </w:rPr>
        <w:t>Division 1</w:t>
      </w:r>
      <w:r>
        <w:t> — </w:t>
      </w:r>
      <w:r>
        <w:rPr>
          <w:rStyle w:val="CharDivText"/>
          <w:i/>
        </w:rPr>
        <w:t>Water Services (Water Corporations Charges) Regulations 2013</w:t>
      </w:r>
      <w:r>
        <w:rPr>
          <w:rStyle w:val="CharDivText"/>
        </w:rPr>
        <w:t xml:space="preserve"> repealed</w:t>
      </w:r>
      <w:bookmarkEnd w:id="107"/>
      <w:bookmarkEnd w:id="108"/>
      <w:bookmarkEnd w:id="109"/>
      <w:bookmarkEnd w:id="110"/>
    </w:p>
    <w:p>
      <w:pPr>
        <w:pStyle w:val="Heading5"/>
        <w:rPr>
          <w:b w:val="0"/>
        </w:rPr>
      </w:pPr>
      <w:bookmarkStart w:id="111" w:name="_Toc106179923"/>
      <w:r>
        <w:rPr>
          <w:rStyle w:val="CharSectno"/>
        </w:rPr>
        <w:t>52</w:t>
      </w:r>
      <w:r>
        <w:t>.</w:t>
      </w:r>
      <w:r>
        <w:tab/>
      </w:r>
      <w:r>
        <w:rPr>
          <w:i/>
        </w:rPr>
        <w:t>Water Services (Water Corporations Charges) Regulations 2013</w:t>
      </w:r>
      <w:r>
        <w:t xml:space="preserve"> repealed</w:t>
      </w:r>
      <w:bookmarkEnd w:id="111"/>
    </w:p>
    <w:p>
      <w:pPr>
        <w:pStyle w:val="Subsection"/>
      </w:pPr>
      <w:r>
        <w:tab/>
      </w:r>
      <w:r>
        <w:tab/>
        <w:t xml:space="preserve">The </w:t>
      </w:r>
      <w:r>
        <w:rPr>
          <w:i/>
        </w:rPr>
        <w:t>Water Services (Water Corporations Charges) Regulations 2013</w:t>
      </w:r>
      <w:r>
        <w:t xml:space="preserve"> are repealed.</w:t>
      </w:r>
    </w:p>
    <w:p>
      <w:pPr>
        <w:pStyle w:val="Heading3"/>
      </w:pPr>
      <w:bookmarkStart w:id="112" w:name="_Toc106103940"/>
      <w:bookmarkStart w:id="113" w:name="_Toc106104168"/>
      <w:bookmarkStart w:id="114" w:name="_Toc106179696"/>
      <w:bookmarkStart w:id="115" w:name="_Toc106179924"/>
      <w:r>
        <w:rPr>
          <w:rStyle w:val="CharDivNo"/>
        </w:rPr>
        <w:t>Division 2</w:t>
      </w:r>
      <w:r>
        <w:t> — </w:t>
      </w:r>
      <w:r>
        <w:rPr>
          <w:rStyle w:val="CharDivText"/>
        </w:rPr>
        <w:t xml:space="preserve">Transitional provisions: </w:t>
      </w:r>
      <w:r>
        <w:rPr>
          <w:rStyle w:val="CharDivText"/>
          <w:i/>
        </w:rPr>
        <w:t>Water Services (Water Corporations Charges) Regulations 2014</w:t>
      </w:r>
      <w:bookmarkEnd w:id="112"/>
      <w:bookmarkEnd w:id="113"/>
      <w:bookmarkEnd w:id="114"/>
      <w:bookmarkEnd w:id="115"/>
    </w:p>
    <w:p>
      <w:pPr>
        <w:pStyle w:val="Footnoteheading"/>
      </w:pPr>
      <w:r>
        <w:tab/>
        <w:t>[Heading amended: Gazette 15 Oct 2014 p. 3943.]</w:t>
      </w:r>
    </w:p>
    <w:p>
      <w:pPr>
        <w:pStyle w:val="Heading4"/>
      </w:pPr>
      <w:bookmarkStart w:id="116" w:name="_Toc106103941"/>
      <w:bookmarkStart w:id="117" w:name="_Toc106104169"/>
      <w:bookmarkStart w:id="118" w:name="_Toc106179697"/>
      <w:bookmarkStart w:id="119" w:name="_Toc106179925"/>
      <w:r>
        <w:t>Subdivision 1 — General provisions</w:t>
      </w:r>
      <w:bookmarkEnd w:id="116"/>
      <w:bookmarkEnd w:id="117"/>
      <w:bookmarkEnd w:id="118"/>
      <w:bookmarkEnd w:id="119"/>
    </w:p>
    <w:p>
      <w:pPr>
        <w:pStyle w:val="Heading5"/>
        <w:rPr>
          <w:b w:val="0"/>
        </w:rPr>
      </w:pPr>
      <w:bookmarkStart w:id="120" w:name="_Toc106179926"/>
      <w:r>
        <w:rPr>
          <w:rStyle w:val="CharSectno"/>
        </w:rPr>
        <w:t>53</w:t>
      </w:r>
      <w:r>
        <w:t>.</w:t>
      </w:r>
      <w:r>
        <w:tab/>
        <w:t xml:space="preserve">Application of the </w:t>
      </w:r>
      <w:r>
        <w:rPr>
          <w:i/>
        </w:rPr>
        <w:t>Interpretation Act 1984</w:t>
      </w:r>
      <w:bookmarkEnd w:id="120"/>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21" w:name="_Toc106179927"/>
      <w:r>
        <w:rPr>
          <w:rStyle w:val="CharSectno"/>
        </w:rPr>
        <w:t>54</w:t>
      </w:r>
      <w:r>
        <w:t>.</w:t>
      </w:r>
      <w:r>
        <w:tab/>
        <w:t>Liability to water service charges</w:t>
      </w:r>
      <w:bookmarkEnd w:id="121"/>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122" w:name="_Toc106179928"/>
      <w:r>
        <w:rPr>
          <w:rStyle w:val="CharSectno"/>
        </w:rPr>
        <w:t>55</w:t>
      </w:r>
      <w:r>
        <w:t>.</w:t>
      </w:r>
      <w:r>
        <w:tab/>
        <w:t>Continuing effect of things done before 1 July 2014</w:t>
      </w:r>
      <w:bookmarkEnd w:id="122"/>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xml:space="preserve">) before </w:t>
      </w:r>
      <w:r>
        <w:lastRenderedPageBreak/>
        <w:t>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23" w:name="_Toc106179929"/>
      <w:r>
        <w:rPr>
          <w:rStyle w:val="CharSectno"/>
        </w:rPr>
        <w:t>56</w:t>
      </w:r>
      <w:r>
        <w:t>.</w:t>
      </w:r>
      <w:r>
        <w:tab/>
        <w:t>Relationship between Subdivision 1 and Subdivision 2</w:t>
      </w:r>
      <w:bookmarkEnd w:id="123"/>
    </w:p>
    <w:p>
      <w:pPr>
        <w:pStyle w:val="Subsection"/>
      </w:pPr>
      <w:r>
        <w:tab/>
      </w:r>
      <w:r>
        <w:tab/>
        <w:t>The generality of the provisions in this Subdivision is not limited by the specificity of the provisions in Subdivision 2.</w:t>
      </w:r>
    </w:p>
    <w:p>
      <w:pPr>
        <w:pStyle w:val="Heading4"/>
      </w:pPr>
      <w:bookmarkStart w:id="124" w:name="_Toc106103946"/>
      <w:bookmarkStart w:id="125" w:name="_Toc106104174"/>
      <w:bookmarkStart w:id="126" w:name="_Toc106179702"/>
      <w:bookmarkStart w:id="127" w:name="_Toc106179930"/>
      <w:r>
        <w:t>Subdivision 2 — Specific provisions</w:t>
      </w:r>
      <w:bookmarkEnd w:id="124"/>
      <w:bookmarkEnd w:id="125"/>
      <w:bookmarkEnd w:id="126"/>
      <w:bookmarkEnd w:id="127"/>
    </w:p>
    <w:p>
      <w:pPr>
        <w:pStyle w:val="Heading5"/>
      </w:pPr>
      <w:bookmarkStart w:id="128" w:name="_Toc106179931"/>
      <w:r>
        <w:rPr>
          <w:rStyle w:val="CharSectno"/>
        </w:rPr>
        <w:t>57</w:t>
      </w:r>
      <w:r>
        <w:t>.</w:t>
      </w:r>
      <w:r>
        <w:tab/>
        <w:t>Commencement of these regulations during charge period</w:t>
      </w:r>
      <w:bookmarkEnd w:id="128"/>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129" w:name="_Toc106179932"/>
      <w:r>
        <w:rPr>
          <w:rStyle w:val="CharSectno"/>
        </w:rPr>
        <w:t>58</w:t>
      </w:r>
      <w:r>
        <w:t>.</w:t>
      </w:r>
      <w:r>
        <w:tab/>
        <w:t>Special payment arrangements</w:t>
      </w:r>
      <w:bookmarkEnd w:id="129"/>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lastRenderedPageBreak/>
        <w:tab/>
        <w:t>(b)</w:t>
      </w:r>
      <w:r>
        <w:tab/>
        <w:t>in relation to the corresponding charge or charges under these regulations.</w:t>
      </w:r>
    </w:p>
    <w:p>
      <w:pPr>
        <w:pStyle w:val="Heading5"/>
      </w:pPr>
      <w:bookmarkStart w:id="130" w:name="_Toc106179933"/>
      <w:r>
        <w:rPr>
          <w:rStyle w:val="CharSectno"/>
        </w:rPr>
        <w:t>59</w:t>
      </w:r>
      <w:r>
        <w:t>.</w:t>
      </w:r>
      <w:r>
        <w:tab/>
        <w:t>Commercial caravan parks</w:t>
      </w:r>
      <w:bookmarkEnd w:id="130"/>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131" w:name="_Toc106179934"/>
      <w:r>
        <w:rPr>
          <w:rStyle w:val="CharSectno"/>
        </w:rPr>
        <w:t>60</w:t>
      </w:r>
      <w:r>
        <w:t>.</w:t>
      </w:r>
      <w:r>
        <w:tab/>
        <w:t>Certain charges and discharge volumes before 1 July 2014</w:t>
      </w:r>
      <w:bookmarkEnd w:id="131"/>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132" w:name="_Toc106179935"/>
      <w:r>
        <w:rPr>
          <w:rStyle w:val="CharSectno"/>
        </w:rPr>
        <w:t>61</w:t>
      </w:r>
      <w:r>
        <w:t>.</w:t>
      </w:r>
      <w:r>
        <w:tab/>
        <w:t>Concessions: r. 34 and 35</w:t>
      </w:r>
      <w:bookmarkEnd w:id="132"/>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lastRenderedPageBreak/>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133" w:name="_Toc106103952"/>
      <w:bookmarkStart w:id="134" w:name="_Toc106104180"/>
      <w:bookmarkStart w:id="135" w:name="_Toc106179708"/>
      <w:bookmarkStart w:id="136" w:name="_Toc106179936"/>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33"/>
      <w:bookmarkEnd w:id="134"/>
      <w:bookmarkEnd w:id="135"/>
      <w:bookmarkEnd w:id="136"/>
    </w:p>
    <w:p>
      <w:pPr>
        <w:pStyle w:val="Footnoteheading"/>
      </w:pPr>
      <w:r>
        <w:tab/>
        <w:t>[Heading inserted: Gazette 15 Oct 2014 p. 3944.]</w:t>
      </w:r>
    </w:p>
    <w:p>
      <w:pPr>
        <w:pStyle w:val="Heading5"/>
      </w:pPr>
      <w:bookmarkStart w:id="137" w:name="_Toc106179937"/>
      <w:r>
        <w:rPr>
          <w:rStyle w:val="CharSectno"/>
        </w:rPr>
        <w:t>62</w:t>
      </w:r>
      <w:r>
        <w:t>.</w:t>
      </w:r>
      <w:r>
        <w:tab/>
        <w:t>Application of r. 5</w:t>
      </w:r>
      <w:bookmarkEnd w:id="137"/>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138" w:name="_Toc106179938"/>
      <w:r>
        <w:rPr>
          <w:rStyle w:val="CharSectno"/>
        </w:rPr>
        <w:t>63</w:t>
      </w:r>
      <w:r>
        <w:t>.</w:t>
      </w:r>
      <w:r>
        <w:tab/>
        <w:t>Reduction, waiver or refund of certain charges</w:t>
      </w:r>
      <w:bookmarkEnd w:id="138"/>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lastRenderedPageBreak/>
        <w:tab/>
        <w:t>(4)</w:t>
      </w:r>
      <w:r>
        <w:tab/>
        <w:t>A refund may be provided in the form of a credit against future water service charges.</w:t>
      </w:r>
    </w:p>
    <w:p>
      <w:pPr>
        <w:pStyle w:val="Footnotesection"/>
      </w:pPr>
      <w:r>
        <w:tab/>
        <w:t>[Regulation 63 inserted: Gazette 15 Oct 2014 p. 3944.]</w:t>
      </w:r>
    </w:p>
    <w:p>
      <w:pPr>
        <w:sectPr>
          <w:headerReference w:type="even" r:id="rId23"/>
          <w:headerReference w:type="default" r:id="rId24"/>
          <w:headerReference w:type="first" r:id="rId25"/>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39" w:name="_Toc106103955"/>
      <w:bookmarkStart w:id="140" w:name="_Toc106104183"/>
      <w:bookmarkStart w:id="141" w:name="_Toc106179711"/>
      <w:bookmarkStart w:id="142" w:name="_Toc106179939"/>
      <w:r>
        <w:rPr>
          <w:rStyle w:val="CharSchNo"/>
        </w:rPr>
        <w:lastRenderedPageBreak/>
        <w:t>Schedule 1</w:t>
      </w:r>
      <w:r>
        <w:t> — </w:t>
      </w:r>
      <w:r>
        <w:rPr>
          <w:rStyle w:val="CharSchText"/>
        </w:rPr>
        <w:t>Charges for Bunbury Water Corporation</w:t>
      </w:r>
      <w:bookmarkEnd w:id="139"/>
      <w:bookmarkEnd w:id="140"/>
      <w:bookmarkEnd w:id="141"/>
      <w:bookmarkEnd w:id="142"/>
    </w:p>
    <w:p>
      <w:pPr>
        <w:pStyle w:val="yShoulderClause"/>
      </w:pPr>
      <w:r>
        <w:t>[r. 7]</w:t>
      </w:r>
    </w:p>
    <w:p>
      <w:pPr>
        <w:pStyle w:val="yFootnoteheading"/>
      </w:pPr>
      <w:r>
        <w:tab/>
        <w:t>[Heading inserted: SL 2021/80 r. 8.]</w:t>
      </w:r>
    </w:p>
    <w:p>
      <w:pPr>
        <w:pStyle w:val="yHeading3"/>
      </w:pPr>
      <w:bookmarkStart w:id="143" w:name="_Toc106103956"/>
      <w:bookmarkStart w:id="144" w:name="_Toc106104184"/>
      <w:bookmarkStart w:id="145" w:name="_Toc106179712"/>
      <w:bookmarkStart w:id="146" w:name="_Toc106179940"/>
      <w:r>
        <w:rPr>
          <w:rStyle w:val="CharSDivNo"/>
        </w:rPr>
        <w:t>Division 1</w:t>
      </w:r>
      <w:r>
        <w:t> — </w:t>
      </w:r>
      <w:r>
        <w:rPr>
          <w:rStyle w:val="CharSDivText"/>
        </w:rPr>
        <w:t>Service charges</w:t>
      </w:r>
      <w:bookmarkEnd w:id="143"/>
      <w:bookmarkEnd w:id="144"/>
      <w:bookmarkEnd w:id="145"/>
      <w:bookmarkEnd w:id="146"/>
    </w:p>
    <w:p>
      <w:pPr>
        <w:pStyle w:val="yFootnoteheading"/>
      </w:pPr>
      <w:r>
        <w:tab/>
        <w:t>[Heading inserted: SL 2021/80 r. 8.]</w:t>
      </w:r>
    </w:p>
    <w:p>
      <w:pPr>
        <w:pStyle w:val="yHeading5"/>
      </w:pPr>
      <w:bookmarkStart w:id="147" w:name="_Toc106179941"/>
      <w:r>
        <w:t>1.</w:t>
      </w:r>
      <w:r>
        <w:tab/>
        <w:t>Service charges for 2021/22 and subsequent years</w:t>
      </w:r>
      <w:bookmarkEnd w:id="147"/>
    </w:p>
    <w:p>
      <w:pPr>
        <w:pStyle w:val="ySubsection"/>
      </w:pPr>
      <w:r>
        <w:tab/>
      </w:r>
      <w:r>
        <w:tab/>
        <w:t>The charges set out in this Division apply for water supply services provided in the 2021/22 financial year and each subsequent year.</w:t>
      </w:r>
    </w:p>
    <w:p>
      <w:pPr>
        <w:pStyle w:val="yHeading5"/>
      </w:pPr>
      <w:bookmarkStart w:id="148" w:name="_Toc106179942"/>
      <w:r>
        <w:t>2.</w:t>
      </w:r>
      <w:r>
        <w:tab/>
        <w:t>Residential lots</w:t>
      </w:r>
      <w:bookmarkEnd w:id="148"/>
    </w:p>
    <w:p>
      <w:pPr>
        <w:pStyle w:val="ySubsection"/>
        <w:tabs>
          <w:tab w:val="right" w:leader="dot" w:pos="6804"/>
        </w:tabs>
      </w:pPr>
      <w:r>
        <w:tab/>
      </w:r>
      <w:r>
        <w:tab/>
        <w:t xml:space="preserve">For a residential lot, the charge </w:t>
      </w:r>
      <w:r>
        <w:rPr>
          <w:spacing w:val="-2"/>
          <w:szCs w:val="22"/>
        </w:rPr>
        <w:t>is,</w:t>
      </w:r>
      <w:r>
        <w:rPr>
          <w:spacing w:val="-2"/>
          <w:szCs w:val="22"/>
        </w:rPr>
        <w:br/>
        <w:t>for each dwelling on the lot</w:t>
      </w:r>
      <w:r>
        <w:t xml:space="preserve"> </w:t>
      </w:r>
      <w:r>
        <w:tab/>
        <w:t>$256.30</w:t>
      </w:r>
    </w:p>
    <w:p>
      <w:pPr>
        <w:pStyle w:val="yHeading5"/>
      </w:pPr>
      <w:bookmarkStart w:id="149" w:name="_Toc106179943"/>
      <w:r>
        <w:t>3.</w:t>
      </w:r>
      <w:r>
        <w:tab/>
        <w:t>Non</w:t>
      </w:r>
      <w:r>
        <w:noBreakHyphen/>
        <w:t>residential lots</w:t>
      </w:r>
      <w:bookmarkEnd w:id="149"/>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$264.60</w:t>
      </w:r>
    </w:p>
    <w:p>
      <w:pPr>
        <w:pStyle w:val="yMiscellaneousBody"/>
        <w:tabs>
          <w:tab w:val="right" w:leader="dot" w:pos="6804"/>
        </w:tabs>
        <w:ind w:left="1560" w:hanging="114"/>
      </w:pPr>
      <w:r>
        <w:tab/>
        <w:t xml:space="preserve">25 mm </w:t>
      </w:r>
      <w:r>
        <w:tab/>
        <w:t>$412.80</w:t>
      </w:r>
    </w:p>
    <w:p>
      <w:pPr>
        <w:pStyle w:val="yMiscellaneousBody"/>
        <w:tabs>
          <w:tab w:val="right" w:leader="dot" w:pos="6804"/>
        </w:tabs>
        <w:ind w:left="1560" w:hanging="114"/>
      </w:pPr>
      <w:r>
        <w:tab/>
        <w:t xml:space="preserve">40 mm </w:t>
      </w:r>
      <w:r>
        <w:tab/>
        <w:t>$1 058.60</w:t>
      </w:r>
    </w:p>
    <w:p>
      <w:pPr>
        <w:pStyle w:val="yMiscellaneousBody"/>
        <w:tabs>
          <w:tab w:val="right" w:leader="dot" w:pos="6804"/>
        </w:tabs>
        <w:ind w:left="1560" w:hanging="114"/>
      </w:pPr>
      <w:r>
        <w:tab/>
        <w:t xml:space="preserve">50 mm </w:t>
      </w:r>
      <w:r>
        <w:tab/>
        <w:t>$1 654.10</w:t>
      </w:r>
    </w:p>
    <w:p>
      <w:pPr>
        <w:pStyle w:val="yMiscellaneousBody"/>
        <w:tabs>
          <w:tab w:val="right" w:leader="dot" w:pos="6804"/>
        </w:tabs>
        <w:ind w:left="1560" w:hanging="114"/>
      </w:pPr>
      <w:r>
        <w:tab/>
        <w:t xml:space="preserve">80 mm </w:t>
      </w:r>
      <w:r>
        <w:tab/>
        <w:t>$4 234.40</w:t>
      </w:r>
    </w:p>
    <w:p>
      <w:pPr>
        <w:pStyle w:val="yMiscellaneousBody"/>
        <w:tabs>
          <w:tab w:val="right" w:leader="dot" w:pos="6804"/>
        </w:tabs>
        <w:ind w:left="1560" w:hanging="114"/>
      </w:pPr>
      <w:r>
        <w:tab/>
        <w:t xml:space="preserve">100 mm </w:t>
      </w:r>
      <w:r>
        <w:tab/>
        <w:t>$6 616.30</w:t>
      </w:r>
    </w:p>
    <w:p>
      <w:pPr>
        <w:pStyle w:val="yMiscellaneousBody"/>
        <w:tabs>
          <w:tab w:val="right" w:leader="dot" w:pos="6804"/>
        </w:tabs>
        <w:ind w:left="1560" w:hanging="114"/>
      </w:pPr>
      <w:r>
        <w:tab/>
        <w:t xml:space="preserve">150 mm </w:t>
      </w:r>
      <w:r>
        <w:tab/>
        <w:t>$14 886.70</w:t>
      </w:r>
    </w:p>
    <w:p>
      <w:pPr>
        <w:pStyle w:val="yHeading5"/>
      </w:pPr>
      <w:bookmarkStart w:id="150" w:name="_Toc106179944"/>
      <w:r>
        <w:t>4.</w:t>
      </w:r>
      <w:r>
        <w:tab/>
        <w:t>Fire service connections</w:t>
      </w:r>
      <w:bookmarkEnd w:id="150"/>
    </w:p>
    <w:p>
      <w:pPr>
        <w:pStyle w:val="ySubsection"/>
      </w:pPr>
      <w:r>
        <w:tab/>
      </w:r>
      <w:r>
        <w:tab/>
        <w:t>For a fire service connection, the charge, according to the size of the meter, is —</w:t>
      </w:r>
    </w:p>
    <w:p>
      <w:pPr>
        <w:pStyle w:val="yMiscellaneousBody"/>
        <w:tabs>
          <w:tab w:val="right" w:leader="dot" w:pos="6804"/>
        </w:tabs>
        <w:ind w:left="1560" w:hanging="114"/>
      </w:pPr>
      <w:r>
        <w:tab/>
        <w:t xml:space="preserve">25 mm </w:t>
      </w:r>
      <w:r>
        <w:tab/>
        <w:t>$150.50</w:t>
      </w:r>
    </w:p>
    <w:p>
      <w:pPr>
        <w:pStyle w:val="yMiscellaneousBody"/>
        <w:tabs>
          <w:tab w:val="right" w:leader="dot" w:pos="6804"/>
        </w:tabs>
        <w:ind w:left="1560" w:hanging="114"/>
      </w:pPr>
      <w:r>
        <w:tab/>
        <w:t xml:space="preserve">40 mm </w:t>
      </w:r>
      <w:r>
        <w:tab/>
        <w:t>$240.80</w:t>
      </w:r>
    </w:p>
    <w:p>
      <w:pPr>
        <w:pStyle w:val="yMiscellaneousBody"/>
        <w:tabs>
          <w:tab w:val="right" w:leader="dot" w:pos="6804"/>
        </w:tabs>
        <w:ind w:left="1560" w:hanging="114"/>
      </w:pPr>
      <w:r>
        <w:lastRenderedPageBreak/>
        <w:tab/>
        <w:t xml:space="preserve">50 mm </w:t>
      </w:r>
      <w:r>
        <w:tab/>
        <w:t>$301.00</w:t>
      </w:r>
    </w:p>
    <w:p>
      <w:pPr>
        <w:pStyle w:val="yMiscellaneousBody"/>
        <w:tabs>
          <w:tab w:val="right" w:leader="dot" w:pos="6804"/>
        </w:tabs>
        <w:ind w:left="1560" w:hanging="114"/>
      </w:pPr>
      <w:r>
        <w:tab/>
        <w:t xml:space="preserve">100 mm </w:t>
      </w:r>
      <w:r>
        <w:tab/>
        <w:t>$602.10</w:t>
      </w:r>
    </w:p>
    <w:p>
      <w:pPr>
        <w:pStyle w:val="yMiscellaneousBody"/>
        <w:tabs>
          <w:tab w:val="right" w:leader="dot" w:pos="6804"/>
        </w:tabs>
        <w:ind w:left="1560" w:hanging="114"/>
      </w:pPr>
      <w:r>
        <w:tab/>
        <w:t xml:space="preserve">150 mm </w:t>
      </w:r>
      <w:r>
        <w:tab/>
        <w:t>$903.10</w:t>
      </w:r>
    </w:p>
    <w:p>
      <w:pPr>
        <w:pStyle w:val="yMiscellaneousBody"/>
        <w:tabs>
          <w:tab w:val="right" w:leader="dot" w:pos="6804"/>
        </w:tabs>
        <w:ind w:left="1560" w:hanging="114"/>
      </w:pPr>
      <w:r>
        <w:tab/>
        <w:t xml:space="preserve">200 mm </w:t>
      </w:r>
      <w:r>
        <w:tab/>
        <w:t>$1 204.20</w:t>
      </w:r>
    </w:p>
    <w:p>
      <w:pPr>
        <w:pStyle w:val="yFootnotesection"/>
      </w:pPr>
      <w:r>
        <w:tab/>
        <w:t>[Division 1 inserted: SL 2021/80 r. 8; amended: SL 2021/144 r. 4.]</w:t>
      </w:r>
    </w:p>
    <w:p>
      <w:pPr>
        <w:pStyle w:val="yHeading3"/>
      </w:pPr>
      <w:bookmarkStart w:id="151" w:name="_Toc106103961"/>
      <w:bookmarkStart w:id="152" w:name="_Toc106104189"/>
      <w:bookmarkStart w:id="153" w:name="_Toc106179717"/>
      <w:bookmarkStart w:id="154" w:name="_Toc106179945"/>
      <w:r>
        <w:rPr>
          <w:rStyle w:val="CharSDivNo"/>
        </w:rPr>
        <w:t>Division 2</w:t>
      </w:r>
      <w:r>
        <w:t> — </w:t>
      </w:r>
      <w:r>
        <w:rPr>
          <w:rStyle w:val="CharSDivText"/>
        </w:rPr>
        <w:t>Consumption charges</w:t>
      </w:r>
      <w:bookmarkEnd w:id="151"/>
      <w:bookmarkEnd w:id="152"/>
      <w:bookmarkEnd w:id="153"/>
      <w:bookmarkEnd w:id="154"/>
    </w:p>
    <w:p>
      <w:pPr>
        <w:pStyle w:val="yFootnoteheading"/>
      </w:pPr>
      <w:r>
        <w:tab/>
        <w:t>[Heading inserted: SL 2021/80 r. 8.]</w:t>
      </w:r>
    </w:p>
    <w:p>
      <w:pPr>
        <w:pStyle w:val="yHeading5"/>
      </w:pPr>
      <w:bookmarkStart w:id="155" w:name="_Toc106179946"/>
      <w:r>
        <w:t>5.</w:t>
      </w:r>
      <w:r>
        <w:tab/>
        <w:t>Consumption charges for 2021/22 and subsequent years</w:t>
      </w:r>
      <w:bookmarkEnd w:id="155"/>
    </w:p>
    <w:p>
      <w:pPr>
        <w:pStyle w:val="ySubsection"/>
      </w:pPr>
      <w:r>
        <w:tab/>
      </w:r>
      <w:r>
        <w:tab/>
        <w:t>The charges set out in this Division apply for water supplied in the 2021/22 financial year and each subsequent year.</w:t>
      </w:r>
    </w:p>
    <w:p>
      <w:pPr>
        <w:pStyle w:val="yHeading5"/>
      </w:pPr>
      <w:bookmarkStart w:id="156" w:name="_Toc106179947"/>
      <w:r>
        <w:t>6.</w:t>
      </w:r>
      <w:r>
        <w:tab/>
        <w:t>Residential lots</w:t>
      </w:r>
      <w:bookmarkEnd w:id="156"/>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$1.06</w:t>
      </w:r>
    </w:p>
    <w:p>
      <w:pPr>
        <w:pStyle w:val="yMiscellaneousBody"/>
        <w:tabs>
          <w:tab w:val="right" w:leader="dot" w:pos="6804"/>
        </w:tabs>
        <w:ind w:left="1560" w:hanging="114"/>
      </w:pPr>
      <w:r>
        <w:tab/>
        <w:t xml:space="preserve">over 150 but not over 350 kL </w:t>
      </w:r>
      <w:r>
        <w:tab/>
        <w:t>$1.97</w:t>
      </w:r>
    </w:p>
    <w:p>
      <w:pPr>
        <w:pStyle w:val="yMiscellaneousBody"/>
        <w:tabs>
          <w:tab w:val="right" w:leader="dot" w:pos="6804"/>
        </w:tabs>
        <w:ind w:left="1560" w:hanging="114"/>
      </w:pPr>
      <w:r>
        <w:tab/>
        <w:t xml:space="preserve">over 350 but not over 500 kL </w:t>
      </w:r>
      <w:r>
        <w:tab/>
        <w:t>$2.81</w:t>
      </w:r>
    </w:p>
    <w:p>
      <w:pPr>
        <w:pStyle w:val="yMiscellaneousBody"/>
        <w:tabs>
          <w:tab w:val="right" w:leader="dot" w:pos="6804"/>
        </w:tabs>
        <w:ind w:left="1560" w:hanging="114"/>
      </w:pPr>
      <w:r>
        <w:tab/>
        <w:t xml:space="preserve">over 500 kL </w:t>
      </w:r>
      <w:r>
        <w:tab/>
        <w:t>$3.49</w:t>
      </w:r>
    </w:p>
    <w:p>
      <w:pPr>
        <w:pStyle w:val="ySubsection"/>
      </w:pPr>
      <w:r>
        <w:tab/>
        <w:t>(2)</w:t>
      </w:r>
      <w:r>
        <w:tab/>
        <w:t>The volumetric ranges in this item have effect by reference to the volume of water supplied in the current consumption year.</w:t>
      </w:r>
    </w:p>
    <w:p>
      <w:pPr>
        <w:pStyle w:val="yHeading5"/>
      </w:pPr>
      <w:bookmarkStart w:id="157" w:name="_Toc106179948"/>
      <w:r>
        <w:t>7.</w:t>
      </w:r>
      <w:r>
        <w:tab/>
        <w:t>Non</w:t>
      </w:r>
      <w:r>
        <w:noBreakHyphen/>
        <w:t>residential lots</w:t>
      </w:r>
      <w:bookmarkEnd w:id="157"/>
    </w:p>
    <w:p>
      <w:pPr>
        <w:pStyle w:val="ySubsection"/>
        <w:tabs>
          <w:tab w:val="right" w:leader="dot" w:pos="6804"/>
        </w:tabs>
      </w:pPr>
      <w:r>
        <w:tab/>
      </w:r>
      <w:r>
        <w:tab/>
        <w:t xml:space="preserve">For each kilolitre of water supplied to a </w:t>
      </w:r>
      <w:r>
        <w:br/>
        <w:t>non</w:t>
      </w:r>
      <w:r>
        <w:noBreakHyphen/>
        <w:t xml:space="preserve">residential lot, the charge is </w:t>
      </w:r>
      <w:r>
        <w:tab/>
        <w:t>$2.90</w:t>
      </w:r>
    </w:p>
    <w:p>
      <w:pPr>
        <w:pStyle w:val="yFootnotesection"/>
      </w:pPr>
      <w:r>
        <w:tab/>
        <w:t>[Division 2 inserted: SL 2021/80 r. 8.]</w:t>
      </w:r>
    </w:p>
    <w:p>
      <w:pPr>
        <w:pStyle w:val="yScheduleHeading"/>
      </w:pPr>
      <w:bookmarkStart w:id="158" w:name="_Toc106103965"/>
      <w:bookmarkStart w:id="159" w:name="_Toc106104193"/>
      <w:bookmarkStart w:id="160" w:name="_Toc106179721"/>
      <w:bookmarkStart w:id="161" w:name="_Toc106179949"/>
      <w:r>
        <w:rPr>
          <w:rStyle w:val="CharSchNo"/>
        </w:rPr>
        <w:lastRenderedPageBreak/>
        <w:t>Schedule 2</w:t>
      </w:r>
      <w:r>
        <w:t> — </w:t>
      </w:r>
      <w:r>
        <w:rPr>
          <w:rStyle w:val="CharSchText"/>
        </w:rPr>
        <w:t>Charges for Busselton Water Corporation</w:t>
      </w:r>
      <w:bookmarkEnd w:id="158"/>
      <w:bookmarkEnd w:id="159"/>
      <w:bookmarkEnd w:id="160"/>
      <w:bookmarkEnd w:id="161"/>
    </w:p>
    <w:p>
      <w:pPr>
        <w:pStyle w:val="yShoulderClause"/>
      </w:pPr>
      <w:r>
        <w:t>[r. 12]</w:t>
      </w:r>
    </w:p>
    <w:p>
      <w:pPr>
        <w:pStyle w:val="yFootnoteheading"/>
      </w:pPr>
      <w:r>
        <w:tab/>
        <w:t>[Heading inserted: SL 2021/80 r. 8.]</w:t>
      </w:r>
    </w:p>
    <w:p>
      <w:pPr>
        <w:pStyle w:val="yHeading3"/>
      </w:pPr>
      <w:bookmarkStart w:id="162" w:name="_Toc106103966"/>
      <w:bookmarkStart w:id="163" w:name="_Toc106104194"/>
      <w:bookmarkStart w:id="164" w:name="_Toc106179722"/>
      <w:bookmarkStart w:id="165" w:name="_Toc106179950"/>
      <w:r>
        <w:rPr>
          <w:rStyle w:val="CharSDivNo"/>
        </w:rPr>
        <w:t>Division 1</w:t>
      </w:r>
      <w:r>
        <w:t> — </w:t>
      </w:r>
      <w:r>
        <w:rPr>
          <w:rStyle w:val="CharSDivText"/>
        </w:rPr>
        <w:t>Service charges</w:t>
      </w:r>
      <w:bookmarkEnd w:id="162"/>
      <w:bookmarkEnd w:id="163"/>
      <w:bookmarkEnd w:id="164"/>
      <w:bookmarkEnd w:id="165"/>
    </w:p>
    <w:p>
      <w:pPr>
        <w:pStyle w:val="yFootnoteheading"/>
      </w:pPr>
      <w:r>
        <w:tab/>
        <w:t>[Heading inserted: SL 2021/80 r. 8.]</w:t>
      </w:r>
    </w:p>
    <w:p>
      <w:pPr>
        <w:pStyle w:val="yHeading5"/>
      </w:pPr>
      <w:bookmarkStart w:id="166" w:name="_Toc106179951"/>
      <w:r>
        <w:t>1.</w:t>
      </w:r>
      <w:r>
        <w:tab/>
        <w:t>Service charges for 2021/22 and subsequent years</w:t>
      </w:r>
      <w:bookmarkEnd w:id="166"/>
    </w:p>
    <w:p>
      <w:pPr>
        <w:pStyle w:val="ySubsection"/>
      </w:pPr>
      <w:r>
        <w:tab/>
      </w:r>
      <w:r>
        <w:tab/>
        <w:t>The charges set out in this Division apply for water supply services provided in the 2021/22 financial year and each subsequent year.</w:t>
      </w:r>
    </w:p>
    <w:p>
      <w:pPr>
        <w:pStyle w:val="yHeading5"/>
      </w:pPr>
      <w:bookmarkStart w:id="167" w:name="_Toc106179952"/>
      <w:r>
        <w:t>2.</w:t>
      </w:r>
      <w:r>
        <w:tab/>
        <w:t>Residential lots</w:t>
      </w:r>
      <w:bookmarkEnd w:id="167"/>
    </w:p>
    <w:p>
      <w:pPr>
        <w:pStyle w:val="ySubsection"/>
        <w:tabs>
          <w:tab w:val="right" w:leader="dot" w:pos="6804"/>
        </w:tabs>
      </w:pPr>
      <w:r>
        <w:tab/>
      </w:r>
      <w:r>
        <w:tab/>
        <w:t xml:space="preserve">For a residential lot, the charge is </w:t>
      </w:r>
      <w:r>
        <w:tab/>
        <w:t>$223.19</w:t>
      </w:r>
    </w:p>
    <w:p>
      <w:pPr>
        <w:pStyle w:val="yHeading5"/>
      </w:pPr>
      <w:bookmarkStart w:id="168" w:name="_Toc106179953"/>
      <w:r>
        <w:t>3.</w:t>
      </w:r>
      <w:r>
        <w:tab/>
        <w:t>Non</w:t>
      </w:r>
      <w:r>
        <w:noBreakHyphen/>
        <w:t>residential lots</w:t>
      </w:r>
      <w:bookmarkEnd w:id="168"/>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$230.47</w:t>
      </w:r>
    </w:p>
    <w:p>
      <w:pPr>
        <w:pStyle w:val="yMiscellaneousBody"/>
        <w:tabs>
          <w:tab w:val="right" w:leader="dot" w:pos="6804"/>
        </w:tabs>
        <w:ind w:left="1560" w:hanging="114"/>
      </w:pPr>
      <w:r>
        <w:tab/>
        <w:t xml:space="preserve">25 mm </w:t>
      </w:r>
      <w:r>
        <w:tab/>
        <w:t>$360.08</w:t>
      </w:r>
    </w:p>
    <w:p>
      <w:pPr>
        <w:pStyle w:val="yMiscellaneousBody"/>
        <w:tabs>
          <w:tab w:val="right" w:leader="dot" w:pos="6804"/>
        </w:tabs>
        <w:ind w:left="1560" w:hanging="114"/>
      </w:pPr>
      <w:r>
        <w:tab/>
        <w:t xml:space="preserve">40 mm </w:t>
      </w:r>
      <w:r>
        <w:tab/>
        <w:t>$921.82</w:t>
      </w:r>
    </w:p>
    <w:p>
      <w:pPr>
        <w:pStyle w:val="yMiscellaneousBody"/>
        <w:tabs>
          <w:tab w:val="right" w:leader="dot" w:pos="6804"/>
        </w:tabs>
        <w:ind w:left="1560" w:hanging="114"/>
      </w:pPr>
      <w:r>
        <w:tab/>
        <w:t xml:space="preserve">50 mm </w:t>
      </w:r>
      <w:r>
        <w:tab/>
        <w:t>$1 440.33</w:t>
      </w:r>
    </w:p>
    <w:p>
      <w:pPr>
        <w:pStyle w:val="yMiscellaneousBody"/>
        <w:tabs>
          <w:tab w:val="right" w:leader="dot" w:pos="6804"/>
        </w:tabs>
        <w:ind w:left="1560" w:hanging="114"/>
      </w:pPr>
      <w:r>
        <w:tab/>
        <w:t xml:space="preserve">80 mm </w:t>
      </w:r>
      <w:r>
        <w:tab/>
        <w:t>$3 687.27</w:t>
      </w:r>
    </w:p>
    <w:p>
      <w:pPr>
        <w:pStyle w:val="yMiscellaneousBody"/>
        <w:tabs>
          <w:tab w:val="right" w:leader="dot" w:pos="6804"/>
        </w:tabs>
        <w:ind w:left="1560" w:hanging="114"/>
      </w:pPr>
      <w:r>
        <w:tab/>
        <w:t xml:space="preserve">100 mm </w:t>
      </w:r>
      <w:r>
        <w:tab/>
        <w:t>$5 761.34</w:t>
      </w:r>
    </w:p>
    <w:p>
      <w:pPr>
        <w:pStyle w:val="yMiscellaneousBody"/>
        <w:tabs>
          <w:tab w:val="right" w:leader="dot" w:pos="6804"/>
        </w:tabs>
        <w:ind w:left="1560" w:hanging="114"/>
      </w:pPr>
      <w:r>
        <w:tab/>
        <w:t xml:space="preserve">150 mm </w:t>
      </w:r>
      <w:r>
        <w:tab/>
        <w:t>$12 963.03</w:t>
      </w:r>
    </w:p>
    <w:p>
      <w:pPr>
        <w:pStyle w:val="yHeading5"/>
      </w:pPr>
      <w:bookmarkStart w:id="169" w:name="_Toc106179954"/>
      <w:r>
        <w:t>4.</w:t>
      </w:r>
      <w:r>
        <w:tab/>
        <w:t>Vacant land</w:t>
      </w:r>
      <w:bookmarkEnd w:id="169"/>
    </w:p>
    <w:p>
      <w:pPr>
        <w:pStyle w:val="ySubsection"/>
        <w:tabs>
          <w:tab w:val="right" w:leader="dot" w:pos="6804"/>
        </w:tabs>
      </w:pPr>
      <w:r>
        <w:tab/>
      </w:r>
      <w:r>
        <w:tab/>
        <w:t xml:space="preserve">For vacant land, the charge is </w:t>
      </w:r>
      <w:r>
        <w:tab/>
        <w:t>$230.47</w:t>
      </w:r>
    </w:p>
    <w:p>
      <w:pPr>
        <w:pStyle w:val="yHeading5"/>
      </w:pPr>
      <w:bookmarkStart w:id="170" w:name="_Toc106179955"/>
      <w:r>
        <w:t>5.</w:t>
      </w:r>
      <w:r>
        <w:tab/>
        <w:t>Fire service connections</w:t>
      </w:r>
      <w:bookmarkEnd w:id="170"/>
    </w:p>
    <w:p>
      <w:pPr>
        <w:pStyle w:val="ySubsection"/>
        <w:tabs>
          <w:tab w:val="right" w:leader="dot" w:pos="6804"/>
        </w:tabs>
      </w:pPr>
      <w:r>
        <w:tab/>
      </w:r>
      <w:r>
        <w:tab/>
        <w:t xml:space="preserve">For a fire service connection, the charge is </w:t>
      </w:r>
      <w:r>
        <w:tab/>
        <w:t>$230.47</w:t>
      </w:r>
    </w:p>
    <w:p>
      <w:pPr>
        <w:pStyle w:val="yFootnotesection"/>
      </w:pPr>
      <w:r>
        <w:tab/>
        <w:t>[Division 1 inserted: SL 2021/80 r. 8.]</w:t>
      </w:r>
    </w:p>
    <w:p>
      <w:pPr>
        <w:pStyle w:val="yHeading3"/>
      </w:pPr>
      <w:bookmarkStart w:id="171" w:name="_Toc106103972"/>
      <w:bookmarkStart w:id="172" w:name="_Toc106104200"/>
      <w:bookmarkStart w:id="173" w:name="_Toc106179728"/>
      <w:bookmarkStart w:id="174" w:name="_Toc106179956"/>
      <w:r>
        <w:rPr>
          <w:rStyle w:val="CharSDivNo"/>
        </w:rPr>
        <w:lastRenderedPageBreak/>
        <w:t>Division 2</w:t>
      </w:r>
      <w:r>
        <w:t> — </w:t>
      </w:r>
      <w:r>
        <w:rPr>
          <w:rStyle w:val="CharSDivText"/>
        </w:rPr>
        <w:t>Consumption charges</w:t>
      </w:r>
      <w:bookmarkEnd w:id="171"/>
      <w:bookmarkEnd w:id="172"/>
      <w:bookmarkEnd w:id="173"/>
      <w:bookmarkEnd w:id="174"/>
    </w:p>
    <w:p>
      <w:pPr>
        <w:pStyle w:val="yFootnoteheading"/>
      </w:pPr>
      <w:r>
        <w:tab/>
        <w:t>[Heading inserted: SL 2021/80 r. 8.]</w:t>
      </w:r>
    </w:p>
    <w:p>
      <w:pPr>
        <w:pStyle w:val="yHeading5"/>
      </w:pPr>
      <w:bookmarkStart w:id="175" w:name="_Toc106179957"/>
      <w:r>
        <w:t>6.</w:t>
      </w:r>
      <w:r>
        <w:tab/>
        <w:t>Consumption charges for 2021/22 and subsequent years</w:t>
      </w:r>
      <w:bookmarkEnd w:id="175"/>
    </w:p>
    <w:p>
      <w:pPr>
        <w:pStyle w:val="ySubsection"/>
      </w:pPr>
      <w:r>
        <w:tab/>
      </w:r>
      <w:r>
        <w:tab/>
        <w:t>The charges set out in this Division apply for water supplied in the 2021/22 financial year and each subsequent year.</w:t>
      </w:r>
    </w:p>
    <w:p>
      <w:pPr>
        <w:pStyle w:val="yHeading5"/>
      </w:pPr>
      <w:bookmarkStart w:id="176" w:name="_Toc106179958"/>
      <w:r>
        <w:t>7.</w:t>
      </w:r>
      <w:r>
        <w:tab/>
        <w:t>Residential lots</w:t>
      </w:r>
      <w:bookmarkEnd w:id="176"/>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$1.11</w:t>
      </w:r>
    </w:p>
    <w:p>
      <w:pPr>
        <w:pStyle w:val="yMiscellaneousBody"/>
        <w:tabs>
          <w:tab w:val="right" w:leader="dot" w:pos="6804"/>
        </w:tabs>
        <w:ind w:left="1560" w:hanging="114"/>
      </w:pPr>
      <w:r>
        <w:tab/>
        <w:t xml:space="preserve">over 150 but not over 350 kL </w:t>
      </w:r>
      <w:r>
        <w:tab/>
        <w:t>$1.55</w:t>
      </w:r>
    </w:p>
    <w:p>
      <w:pPr>
        <w:pStyle w:val="yMiscellaneousBody"/>
        <w:tabs>
          <w:tab w:val="right" w:leader="dot" w:pos="6804"/>
        </w:tabs>
        <w:ind w:left="1560" w:hanging="114"/>
      </w:pPr>
      <w:r>
        <w:tab/>
        <w:t xml:space="preserve">over 350 but not over 500 kL </w:t>
      </w:r>
      <w:r>
        <w:tab/>
        <w:t>$1.77</w:t>
      </w:r>
    </w:p>
    <w:p>
      <w:pPr>
        <w:pStyle w:val="yMiscellaneousBody"/>
        <w:tabs>
          <w:tab w:val="right" w:leader="dot" w:pos="6804"/>
        </w:tabs>
        <w:ind w:left="1560" w:hanging="114"/>
      </w:pPr>
      <w:r>
        <w:tab/>
        <w:t xml:space="preserve">over 500 but not over 700 kL </w:t>
      </w:r>
      <w:r>
        <w:tab/>
        <w:t>$2.34</w:t>
      </w:r>
    </w:p>
    <w:p>
      <w:pPr>
        <w:pStyle w:val="yMiscellaneousBody"/>
        <w:tabs>
          <w:tab w:val="right" w:leader="dot" w:pos="6804"/>
        </w:tabs>
        <w:ind w:left="1560" w:hanging="114"/>
      </w:pPr>
      <w:r>
        <w:tab/>
        <w:t xml:space="preserve">over 700 but not over 1 000 kL </w:t>
      </w:r>
      <w:r>
        <w:tab/>
        <w:t>$3.28</w:t>
      </w:r>
    </w:p>
    <w:p>
      <w:pPr>
        <w:pStyle w:val="yMiscellaneousBody"/>
        <w:tabs>
          <w:tab w:val="right" w:leader="dot" w:pos="6804"/>
        </w:tabs>
        <w:ind w:left="1560" w:hanging="114"/>
      </w:pPr>
      <w:r>
        <w:tab/>
        <w:t xml:space="preserve">over 1 000 kL </w:t>
      </w:r>
      <w:r>
        <w:tab/>
        <w:t>$3.36</w:t>
      </w:r>
    </w:p>
    <w:p>
      <w:pPr>
        <w:pStyle w:val="ySubsection"/>
      </w:pPr>
      <w:r>
        <w:tab/>
        <w:t>(2)</w:t>
      </w:r>
      <w:r>
        <w:tab/>
        <w:t>The volumetric ranges in this item have effect by reference to the volume of water supplied in the current consumption year.</w:t>
      </w:r>
    </w:p>
    <w:p>
      <w:pPr>
        <w:pStyle w:val="yHeading5"/>
      </w:pPr>
      <w:bookmarkStart w:id="177" w:name="_Toc106179959"/>
      <w:r>
        <w:t>8.</w:t>
      </w:r>
      <w:r>
        <w:tab/>
        <w:t>Non</w:t>
      </w:r>
      <w:r>
        <w:noBreakHyphen/>
        <w:t>residential lots</w:t>
      </w:r>
      <w:bookmarkEnd w:id="177"/>
    </w:p>
    <w:p>
      <w:pPr>
        <w:pStyle w:val="ySubsection"/>
        <w:tabs>
          <w:tab w:val="right" w:leader="dot" w:pos="6804"/>
        </w:tabs>
      </w:pPr>
      <w:r>
        <w:tab/>
      </w:r>
      <w:r>
        <w:tab/>
        <w:t xml:space="preserve">For each kilolitre of water supplied to a </w:t>
      </w:r>
      <w:r>
        <w:br/>
        <w:t>non</w:t>
      </w:r>
      <w:r>
        <w:noBreakHyphen/>
        <w:t xml:space="preserve">residential lot, the charge is </w:t>
      </w:r>
      <w:r>
        <w:tab/>
        <w:t>$1.82</w:t>
      </w:r>
    </w:p>
    <w:p>
      <w:pPr>
        <w:pStyle w:val="yHeading5"/>
      </w:pPr>
      <w:bookmarkStart w:id="178" w:name="_Toc106179960"/>
      <w:r>
        <w:t>9.</w:t>
      </w:r>
      <w:r>
        <w:tab/>
        <w:t>Water supply service (fire)</w:t>
      </w:r>
      <w:bookmarkEnd w:id="178"/>
    </w:p>
    <w:p>
      <w:pPr>
        <w:pStyle w:val="ySubsection"/>
        <w:tabs>
          <w:tab w:val="right" w:leader="dot" w:pos="6804"/>
        </w:tabs>
      </w:pPr>
      <w:r>
        <w:tab/>
      </w:r>
      <w:r>
        <w:tab/>
        <w:t xml:space="preserve">For each kilolitre of water supplied through a </w:t>
      </w:r>
      <w:r>
        <w:br/>
        <w:t xml:space="preserve">fire service connection, the charge is </w:t>
      </w:r>
      <w:r>
        <w:tab/>
        <w:t>$2.23</w:t>
      </w:r>
    </w:p>
    <w:p>
      <w:pPr>
        <w:pStyle w:val="yFootnotesection"/>
      </w:pPr>
      <w:r>
        <w:tab/>
        <w:t>[Division 2 inserted: SL 2021/80 r. 8.]</w:t>
      </w:r>
    </w:p>
    <w:p>
      <w:pPr>
        <w:pStyle w:val="yScheduleHeading"/>
      </w:pPr>
      <w:bookmarkStart w:id="179" w:name="_Toc106103977"/>
      <w:bookmarkStart w:id="180" w:name="_Toc106104205"/>
      <w:bookmarkStart w:id="181" w:name="_Toc106179733"/>
      <w:bookmarkStart w:id="182" w:name="_Toc106179961"/>
      <w:r>
        <w:rPr>
          <w:rStyle w:val="CharSchNo"/>
        </w:rPr>
        <w:lastRenderedPageBreak/>
        <w:t>Schedule 3</w:t>
      </w:r>
      <w:r>
        <w:t> — </w:t>
      </w:r>
      <w:r>
        <w:rPr>
          <w:rStyle w:val="CharSchText"/>
        </w:rPr>
        <w:t>Water supply charges for the Water Corporation</w:t>
      </w:r>
      <w:bookmarkEnd w:id="179"/>
      <w:bookmarkEnd w:id="180"/>
      <w:bookmarkEnd w:id="181"/>
      <w:bookmarkEnd w:id="182"/>
    </w:p>
    <w:p>
      <w:pPr>
        <w:pStyle w:val="yShoulderClause"/>
      </w:pPr>
      <w:r>
        <w:t>[r. 24, 27 and 31]</w:t>
      </w:r>
    </w:p>
    <w:p>
      <w:pPr>
        <w:pStyle w:val="yFootnoteheading"/>
      </w:pPr>
      <w:r>
        <w:tab/>
        <w:t>[Heading inserted: SL 2021/80 r. 8.]</w:t>
      </w:r>
    </w:p>
    <w:p>
      <w:pPr>
        <w:pStyle w:val="yHeading3"/>
      </w:pPr>
      <w:bookmarkStart w:id="183" w:name="_Toc106103978"/>
      <w:bookmarkStart w:id="184" w:name="_Toc106104206"/>
      <w:bookmarkStart w:id="185" w:name="_Toc106179734"/>
      <w:bookmarkStart w:id="186" w:name="_Toc106179962"/>
      <w:r>
        <w:rPr>
          <w:rStyle w:val="CharSDivNo"/>
        </w:rPr>
        <w:t>Division 1</w:t>
      </w:r>
      <w:r>
        <w:t> — </w:t>
      </w:r>
      <w:r>
        <w:rPr>
          <w:rStyle w:val="CharSDivText"/>
        </w:rPr>
        <w:t>Service charges</w:t>
      </w:r>
      <w:bookmarkEnd w:id="183"/>
      <w:bookmarkEnd w:id="184"/>
      <w:bookmarkEnd w:id="185"/>
      <w:bookmarkEnd w:id="186"/>
    </w:p>
    <w:p>
      <w:pPr>
        <w:pStyle w:val="yFootnoteheading"/>
      </w:pPr>
      <w:r>
        <w:tab/>
        <w:t>[Heading inserted: SL 2021/80 r. 8.]</w:t>
      </w:r>
    </w:p>
    <w:p>
      <w:pPr>
        <w:pStyle w:val="yHeading4"/>
      </w:pPr>
      <w:bookmarkStart w:id="187" w:name="_Toc106103979"/>
      <w:bookmarkStart w:id="188" w:name="_Toc106104207"/>
      <w:bookmarkStart w:id="189" w:name="_Toc106179735"/>
      <w:bookmarkStart w:id="190" w:name="_Toc106179963"/>
      <w:r>
        <w:t>Subdivision 1 — Preliminary</w:t>
      </w:r>
      <w:bookmarkEnd w:id="187"/>
      <w:bookmarkEnd w:id="188"/>
      <w:bookmarkEnd w:id="189"/>
      <w:bookmarkEnd w:id="190"/>
    </w:p>
    <w:p>
      <w:pPr>
        <w:pStyle w:val="yFootnoteheading"/>
      </w:pPr>
      <w:r>
        <w:tab/>
        <w:t>[Heading inserted: SL 2021/80 r. 8.]</w:t>
      </w:r>
    </w:p>
    <w:p>
      <w:pPr>
        <w:pStyle w:val="yHeading5"/>
      </w:pPr>
      <w:bookmarkStart w:id="191" w:name="_Toc106179964"/>
      <w:r>
        <w:t>1.</w:t>
      </w:r>
      <w:r>
        <w:tab/>
        <w:t>Service charges for 2021/22 and subsequent years</w:t>
      </w:r>
      <w:bookmarkEnd w:id="191"/>
    </w:p>
    <w:p>
      <w:pPr>
        <w:pStyle w:val="ySubsection"/>
      </w:pPr>
      <w:r>
        <w:tab/>
      </w:r>
      <w:r>
        <w:tab/>
        <w:t>The charges set out in this Division apply for water supply services provided in the 2021/22 financial year and each subsequent year.</w:t>
      </w:r>
    </w:p>
    <w:p>
      <w:pPr>
        <w:pStyle w:val="yHeading5"/>
      </w:pPr>
      <w:bookmarkStart w:id="192" w:name="_Toc106179965"/>
      <w:r>
        <w:t>2.</w:t>
      </w:r>
      <w:r>
        <w:tab/>
        <w:t>Table of meter</w:t>
      </w:r>
      <w:r>
        <w:noBreakHyphen/>
        <w:t>based charges</w:t>
      </w:r>
      <w:bookmarkEnd w:id="192"/>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r>
              <w:rPr>
                <w:szCs w:val="22"/>
              </w:rPr>
              <w:t>285.82</w:t>
            </w:r>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r>
              <w:rPr>
                <w:szCs w:val="22"/>
              </w:rPr>
              <w:t>446.63</w:t>
            </w:r>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r>
              <w:rPr>
                <w:szCs w:val="22"/>
              </w:rPr>
              <w:t>643.10</w:t>
            </w:r>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r>
              <w:rPr>
                <w:szCs w:val="22"/>
              </w:rPr>
              <w:t>143.37</w:t>
            </w:r>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r>
              <w:rPr>
                <w:szCs w:val="22"/>
              </w:rPr>
              <w:t>786.48</w:t>
            </w:r>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4 573.40</w:t>
            </w:r>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r>
              <w:rPr>
                <w:szCs w:val="22"/>
              </w:rPr>
              <w:t>7 145.93</w:t>
            </w:r>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r>
              <w:rPr>
                <w:szCs w:val="22"/>
              </w:rPr>
              <w:t>16</w:t>
            </w:r>
            <w:r>
              <w:t> 078</w:t>
            </w:r>
            <w:r>
              <w:rPr>
                <w:szCs w:val="22"/>
              </w:rPr>
              <w:t>.34</w:t>
            </w:r>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r>
              <w:rPr>
                <w:szCs w:val="22"/>
              </w:rPr>
              <w:t>28</w:t>
            </w:r>
            <w:r>
              <w:t> 583</w:t>
            </w:r>
            <w:r>
              <w:rPr>
                <w:szCs w:val="22"/>
              </w:rPr>
              <w:t>.71</w:t>
            </w:r>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r>
              <w:rPr>
                <w:szCs w:val="22"/>
              </w:rPr>
              <w:t>44</w:t>
            </w:r>
            <w:r>
              <w:t> 662</w:t>
            </w:r>
            <w:r>
              <w:rPr>
                <w:szCs w:val="22"/>
              </w:rPr>
              <w:t>.05</w:t>
            </w:r>
          </w:p>
        </w:tc>
      </w:tr>
      <w:tr>
        <w:trPr>
          <w:cantSplit/>
          <w:jc w:val="center"/>
        </w:trPr>
        <w:tc>
          <w:tcPr>
            <w:tcW w:w="2292" w:type="dxa"/>
            <w:noWrap/>
          </w:tcPr>
          <w:p>
            <w:pPr>
              <w:pStyle w:val="yTableNAm"/>
              <w:keepNext/>
              <w:jc w:val="center"/>
            </w:pPr>
            <w:r>
              <w:lastRenderedPageBreak/>
              <w:t>300</w:t>
            </w:r>
          </w:p>
        </w:tc>
        <w:tc>
          <w:tcPr>
            <w:tcW w:w="2292" w:type="dxa"/>
            <w:noWrap/>
            <w:vAlign w:val="bottom"/>
          </w:tcPr>
          <w:p>
            <w:pPr>
              <w:pStyle w:val="yTableNAm"/>
              <w:jc w:val="center"/>
            </w:pPr>
            <w:r>
              <w:rPr>
                <w:szCs w:val="22"/>
              </w:rPr>
              <w:t>64</w:t>
            </w:r>
            <w:r>
              <w:t> 313</w:t>
            </w:r>
            <w:r>
              <w:rPr>
                <w:szCs w:val="22"/>
              </w:rPr>
              <w:t>.37</w:t>
            </w:r>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87</w:t>
            </w:r>
            <w:r>
              <w:t> </w:t>
            </w:r>
            <w:r>
              <w:rPr>
                <w:szCs w:val="22"/>
              </w:rPr>
              <w:t>537.68</w:t>
            </w:r>
          </w:p>
        </w:tc>
      </w:tr>
    </w:tbl>
    <w:p>
      <w:pPr>
        <w:pStyle w:val="yHeading4"/>
      </w:pPr>
      <w:bookmarkStart w:id="193" w:name="_Toc106103982"/>
      <w:bookmarkStart w:id="194" w:name="_Toc106104210"/>
      <w:bookmarkStart w:id="195" w:name="_Toc106179738"/>
      <w:bookmarkStart w:id="196" w:name="_Toc106179966"/>
      <w:r>
        <w:t>Subdivision 2 — Service charges that apply for land</w:t>
      </w:r>
      <w:bookmarkEnd w:id="193"/>
      <w:bookmarkEnd w:id="194"/>
      <w:bookmarkEnd w:id="195"/>
      <w:bookmarkEnd w:id="196"/>
    </w:p>
    <w:p>
      <w:pPr>
        <w:pStyle w:val="yFootnoteheading"/>
      </w:pPr>
      <w:r>
        <w:tab/>
        <w:t>[Heading inserted: SL 2021/80 r. 8.]</w:t>
      </w:r>
    </w:p>
    <w:p>
      <w:pPr>
        <w:pStyle w:val="yHeading5"/>
      </w:pPr>
      <w:bookmarkStart w:id="197" w:name="_Toc106179967"/>
      <w:r>
        <w:t>3.</w:t>
      </w:r>
      <w:r>
        <w:tab/>
        <w:t>Residential</w:t>
      </w:r>
      <w:bookmarkEnd w:id="197"/>
    </w:p>
    <w:p>
      <w:pPr>
        <w:pStyle w:val="ySubsection"/>
        <w:tabs>
          <w:tab w:val="right" w:leader="dot" w:pos="6804"/>
        </w:tabs>
      </w:pPr>
      <w:r>
        <w:tab/>
      </w:r>
      <w:r>
        <w:tab/>
        <w:t xml:space="preserve">For a residential property not covered by </w:t>
      </w:r>
      <w:r>
        <w:br/>
        <w:t xml:space="preserve">item 4, 5, 8, 9 or 10, the charge is </w:t>
      </w:r>
      <w:r>
        <w:tab/>
        <w:t>$268.98</w:t>
      </w:r>
    </w:p>
    <w:p>
      <w:pPr>
        <w:pStyle w:val="yHeading5"/>
      </w:pPr>
      <w:bookmarkStart w:id="198" w:name="_Toc106179968"/>
      <w:r>
        <w:t>4.</w:t>
      </w:r>
      <w:r>
        <w:tab/>
        <w:t>Metropolitan concessional</w:t>
      </w:r>
      <w:bookmarkEnd w:id="198"/>
    </w:p>
    <w:p>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199" w:name="_Toc106179969"/>
      <w:r>
        <w:t>5.</w:t>
      </w:r>
      <w:r>
        <w:tab/>
        <w:t>Strata</w:t>
      </w:r>
      <w:r>
        <w:noBreakHyphen/>
        <w:t>titled or long</w:t>
      </w:r>
      <w:r>
        <w:noBreakHyphen/>
        <w:t>term residential caravan bays</w:t>
      </w:r>
      <w:bookmarkEnd w:id="199"/>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$194.55</w:t>
      </w:r>
    </w:p>
    <w:p>
      <w:pPr>
        <w:pStyle w:val="yHeading5"/>
      </w:pPr>
      <w:bookmarkStart w:id="200" w:name="_Toc106179970"/>
      <w:r>
        <w:t>6.</w:t>
      </w:r>
      <w:r>
        <w:tab/>
        <w:t>Storage units or parking bays in strata titles scheme or community titles scheme</w:t>
      </w:r>
      <w:bookmarkEnd w:id="200"/>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$100.60</w:t>
      </w:r>
    </w:p>
    <w:p>
      <w:pPr>
        <w:pStyle w:val="yHeading5"/>
      </w:pPr>
      <w:bookmarkStart w:id="201" w:name="_Toc106179971"/>
      <w:r>
        <w:t>7.</w:t>
      </w:r>
      <w:r>
        <w:tab/>
        <w:t>Non</w:t>
      </w:r>
      <w:r>
        <w:noBreakHyphen/>
        <w:t>residential lots in strata titles scheme or community titles scheme that share a service</w:t>
      </w:r>
      <w:bookmarkEnd w:id="201"/>
      <w:r>
        <w:t xml:space="preserve"> </w:t>
      </w:r>
    </w:p>
    <w:p>
      <w:pPr>
        <w:pStyle w:val="ySubsection"/>
      </w:pPr>
      <w:r>
        <w:tab/>
      </w:r>
      <w:r>
        <w:tab/>
        <w:t>For land that —</w:t>
      </w:r>
    </w:p>
    <w:p>
      <w:pPr>
        <w:pStyle w:val="yIndenta"/>
      </w:pPr>
      <w:r>
        <w:tab/>
        <w:t>(a)</w:t>
      </w:r>
      <w:r>
        <w:tab/>
        <w:t>is contained in a lot in a strata titles scheme or a lot in a community titles scheme; and</w:t>
      </w:r>
    </w:p>
    <w:p>
      <w:pPr>
        <w:pStyle w:val="yIndenta"/>
      </w:pPr>
      <w:r>
        <w:lastRenderedPageBreak/>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$285.82</w:t>
      </w:r>
    </w:p>
    <w:p>
      <w:pPr>
        <w:pStyle w:val="yHeading5"/>
      </w:pPr>
      <w:bookmarkStart w:id="202" w:name="_Toc106179972"/>
      <w:r>
        <w:t>8.</w:t>
      </w:r>
      <w:r>
        <w:tab/>
        <w:t>Community residential</w:t>
      </w:r>
      <w:bookmarkEnd w:id="202"/>
    </w:p>
    <w:p>
      <w:pPr>
        <w:pStyle w:val="ySubsection"/>
        <w:tabs>
          <w:tab w:val="right" w:leader="dot" w:pos="6804"/>
        </w:tabs>
      </w:pPr>
      <w:r>
        <w:tab/>
        <w:t>(1)</w:t>
      </w:r>
      <w:r>
        <w:tab/>
        <w:t xml:space="preserve">For land that is classified as community </w:t>
      </w:r>
      <w:r>
        <w:br/>
        <w:t xml:space="preserve">residential, the charge is, for each </w:t>
      </w:r>
      <w:r>
        <w:br/>
        <w:t xml:space="preserve">residential unit equivalent </w:t>
      </w:r>
      <w:r>
        <w:tab/>
        <w:t>$160.12</w:t>
      </w:r>
    </w:p>
    <w:p>
      <w:pPr>
        <w:pStyle w:val="ySubsection"/>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203" w:name="_Toc106179973"/>
      <w:r>
        <w:t>9.</w:t>
      </w:r>
      <w:r>
        <w:tab/>
        <w:t>Semi</w:t>
      </w:r>
      <w:r>
        <w:noBreakHyphen/>
        <w:t>rural residential</w:t>
      </w:r>
      <w:bookmarkEnd w:id="203"/>
    </w:p>
    <w:p>
      <w:pPr>
        <w:pStyle w:val="ySubsection"/>
        <w:tabs>
          <w:tab w:val="right" w:leader="dot" w:pos="6804"/>
        </w:tabs>
      </w:pPr>
      <w:r>
        <w:tab/>
      </w:r>
      <w:r>
        <w:tab/>
        <w:t>For a semi</w:t>
      </w:r>
      <w:r>
        <w:noBreakHyphen/>
        <w:t xml:space="preserve">rural residential property not </w:t>
      </w:r>
      <w:r>
        <w:br/>
        <w:t xml:space="preserve">covered by item 4, the charge is </w:t>
      </w:r>
      <w:r>
        <w:tab/>
        <w:t>$268.98</w:t>
      </w:r>
    </w:p>
    <w:p>
      <w:pPr>
        <w:pStyle w:val="yHeading5"/>
      </w:pPr>
      <w:bookmarkStart w:id="204" w:name="_Toc106179974"/>
      <w:r>
        <w:t>10.</w:t>
      </w:r>
      <w:r>
        <w:tab/>
        <w:t>Non</w:t>
      </w:r>
      <w:r>
        <w:noBreakHyphen/>
        <w:t>metropolitan concessional</w:t>
      </w:r>
      <w:bookmarkEnd w:id="204"/>
    </w:p>
    <w:p>
      <w:pPr>
        <w:pStyle w:val="ySubsection"/>
      </w:pPr>
      <w:r>
        <w:tab/>
        <w:t>(1)</w:t>
      </w:r>
      <w:r>
        <w:tab/>
        <w:t>For land in the non</w:t>
      </w:r>
      <w:r>
        <w:noBreakHyphen/>
        <w:t>metropolitan area that —</w:t>
      </w:r>
    </w:p>
    <w:p>
      <w:pPr>
        <w:pStyle w:val="yIndenta"/>
      </w:pPr>
      <w:r>
        <w:tab/>
        <w:t>(a)</w:t>
      </w:r>
      <w:r>
        <w:tab/>
        <w:t>is concessional land contained in a residential property; or</w:t>
      </w:r>
    </w:p>
    <w:p>
      <w:pPr>
        <w:pStyle w:val="yIndenta"/>
      </w:pPr>
      <w:r>
        <w:tab/>
        <w:t>(b)</w:t>
      </w:r>
      <w:r>
        <w:tab/>
        <w:t>is classified as charitable purposes, institutional public or local government and not contained in a residential property,</w:t>
      </w:r>
    </w:p>
    <w:p>
      <w:pPr>
        <w:pStyle w:val="ySubsection"/>
      </w:pPr>
      <w:r>
        <w:tab/>
      </w:r>
      <w:r>
        <w:tab/>
        <w:t>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205" w:name="_Toc106179975"/>
      <w:r>
        <w:t>11.</w:t>
      </w:r>
      <w:r>
        <w:tab/>
        <w:t>Non</w:t>
      </w:r>
      <w:r>
        <w:noBreakHyphen/>
        <w:t>residential or commercial residential (except storage units, parking bays and certain lots in strata titles scheme or community titles scheme)</w:t>
      </w:r>
      <w:bookmarkEnd w:id="205"/>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lastRenderedPageBreak/>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206" w:name="_Toc106179976"/>
      <w:r>
        <w:t>12.</w:t>
      </w:r>
      <w:r>
        <w:tab/>
        <w:t>Additional connections</w:t>
      </w:r>
      <w:bookmarkEnd w:id="206"/>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$268.98</w:t>
      </w:r>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207" w:name="_Toc106179977"/>
      <w:r>
        <w:lastRenderedPageBreak/>
        <w:t>13.</w:t>
      </w:r>
      <w:r>
        <w:tab/>
        <w:t>Farmland</w:t>
      </w:r>
      <w:bookmarkEnd w:id="207"/>
    </w:p>
    <w:p>
      <w:pPr>
        <w:pStyle w:val="ySubsection"/>
        <w:tabs>
          <w:tab w:val="right" w:leader="dot" w:pos="6804"/>
        </w:tabs>
      </w:pPr>
      <w:r>
        <w:tab/>
      </w:r>
      <w:r>
        <w:tab/>
        <w:t xml:space="preserve">For land that is classified as farmland, </w:t>
      </w:r>
      <w:r>
        <w:br/>
        <w:t xml:space="preserve">the charge per connection is </w:t>
      </w:r>
      <w:r>
        <w:tab/>
        <w:t>$285.82</w:t>
      </w:r>
    </w:p>
    <w:p>
      <w:pPr>
        <w:pStyle w:val="yHeading5"/>
      </w:pPr>
      <w:bookmarkStart w:id="208" w:name="_Toc106179978"/>
      <w:r>
        <w:t>14.</w:t>
      </w:r>
      <w:r>
        <w:tab/>
        <w:t>Vacant land</w:t>
      </w:r>
      <w:bookmarkEnd w:id="208"/>
    </w:p>
    <w:p>
      <w:pPr>
        <w:pStyle w:val="ySubsection"/>
        <w:tabs>
          <w:tab w:val="right" w:leader="dot" w:pos="6804"/>
        </w:tabs>
      </w:pPr>
      <w:r>
        <w:tab/>
      </w:r>
      <w:r>
        <w:tab/>
        <w:t xml:space="preserve">For land that is classified as vacant land, </w:t>
      </w:r>
      <w:r>
        <w:br/>
        <w:t>the charge is</w:t>
      </w:r>
      <w:r>
        <w:tab/>
        <w:t>$268.98</w:t>
      </w:r>
    </w:p>
    <w:p>
      <w:pPr>
        <w:pStyle w:val="yHeading5"/>
      </w:pPr>
      <w:bookmarkStart w:id="209" w:name="_Toc106179979"/>
      <w:r>
        <w:t>15.</w:t>
      </w:r>
      <w:r>
        <w:tab/>
        <w:t>Garden service connections</w:t>
      </w:r>
      <w:bookmarkEnd w:id="209"/>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$83.78</w:t>
      </w:r>
    </w:p>
    <w:p>
      <w:pPr>
        <w:pStyle w:val="yIndenti0"/>
        <w:tabs>
          <w:tab w:val="right" w:leader="dot" w:pos="6804"/>
        </w:tabs>
      </w:pPr>
      <w:r>
        <w:tab/>
        <w:t>(ii)</w:t>
      </w:r>
      <w:r>
        <w:tab/>
        <w:t xml:space="preserve">for land with an area equal to </w:t>
      </w:r>
      <w:r>
        <w:br/>
        <w:t xml:space="preserve">or greater than 400 m2, </w:t>
      </w:r>
      <w:r>
        <w:br/>
        <w:t xml:space="preserve">the charge is </w:t>
      </w:r>
      <w:r>
        <w:tab/>
        <w:t>$167.57</w:t>
      </w:r>
    </w:p>
    <w:p>
      <w:pPr>
        <w:pStyle w:val="yIndenta"/>
      </w:pPr>
      <w:r>
        <w:tab/>
      </w:r>
      <w:r>
        <w:tab/>
        <w:t>and</w:t>
      </w:r>
    </w:p>
    <w:p>
      <w:pPr>
        <w:pStyle w:val="yIndenta"/>
        <w:tabs>
          <w:tab w:val="right" w:leader="dot" w:pos="6804"/>
        </w:tabs>
      </w:pPr>
      <w:r>
        <w:tab/>
        <w:t>(b)</w:t>
      </w:r>
      <w:r>
        <w:tab/>
        <w:t xml:space="preserve">in the suburb of Mulataga in the </w:t>
      </w:r>
      <w:r>
        <w:br/>
        <w:t xml:space="preserve">town of Karratha, the charge is </w:t>
      </w:r>
      <w:r>
        <w:tab/>
        <w:t>$54.53</w:t>
      </w:r>
    </w:p>
    <w:p>
      <w:pPr>
        <w:pStyle w:val="ySubsection"/>
      </w:pPr>
      <w:r>
        <w:tab/>
        <w:t>(2)</w:t>
      </w:r>
      <w:r>
        <w:tab/>
        <w:t>The charge under sub</w:t>
      </w:r>
      <w:r>
        <w:noBreakHyphen/>
        <w:t>item (1) is in addition to any other charge applicable to the land under this Schedule.</w:t>
      </w:r>
    </w:p>
    <w:p>
      <w:pPr>
        <w:pStyle w:val="yHeading5"/>
      </w:pPr>
      <w:bookmarkStart w:id="210" w:name="_Toc106179980"/>
      <w:r>
        <w:t>16.</w:t>
      </w:r>
      <w:r>
        <w:tab/>
        <w:t>Government trading organisations and non</w:t>
      </w:r>
      <w:r>
        <w:noBreakHyphen/>
        <w:t>commercial government property</w:t>
      </w:r>
      <w:bookmarkEnd w:id="210"/>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lastRenderedPageBreak/>
        <w:tab/>
        <w:t>(4)</w:t>
      </w:r>
      <w:r>
        <w:tab/>
        <w:t>If a connection to which sub</w:t>
      </w:r>
      <w:r>
        <w:noBreakHyphen/>
        <w:t>item (3)(b) applies is not metered, the charge is to be calculated as if the connection were metered through a 20 mm meter.</w:t>
      </w:r>
    </w:p>
    <w:p>
      <w:pPr>
        <w:pStyle w:val="yHeading5"/>
      </w:pPr>
      <w:bookmarkStart w:id="211" w:name="_Toc106179981"/>
      <w:r>
        <w:t>17.</w:t>
      </w:r>
      <w:r>
        <w:tab/>
        <w:t>Government trading organisations and non</w:t>
      </w:r>
      <w:r>
        <w:noBreakHyphen/>
        <w:t>commercial government property: on</w:t>
      </w:r>
      <w:r>
        <w:noBreakHyphen/>
        <w:t>supply to lessees or ships</w:t>
      </w:r>
      <w:bookmarkEnd w:id="211"/>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212" w:name="_Toc106103998"/>
      <w:bookmarkStart w:id="213" w:name="_Toc106104226"/>
      <w:bookmarkStart w:id="214" w:name="_Toc106179754"/>
      <w:bookmarkStart w:id="215" w:name="_Toc106179982"/>
      <w:r>
        <w:t>Subdivision 3 — Other service charges</w:t>
      </w:r>
      <w:bookmarkEnd w:id="212"/>
      <w:bookmarkEnd w:id="213"/>
      <w:bookmarkEnd w:id="214"/>
      <w:bookmarkEnd w:id="215"/>
    </w:p>
    <w:p>
      <w:pPr>
        <w:pStyle w:val="yFootnoteheading"/>
      </w:pPr>
      <w:r>
        <w:tab/>
        <w:t>[Heading inserted: SL 2021/80 r. 8.]</w:t>
      </w:r>
    </w:p>
    <w:p>
      <w:pPr>
        <w:pStyle w:val="yHeading5"/>
      </w:pPr>
      <w:bookmarkStart w:id="216" w:name="_Toc106179983"/>
      <w:r>
        <w:t>18.</w:t>
      </w:r>
      <w:r>
        <w:tab/>
        <w:t>Stock</w:t>
      </w:r>
      <w:bookmarkEnd w:id="216"/>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$285.82</w:t>
      </w:r>
    </w:p>
    <w:p>
      <w:pPr>
        <w:pStyle w:val="yHeading5"/>
      </w:pPr>
      <w:bookmarkStart w:id="217" w:name="_Toc106179984"/>
      <w:r>
        <w:lastRenderedPageBreak/>
        <w:t>19.</w:t>
      </w:r>
      <w:r>
        <w:tab/>
        <w:t>Shipping</w:t>
      </w:r>
      <w:bookmarkEnd w:id="217"/>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218" w:name="_Toc106179985"/>
      <w:r>
        <w:t>20.</w:t>
      </w:r>
      <w:r>
        <w:tab/>
        <w:t>Local government standpipes</w:t>
      </w:r>
      <w:bookmarkEnd w:id="218"/>
    </w:p>
    <w:p>
      <w:pPr>
        <w:pStyle w:val="ySubsection"/>
        <w:tabs>
          <w:tab w:val="right" w:leader="dot" w:pos="6804"/>
        </w:tabs>
      </w:pPr>
      <w:r>
        <w:tab/>
      </w:r>
      <w:r>
        <w:tab/>
        <w:t xml:space="preserve">For each local government standpipe, </w:t>
      </w:r>
      <w:r>
        <w:br/>
        <w:t xml:space="preserve">the charge is </w:t>
      </w:r>
      <w:r>
        <w:tab/>
        <w:t>$285.82</w:t>
      </w:r>
    </w:p>
    <w:p>
      <w:pPr>
        <w:pStyle w:val="yHeading5"/>
      </w:pPr>
      <w:bookmarkStart w:id="219" w:name="_Toc106179986"/>
      <w:r>
        <w:t>21.</w:t>
      </w:r>
      <w:r>
        <w:tab/>
        <w:t>Fire service connections</w:t>
      </w:r>
      <w:bookmarkEnd w:id="219"/>
    </w:p>
    <w:p>
      <w:pPr>
        <w:pStyle w:val="ySubsection"/>
        <w:tabs>
          <w:tab w:val="right" w:leader="dot" w:pos="6804"/>
        </w:tabs>
      </w:pPr>
      <w:r>
        <w:tab/>
      </w:r>
      <w:r>
        <w:tab/>
        <w:t xml:space="preserve">For a fire service connection, the charge is </w:t>
      </w:r>
      <w:r>
        <w:tab/>
        <w:t>$285.82</w:t>
      </w:r>
    </w:p>
    <w:p>
      <w:pPr>
        <w:pStyle w:val="yFootnotesection"/>
      </w:pPr>
      <w:r>
        <w:tab/>
        <w:t>[Division 1 inserted: SL 2021/80 r. 8.]</w:t>
      </w:r>
    </w:p>
    <w:p>
      <w:pPr>
        <w:pStyle w:val="yHeading3"/>
      </w:pPr>
      <w:bookmarkStart w:id="220" w:name="_Toc106104003"/>
      <w:bookmarkStart w:id="221" w:name="_Toc106104231"/>
      <w:bookmarkStart w:id="222" w:name="_Toc106179759"/>
      <w:bookmarkStart w:id="223" w:name="_Toc106179987"/>
      <w:r>
        <w:rPr>
          <w:rStyle w:val="CharSDivNo"/>
        </w:rPr>
        <w:t>Division 2</w:t>
      </w:r>
      <w:r>
        <w:t> — </w:t>
      </w:r>
      <w:r>
        <w:rPr>
          <w:rStyle w:val="CharSDivText"/>
        </w:rPr>
        <w:t>Consumption charges</w:t>
      </w:r>
      <w:bookmarkEnd w:id="220"/>
      <w:bookmarkEnd w:id="221"/>
      <w:bookmarkEnd w:id="222"/>
      <w:bookmarkEnd w:id="223"/>
    </w:p>
    <w:p>
      <w:pPr>
        <w:pStyle w:val="yFootnoteheading"/>
      </w:pPr>
      <w:r>
        <w:tab/>
        <w:t>[Heading inserted: SL 2021/80 r. 8.]</w:t>
      </w:r>
    </w:p>
    <w:p>
      <w:pPr>
        <w:pStyle w:val="yHeading4"/>
      </w:pPr>
      <w:bookmarkStart w:id="224" w:name="_Toc106104004"/>
      <w:bookmarkStart w:id="225" w:name="_Toc106104232"/>
      <w:bookmarkStart w:id="226" w:name="_Toc106179760"/>
      <w:bookmarkStart w:id="227" w:name="_Toc106179988"/>
      <w:r>
        <w:t>Subdivision 1 — Preliminary</w:t>
      </w:r>
      <w:bookmarkEnd w:id="224"/>
      <w:bookmarkEnd w:id="225"/>
      <w:bookmarkEnd w:id="226"/>
      <w:bookmarkEnd w:id="227"/>
    </w:p>
    <w:p>
      <w:pPr>
        <w:pStyle w:val="yFootnoteheading"/>
      </w:pPr>
      <w:r>
        <w:tab/>
        <w:t>[Heading inserted: SL 2021/80 r. 8.]</w:t>
      </w:r>
    </w:p>
    <w:p>
      <w:pPr>
        <w:pStyle w:val="yHeading5"/>
      </w:pPr>
      <w:bookmarkStart w:id="228" w:name="_Toc106179989"/>
      <w:r>
        <w:t>22.</w:t>
      </w:r>
      <w:r>
        <w:tab/>
        <w:t>Consumption charges for 2021/22 and subsequent years</w:t>
      </w:r>
      <w:bookmarkEnd w:id="228"/>
    </w:p>
    <w:p>
      <w:pPr>
        <w:pStyle w:val="ySubsection"/>
      </w:pPr>
      <w:r>
        <w:tab/>
        <w:t>(1)</w:t>
      </w:r>
      <w:r>
        <w:tab/>
        <w:t>The charges set out in this Division apply for water supplied in the 2021/22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229" w:name="_Toc106179990"/>
      <w:r>
        <w:t>23.</w:t>
      </w:r>
      <w:r>
        <w:tab/>
        <w:t>Residential or non</w:t>
      </w:r>
      <w:r>
        <w:noBreakHyphen/>
        <w:t>residential class of town or area</w:t>
      </w:r>
      <w:bookmarkEnd w:id="229"/>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230" w:name="_Toc106179991"/>
      <w:r>
        <w:lastRenderedPageBreak/>
        <w:t>24.</w:t>
      </w:r>
      <w:r>
        <w:tab/>
        <w:t>Table of class</w:t>
      </w:r>
      <w:r>
        <w:noBreakHyphen/>
        <w:t>based charges</w:t>
      </w:r>
      <w:bookmarkEnd w:id="230"/>
    </w:p>
    <w:p>
      <w:pPr>
        <w:pStyle w:val="ySubsection"/>
        <w:keepNext/>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r>
              <w:rPr>
                <w:szCs w:val="22"/>
              </w:rPr>
              <w:t>272.9</w:t>
            </w:r>
          </w:p>
        </w:tc>
      </w:tr>
      <w:tr>
        <w:tc>
          <w:tcPr>
            <w:tcW w:w="1701" w:type="dxa"/>
            <w:noWrap/>
            <w:vAlign w:val="center"/>
          </w:tcPr>
          <w:p>
            <w:pPr>
              <w:pStyle w:val="yTableNAm"/>
              <w:jc w:val="center"/>
            </w:pPr>
            <w:r>
              <w:t>2</w:t>
            </w:r>
          </w:p>
        </w:tc>
        <w:tc>
          <w:tcPr>
            <w:tcW w:w="1701" w:type="dxa"/>
            <w:noWrap/>
            <w:vAlign w:val="bottom"/>
          </w:tcPr>
          <w:p>
            <w:pPr>
              <w:pStyle w:val="yTableNAm"/>
              <w:jc w:val="center"/>
            </w:pPr>
            <w:r>
              <w:rPr>
                <w:szCs w:val="22"/>
              </w:rPr>
              <w:t>297.4</w:t>
            </w:r>
          </w:p>
        </w:tc>
      </w:tr>
      <w:tr>
        <w:tc>
          <w:tcPr>
            <w:tcW w:w="1701" w:type="dxa"/>
            <w:noWrap/>
            <w:vAlign w:val="center"/>
          </w:tcPr>
          <w:p>
            <w:pPr>
              <w:pStyle w:val="yTableNAm"/>
              <w:jc w:val="center"/>
            </w:pPr>
            <w:r>
              <w:t>3</w:t>
            </w:r>
          </w:p>
        </w:tc>
        <w:tc>
          <w:tcPr>
            <w:tcW w:w="1701" w:type="dxa"/>
            <w:noWrap/>
            <w:vAlign w:val="bottom"/>
          </w:tcPr>
          <w:p>
            <w:pPr>
              <w:pStyle w:val="yTableNAm"/>
              <w:jc w:val="center"/>
            </w:pPr>
            <w:r>
              <w:rPr>
                <w:szCs w:val="22"/>
              </w:rPr>
              <w:t>323.4</w:t>
            </w:r>
          </w:p>
        </w:tc>
      </w:tr>
      <w:tr>
        <w:tc>
          <w:tcPr>
            <w:tcW w:w="1701" w:type="dxa"/>
            <w:noWrap/>
            <w:vAlign w:val="center"/>
          </w:tcPr>
          <w:p>
            <w:pPr>
              <w:pStyle w:val="yTableNAm"/>
              <w:jc w:val="center"/>
            </w:pPr>
            <w:r>
              <w:t>4</w:t>
            </w:r>
          </w:p>
        </w:tc>
        <w:tc>
          <w:tcPr>
            <w:tcW w:w="1701" w:type="dxa"/>
            <w:noWrap/>
            <w:vAlign w:val="bottom"/>
          </w:tcPr>
          <w:p>
            <w:pPr>
              <w:pStyle w:val="yTableNAm"/>
              <w:jc w:val="center"/>
            </w:pPr>
            <w:r>
              <w:rPr>
                <w:szCs w:val="22"/>
              </w:rPr>
              <w:t>352.4</w:t>
            </w:r>
          </w:p>
        </w:tc>
      </w:tr>
      <w:tr>
        <w:tc>
          <w:tcPr>
            <w:tcW w:w="1701" w:type="dxa"/>
            <w:noWrap/>
            <w:vAlign w:val="center"/>
          </w:tcPr>
          <w:p>
            <w:pPr>
              <w:pStyle w:val="yTableNAm"/>
              <w:jc w:val="center"/>
            </w:pPr>
            <w:r>
              <w:t>5</w:t>
            </w:r>
          </w:p>
        </w:tc>
        <w:tc>
          <w:tcPr>
            <w:tcW w:w="1701" w:type="dxa"/>
            <w:noWrap/>
            <w:vAlign w:val="bottom"/>
          </w:tcPr>
          <w:p>
            <w:pPr>
              <w:pStyle w:val="yTableNAm"/>
              <w:jc w:val="center"/>
            </w:pPr>
            <w:r>
              <w:rPr>
                <w:szCs w:val="22"/>
              </w:rPr>
              <w:t>383.8</w:t>
            </w:r>
          </w:p>
        </w:tc>
      </w:tr>
      <w:tr>
        <w:tc>
          <w:tcPr>
            <w:tcW w:w="1701" w:type="dxa"/>
            <w:noWrap/>
            <w:vAlign w:val="center"/>
          </w:tcPr>
          <w:p>
            <w:pPr>
              <w:pStyle w:val="yTableNAm"/>
              <w:jc w:val="center"/>
            </w:pPr>
            <w:r>
              <w:t>6</w:t>
            </w:r>
          </w:p>
        </w:tc>
        <w:tc>
          <w:tcPr>
            <w:tcW w:w="1701" w:type="dxa"/>
            <w:noWrap/>
            <w:vAlign w:val="bottom"/>
          </w:tcPr>
          <w:p>
            <w:pPr>
              <w:pStyle w:val="yTableNAm"/>
              <w:jc w:val="center"/>
            </w:pPr>
            <w:r>
              <w:rPr>
                <w:szCs w:val="22"/>
              </w:rPr>
              <w:t>417.8</w:t>
            </w:r>
          </w:p>
        </w:tc>
      </w:tr>
      <w:tr>
        <w:tc>
          <w:tcPr>
            <w:tcW w:w="1701" w:type="dxa"/>
            <w:noWrap/>
            <w:vAlign w:val="center"/>
          </w:tcPr>
          <w:p>
            <w:pPr>
              <w:pStyle w:val="yTableNAm"/>
              <w:jc w:val="center"/>
            </w:pPr>
            <w:r>
              <w:t>7</w:t>
            </w:r>
          </w:p>
        </w:tc>
        <w:tc>
          <w:tcPr>
            <w:tcW w:w="1701" w:type="dxa"/>
            <w:noWrap/>
            <w:vAlign w:val="bottom"/>
          </w:tcPr>
          <w:p>
            <w:pPr>
              <w:pStyle w:val="yTableNAm"/>
              <w:jc w:val="center"/>
            </w:pPr>
            <w:r>
              <w:rPr>
                <w:szCs w:val="22"/>
              </w:rPr>
              <w:t>455.1</w:t>
            </w:r>
          </w:p>
        </w:tc>
      </w:tr>
      <w:tr>
        <w:tc>
          <w:tcPr>
            <w:tcW w:w="1701" w:type="dxa"/>
            <w:noWrap/>
            <w:vAlign w:val="center"/>
          </w:tcPr>
          <w:p>
            <w:pPr>
              <w:pStyle w:val="yTableNAm"/>
              <w:jc w:val="center"/>
            </w:pPr>
            <w:r>
              <w:t>8</w:t>
            </w:r>
          </w:p>
        </w:tc>
        <w:tc>
          <w:tcPr>
            <w:tcW w:w="1701" w:type="dxa"/>
            <w:noWrap/>
            <w:vAlign w:val="bottom"/>
          </w:tcPr>
          <w:p>
            <w:pPr>
              <w:pStyle w:val="yTableNAm"/>
              <w:jc w:val="center"/>
            </w:pPr>
            <w:r>
              <w:rPr>
                <w:szCs w:val="22"/>
              </w:rPr>
              <w:t>495.5</w:t>
            </w:r>
          </w:p>
        </w:tc>
      </w:tr>
      <w:tr>
        <w:tc>
          <w:tcPr>
            <w:tcW w:w="1701" w:type="dxa"/>
            <w:noWrap/>
            <w:vAlign w:val="center"/>
          </w:tcPr>
          <w:p>
            <w:pPr>
              <w:pStyle w:val="yTableNAm"/>
              <w:jc w:val="center"/>
            </w:pPr>
            <w:r>
              <w:t>9</w:t>
            </w:r>
          </w:p>
        </w:tc>
        <w:tc>
          <w:tcPr>
            <w:tcW w:w="1701" w:type="dxa"/>
            <w:noWrap/>
            <w:vAlign w:val="bottom"/>
          </w:tcPr>
          <w:p>
            <w:pPr>
              <w:pStyle w:val="yTableNAm"/>
              <w:jc w:val="center"/>
            </w:pPr>
            <w:r>
              <w:rPr>
                <w:szCs w:val="22"/>
              </w:rPr>
              <w:t>539.6</w:t>
            </w:r>
          </w:p>
        </w:tc>
      </w:tr>
      <w:tr>
        <w:tc>
          <w:tcPr>
            <w:tcW w:w="1701" w:type="dxa"/>
            <w:noWrap/>
            <w:vAlign w:val="center"/>
          </w:tcPr>
          <w:p>
            <w:pPr>
              <w:pStyle w:val="yTableNAm"/>
              <w:jc w:val="center"/>
            </w:pPr>
            <w:r>
              <w:t>10</w:t>
            </w:r>
          </w:p>
        </w:tc>
        <w:tc>
          <w:tcPr>
            <w:tcW w:w="1701" w:type="dxa"/>
            <w:noWrap/>
            <w:vAlign w:val="bottom"/>
          </w:tcPr>
          <w:p>
            <w:pPr>
              <w:pStyle w:val="yTableNAm"/>
              <w:jc w:val="center"/>
            </w:pPr>
            <w:r>
              <w:rPr>
                <w:szCs w:val="22"/>
              </w:rPr>
              <w:t>587.6</w:t>
            </w:r>
          </w:p>
        </w:tc>
      </w:tr>
      <w:tr>
        <w:tc>
          <w:tcPr>
            <w:tcW w:w="1701" w:type="dxa"/>
            <w:noWrap/>
            <w:vAlign w:val="center"/>
          </w:tcPr>
          <w:p>
            <w:pPr>
              <w:pStyle w:val="yTableNAm"/>
              <w:jc w:val="center"/>
            </w:pPr>
            <w:r>
              <w:t>11</w:t>
            </w:r>
          </w:p>
        </w:tc>
        <w:tc>
          <w:tcPr>
            <w:tcW w:w="1701" w:type="dxa"/>
            <w:noWrap/>
            <w:vAlign w:val="bottom"/>
          </w:tcPr>
          <w:p>
            <w:pPr>
              <w:pStyle w:val="yTableNAm"/>
              <w:jc w:val="center"/>
            </w:pPr>
            <w:r>
              <w:rPr>
                <w:szCs w:val="22"/>
              </w:rPr>
              <w:t>639.7</w:t>
            </w:r>
          </w:p>
        </w:tc>
      </w:tr>
      <w:tr>
        <w:tc>
          <w:tcPr>
            <w:tcW w:w="1701" w:type="dxa"/>
            <w:noWrap/>
            <w:vAlign w:val="center"/>
          </w:tcPr>
          <w:p>
            <w:pPr>
              <w:pStyle w:val="yTableNAm"/>
              <w:jc w:val="center"/>
            </w:pPr>
            <w:r>
              <w:t>12</w:t>
            </w:r>
          </w:p>
        </w:tc>
        <w:tc>
          <w:tcPr>
            <w:tcW w:w="1701" w:type="dxa"/>
            <w:noWrap/>
            <w:vAlign w:val="bottom"/>
          </w:tcPr>
          <w:p>
            <w:pPr>
              <w:pStyle w:val="yTableNAm"/>
              <w:jc w:val="center"/>
            </w:pPr>
            <w:r>
              <w:rPr>
                <w:szCs w:val="22"/>
              </w:rPr>
              <w:t>696.7</w:t>
            </w:r>
          </w:p>
        </w:tc>
      </w:tr>
      <w:tr>
        <w:tc>
          <w:tcPr>
            <w:tcW w:w="1701" w:type="dxa"/>
            <w:noWrap/>
            <w:vAlign w:val="center"/>
          </w:tcPr>
          <w:p>
            <w:pPr>
              <w:pStyle w:val="yTableNAm"/>
              <w:jc w:val="center"/>
            </w:pPr>
            <w:r>
              <w:t>13</w:t>
            </w:r>
          </w:p>
        </w:tc>
        <w:tc>
          <w:tcPr>
            <w:tcW w:w="1701" w:type="dxa"/>
            <w:noWrap/>
            <w:vAlign w:val="bottom"/>
          </w:tcPr>
          <w:p>
            <w:pPr>
              <w:pStyle w:val="yTableNAm"/>
              <w:jc w:val="center"/>
            </w:pPr>
            <w:r>
              <w:rPr>
                <w:szCs w:val="22"/>
              </w:rPr>
              <w:t>758.7</w:t>
            </w:r>
          </w:p>
        </w:tc>
      </w:tr>
      <w:tr>
        <w:tc>
          <w:tcPr>
            <w:tcW w:w="1701" w:type="dxa"/>
            <w:noWrap/>
            <w:vAlign w:val="center"/>
          </w:tcPr>
          <w:p>
            <w:pPr>
              <w:pStyle w:val="yTableNAm"/>
              <w:keepNext/>
              <w:jc w:val="center"/>
            </w:pPr>
            <w:r>
              <w:t>14</w:t>
            </w:r>
          </w:p>
        </w:tc>
        <w:tc>
          <w:tcPr>
            <w:tcW w:w="1701" w:type="dxa"/>
            <w:noWrap/>
            <w:vAlign w:val="bottom"/>
          </w:tcPr>
          <w:p>
            <w:pPr>
              <w:pStyle w:val="yTableNAm"/>
              <w:keepNext/>
              <w:jc w:val="center"/>
            </w:pPr>
            <w:r>
              <w:rPr>
                <w:szCs w:val="22"/>
              </w:rPr>
              <w:t>826.3</w:t>
            </w:r>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r>
              <w:rPr>
                <w:szCs w:val="22"/>
              </w:rPr>
              <w:t>899.5</w:t>
            </w:r>
          </w:p>
        </w:tc>
      </w:tr>
    </w:tbl>
    <w:p>
      <w:pPr>
        <w:pStyle w:val="yHeading4"/>
      </w:pPr>
      <w:bookmarkStart w:id="231" w:name="_Toc106104008"/>
      <w:bookmarkStart w:id="232" w:name="_Toc106104236"/>
      <w:bookmarkStart w:id="233" w:name="_Toc106179764"/>
      <w:bookmarkStart w:id="234" w:name="_Toc106179992"/>
      <w:r>
        <w:t>Subdivision 2 — Consumption charges that apply to land</w:t>
      </w:r>
      <w:bookmarkEnd w:id="231"/>
      <w:bookmarkEnd w:id="232"/>
      <w:bookmarkEnd w:id="233"/>
      <w:bookmarkEnd w:id="234"/>
    </w:p>
    <w:p>
      <w:pPr>
        <w:pStyle w:val="yFootnoteheading"/>
      </w:pPr>
      <w:r>
        <w:tab/>
        <w:t>[Heading inserted: SL 2021/80 r. 8.]</w:t>
      </w:r>
    </w:p>
    <w:p>
      <w:pPr>
        <w:pStyle w:val="yHeading5"/>
      </w:pPr>
      <w:bookmarkStart w:id="235" w:name="_Toc106179993"/>
      <w:r>
        <w:t>25.</w:t>
      </w:r>
      <w:r>
        <w:tab/>
        <w:t>Metropolitan residential and semi</w:t>
      </w:r>
      <w:r>
        <w:noBreakHyphen/>
        <w:t>rural residential</w:t>
      </w:r>
      <w:bookmarkEnd w:id="235"/>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keepNext/>
      </w:pPr>
      <w:r>
        <w:lastRenderedPageBreak/>
        <w:tab/>
        <w:t>(b)</w:t>
      </w:r>
      <w:r>
        <w:tab/>
        <w:t>classified as vacant land but held for residential purposes; or</w:t>
      </w:r>
    </w:p>
    <w:p>
      <w:pPr>
        <w:pStyle w:val="yIndenta"/>
        <w:keepNext/>
      </w:pPr>
      <w:r>
        <w:tab/>
        <w:t>(c)</w:t>
      </w:r>
      <w:r>
        <w:tab/>
        <w:t>a semi</w:t>
      </w:r>
      <w:r>
        <w:noBreakHyphen/>
        <w:t>rural residential property,</w:t>
      </w:r>
    </w:p>
    <w:p>
      <w:pPr>
        <w:pStyle w:val="ySubsection"/>
        <w:keepNext/>
      </w:pPr>
      <w:r>
        <w:tab/>
      </w:r>
      <w:r>
        <w:tab/>
        <w:t xml:space="preserve">the charge is — </w:t>
      </w:r>
    </w:p>
    <w:p>
      <w:pPr>
        <w:pStyle w:val="yMiscellaneousBody"/>
        <w:keepNext/>
        <w:tabs>
          <w:tab w:val="right" w:leader="dot" w:pos="6804"/>
        </w:tabs>
        <w:ind w:left="1134" w:hanging="114"/>
      </w:pPr>
      <w:r>
        <w:tab/>
        <w:t xml:space="preserve">up to 150 kL </w:t>
      </w:r>
      <w:r>
        <w:tab/>
        <w:t>185.9 cents</w:t>
      </w:r>
    </w:p>
    <w:p>
      <w:pPr>
        <w:pStyle w:val="yMiscellaneousBody"/>
        <w:tabs>
          <w:tab w:val="right" w:leader="dot" w:pos="6804"/>
        </w:tabs>
        <w:ind w:left="1134" w:hanging="114"/>
      </w:pPr>
      <w:r>
        <w:tab/>
        <w:t xml:space="preserve">over 150 but not over 500 kL </w:t>
      </w:r>
      <w:r>
        <w:tab/>
        <w:t>247.7 cents</w:t>
      </w:r>
    </w:p>
    <w:p>
      <w:pPr>
        <w:pStyle w:val="yMiscellaneousBody"/>
        <w:tabs>
          <w:tab w:val="right" w:leader="dot" w:pos="6804"/>
        </w:tabs>
        <w:ind w:left="1134" w:hanging="114"/>
      </w:pPr>
      <w:r>
        <w:tab/>
        <w:t xml:space="preserve">over 500 kL </w:t>
      </w:r>
      <w:r>
        <w:tab/>
        <w:t>463.3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236" w:name="_Toc106179994"/>
      <w:r>
        <w:t>26.</w:t>
      </w:r>
      <w:r>
        <w:tab/>
        <w:t>Metropolitan non</w:t>
      </w:r>
      <w:r>
        <w:noBreakHyphen/>
        <w:t>residential</w:t>
      </w:r>
      <w:bookmarkEnd w:id="236"/>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1560" w:firstLine="141"/>
      </w:pPr>
      <w:r>
        <w:t xml:space="preserve">up to 150 kL </w:t>
      </w:r>
      <w:r>
        <w:tab/>
        <w:t>185.9 cents</w:t>
      </w:r>
    </w:p>
    <w:p>
      <w:pPr>
        <w:pStyle w:val="yMiscellaneousBody"/>
        <w:tabs>
          <w:tab w:val="right" w:leader="dot" w:pos="6804"/>
        </w:tabs>
        <w:ind w:left="1560" w:firstLine="141"/>
      </w:pPr>
      <w:r>
        <w:t xml:space="preserve">over 150 kL </w:t>
      </w:r>
      <w:r>
        <w:tab/>
        <w:t>264.6 cents</w:t>
      </w:r>
    </w:p>
    <w:p>
      <w:pPr>
        <w:pStyle w:val="yIndenta"/>
        <w:tabs>
          <w:tab w:val="right" w:leader="dot" w:pos="6804"/>
        </w:tabs>
      </w:pPr>
      <w:r>
        <w:tab/>
        <w:t>(b)</w:t>
      </w:r>
      <w:r>
        <w:tab/>
        <w:t xml:space="preserve">if paragraph (a) does not apply </w:t>
      </w:r>
      <w:r>
        <w:tab/>
        <w:t>264.6</w:t>
      </w:r>
      <w:r>
        <w:rPr>
          <w:spacing w:val="-12"/>
        </w:rPr>
        <w:t xml:space="preserve">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237" w:name="_Toc106179995"/>
      <w:r>
        <w:t>27.</w:t>
      </w:r>
      <w:r>
        <w:tab/>
        <w:t>Metropolitan non</w:t>
      </w:r>
      <w:r>
        <w:noBreakHyphen/>
        <w:t>residential concessional</w:t>
      </w:r>
      <w:bookmarkEnd w:id="237"/>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264.6 cents</w:t>
      </w:r>
    </w:p>
    <w:p>
      <w:pPr>
        <w:pStyle w:val="ySubsection"/>
      </w:pPr>
      <w:r>
        <w:tab/>
        <w:t>(2)</w:t>
      </w:r>
      <w:r>
        <w:tab/>
        <w:t>Sub</w:t>
      </w:r>
      <w:r>
        <w:noBreakHyphen/>
        <w:t>item (1) does not apply if the supply of water is covered by item 38.</w:t>
      </w:r>
    </w:p>
    <w:p>
      <w:pPr>
        <w:pStyle w:val="yHeading5"/>
      </w:pPr>
      <w:bookmarkStart w:id="238" w:name="_Toc106179996"/>
      <w:r>
        <w:lastRenderedPageBreak/>
        <w:t>28.</w:t>
      </w:r>
      <w:r>
        <w:tab/>
        <w:t>Community residential</w:t>
      </w:r>
      <w:bookmarkEnd w:id="238"/>
    </w:p>
    <w:p>
      <w:pPr>
        <w:pStyle w:val="ySubsection"/>
        <w:keepNext/>
        <w:keepLines/>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Subsection"/>
        <w:keepNext/>
      </w:pPr>
      <w:r>
        <w:tab/>
        <w:t>(2)</w:t>
      </w:r>
      <w:r>
        <w:tab/>
        <w:t>For each kilolitre of water supplied to land in the metropolitan area that is classified as community residential, the charge is —</w:t>
      </w:r>
    </w:p>
    <w:p>
      <w:pPr>
        <w:pStyle w:val="yMiscellaneousBody"/>
        <w:tabs>
          <w:tab w:val="right" w:leader="dot" w:pos="6804"/>
        </w:tabs>
        <w:ind w:left="1560" w:hanging="114"/>
      </w:pPr>
      <w:r>
        <w:tab/>
        <w:t xml:space="preserve">up to 150 kL </w:t>
      </w:r>
      <w:r>
        <w:tab/>
        <w:t>93.0 cents</w:t>
      </w:r>
    </w:p>
    <w:p>
      <w:pPr>
        <w:pStyle w:val="yMiscellaneousBody"/>
        <w:tabs>
          <w:tab w:val="right" w:leader="dot" w:pos="6804"/>
        </w:tabs>
        <w:ind w:left="1560" w:hanging="114"/>
      </w:pPr>
      <w:r>
        <w:tab/>
        <w:t xml:space="preserve">over 150 kL but not over 500 kL </w:t>
      </w:r>
      <w:r>
        <w:tab/>
        <w:t>247.7 cents</w:t>
      </w:r>
    </w:p>
    <w:p>
      <w:pPr>
        <w:pStyle w:val="yMiscellaneousBody"/>
        <w:tabs>
          <w:tab w:val="right" w:leader="dot" w:pos="6804"/>
        </w:tabs>
        <w:ind w:left="1560" w:hanging="114"/>
      </w:pPr>
      <w:r>
        <w:tab/>
        <w:t xml:space="preserve">over 500 kL </w:t>
      </w:r>
      <w:r>
        <w:tab/>
        <w:t>463.3 cents</w:t>
      </w:r>
    </w:p>
    <w:p>
      <w:pPr>
        <w:pStyle w:val="ySubsection"/>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noWrap/>
          </w:tcPr>
          <w:p>
            <w:pPr>
              <w:pStyle w:val="yTableNAm"/>
              <w:keepNext/>
              <w:jc w:val="center"/>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150</w:t>
            </w:r>
          </w:p>
        </w:tc>
        <w:tc>
          <w:tcPr>
            <w:tcW w:w="903" w:type="dxa"/>
            <w:noWrap/>
            <w:vAlign w:val="bottom"/>
          </w:tcPr>
          <w:p>
            <w:pPr>
              <w:pStyle w:val="yTableNAm"/>
              <w:jc w:val="center"/>
            </w:pPr>
            <w:r>
              <w:t>71.0</w:t>
            </w:r>
          </w:p>
        </w:tc>
        <w:tc>
          <w:tcPr>
            <w:tcW w:w="992" w:type="dxa"/>
            <w:noWrap/>
            <w:vAlign w:val="bottom"/>
          </w:tcPr>
          <w:p>
            <w:pPr>
              <w:pStyle w:val="yTableNAm"/>
              <w:jc w:val="center"/>
            </w:pPr>
            <w:r>
              <w:t>93.0</w:t>
            </w:r>
          </w:p>
        </w:tc>
        <w:tc>
          <w:tcPr>
            <w:tcW w:w="993" w:type="dxa"/>
            <w:noWrap/>
            <w:vAlign w:val="bottom"/>
          </w:tcPr>
          <w:p>
            <w:pPr>
              <w:pStyle w:val="yTableNAm"/>
              <w:jc w:val="center"/>
            </w:pPr>
            <w:r>
              <w:t>93.0</w:t>
            </w:r>
          </w:p>
        </w:tc>
        <w:tc>
          <w:tcPr>
            <w:tcW w:w="992" w:type="dxa"/>
            <w:noWrap/>
            <w:vAlign w:val="bottom"/>
          </w:tcPr>
          <w:p>
            <w:pPr>
              <w:pStyle w:val="yTableNAm"/>
              <w:jc w:val="center"/>
            </w:pPr>
            <w:r>
              <w:t>93.0</w:t>
            </w:r>
          </w:p>
        </w:tc>
        <w:tc>
          <w:tcPr>
            <w:tcW w:w="851" w:type="dxa"/>
            <w:noWrap/>
            <w:vAlign w:val="bottom"/>
          </w:tcPr>
          <w:p>
            <w:pPr>
              <w:pStyle w:val="yTableNAm"/>
              <w:jc w:val="center"/>
            </w:pPr>
            <w:r>
              <w:t>93.0</w:t>
            </w:r>
          </w:p>
        </w:tc>
      </w:tr>
      <w:tr>
        <w:trPr>
          <w:cantSplit/>
        </w:trPr>
        <w:tc>
          <w:tcPr>
            <w:tcW w:w="1417" w:type="dxa"/>
            <w:noWrap/>
          </w:tcPr>
          <w:p>
            <w:pPr>
              <w:pStyle w:val="yTableNAm"/>
            </w:pPr>
            <w:r>
              <w:t>Over 150 but not over 300</w:t>
            </w:r>
          </w:p>
        </w:tc>
        <w:tc>
          <w:tcPr>
            <w:tcW w:w="903" w:type="dxa"/>
            <w:noWrap/>
            <w:vAlign w:val="bottom"/>
          </w:tcPr>
          <w:p>
            <w:pPr>
              <w:pStyle w:val="yTableNAm"/>
              <w:jc w:val="center"/>
            </w:pPr>
            <w:r>
              <w:t>94.5</w:t>
            </w:r>
          </w:p>
        </w:tc>
        <w:tc>
          <w:tcPr>
            <w:tcW w:w="992" w:type="dxa"/>
            <w:noWrap/>
            <w:vAlign w:val="bottom"/>
          </w:tcPr>
          <w:p>
            <w:pPr>
              <w:pStyle w:val="yTableNAm"/>
              <w:jc w:val="center"/>
            </w:pPr>
            <w:r>
              <w:t>123.9</w:t>
            </w:r>
          </w:p>
        </w:tc>
        <w:tc>
          <w:tcPr>
            <w:tcW w:w="993" w:type="dxa"/>
            <w:noWrap/>
            <w:vAlign w:val="bottom"/>
          </w:tcPr>
          <w:p>
            <w:pPr>
              <w:pStyle w:val="yTableNAm"/>
              <w:jc w:val="center"/>
            </w:pPr>
            <w:r>
              <w:t>123.9</w:t>
            </w:r>
          </w:p>
        </w:tc>
        <w:tc>
          <w:tcPr>
            <w:tcW w:w="992" w:type="dxa"/>
            <w:noWrap/>
            <w:vAlign w:val="bottom"/>
          </w:tcPr>
          <w:p>
            <w:pPr>
              <w:pStyle w:val="yTableNAm"/>
              <w:jc w:val="center"/>
            </w:pPr>
            <w:r>
              <w:t>123.9</w:t>
            </w:r>
          </w:p>
        </w:tc>
        <w:tc>
          <w:tcPr>
            <w:tcW w:w="851" w:type="dxa"/>
            <w:noWrap/>
            <w:vAlign w:val="bottom"/>
          </w:tcPr>
          <w:p>
            <w:pPr>
              <w:pStyle w:val="yTableNAm"/>
              <w:jc w:val="center"/>
            </w:pPr>
            <w:r>
              <w:t>123.9</w:t>
            </w:r>
          </w:p>
        </w:tc>
      </w:tr>
      <w:tr>
        <w:trPr>
          <w:cantSplit/>
        </w:trPr>
        <w:tc>
          <w:tcPr>
            <w:tcW w:w="1417" w:type="dxa"/>
            <w:noWrap/>
          </w:tcPr>
          <w:p>
            <w:pPr>
              <w:pStyle w:val="yTableNAm"/>
            </w:pPr>
            <w:r>
              <w:t>Over 300 but not over 400</w:t>
            </w:r>
          </w:p>
        </w:tc>
        <w:tc>
          <w:tcPr>
            <w:tcW w:w="903" w:type="dxa"/>
            <w:noWrap/>
            <w:vAlign w:val="bottom"/>
          </w:tcPr>
          <w:p>
            <w:pPr>
              <w:pStyle w:val="yTableNAm"/>
              <w:jc w:val="center"/>
            </w:pPr>
            <w:r>
              <w:t>108.4</w:t>
            </w:r>
          </w:p>
        </w:tc>
        <w:tc>
          <w:tcPr>
            <w:tcW w:w="992" w:type="dxa"/>
            <w:noWrap/>
            <w:vAlign w:val="bottom"/>
          </w:tcPr>
          <w:p>
            <w:pPr>
              <w:pStyle w:val="yTableNAm"/>
              <w:jc w:val="center"/>
            </w:pPr>
            <w:r>
              <w:t>149.2</w:t>
            </w:r>
          </w:p>
        </w:tc>
        <w:tc>
          <w:tcPr>
            <w:tcW w:w="993" w:type="dxa"/>
            <w:noWrap/>
            <w:vAlign w:val="bottom"/>
          </w:tcPr>
          <w:p>
            <w:pPr>
              <w:pStyle w:val="yTableNAm"/>
              <w:jc w:val="center"/>
            </w:pPr>
            <w:r>
              <w:t>198.7</w:t>
            </w:r>
          </w:p>
        </w:tc>
        <w:tc>
          <w:tcPr>
            <w:tcW w:w="992" w:type="dxa"/>
            <w:noWrap/>
            <w:vAlign w:val="bottom"/>
          </w:tcPr>
          <w:p>
            <w:pPr>
              <w:pStyle w:val="yTableNAm"/>
              <w:jc w:val="center"/>
            </w:pPr>
            <w:r>
              <w:t>233.6</w:t>
            </w:r>
          </w:p>
        </w:tc>
        <w:tc>
          <w:tcPr>
            <w:tcW w:w="851" w:type="dxa"/>
            <w:noWrap/>
            <w:vAlign w:val="bottom"/>
          </w:tcPr>
          <w:p>
            <w:pPr>
              <w:pStyle w:val="yTableNAm"/>
              <w:jc w:val="center"/>
            </w:pPr>
            <w:r>
              <w:t>274.9</w:t>
            </w:r>
          </w:p>
        </w:tc>
      </w:tr>
      <w:tr>
        <w:trPr>
          <w:cantSplit/>
        </w:trPr>
        <w:tc>
          <w:tcPr>
            <w:tcW w:w="1417" w:type="dxa"/>
            <w:noWrap/>
          </w:tcPr>
          <w:p>
            <w:pPr>
              <w:pStyle w:val="yTableNAm"/>
            </w:pPr>
            <w:r>
              <w:t>Over 400 but not over 550</w:t>
            </w:r>
          </w:p>
        </w:tc>
        <w:tc>
          <w:tcPr>
            <w:tcW w:w="903" w:type="dxa"/>
            <w:noWrap/>
            <w:vAlign w:val="bottom"/>
          </w:tcPr>
          <w:p>
            <w:pPr>
              <w:pStyle w:val="yTableNAm"/>
              <w:jc w:val="center"/>
            </w:pPr>
            <w:r>
              <w:t>216.8</w:t>
            </w:r>
          </w:p>
        </w:tc>
        <w:tc>
          <w:tcPr>
            <w:tcW w:w="992" w:type="dxa"/>
            <w:noWrap/>
            <w:vAlign w:val="bottom"/>
          </w:tcPr>
          <w:p>
            <w:pPr>
              <w:pStyle w:val="yTableNAm"/>
              <w:jc w:val="center"/>
            </w:pPr>
            <w:r>
              <w:t>298.3</w:t>
            </w:r>
          </w:p>
        </w:tc>
        <w:tc>
          <w:tcPr>
            <w:tcW w:w="993" w:type="dxa"/>
            <w:noWrap/>
            <w:vAlign w:val="bottom"/>
          </w:tcPr>
          <w:p>
            <w:pPr>
              <w:pStyle w:val="yTableNAm"/>
              <w:jc w:val="center"/>
            </w:pPr>
            <w:r>
              <w:t>397.4</w:t>
            </w:r>
          </w:p>
        </w:tc>
        <w:tc>
          <w:tcPr>
            <w:tcW w:w="992" w:type="dxa"/>
            <w:noWrap/>
            <w:vAlign w:val="bottom"/>
          </w:tcPr>
          <w:p>
            <w:pPr>
              <w:pStyle w:val="yTableNAm"/>
              <w:jc w:val="center"/>
            </w:pPr>
            <w:r>
              <w:t>467.2</w:t>
            </w:r>
          </w:p>
        </w:tc>
        <w:tc>
          <w:tcPr>
            <w:tcW w:w="851" w:type="dxa"/>
            <w:noWrap/>
            <w:vAlign w:val="bottom"/>
          </w:tcPr>
          <w:p>
            <w:pPr>
              <w:pStyle w:val="yTableNAm"/>
              <w:jc w:val="center"/>
            </w:pPr>
            <w:r>
              <w:t>549.7</w:t>
            </w:r>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r>
              <w:t>253.2</w:t>
            </w:r>
          </w:p>
        </w:tc>
        <w:tc>
          <w:tcPr>
            <w:tcW w:w="992" w:type="dxa"/>
            <w:tcBorders>
              <w:bottom w:val="single" w:sz="4" w:space="0" w:color="auto"/>
            </w:tcBorders>
            <w:noWrap/>
            <w:vAlign w:val="bottom"/>
          </w:tcPr>
          <w:p>
            <w:pPr>
              <w:pStyle w:val="yTableNAm"/>
              <w:jc w:val="center"/>
            </w:pPr>
            <w:r>
              <w:t>380.5</w:t>
            </w:r>
          </w:p>
        </w:tc>
        <w:tc>
          <w:tcPr>
            <w:tcW w:w="993" w:type="dxa"/>
            <w:tcBorders>
              <w:bottom w:val="single" w:sz="4" w:space="0" w:color="auto"/>
            </w:tcBorders>
            <w:noWrap/>
            <w:vAlign w:val="bottom"/>
          </w:tcPr>
          <w:p>
            <w:pPr>
              <w:pStyle w:val="yTableNAm"/>
              <w:jc w:val="center"/>
            </w:pPr>
            <w:r>
              <w:t>506.6</w:t>
            </w:r>
          </w:p>
        </w:tc>
        <w:tc>
          <w:tcPr>
            <w:tcW w:w="992" w:type="dxa"/>
            <w:tcBorders>
              <w:bottom w:val="single" w:sz="4" w:space="0" w:color="auto"/>
            </w:tcBorders>
            <w:noWrap/>
            <w:vAlign w:val="bottom"/>
          </w:tcPr>
          <w:p>
            <w:pPr>
              <w:pStyle w:val="yTableNAm"/>
              <w:jc w:val="center"/>
            </w:pPr>
            <w:r>
              <w:t>700.8</w:t>
            </w:r>
          </w:p>
        </w:tc>
        <w:tc>
          <w:tcPr>
            <w:tcW w:w="851" w:type="dxa"/>
            <w:tcBorders>
              <w:bottom w:val="single" w:sz="4" w:space="0" w:color="auto"/>
            </w:tcBorders>
            <w:noWrap/>
            <w:vAlign w:val="bottom"/>
          </w:tcPr>
          <w:p>
            <w:pPr>
              <w:pStyle w:val="yTableNAm"/>
              <w:jc w:val="center"/>
            </w:pPr>
            <w:r>
              <w:t>945.2</w:t>
            </w:r>
          </w:p>
        </w:tc>
      </w:tr>
    </w:tbl>
    <w:p>
      <w:pPr>
        <w:pStyle w:val="ySubsection"/>
      </w:pPr>
      <w:r>
        <w:tab/>
        <w:t>(4)</w:t>
      </w:r>
      <w:r>
        <w:tab/>
        <w:t>Sub</w:t>
      </w:r>
      <w:r>
        <w:noBreakHyphen/>
        <w:t>item (3) applies unless the land is located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keepNext/>
      </w:pPr>
      <w:r>
        <w:lastRenderedPageBreak/>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90" w:type="dxa"/>
            <w:tcBorders>
              <w:top w:val="single" w:sz="4" w:space="0" w:color="auto"/>
              <w:bottom w:val="single" w:sz="4" w:space="0" w:color="auto"/>
            </w:tcBorders>
            <w:noWrap/>
          </w:tcPr>
          <w:p>
            <w:pPr>
              <w:pStyle w:val="yTableNAm"/>
              <w:jc w:val="center"/>
              <w:rPr>
                <w:b/>
              </w:rPr>
            </w:pPr>
            <w:r>
              <w:rPr>
                <w:b/>
              </w:rPr>
              <w:t>Class 1 (cents)</w:t>
            </w:r>
          </w:p>
        </w:tc>
        <w:tc>
          <w:tcPr>
            <w:tcW w:w="977" w:type="dxa"/>
            <w:tcBorders>
              <w:top w:val="single" w:sz="4" w:space="0" w:color="auto"/>
              <w:bottom w:val="single" w:sz="4" w:space="0" w:color="auto"/>
            </w:tcBorders>
            <w:noWrap/>
          </w:tcPr>
          <w:p>
            <w:pPr>
              <w:pStyle w:val="yTableNAm"/>
              <w:jc w:val="center"/>
              <w:rPr>
                <w:b/>
              </w:rPr>
            </w:pPr>
            <w:r>
              <w:rPr>
                <w:b/>
              </w:rPr>
              <w:t>Class 2 (cents)</w:t>
            </w:r>
          </w:p>
        </w:tc>
        <w:tc>
          <w:tcPr>
            <w:tcW w:w="978" w:type="dxa"/>
            <w:tcBorders>
              <w:top w:val="single" w:sz="4" w:space="0" w:color="auto"/>
              <w:bottom w:val="single" w:sz="4" w:space="0" w:color="auto"/>
            </w:tcBorders>
            <w:noWrap/>
          </w:tcPr>
          <w:p>
            <w:pPr>
              <w:pStyle w:val="yTableNAm"/>
              <w:jc w:val="center"/>
              <w:rPr>
                <w:b/>
              </w:rPr>
            </w:pPr>
            <w:r>
              <w:rPr>
                <w:b/>
              </w:rPr>
              <w:t>Class 3 (cents)</w:t>
            </w:r>
          </w:p>
        </w:tc>
        <w:tc>
          <w:tcPr>
            <w:tcW w:w="978" w:type="dxa"/>
            <w:tcBorders>
              <w:top w:val="single" w:sz="4" w:space="0" w:color="auto"/>
              <w:bottom w:val="single" w:sz="4" w:space="0" w:color="auto"/>
            </w:tcBorders>
            <w:noWrap/>
          </w:tcPr>
          <w:p>
            <w:pPr>
              <w:pStyle w:val="yTableNAm"/>
              <w:jc w:val="center"/>
              <w:rPr>
                <w:b/>
              </w:rPr>
            </w:pPr>
            <w:r>
              <w:rPr>
                <w:b/>
              </w:rPr>
              <w:t>Class 4 (cents)</w:t>
            </w:r>
          </w:p>
        </w:tc>
        <w:tc>
          <w:tcPr>
            <w:tcW w:w="980"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90" w:type="dxa"/>
            <w:noWrap/>
            <w:vAlign w:val="bottom"/>
          </w:tcPr>
          <w:p>
            <w:pPr>
              <w:pStyle w:val="yTableNAm"/>
              <w:jc w:val="center"/>
            </w:pPr>
            <w:r>
              <w:t>71.0</w:t>
            </w:r>
          </w:p>
        </w:tc>
        <w:tc>
          <w:tcPr>
            <w:tcW w:w="977" w:type="dxa"/>
            <w:noWrap/>
            <w:vAlign w:val="bottom"/>
          </w:tcPr>
          <w:p>
            <w:pPr>
              <w:pStyle w:val="yTableNAm"/>
              <w:jc w:val="center"/>
            </w:pPr>
            <w:r>
              <w:t>93.0</w:t>
            </w:r>
          </w:p>
        </w:tc>
        <w:tc>
          <w:tcPr>
            <w:tcW w:w="978" w:type="dxa"/>
            <w:noWrap/>
            <w:vAlign w:val="bottom"/>
          </w:tcPr>
          <w:p>
            <w:pPr>
              <w:pStyle w:val="yTableNAm"/>
              <w:jc w:val="center"/>
            </w:pPr>
            <w:r>
              <w:t>93.0</w:t>
            </w:r>
          </w:p>
        </w:tc>
        <w:tc>
          <w:tcPr>
            <w:tcW w:w="978" w:type="dxa"/>
            <w:noWrap/>
            <w:vAlign w:val="bottom"/>
          </w:tcPr>
          <w:p>
            <w:pPr>
              <w:pStyle w:val="yTableNAm"/>
              <w:jc w:val="center"/>
            </w:pPr>
            <w:r>
              <w:t>93.0</w:t>
            </w:r>
          </w:p>
        </w:tc>
        <w:tc>
          <w:tcPr>
            <w:tcW w:w="980" w:type="dxa"/>
            <w:noWrap/>
            <w:vAlign w:val="bottom"/>
          </w:tcPr>
          <w:p>
            <w:pPr>
              <w:pStyle w:val="yTableNAm"/>
              <w:jc w:val="center"/>
            </w:pPr>
            <w:r>
              <w:t>93.0</w:t>
            </w:r>
          </w:p>
        </w:tc>
      </w:tr>
      <w:tr>
        <w:trPr>
          <w:cantSplit/>
        </w:trPr>
        <w:tc>
          <w:tcPr>
            <w:tcW w:w="1405" w:type="dxa"/>
            <w:noWrap/>
          </w:tcPr>
          <w:p>
            <w:pPr>
              <w:pStyle w:val="yTableNAm"/>
            </w:pPr>
            <w:r>
              <w:t>Over 350 but not over 500</w:t>
            </w:r>
          </w:p>
        </w:tc>
        <w:tc>
          <w:tcPr>
            <w:tcW w:w="890" w:type="dxa"/>
            <w:noWrap/>
            <w:vAlign w:val="bottom"/>
          </w:tcPr>
          <w:p>
            <w:pPr>
              <w:pStyle w:val="yTableNAm"/>
              <w:jc w:val="center"/>
            </w:pPr>
            <w:r>
              <w:t>94.5</w:t>
            </w:r>
          </w:p>
        </w:tc>
        <w:tc>
          <w:tcPr>
            <w:tcW w:w="977" w:type="dxa"/>
            <w:noWrap/>
            <w:vAlign w:val="bottom"/>
          </w:tcPr>
          <w:p>
            <w:pPr>
              <w:pStyle w:val="yTableNAm"/>
              <w:jc w:val="center"/>
            </w:pPr>
            <w:r>
              <w:t>123.9</w:t>
            </w:r>
          </w:p>
        </w:tc>
        <w:tc>
          <w:tcPr>
            <w:tcW w:w="978" w:type="dxa"/>
            <w:noWrap/>
            <w:vAlign w:val="bottom"/>
          </w:tcPr>
          <w:p>
            <w:pPr>
              <w:pStyle w:val="yTableNAm"/>
              <w:jc w:val="center"/>
            </w:pPr>
            <w:r>
              <w:t>123.9</w:t>
            </w:r>
          </w:p>
        </w:tc>
        <w:tc>
          <w:tcPr>
            <w:tcW w:w="978" w:type="dxa"/>
            <w:noWrap/>
            <w:vAlign w:val="bottom"/>
          </w:tcPr>
          <w:p>
            <w:pPr>
              <w:pStyle w:val="yTableNAm"/>
              <w:jc w:val="center"/>
            </w:pPr>
            <w:r>
              <w:t>123.9</w:t>
            </w:r>
          </w:p>
        </w:tc>
        <w:tc>
          <w:tcPr>
            <w:tcW w:w="980" w:type="dxa"/>
            <w:noWrap/>
            <w:vAlign w:val="bottom"/>
          </w:tcPr>
          <w:p>
            <w:pPr>
              <w:pStyle w:val="yTableNAm"/>
              <w:jc w:val="center"/>
            </w:pPr>
            <w:r>
              <w:t>123.9</w:t>
            </w:r>
          </w:p>
        </w:tc>
      </w:tr>
      <w:tr>
        <w:trPr>
          <w:cantSplit/>
        </w:trPr>
        <w:tc>
          <w:tcPr>
            <w:tcW w:w="1405" w:type="dxa"/>
            <w:noWrap/>
          </w:tcPr>
          <w:p>
            <w:pPr>
              <w:pStyle w:val="yTableNAm"/>
            </w:pPr>
            <w:r>
              <w:t>Over 500 but not over 600</w:t>
            </w:r>
          </w:p>
        </w:tc>
        <w:tc>
          <w:tcPr>
            <w:tcW w:w="890" w:type="dxa"/>
            <w:noWrap/>
            <w:vAlign w:val="bottom"/>
          </w:tcPr>
          <w:p>
            <w:pPr>
              <w:pStyle w:val="yTableNAm"/>
              <w:jc w:val="center"/>
            </w:pPr>
            <w:r>
              <w:t>108.4</w:t>
            </w:r>
          </w:p>
        </w:tc>
        <w:tc>
          <w:tcPr>
            <w:tcW w:w="977" w:type="dxa"/>
            <w:noWrap/>
            <w:vAlign w:val="bottom"/>
          </w:tcPr>
          <w:p>
            <w:pPr>
              <w:pStyle w:val="yTableNAm"/>
              <w:jc w:val="center"/>
            </w:pPr>
            <w:r>
              <w:t>149.2</w:t>
            </w:r>
          </w:p>
        </w:tc>
        <w:tc>
          <w:tcPr>
            <w:tcW w:w="978" w:type="dxa"/>
            <w:noWrap/>
            <w:vAlign w:val="bottom"/>
          </w:tcPr>
          <w:p>
            <w:pPr>
              <w:pStyle w:val="yTableNAm"/>
              <w:jc w:val="center"/>
            </w:pPr>
            <w:r>
              <w:t>198.7</w:t>
            </w:r>
          </w:p>
        </w:tc>
        <w:tc>
          <w:tcPr>
            <w:tcW w:w="978" w:type="dxa"/>
            <w:noWrap/>
            <w:vAlign w:val="bottom"/>
          </w:tcPr>
          <w:p>
            <w:pPr>
              <w:pStyle w:val="yTableNAm"/>
              <w:jc w:val="center"/>
            </w:pPr>
            <w:r>
              <w:t>233.6</w:t>
            </w:r>
          </w:p>
        </w:tc>
        <w:tc>
          <w:tcPr>
            <w:tcW w:w="980" w:type="dxa"/>
            <w:noWrap/>
            <w:vAlign w:val="bottom"/>
          </w:tcPr>
          <w:p>
            <w:pPr>
              <w:pStyle w:val="yTableNAm"/>
              <w:jc w:val="center"/>
            </w:pPr>
            <w:r>
              <w:t>274.9</w:t>
            </w:r>
          </w:p>
        </w:tc>
      </w:tr>
      <w:tr>
        <w:trPr>
          <w:cantSplit/>
        </w:trPr>
        <w:tc>
          <w:tcPr>
            <w:tcW w:w="1405" w:type="dxa"/>
            <w:noWrap/>
          </w:tcPr>
          <w:p>
            <w:pPr>
              <w:pStyle w:val="yTableNAm"/>
            </w:pPr>
            <w:r>
              <w:t>Over 600 but not over 750</w:t>
            </w:r>
          </w:p>
        </w:tc>
        <w:tc>
          <w:tcPr>
            <w:tcW w:w="890" w:type="dxa"/>
            <w:noWrap/>
            <w:vAlign w:val="bottom"/>
          </w:tcPr>
          <w:p>
            <w:pPr>
              <w:pStyle w:val="yTableNAm"/>
              <w:jc w:val="center"/>
            </w:pPr>
            <w:r>
              <w:t>216.8</w:t>
            </w:r>
          </w:p>
        </w:tc>
        <w:tc>
          <w:tcPr>
            <w:tcW w:w="977"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90" w:type="dxa"/>
            <w:tcBorders>
              <w:bottom w:val="single" w:sz="4" w:space="0" w:color="auto"/>
            </w:tcBorders>
            <w:noWrap/>
            <w:vAlign w:val="bottom"/>
          </w:tcPr>
          <w:p>
            <w:pPr>
              <w:pStyle w:val="yTableNAm"/>
              <w:jc w:val="center"/>
            </w:pPr>
            <w:r>
              <w:t>253.2</w:t>
            </w:r>
          </w:p>
        </w:tc>
        <w:tc>
          <w:tcPr>
            <w:tcW w:w="977"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Heading5"/>
      </w:pPr>
      <w:bookmarkStart w:id="239" w:name="_Toc106179997"/>
      <w:r>
        <w:t>29.</w:t>
      </w:r>
      <w:r>
        <w:tab/>
        <w:t>Non</w:t>
      </w:r>
      <w:r>
        <w:noBreakHyphen/>
        <w:t>metropolitan residential</w:t>
      </w:r>
      <w:bookmarkEnd w:id="239"/>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889"/>
        <w:gridCol w:w="978"/>
        <w:gridCol w:w="978"/>
        <w:gridCol w:w="978"/>
        <w:gridCol w:w="980"/>
      </w:tblGrid>
      <w:tr>
        <w:trPr>
          <w:cantSplit/>
          <w:tblHeader/>
        </w:trPr>
        <w:tc>
          <w:tcPr>
            <w:tcW w:w="1405" w:type="dxa"/>
            <w:tcBorders>
              <w:top w:val="single" w:sz="4" w:space="0" w:color="auto"/>
              <w:bottom w:val="single" w:sz="4" w:space="0" w:color="auto"/>
            </w:tcBorders>
            <w:noWrap/>
          </w:tcPr>
          <w:p>
            <w:pPr>
              <w:pStyle w:val="yTableNAm"/>
              <w:keepNext/>
              <w:jc w:val="center"/>
              <w:rPr>
                <w:b/>
              </w:rPr>
            </w:pPr>
            <w:r>
              <w:rPr>
                <w:b/>
              </w:rPr>
              <w:br w:type="page"/>
              <w:t>Consumption (kL)</w:t>
            </w:r>
          </w:p>
        </w:tc>
        <w:tc>
          <w:tcPr>
            <w:tcW w:w="889" w:type="dxa"/>
            <w:tcBorders>
              <w:top w:val="single" w:sz="4" w:space="0" w:color="auto"/>
              <w:bottom w:val="single" w:sz="4" w:space="0" w:color="auto"/>
            </w:tcBorders>
            <w:noWrap/>
          </w:tcPr>
          <w:p>
            <w:pPr>
              <w:pStyle w:val="yTableNAm"/>
              <w:keepNext/>
              <w:jc w:val="center"/>
              <w:rPr>
                <w:b/>
              </w:rPr>
            </w:pPr>
            <w:r>
              <w:rPr>
                <w:b/>
              </w:rPr>
              <w:t>Class 1 (cents)</w:t>
            </w:r>
          </w:p>
        </w:tc>
        <w:tc>
          <w:tcPr>
            <w:tcW w:w="978" w:type="dxa"/>
            <w:tcBorders>
              <w:top w:val="single" w:sz="4" w:space="0" w:color="auto"/>
              <w:bottom w:val="single" w:sz="4" w:space="0" w:color="auto"/>
            </w:tcBorders>
            <w:noWrap/>
          </w:tcPr>
          <w:p>
            <w:pPr>
              <w:pStyle w:val="yTableNAm"/>
              <w:keepNext/>
              <w:jc w:val="center"/>
              <w:rPr>
                <w:b/>
              </w:rPr>
            </w:pPr>
            <w:r>
              <w:rPr>
                <w:b/>
              </w:rPr>
              <w:t>Class 2 (cents)</w:t>
            </w:r>
          </w:p>
        </w:tc>
        <w:tc>
          <w:tcPr>
            <w:tcW w:w="978" w:type="dxa"/>
            <w:tcBorders>
              <w:top w:val="single" w:sz="4" w:space="0" w:color="auto"/>
              <w:bottom w:val="single" w:sz="4" w:space="0" w:color="auto"/>
            </w:tcBorders>
            <w:noWrap/>
          </w:tcPr>
          <w:p>
            <w:pPr>
              <w:pStyle w:val="yTableNAm"/>
              <w:keepNext/>
              <w:jc w:val="center"/>
              <w:rPr>
                <w:b/>
              </w:rPr>
            </w:pPr>
            <w:r>
              <w:rPr>
                <w:b/>
              </w:rPr>
              <w:t>Class 3 (cents)</w:t>
            </w:r>
          </w:p>
        </w:tc>
        <w:tc>
          <w:tcPr>
            <w:tcW w:w="978" w:type="dxa"/>
            <w:tcBorders>
              <w:top w:val="single" w:sz="4" w:space="0" w:color="auto"/>
              <w:bottom w:val="single" w:sz="4" w:space="0" w:color="auto"/>
            </w:tcBorders>
            <w:noWrap/>
          </w:tcPr>
          <w:p>
            <w:pPr>
              <w:pStyle w:val="yTableNAm"/>
              <w:keepNext/>
              <w:jc w:val="center"/>
              <w:rPr>
                <w:b/>
              </w:rPr>
            </w:pPr>
            <w:r>
              <w:rPr>
                <w:b/>
              </w:rPr>
              <w:t>Class 4 (cents)</w:t>
            </w:r>
          </w:p>
        </w:tc>
        <w:tc>
          <w:tcPr>
            <w:tcW w:w="980"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05" w:type="dxa"/>
            <w:noWrap/>
          </w:tcPr>
          <w:p>
            <w:pPr>
              <w:pStyle w:val="yTableNAm"/>
            </w:pPr>
            <w:r>
              <w:t>Up to 150</w:t>
            </w:r>
          </w:p>
        </w:tc>
        <w:tc>
          <w:tcPr>
            <w:tcW w:w="889" w:type="dxa"/>
            <w:noWrap/>
            <w:vAlign w:val="bottom"/>
          </w:tcPr>
          <w:p>
            <w:pPr>
              <w:pStyle w:val="yTableNAm"/>
              <w:jc w:val="center"/>
            </w:pPr>
            <w:r>
              <w:rPr>
                <w:szCs w:val="22"/>
              </w:rPr>
              <w:t>141.9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80" w:type="dxa"/>
            <w:noWrap/>
            <w:vAlign w:val="bottom"/>
          </w:tcPr>
          <w:p>
            <w:pPr>
              <w:pStyle w:val="yTableNAm"/>
              <w:jc w:val="center"/>
            </w:pPr>
            <w:r>
              <w:rPr>
                <w:szCs w:val="22"/>
              </w:rPr>
              <w:t>185.9</w:t>
            </w:r>
          </w:p>
        </w:tc>
      </w:tr>
      <w:tr>
        <w:trPr>
          <w:cantSplit/>
        </w:trPr>
        <w:tc>
          <w:tcPr>
            <w:tcW w:w="1405" w:type="dxa"/>
            <w:noWrap/>
          </w:tcPr>
          <w:p>
            <w:pPr>
              <w:pStyle w:val="yTableNAm"/>
            </w:pPr>
            <w:r>
              <w:t>Over 150 but not over 300</w:t>
            </w:r>
          </w:p>
        </w:tc>
        <w:tc>
          <w:tcPr>
            <w:tcW w:w="889" w:type="dxa"/>
            <w:noWrap/>
            <w:vAlign w:val="bottom"/>
          </w:tcPr>
          <w:p>
            <w:pPr>
              <w:pStyle w:val="yTableNAm"/>
              <w:jc w:val="center"/>
            </w:pPr>
            <w:r>
              <w:rPr>
                <w:szCs w:val="22"/>
              </w:rPr>
              <w:t>188.9</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80" w:type="dxa"/>
            <w:noWrap/>
            <w:vAlign w:val="bottom"/>
          </w:tcPr>
          <w:p>
            <w:pPr>
              <w:pStyle w:val="yTableNAm"/>
              <w:jc w:val="center"/>
            </w:pPr>
            <w:r>
              <w:rPr>
                <w:szCs w:val="22"/>
              </w:rPr>
              <w:t>247.7</w:t>
            </w:r>
          </w:p>
        </w:tc>
      </w:tr>
      <w:tr>
        <w:trPr>
          <w:cantSplit/>
        </w:trPr>
        <w:tc>
          <w:tcPr>
            <w:tcW w:w="1405" w:type="dxa"/>
            <w:noWrap/>
          </w:tcPr>
          <w:p>
            <w:pPr>
              <w:pStyle w:val="yTableNAm"/>
            </w:pPr>
            <w:r>
              <w:t>Over 300 but not over 550</w:t>
            </w:r>
          </w:p>
        </w:tc>
        <w:tc>
          <w:tcPr>
            <w:tcW w:w="889" w:type="dxa"/>
            <w:noWrap/>
            <w:vAlign w:val="bottom"/>
          </w:tcPr>
          <w:p>
            <w:pPr>
              <w:pStyle w:val="yTableNAm"/>
              <w:jc w:val="center"/>
            </w:pPr>
            <w:r>
              <w:t>216.8</w:t>
            </w:r>
          </w:p>
        </w:tc>
        <w:tc>
          <w:tcPr>
            <w:tcW w:w="978"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550</w:t>
            </w:r>
          </w:p>
        </w:tc>
        <w:tc>
          <w:tcPr>
            <w:tcW w:w="889" w:type="dxa"/>
            <w:tcBorders>
              <w:bottom w:val="single" w:sz="4" w:space="0" w:color="auto"/>
            </w:tcBorders>
            <w:noWrap/>
            <w:vAlign w:val="bottom"/>
          </w:tcPr>
          <w:p>
            <w:pPr>
              <w:pStyle w:val="yTableNAm"/>
              <w:jc w:val="center"/>
            </w:pPr>
            <w:r>
              <w:t>253.2</w:t>
            </w:r>
          </w:p>
        </w:tc>
        <w:tc>
          <w:tcPr>
            <w:tcW w:w="978"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lastRenderedPageBreak/>
        <w:tab/>
        <w:t>(b)</w:t>
      </w:r>
      <w:r>
        <w:tab/>
        <w:t>north of 26°S Latitude,</w:t>
      </w:r>
    </w:p>
    <w:p>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75"/>
        <w:gridCol w:w="963"/>
        <w:gridCol w:w="963"/>
        <w:gridCol w:w="963"/>
        <w:gridCol w:w="1039"/>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75" w:type="dxa"/>
            <w:tcBorders>
              <w:top w:val="single" w:sz="4" w:space="0" w:color="auto"/>
              <w:bottom w:val="single" w:sz="4" w:space="0" w:color="auto"/>
            </w:tcBorders>
            <w:noWrap/>
          </w:tcPr>
          <w:p>
            <w:pPr>
              <w:pStyle w:val="yTableNAm"/>
              <w:jc w:val="center"/>
              <w:rPr>
                <w:b/>
              </w:rPr>
            </w:pPr>
            <w:r>
              <w:rPr>
                <w:b/>
              </w:rPr>
              <w:t>Class 1 (cents)</w:t>
            </w:r>
          </w:p>
        </w:tc>
        <w:tc>
          <w:tcPr>
            <w:tcW w:w="963" w:type="dxa"/>
            <w:tcBorders>
              <w:top w:val="single" w:sz="4" w:space="0" w:color="auto"/>
              <w:bottom w:val="single" w:sz="4" w:space="0" w:color="auto"/>
            </w:tcBorders>
            <w:noWrap/>
          </w:tcPr>
          <w:p>
            <w:pPr>
              <w:pStyle w:val="yTableNAm"/>
              <w:jc w:val="center"/>
              <w:rPr>
                <w:b/>
              </w:rPr>
            </w:pPr>
            <w:r>
              <w:rPr>
                <w:b/>
              </w:rPr>
              <w:t>Class 2 (cents)</w:t>
            </w:r>
          </w:p>
        </w:tc>
        <w:tc>
          <w:tcPr>
            <w:tcW w:w="963" w:type="dxa"/>
            <w:tcBorders>
              <w:top w:val="single" w:sz="4" w:space="0" w:color="auto"/>
              <w:bottom w:val="single" w:sz="4" w:space="0" w:color="auto"/>
            </w:tcBorders>
            <w:noWrap/>
          </w:tcPr>
          <w:p>
            <w:pPr>
              <w:pStyle w:val="yTableNAm"/>
              <w:jc w:val="center"/>
              <w:rPr>
                <w:b/>
              </w:rPr>
            </w:pPr>
            <w:r>
              <w:rPr>
                <w:b/>
              </w:rPr>
              <w:t>Class 3 (cents)</w:t>
            </w:r>
          </w:p>
        </w:tc>
        <w:tc>
          <w:tcPr>
            <w:tcW w:w="963" w:type="dxa"/>
            <w:tcBorders>
              <w:top w:val="single" w:sz="4" w:space="0" w:color="auto"/>
              <w:bottom w:val="single" w:sz="4" w:space="0" w:color="auto"/>
            </w:tcBorders>
            <w:noWrap/>
          </w:tcPr>
          <w:p>
            <w:pPr>
              <w:pStyle w:val="yTableNAm"/>
              <w:jc w:val="center"/>
              <w:rPr>
                <w:b/>
              </w:rPr>
            </w:pPr>
            <w:r>
              <w:rPr>
                <w:b/>
              </w:rPr>
              <w:t>Class 4 (cents)</w:t>
            </w:r>
          </w:p>
        </w:tc>
        <w:tc>
          <w:tcPr>
            <w:tcW w:w="103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75" w:type="dxa"/>
            <w:noWrap/>
            <w:vAlign w:val="bottom"/>
          </w:tcPr>
          <w:p>
            <w:pPr>
              <w:pStyle w:val="yTableNAm"/>
              <w:jc w:val="center"/>
            </w:pPr>
            <w:r>
              <w:rPr>
                <w:szCs w:val="22"/>
              </w:rPr>
              <w:t>141.9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1039" w:type="dxa"/>
            <w:noWrap/>
            <w:vAlign w:val="bottom"/>
          </w:tcPr>
          <w:p>
            <w:pPr>
              <w:pStyle w:val="yTableNAm"/>
              <w:jc w:val="center"/>
            </w:pPr>
            <w:r>
              <w:rPr>
                <w:szCs w:val="22"/>
              </w:rPr>
              <w:t>185.9</w:t>
            </w:r>
          </w:p>
        </w:tc>
      </w:tr>
      <w:tr>
        <w:trPr>
          <w:cantSplit/>
        </w:trPr>
        <w:tc>
          <w:tcPr>
            <w:tcW w:w="1405" w:type="dxa"/>
            <w:noWrap/>
          </w:tcPr>
          <w:p>
            <w:pPr>
              <w:pStyle w:val="yTableNAm"/>
            </w:pPr>
            <w:r>
              <w:t>Over 350 but not over 500</w:t>
            </w:r>
          </w:p>
        </w:tc>
        <w:tc>
          <w:tcPr>
            <w:tcW w:w="875" w:type="dxa"/>
            <w:noWrap/>
            <w:vAlign w:val="bottom"/>
          </w:tcPr>
          <w:p>
            <w:pPr>
              <w:pStyle w:val="yTableNAm"/>
              <w:jc w:val="center"/>
            </w:pPr>
            <w:r>
              <w:rPr>
                <w:szCs w:val="22"/>
              </w:rPr>
              <w:t>188.9</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1039" w:type="dxa"/>
            <w:noWrap/>
            <w:vAlign w:val="bottom"/>
          </w:tcPr>
          <w:p>
            <w:pPr>
              <w:pStyle w:val="yTableNAm"/>
              <w:jc w:val="center"/>
            </w:pPr>
            <w:r>
              <w:rPr>
                <w:szCs w:val="22"/>
              </w:rPr>
              <w:t>247.7</w:t>
            </w:r>
          </w:p>
        </w:tc>
      </w:tr>
      <w:tr>
        <w:trPr>
          <w:cantSplit/>
        </w:trPr>
        <w:tc>
          <w:tcPr>
            <w:tcW w:w="1405" w:type="dxa"/>
            <w:noWrap/>
          </w:tcPr>
          <w:p>
            <w:pPr>
              <w:pStyle w:val="yTableNAm"/>
              <w:keepNext/>
              <w:keepLines/>
            </w:pPr>
            <w:r>
              <w:t>Over 500 but not over 750</w:t>
            </w:r>
          </w:p>
        </w:tc>
        <w:tc>
          <w:tcPr>
            <w:tcW w:w="875" w:type="dxa"/>
            <w:noWrap/>
            <w:vAlign w:val="bottom"/>
          </w:tcPr>
          <w:p>
            <w:pPr>
              <w:pStyle w:val="yTableNAm"/>
              <w:jc w:val="center"/>
            </w:pPr>
            <w:r>
              <w:t>216.8</w:t>
            </w:r>
          </w:p>
        </w:tc>
        <w:tc>
          <w:tcPr>
            <w:tcW w:w="963" w:type="dxa"/>
            <w:noWrap/>
            <w:vAlign w:val="bottom"/>
          </w:tcPr>
          <w:p>
            <w:pPr>
              <w:pStyle w:val="yTableNAm"/>
              <w:jc w:val="center"/>
            </w:pPr>
            <w:r>
              <w:t>298.3</w:t>
            </w:r>
          </w:p>
        </w:tc>
        <w:tc>
          <w:tcPr>
            <w:tcW w:w="963" w:type="dxa"/>
            <w:noWrap/>
            <w:vAlign w:val="bottom"/>
          </w:tcPr>
          <w:p>
            <w:pPr>
              <w:pStyle w:val="yTableNAm"/>
              <w:jc w:val="center"/>
            </w:pPr>
            <w:r>
              <w:t>397.4</w:t>
            </w:r>
          </w:p>
        </w:tc>
        <w:tc>
          <w:tcPr>
            <w:tcW w:w="963" w:type="dxa"/>
            <w:noWrap/>
            <w:vAlign w:val="bottom"/>
          </w:tcPr>
          <w:p>
            <w:pPr>
              <w:pStyle w:val="yTableNAm"/>
              <w:jc w:val="center"/>
            </w:pPr>
            <w:r>
              <w:t>467.2</w:t>
            </w:r>
          </w:p>
        </w:tc>
        <w:tc>
          <w:tcPr>
            <w:tcW w:w="1039"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75" w:type="dxa"/>
            <w:tcBorders>
              <w:bottom w:val="single" w:sz="4" w:space="0" w:color="auto"/>
            </w:tcBorders>
            <w:noWrap/>
            <w:vAlign w:val="bottom"/>
          </w:tcPr>
          <w:p>
            <w:pPr>
              <w:pStyle w:val="yTableNAm"/>
              <w:jc w:val="center"/>
            </w:pPr>
            <w:r>
              <w:t>253.2</w:t>
            </w:r>
          </w:p>
        </w:tc>
        <w:tc>
          <w:tcPr>
            <w:tcW w:w="963" w:type="dxa"/>
            <w:tcBorders>
              <w:bottom w:val="single" w:sz="4" w:space="0" w:color="auto"/>
            </w:tcBorders>
            <w:noWrap/>
            <w:vAlign w:val="bottom"/>
          </w:tcPr>
          <w:p>
            <w:pPr>
              <w:pStyle w:val="yTableNAm"/>
              <w:jc w:val="center"/>
            </w:pPr>
            <w:r>
              <w:t>380.5</w:t>
            </w:r>
          </w:p>
        </w:tc>
        <w:tc>
          <w:tcPr>
            <w:tcW w:w="963" w:type="dxa"/>
            <w:tcBorders>
              <w:bottom w:val="single" w:sz="4" w:space="0" w:color="auto"/>
            </w:tcBorders>
            <w:noWrap/>
            <w:vAlign w:val="bottom"/>
          </w:tcPr>
          <w:p>
            <w:pPr>
              <w:pStyle w:val="yTableNAm"/>
              <w:jc w:val="center"/>
            </w:pPr>
            <w:r>
              <w:t>506.6</w:t>
            </w:r>
          </w:p>
        </w:tc>
        <w:tc>
          <w:tcPr>
            <w:tcW w:w="963" w:type="dxa"/>
            <w:tcBorders>
              <w:bottom w:val="single" w:sz="4" w:space="0" w:color="auto"/>
            </w:tcBorders>
            <w:noWrap/>
            <w:vAlign w:val="bottom"/>
          </w:tcPr>
          <w:p>
            <w:pPr>
              <w:pStyle w:val="yTableNAm"/>
              <w:jc w:val="center"/>
            </w:pPr>
            <w:r>
              <w:t>700.8</w:t>
            </w:r>
          </w:p>
        </w:tc>
        <w:tc>
          <w:tcPr>
            <w:tcW w:w="1039" w:type="dxa"/>
            <w:tcBorders>
              <w:bottom w:val="single" w:sz="4" w:space="0" w:color="auto"/>
            </w:tcBorders>
            <w:noWrap/>
            <w:vAlign w:val="bottom"/>
          </w:tcPr>
          <w:p>
            <w:pPr>
              <w:pStyle w:val="yTableNAm"/>
              <w:jc w:val="center"/>
            </w:pPr>
            <w:r>
              <w:t>945.2</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240" w:name="_Toc106179998"/>
      <w:r>
        <w:t>30.</w:t>
      </w:r>
      <w:r>
        <w:tab/>
        <w:t>Non</w:t>
      </w:r>
      <w:r>
        <w:noBreakHyphen/>
        <w:t>metropolitan non</w:t>
      </w:r>
      <w:r>
        <w:noBreakHyphen/>
        <w:t>residential</w:t>
      </w:r>
      <w:bookmarkEnd w:id="240"/>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r>
        <w:tab/>
        <w:t>272.9 cents</w:t>
      </w:r>
    </w:p>
    <w:p>
      <w:pPr>
        <w:pStyle w:val="yIndenta"/>
        <w:tabs>
          <w:tab w:val="right" w:leader="dot" w:pos="6804"/>
        </w:tabs>
      </w:pPr>
      <w:r>
        <w:tab/>
        <w:t>(b)</w:t>
      </w:r>
      <w:r>
        <w:tab/>
        <w:t xml:space="preserve">if the land is classified as farmland </w:t>
      </w:r>
      <w:r>
        <w:tab/>
        <w:t>272.9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899.5 cents;</w:t>
      </w:r>
    </w:p>
    <w:p>
      <w:pPr>
        <w:pStyle w:val="yIndenta"/>
        <w:keepNext/>
        <w:keepLines/>
      </w:pPr>
      <w:r>
        <w:lastRenderedPageBreak/>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pPr>
      <w:r>
        <w:tab/>
        <w:t>(e)</w:t>
      </w:r>
      <w:r>
        <w:tab/>
        <w:t>if the land is classified as commercial residential —</w:t>
      </w:r>
    </w:p>
    <w:p>
      <w:pPr>
        <w:pStyle w:val="yMiscellaneousBody"/>
        <w:keepNext/>
        <w:tabs>
          <w:tab w:val="left" w:pos="1701"/>
          <w:tab w:val="left" w:pos="2552"/>
          <w:tab w:val="right" w:leader="dot" w:pos="6804"/>
        </w:tabs>
        <w:ind w:firstLine="1843"/>
      </w:pPr>
      <w:r>
        <w:t xml:space="preserve">up to 150 kL </w:t>
      </w:r>
      <w:r>
        <w:tab/>
        <w:t>185.9 cents</w:t>
      </w:r>
    </w:p>
    <w:p>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241" w:name="_Toc106179999"/>
      <w:r>
        <w:t>31.</w:t>
      </w:r>
      <w:r>
        <w:tab/>
        <w:t>Strata</w:t>
      </w:r>
      <w:r>
        <w:noBreakHyphen/>
        <w:t>titled or long</w:t>
      </w:r>
      <w:r>
        <w:noBreakHyphen/>
        <w:t>term residential caravan bays</w:t>
      </w:r>
      <w:bookmarkEnd w:id="241"/>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keepNext/>
        <w:tabs>
          <w:tab w:val="left" w:pos="993"/>
          <w:tab w:val="right" w:leader="dot" w:pos="6804"/>
        </w:tabs>
      </w:pPr>
      <w:r>
        <w:tab/>
        <w:t xml:space="preserve">up to 150 kL </w:t>
      </w:r>
      <w:r>
        <w:tab/>
      </w:r>
      <w:r>
        <w:rPr>
          <w:szCs w:val="22"/>
        </w:rPr>
        <w:t>185.9</w:t>
      </w:r>
      <w:r>
        <w:t xml:space="preserve"> cents</w:t>
      </w:r>
    </w:p>
    <w:p>
      <w:pPr>
        <w:pStyle w:val="yMiscellaneousBody"/>
        <w:keepNext/>
        <w:tabs>
          <w:tab w:val="left" w:pos="993"/>
          <w:tab w:val="right" w:leader="dot" w:pos="6804"/>
        </w:tabs>
      </w:pPr>
      <w:r>
        <w:tab/>
        <w:t xml:space="preserve">over 150 kL </w:t>
      </w:r>
      <w:r>
        <w:tab/>
        <w:t>264.6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keepNext/>
        <w:tabs>
          <w:tab w:val="left" w:pos="993"/>
          <w:tab w:val="right" w:leader="dot" w:pos="6804"/>
        </w:tabs>
      </w:pPr>
      <w:r>
        <w:tab/>
        <w:t xml:space="preserve">up to 150 kL </w:t>
      </w:r>
      <w:r>
        <w:tab/>
        <w:t xml:space="preserve"> </w:t>
      </w:r>
      <w:r>
        <w:rPr>
          <w:szCs w:val="22"/>
        </w:rPr>
        <w:t>185.9</w:t>
      </w:r>
      <w:r>
        <w:t xml:space="preserve"> cents</w:t>
      </w:r>
    </w:p>
    <w:p>
      <w:pPr>
        <w:pStyle w:val="yMiscellaneousBody"/>
        <w:tabs>
          <w:tab w:val="left" w:pos="993"/>
        </w:tabs>
        <w:ind w:left="993" w:hanging="993"/>
      </w:pPr>
      <w:r>
        <w:tab/>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242" w:name="_Toc106180000"/>
      <w:r>
        <w:lastRenderedPageBreak/>
        <w:t>32.</w:t>
      </w:r>
      <w:r>
        <w:tab/>
        <w:t>Government trading organisations and non</w:t>
      </w:r>
      <w:r>
        <w:noBreakHyphen/>
        <w:t>commercial government property</w:t>
      </w:r>
      <w:bookmarkEnd w:id="242"/>
    </w:p>
    <w:p>
      <w:pPr>
        <w:pStyle w:val="ySubsection"/>
        <w:keepNext/>
        <w:keepLines/>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264.6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243" w:name="_Toc106180001"/>
      <w:r>
        <w:t>33.</w:t>
      </w:r>
      <w:r>
        <w:tab/>
        <w:t>Coral Bay desalinated</w:t>
      </w:r>
      <w:bookmarkEnd w:id="243"/>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764.4 cents</w:t>
      </w:r>
    </w:p>
    <w:p>
      <w:pPr>
        <w:pStyle w:val="yHeading5"/>
      </w:pPr>
      <w:bookmarkStart w:id="244" w:name="_Toc106180002"/>
      <w:r>
        <w:t>34.</w:t>
      </w:r>
      <w:r>
        <w:tab/>
        <w:t>Denham desalinated</w:t>
      </w:r>
      <w:bookmarkEnd w:id="244"/>
    </w:p>
    <w:p>
      <w:pPr>
        <w:pStyle w:val="ySubsection"/>
      </w:pPr>
      <w:r>
        <w:tab/>
        <w:t>(1)</w:t>
      </w:r>
      <w:r>
        <w:tab/>
        <w:t>For each kilolitre of desalinated water supplied, in a charge period, to land in Denham that is classified as residential, the charge is —</w:t>
      </w:r>
    </w:p>
    <w:p>
      <w:pPr>
        <w:pStyle w:val="yMiscellaneousBody"/>
        <w:tabs>
          <w:tab w:val="left" w:pos="993"/>
          <w:tab w:val="right" w:leader="dot" w:pos="6804"/>
        </w:tabs>
        <w:ind w:left="993" w:hanging="426"/>
      </w:pPr>
      <w:r>
        <w:tab/>
        <w:t xml:space="preserve">up to quota </w:t>
      </w:r>
      <w:r>
        <w:tab/>
      </w:r>
      <w:r>
        <w:rPr>
          <w:szCs w:val="22"/>
        </w:rPr>
        <w:t>68.9</w:t>
      </w:r>
      <w:r>
        <w:t xml:space="preserve"> cents</w:t>
      </w:r>
    </w:p>
    <w:p>
      <w:pPr>
        <w:pStyle w:val="yMiscellaneousBody"/>
        <w:tabs>
          <w:tab w:val="left" w:pos="993"/>
          <w:tab w:val="right" w:leader="dot" w:pos="6804"/>
        </w:tabs>
        <w:ind w:left="993" w:hanging="426"/>
      </w:pPr>
      <w:r>
        <w:tab/>
        <w:t xml:space="preserve">over quota but by not more than the </w:t>
      </w:r>
      <w:r>
        <w:br/>
        <w:t xml:space="preserve">shoulder amount </w:t>
      </w:r>
      <w:r>
        <w:tab/>
        <w:t>506.9 cents</w:t>
      </w:r>
    </w:p>
    <w:p>
      <w:pPr>
        <w:pStyle w:val="yMiscellaneousBody"/>
        <w:tabs>
          <w:tab w:val="left" w:pos="993"/>
          <w:tab w:val="right" w:leader="dot" w:pos="6804"/>
        </w:tabs>
        <w:ind w:left="993" w:hanging="426"/>
      </w:pPr>
      <w:r>
        <w:tab/>
        <w:t xml:space="preserve">over quota by more than the shoulder </w:t>
      </w:r>
      <w:r>
        <w:br/>
        <w:t>amount</w:t>
      </w:r>
      <w:r>
        <w:tab/>
        <w:t>1 579.4 cents</w:t>
      </w:r>
    </w:p>
    <w:p>
      <w:pPr>
        <w:pStyle w:val="ySubsection"/>
        <w:keepNext/>
      </w:pPr>
      <w:r>
        <w:lastRenderedPageBreak/>
        <w:tab/>
        <w:t>(2)</w:t>
      </w:r>
      <w:r>
        <w:tab/>
        <w:t>In sub</w:t>
      </w:r>
      <w:r>
        <w:noBreakHyphen/>
        <w:t xml:space="preserve">item (1) — </w:t>
      </w:r>
    </w:p>
    <w:p>
      <w:pPr>
        <w:pStyle w:val="yIndenta"/>
        <w:keepNext/>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right" w:leader="dot" w:pos="6804"/>
        </w:tabs>
        <w:ind w:left="993" w:hanging="426"/>
      </w:pPr>
      <w:r>
        <w:tab/>
        <w:t xml:space="preserve">up to quota </w:t>
      </w:r>
      <w:r>
        <w:tab/>
        <w:t xml:space="preserve"> 70.3 cents</w:t>
      </w:r>
    </w:p>
    <w:p>
      <w:pPr>
        <w:pStyle w:val="yMiscellaneousBody"/>
        <w:tabs>
          <w:tab w:val="right" w:leader="dot" w:pos="6804"/>
        </w:tabs>
        <w:ind w:left="993" w:hanging="426"/>
      </w:pPr>
      <w:r>
        <w:tab/>
        <w:t xml:space="preserve">over quota </w:t>
      </w:r>
      <w:r>
        <w:tab/>
        <w:t xml:space="preserve"> 1 610.9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245" w:name="_Toc106180003"/>
      <w:r>
        <w:t>35.</w:t>
      </w:r>
      <w:r>
        <w:tab/>
        <w:t>Garden service connection in Mulataga, Karratha</w:t>
      </w:r>
      <w:bookmarkEnd w:id="245"/>
    </w:p>
    <w:p>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185.9 cents</w:t>
      </w:r>
    </w:p>
    <w:p>
      <w:pPr>
        <w:pStyle w:val="yHeading4"/>
      </w:pPr>
      <w:bookmarkStart w:id="246" w:name="_Toc106104020"/>
      <w:bookmarkStart w:id="247" w:name="_Toc106104248"/>
      <w:bookmarkStart w:id="248" w:name="_Toc106179776"/>
      <w:bookmarkStart w:id="249" w:name="_Toc106180004"/>
      <w:r>
        <w:t>Subdivision 3 — Other consumption charges</w:t>
      </w:r>
      <w:bookmarkEnd w:id="246"/>
      <w:bookmarkEnd w:id="247"/>
      <w:bookmarkEnd w:id="248"/>
      <w:bookmarkEnd w:id="249"/>
    </w:p>
    <w:p>
      <w:pPr>
        <w:pStyle w:val="yFootnoteheading"/>
      </w:pPr>
      <w:r>
        <w:tab/>
        <w:t>[Heading inserted: SL 2021/80 r. 8.]</w:t>
      </w:r>
    </w:p>
    <w:p>
      <w:pPr>
        <w:pStyle w:val="yHeading5"/>
      </w:pPr>
      <w:bookmarkStart w:id="250" w:name="_Toc106180005"/>
      <w:r>
        <w:t>36.</w:t>
      </w:r>
      <w:r>
        <w:tab/>
        <w:t>Local government standpipes</w:t>
      </w:r>
      <w:bookmarkEnd w:id="250"/>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272.9 cents</w:t>
      </w:r>
    </w:p>
    <w:p>
      <w:pPr>
        <w:pStyle w:val="yHeading5"/>
      </w:pPr>
      <w:bookmarkStart w:id="251" w:name="_Toc106180006"/>
      <w:r>
        <w:t>37.</w:t>
      </w:r>
      <w:r>
        <w:tab/>
        <w:t>Shipping</w:t>
      </w:r>
      <w:bookmarkEnd w:id="251"/>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264.6 cents</w:t>
      </w:r>
    </w:p>
    <w:p>
      <w:pPr>
        <w:pStyle w:val="yIndenta"/>
        <w:keepNext/>
        <w:keepLines/>
        <w:rPr>
          <w:szCs w:val="22"/>
        </w:rPr>
      </w:pPr>
      <w:r>
        <w:rPr>
          <w:szCs w:val="22"/>
        </w:rPr>
        <w:lastRenderedPageBreak/>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pPr>
        <w:pStyle w:val="yHeading5"/>
      </w:pPr>
      <w:bookmarkStart w:id="252" w:name="_Toc106180007"/>
      <w:r>
        <w:t>38.</w:t>
      </w:r>
      <w:r>
        <w:tab/>
        <w:t>Stock</w:t>
      </w:r>
      <w:bookmarkEnd w:id="252"/>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272.9 cents</w:t>
      </w:r>
    </w:p>
    <w:p>
      <w:pPr>
        <w:pStyle w:val="yHeading5"/>
      </w:pPr>
      <w:bookmarkStart w:id="253" w:name="_Toc106180008"/>
      <w:r>
        <w:t>39.</w:t>
      </w:r>
      <w:r>
        <w:tab/>
        <w:t>Hydrant standpipes</w:t>
      </w:r>
      <w:bookmarkEnd w:id="253"/>
    </w:p>
    <w:p>
      <w:pPr>
        <w:pStyle w:val="ySubsection"/>
        <w:tabs>
          <w:tab w:val="right" w:leader="dot" w:pos="6804"/>
        </w:tabs>
      </w:pPr>
      <w:r>
        <w:tab/>
      </w:r>
      <w:r>
        <w:tab/>
        <w:t xml:space="preserve">For each kilolitre of water supplied </w:t>
      </w:r>
      <w:r>
        <w:br/>
        <w:t xml:space="preserve">through a hydrant standpipe, the charge is </w:t>
      </w:r>
      <w:r>
        <w:tab/>
        <w:t>264.6 cents</w:t>
      </w:r>
    </w:p>
    <w:p>
      <w:pPr>
        <w:pStyle w:val="yFootnotesection"/>
      </w:pPr>
      <w:r>
        <w:tab/>
        <w:t>[Division 2 inserted: SL 2021/80 r. 8.]</w:t>
      </w:r>
    </w:p>
    <w:p>
      <w:pPr>
        <w:pStyle w:val="yScheduleHeading"/>
      </w:pPr>
      <w:bookmarkStart w:id="254" w:name="_Toc106104025"/>
      <w:bookmarkStart w:id="255" w:name="_Toc106104253"/>
      <w:bookmarkStart w:id="256" w:name="_Toc106179781"/>
      <w:bookmarkStart w:id="257" w:name="_Toc106180009"/>
      <w:r>
        <w:rPr>
          <w:rStyle w:val="CharSchNo"/>
        </w:rPr>
        <w:lastRenderedPageBreak/>
        <w:t>Schedule 4</w:t>
      </w:r>
      <w:r>
        <w:t> — </w:t>
      </w:r>
      <w:r>
        <w:rPr>
          <w:rStyle w:val="CharSchText"/>
        </w:rPr>
        <w:t>Sewerage charges for the Water Corporation</w:t>
      </w:r>
      <w:bookmarkEnd w:id="254"/>
      <w:bookmarkEnd w:id="255"/>
      <w:bookmarkEnd w:id="256"/>
      <w:bookmarkEnd w:id="257"/>
    </w:p>
    <w:p>
      <w:pPr>
        <w:pStyle w:val="yShoulderClause"/>
      </w:pPr>
      <w:r>
        <w:t>[r. 24, 39 and 41]</w:t>
      </w:r>
    </w:p>
    <w:p>
      <w:pPr>
        <w:pStyle w:val="yFootnoteheading"/>
      </w:pPr>
      <w:r>
        <w:tab/>
        <w:t>[Heading inserted: SL 2021/80 r. 8.]</w:t>
      </w:r>
    </w:p>
    <w:p>
      <w:pPr>
        <w:pStyle w:val="yHeading3"/>
      </w:pPr>
      <w:bookmarkStart w:id="258" w:name="_Toc106104026"/>
      <w:bookmarkStart w:id="259" w:name="_Toc106104254"/>
      <w:bookmarkStart w:id="260" w:name="_Toc106179782"/>
      <w:bookmarkStart w:id="261" w:name="_Toc106180010"/>
      <w:r>
        <w:rPr>
          <w:rStyle w:val="CharSDivNo"/>
        </w:rPr>
        <w:t>Division 1</w:t>
      </w:r>
      <w:r>
        <w:t> — </w:t>
      </w:r>
      <w:r>
        <w:rPr>
          <w:rStyle w:val="CharSDivText"/>
        </w:rPr>
        <w:t>Service charges</w:t>
      </w:r>
      <w:bookmarkEnd w:id="258"/>
      <w:bookmarkEnd w:id="259"/>
      <w:bookmarkEnd w:id="260"/>
      <w:bookmarkEnd w:id="261"/>
    </w:p>
    <w:p>
      <w:pPr>
        <w:pStyle w:val="yFootnoteheading"/>
      </w:pPr>
      <w:r>
        <w:tab/>
        <w:t>[Heading inserted: SL 2021/80 r. 8.]</w:t>
      </w:r>
    </w:p>
    <w:p>
      <w:pPr>
        <w:pStyle w:val="yHeading5"/>
      </w:pPr>
      <w:bookmarkStart w:id="262" w:name="_Toc106180011"/>
      <w:r>
        <w:t>1.</w:t>
      </w:r>
      <w:r>
        <w:tab/>
        <w:t>Service charges for 2021/22 and subsequent years</w:t>
      </w:r>
      <w:bookmarkEnd w:id="262"/>
    </w:p>
    <w:p>
      <w:pPr>
        <w:pStyle w:val="ySubsection"/>
      </w:pPr>
      <w:r>
        <w:tab/>
      </w:r>
      <w:r>
        <w:tab/>
        <w:t xml:space="preserve">The charges set out in this Division apply for sewerage services provided in the </w:t>
      </w:r>
      <w:r>
        <w:rPr>
          <w:szCs w:val="22"/>
        </w:rPr>
        <w:t>2021/22</w:t>
      </w:r>
      <w:r>
        <w:t> financial year and each subsequent year.</w:t>
      </w:r>
    </w:p>
    <w:p>
      <w:pPr>
        <w:pStyle w:val="yHeading5"/>
      </w:pPr>
      <w:bookmarkStart w:id="263" w:name="_Toc106180012"/>
      <w:r>
        <w:t>2.</w:t>
      </w:r>
      <w:r>
        <w:tab/>
        <w:t>Metropolitan residential</w:t>
      </w:r>
      <w:bookmarkEnd w:id="263"/>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701" w:right="283" w:hanging="1134"/>
      </w:pPr>
      <w:r>
        <w:tab/>
        <w:t xml:space="preserve">up to $16 400 GRV </w:t>
      </w:r>
      <w:r>
        <w:tab/>
        <w:t xml:space="preserve"> 5.135 cents/$</w:t>
      </w:r>
    </w:p>
    <w:p>
      <w:pPr>
        <w:pStyle w:val="yMiscellaneousBody"/>
        <w:tabs>
          <w:tab w:val="left" w:pos="1134"/>
          <w:tab w:val="right" w:leader="dot" w:pos="6804"/>
        </w:tabs>
        <w:spacing w:before="0"/>
        <w:ind w:left="1701" w:right="283" w:hanging="1134"/>
        <w:jc w:val="right"/>
      </w:pPr>
      <w:r>
        <w:t>of GRV</w:t>
      </w:r>
    </w:p>
    <w:p>
      <w:pPr>
        <w:pStyle w:val="yMiscellaneousBody"/>
        <w:tabs>
          <w:tab w:val="left" w:pos="1134"/>
          <w:tab w:val="right" w:leader="dot" w:pos="6804"/>
        </w:tabs>
        <w:ind w:left="1701" w:right="283" w:hanging="1134"/>
      </w:pPr>
      <w:r>
        <w:tab/>
        <w:t xml:space="preserve">over $16 400 GRV </w:t>
      </w:r>
      <w:r>
        <w:tab/>
        <w:t xml:space="preserve"> 3.791 cents/$</w:t>
      </w:r>
    </w:p>
    <w:p>
      <w:pPr>
        <w:pStyle w:val="yMiscellaneousBody"/>
        <w:tabs>
          <w:tab w:val="left" w:pos="1134"/>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$446.78</w:t>
      </w:r>
    </w:p>
    <w:p>
      <w:pPr>
        <w:pStyle w:val="yHeading5"/>
      </w:pPr>
      <w:bookmarkStart w:id="264" w:name="_Toc106180013"/>
      <w:r>
        <w:t>3.</w:t>
      </w:r>
      <w:r>
        <w:tab/>
        <w:t>Metropolitan vacant land</w:t>
      </w:r>
      <w:bookmarkEnd w:id="264"/>
    </w:p>
    <w:p>
      <w:pPr>
        <w:pStyle w:val="ySubsection"/>
        <w:tabs>
          <w:tab w:val="right" w:leader="dot" w:pos="6804"/>
        </w:tabs>
      </w:pPr>
      <w:r>
        <w:tab/>
        <w:t>(1)</w:t>
      </w:r>
      <w:r>
        <w:tab/>
        <w:t xml:space="preserve">For land in the metropolitan area that is </w:t>
      </w:r>
      <w:r>
        <w:br/>
        <w:t xml:space="preserve">classified as vacant land, the charge is </w:t>
      </w:r>
      <w:r>
        <w:tab/>
        <w:t xml:space="preserve"> 2.502 cents/$</w:t>
      </w:r>
    </w:p>
    <w:p>
      <w:pPr>
        <w:pStyle w:val="ySubsection"/>
        <w:spacing w:before="0"/>
        <w:ind w:right="283"/>
        <w:jc w:val="right"/>
      </w:pPr>
      <w:r>
        <w:t>of GRV</w:t>
      </w:r>
    </w:p>
    <w:p>
      <w:pPr>
        <w:pStyle w:val="ySubsection"/>
        <w:tabs>
          <w:tab w:val="right" w:leader="dot" w:pos="6804"/>
        </w:tabs>
      </w:pPr>
      <w:r>
        <w:tab/>
        <w:t>(2)</w:t>
      </w:r>
      <w:r>
        <w:tab/>
        <w:t xml:space="preserve">The minimum charge under this item is </w:t>
      </w:r>
      <w:r>
        <w:tab/>
        <w:t xml:space="preserve"> </w:t>
      </w:r>
      <w:r>
        <w:rPr>
          <w:szCs w:val="22"/>
        </w:rPr>
        <w:t>$335.93</w:t>
      </w:r>
    </w:p>
    <w:p>
      <w:pPr>
        <w:pStyle w:val="yHeading5"/>
      </w:pPr>
      <w:bookmarkStart w:id="265" w:name="_Toc106180014"/>
      <w:r>
        <w:t>4.</w:t>
      </w:r>
      <w:r>
        <w:tab/>
        <w:t>Metropolitan concessional</w:t>
      </w:r>
      <w:bookmarkEnd w:id="265"/>
    </w:p>
    <w:p>
      <w:pPr>
        <w:pStyle w:val="ySubsection"/>
      </w:pPr>
      <w:r>
        <w:tab/>
      </w:r>
      <w:r>
        <w:tab/>
        <w:t>For land in the metropolitan area that is classified as —</w:t>
      </w:r>
    </w:p>
    <w:p>
      <w:pPr>
        <w:pStyle w:val="yIndenta"/>
      </w:pPr>
      <w:r>
        <w:tab/>
        <w:t>(a)</w:t>
      </w:r>
      <w:r>
        <w:tab/>
        <w:t>aged home; or</w:t>
      </w:r>
    </w:p>
    <w:p>
      <w:pPr>
        <w:pStyle w:val="yIndenta"/>
      </w:pPr>
      <w:r>
        <w:lastRenderedPageBreak/>
        <w:tab/>
        <w:t>(b)</w:t>
      </w:r>
      <w:r>
        <w:tab/>
        <w:t xml:space="preserve">charitable purposes or community </w:t>
      </w:r>
      <w:r>
        <w:br/>
        <w:t>purpose,</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$1 072.88</w:t>
            </w:r>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266" w:name="_Toc106180015"/>
      <w:r>
        <w:t>5.</w:t>
      </w:r>
      <w:r>
        <w:tab/>
        <w:t>Strata</w:t>
      </w:r>
      <w:r>
        <w:noBreakHyphen/>
        <w:t>titled caravan bay</w:t>
      </w:r>
      <w:bookmarkEnd w:id="266"/>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or a park home, </w:t>
      </w:r>
      <w:r>
        <w:rPr>
          <w:szCs w:val="22"/>
        </w:rPr>
        <w:br/>
        <w:t>the charge is</w:t>
      </w:r>
      <w:r>
        <w:rPr>
          <w:szCs w:val="22"/>
        </w:rPr>
        <w:tab/>
        <w:t>$343.08</w:t>
      </w:r>
    </w:p>
    <w:p>
      <w:pPr>
        <w:pStyle w:val="yHeading5"/>
      </w:pPr>
      <w:bookmarkStart w:id="267" w:name="_Toc106180016"/>
      <w:r>
        <w:t>6.</w:t>
      </w:r>
      <w:r>
        <w:tab/>
        <w:t>Storage units or parking bays in strata titles scheme or community titles scheme</w:t>
      </w:r>
      <w:bookmarkEnd w:id="267"/>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as a parking bay, in a strata titles scheme or a</w:t>
      </w:r>
      <w:r>
        <w:rPr>
          <w:szCs w:val="22"/>
        </w:rPr>
        <w:br/>
        <w:t xml:space="preserve">community titles scheme, the </w:t>
      </w:r>
      <w:r>
        <w:t>charge</w:t>
      </w:r>
      <w:r>
        <w:rPr>
          <w:szCs w:val="22"/>
        </w:rPr>
        <w:t xml:space="preserve"> is </w:t>
      </w:r>
      <w:r>
        <w:rPr>
          <w:szCs w:val="22"/>
        </w:rPr>
        <w:tab/>
        <w:t xml:space="preserve"> $106.33</w:t>
      </w:r>
    </w:p>
    <w:p>
      <w:pPr>
        <w:pStyle w:val="yHeading5"/>
      </w:pPr>
      <w:bookmarkStart w:id="268" w:name="_Toc106180017"/>
      <w:r>
        <w:t>7.</w:t>
      </w:r>
      <w:r>
        <w:tab/>
        <w:t>Land from which trade waste is discharged into sewer</w:t>
      </w:r>
      <w:bookmarkEnd w:id="268"/>
    </w:p>
    <w:p>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$235.45</w:t>
      </w:r>
    </w:p>
    <w:p>
      <w:pPr>
        <w:pStyle w:val="ySubsection"/>
      </w:pPr>
      <w:r>
        <w:tab/>
        <w:t>(2)</w:t>
      </w:r>
      <w:r>
        <w:tab/>
        <w:t>The charge under this item is in addition to any other charge applicable to the land under this Schedule.</w:t>
      </w:r>
    </w:p>
    <w:p>
      <w:pPr>
        <w:pStyle w:val="yHeading5"/>
      </w:pPr>
      <w:bookmarkStart w:id="269" w:name="_Toc106180018"/>
      <w:r>
        <w:lastRenderedPageBreak/>
        <w:t>8.</w:t>
      </w:r>
      <w:r>
        <w:tab/>
        <w:t>Land from which trade waste is discharged into sewer through grease arrestor</w:t>
      </w:r>
      <w:bookmarkEnd w:id="269"/>
    </w:p>
    <w:p>
      <w:pPr>
        <w:pStyle w:val="ySubsection"/>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$94.07 for each grease arrestor.</w:t>
      </w:r>
    </w:p>
    <w:p>
      <w:pPr>
        <w:pStyle w:val="ySubsection"/>
      </w:pPr>
      <w:r>
        <w:tab/>
        <w:t>(2)</w:t>
      </w:r>
      <w:r>
        <w:tab/>
        <w:t>The charge under this item is in addition to any other charge applicable to the land under this Schedule.</w:t>
      </w:r>
    </w:p>
    <w:p>
      <w:pPr>
        <w:pStyle w:val="yHeading5"/>
      </w:pPr>
      <w:bookmarkStart w:id="270" w:name="_Toc106180019"/>
      <w:r>
        <w:t>9.</w:t>
      </w:r>
      <w:r>
        <w:tab/>
        <w:t>Trade waste discharged from open area</w:t>
      </w:r>
      <w:bookmarkEnd w:id="270"/>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$1.64</w:t>
      </w:r>
      <w:r>
        <w:t>/m</w:t>
      </w:r>
      <w:r>
        <w:rPr>
          <w:vertAlign w:val="superscript"/>
        </w:rPr>
        <w:t>2</w:t>
      </w:r>
    </w:p>
    <w:p>
      <w:pPr>
        <w:pStyle w:val="ySubsection"/>
        <w:spacing w:before="0"/>
        <w:ind w:right="283"/>
        <w:jc w:val="right"/>
      </w:pPr>
      <w:r>
        <w:t>of open area</w:t>
      </w:r>
    </w:p>
    <w:p>
      <w:pPr>
        <w:pStyle w:val="ySubsection"/>
      </w:pPr>
      <w:r>
        <w:tab/>
        <w:t>(2)</w:t>
      </w:r>
      <w:r>
        <w:tab/>
        <w:t>The charge under this item is in addition to any other charge applicable to the land under this Schedule.</w:t>
      </w:r>
    </w:p>
    <w:p>
      <w:pPr>
        <w:pStyle w:val="yHeading5"/>
      </w:pPr>
      <w:bookmarkStart w:id="271" w:name="_Toc106180020"/>
      <w:r>
        <w:t>10.</w:t>
      </w:r>
      <w:r>
        <w:tab/>
        <w:t>Non</w:t>
      </w:r>
      <w:r>
        <w:noBreakHyphen/>
        <w:t>metropolitan concessional</w:t>
      </w:r>
      <w:bookmarkEnd w:id="271"/>
    </w:p>
    <w:p>
      <w:pPr>
        <w:pStyle w:val="ySubsection"/>
      </w:pPr>
      <w:r>
        <w:tab/>
      </w:r>
      <w:r>
        <w:tab/>
        <w:t>For land in the non</w:t>
      </w:r>
      <w:r>
        <w:noBreakHyphen/>
        <w:t>metropolitan area that is classified as —</w:t>
      </w:r>
    </w:p>
    <w:p>
      <w:pPr>
        <w:pStyle w:val="yIndenta"/>
      </w:pPr>
      <w:r>
        <w:tab/>
        <w:t>(a)</w:t>
      </w:r>
      <w:r>
        <w:tab/>
        <w:t>community residential; or</w:t>
      </w:r>
    </w:p>
    <w:p>
      <w:pPr>
        <w:pStyle w:val="yIndenta"/>
      </w:pPr>
      <w:r>
        <w:tab/>
        <w:t>(b)</w:t>
      </w:r>
      <w:r>
        <w:tab/>
        <w:t>aged home, charitable purposes, community purpose, institutional public or local government,</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$1 072.88</w:t>
            </w:r>
          </w:p>
        </w:tc>
        <w:tc>
          <w:tcPr>
            <w:tcW w:w="1133" w:type="dxa"/>
            <w:noWrap/>
          </w:tcPr>
          <w:p>
            <w:pPr>
              <w:pStyle w:val="yTableNAm"/>
            </w:pPr>
            <w:r>
              <w:t>88.552</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73.256</w:t>
            </w:r>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79.975</w:t>
            </w:r>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lastRenderedPageBreak/>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81.585</w:t>
            </w:r>
          </w:p>
        </w:tc>
        <w:tc>
          <w:tcPr>
            <w:tcW w:w="992" w:type="dxa"/>
            <w:tcBorders>
              <w:bottom w:val="single" w:sz="4" w:space="0" w:color="auto"/>
            </w:tcBorders>
            <w:noWrap/>
          </w:tcPr>
          <w:p>
            <w:pPr>
              <w:pStyle w:val="yTableNAm"/>
            </w:pPr>
            <w:r>
              <w:t>80.985</w:t>
            </w:r>
          </w:p>
        </w:tc>
      </w:tr>
    </w:tbl>
    <w:p>
      <w:pPr>
        <w:pStyle w:val="yHeading5"/>
      </w:pPr>
      <w:bookmarkStart w:id="272" w:name="_Toc106180021"/>
      <w:r>
        <w:t>11.</w:t>
      </w:r>
      <w:r>
        <w:tab/>
        <w:t>Non</w:t>
      </w:r>
      <w:r>
        <w:noBreakHyphen/>
        <w:t>metropolitan</w:t>
      </w:r>
      <w:bookmarkEnd w:id="272"/>
    </w:p>
    <w:p>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Subsection"/>
      </w:pPr>
      <w:r>
        <w:tab/>
        <w:t>(2)</w:t>
      </w:r>
      <w:r>
        <w:tab/>
        <w:t>Sub</w:t>
      </w:r>
      <w:r>
        <w:noBreakHyphen/>
        <w:t>item (1) does not apply to land covered by any other item in this Division (other than 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$446.78</w:t>
      </w:r>
    </w:p>
    <w:p>
      <w:pPr>
        <w:pStyle w:val="yIndenta"/>
        <w:tabs>
          <w:tab w:val="right" w:leader="dot" w:pos="6804"/>
        </w:tabs>
      </w:pPr>
      <w:r>
        <w:tab/>
        <w:t>(b)</w:t>
      </w:r>
      <w:r>
        <w:tab/>
        <w:t xml:space="preserve">for land that is classified as vacant land </w:t>
      </w:r>
      <w:r>
        <w:tab/>
        <w:t xml:space="preserve"> $294.00</w:t>
      </w:r>
    </w:p>
    <w:p>
      <w:pPr>
        <w:pStyle w:val="yIndenta"/>
        <w:tabs>
          <w:tab w:val="right" w:leader="dot" w:pos="6804"/>
        </w:tabs>
      </w:pPr>
      <w:r>
        <w:tab/>
        <w:t>(c)</w:t>
      </w:r>
      <w:r>
        <w:tab/>
        <w:t xml:space="preserve">for other land </w:t>
      </w:r>
      <w:r>
        <w:tab/>
        <w:t xml:space="preserve"> $1 072.88</w:t>
      </w:r>
    </w:p>
    <w:p>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$1 219.76</w:t>
      </w:r>
    </w:p>
    <w:p>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160"/>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160"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tcPr>
          <w:p>
            <w:pPr>
              <w:pStyle w:val="yTableNAm"/>
              <w:jc w:val="center"/>
            </w:pPr>
            <w:r>
              <w:t>12.357</w:t>
            </w:r>
          </w:p>
        </w:tc>
        <w:tc>
          <w:tcPr>
            <w:tcW w:w="2160" w:type="dxa"/>
            <w:tcBorders>
              <w:top w:val="single" w:sz="4" w:space="0" w:color="auto"/>
              <w:left w:val="nil"/>
              <w:bottom w:val="nil"/>
              <w:right w:val="nil"/>
            </w:tcBorders>
            <w:noWrap/>
          </w:tcPr>
          <w:p>
            <w:pPr>
              <w:pStyle w:val="yTableNAm"/>
              <w:jc w:val="center"/>
            </w:pPr>
            <w:r>
              <w:t>24.107</w:t>
            </w:r>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tcPr>
          <w:p>
            <w:pPr>
              <w:pStyle w:val="yTableNAm"/>
              <w:jc w:val="center"/>
            </w:pPr>
            <w:r>
              <w:t>8.339</w:t>
            </w:r>
          </w:p>
        </w:tc>
        <w:tc>
          <w:tcPr>
            <w:tcW w:w="2160" w:type="dxa"/>
            <w:tcBorders>
              <w:top w:val="nil"/>
              <w:left w:val="nil"/>
              <w:bottom w:val="nil"/>
              <w:right w:val="nil"/>
            </w:tcBorders>
            <w:noWrap/>
          </w:tcPr>
          <w:p>
            <w:pPr>
              <w:pStyle w:val="yTableNAm"/>
              <w:jc w:val="center"/>
            </w:pPr>
            <w:r>
              <w:t>12.983</w:t>
            </w:r>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tcPr>
          <w:p>
            <w:pPr>
              <w:pStyle w:val="yTableNAm"/>
              <w:jc w:val="center"/>
            </w:pPr>
            <w:r>
              <w:t>5.552</w:t>
            </w:r>
          </w:p>
        </w:tc>
        <w:tc>
          <w:tcPr>
            <w:tcW w:w="2160" w:type="dxa"/>
            <w:tcBorders>
              <w:top w:val="nil"/>
              <w:left w:val="nil"/>
              <w:bottom w:val="nil"/>
              <w:right w:val="nil"/>
            </w:tcBorders>
            <w:noWrap/>
          </w:tcPr>
          <w:p>
            <w:pPr>
              <w:pStyle w:val="yTableNAm"/>
              <w:jc w:val="center"/>
            </w:pPr>
            <w:r>
              <w:t>4.426</w:t>
            </w:r>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tcPr>
          <w:p>
            <w:pPr>
              <w:pStyle w:val="yTableNAm"/>
              <w:jc w:val="center"/>
            </w:pPr>
            <w:r>
              <w:t>14.241</w:t>
            </w:r>
          </w:p>
        </w:tc>
        <w:tc>
          <w:tcPr>
            <w:tcW w:w="2160" w:type="dxa"/>
            <w:tcBorders>
              <w:top w:val="nil"/>
              <w:left w:val="nil"/>
              <w:bottom w:val="nil"/>
              <w:right w:val="nil"/>
            </w:tcBorders>
            <w:noWrap/>
          </w:tcPr>
          <w:p>
            <w:pPr>
              <w:pStyle w:val="yTableNAm"/>
              <w:jc w:val="center"/>
            </w:pPr>
            <w:r>
              <w:t>41.738</w:t>
            </w:r>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tcPr>
          <w:p>
            <w:pPr>
              <w:pStyle w:val="yTableNAm"/>
              <w:jc w:val="center"/>
            </w:pPr>
            <w:r>
              <w:t>10.356</w:t>
            </w:r>
          </w:p>
        </w:tc>
        <w:tc>
          <w:tcPr>
            <w:tcW w:w="2160" w:type="dxa"/>
            <w:tcBorders>
              <w:top w:val="nil"/>
              <w:left w:val="nil"/>
              <w:bottom w:val="nil"/>
              <w:right w:val="nil"/>
            </w:tcBorders>
            <w:noWrap/>
          </w:tcPr>
          <w:p>
            <w:pPr>
              <w:pStyle w:val="yTableNAm"/>
              <w:jc w:val="center"/>
            </w:pPr>
            <w:r>
              <w:t>22.689</w:t>
            </w:r>
          </w:p>
        </w:tc>
      </w:tr>
      <w:tr>
        <w:tc>
          <w:tcPr>
            <w:tcW w:w="2159" w:type="dxa"/>
            <w:tcBorders>
              <w:top w:val="nil"/>
              <w:left w:val="nil"/>
              <w:bottom w:val="nil"/>
              <w:right w:val="nil"/>
            </w:tcBorders>
            <w:noWrap/>
          </w:tcPr>
          <w:p>
            <w:pPr>
              <w:pStyle w:val="yTableNAm"/>
            </w:pPr>
            <w:r>
              <w:lastRenderedPageBreak/>
              <w:t>Boddington</w:t>
            </w:r>
          </w:p>
        </w:tc>
        <w:tc>
          <w:tcPr>
            <w:tcW w:w="1810" w:type="dxa"/>
            <w:tcBorders>
              <w:top w:val="nil"/>
              <w:left w:val="nil"/>
              <w:bottom w:val="nil"/>
              <w:right w:val="nil"/>
            </w:tcBorders>
            <w:noWrap/>
          </w:tcPr>
          <w:p>
            <w:pPr>
              <w:pStyle w:val="yTableNAm"/>
              <w:jc w:val="center"/>
            </w:pPr>
            <w:r>
              <w:t>31.593</w:t>
            </w:r>
          </w:p>
        </w:tc>
        <w:tc>
          <w:tcPr>
            <w:tcW w:w="2160" w:type="dxa"/>
            <w:tcBorders>
              <w:top w:val="nil"/>
              <w:left w:val="nil"/>
              <w:bottom w:val="nil"/>
              <w:right w:val="nil"/>
            </w:tcBorders>
            <w:noWrap/>
          </w:tcPr>
          <w:p>
            <w:pPr>
              <w:pStyle w:val="yTableNAm"/>
              <w:jc w:val="center"/>
            </w:pPr>
            <w:r>
              <w:t>190.903</w:t>
            </w:r>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tcPr>
          <w:p>
            <w:pPr>
              <w:pStyle w:val="yTableNAm"/>
              <w:jc w:val="center"/>
            </w:pPr>
            <w:r>
              <w:t>13.590</w:t>
            </w:r>
          </w:p>
        </w:tc>
        <w:tc>
          <w:tcPr>
            <w:tcW w:w="2160" w:type="dxa"/>
            <w:tcBorders>
              <w:top w:val="nil"/>
              <w:left w:val="nil"/>
              <w:bottom w:val="nil"/>
              <w:right w:val="nil"/>
            </w:tcBorders>
            <w:noWrap/>
          </w:tcPr>
          <w:p>
            <w:pPr>
              <w:pStyle w:val="yTableNAm"/>
              <w:jc w:val="center"/>
            </w:pPr>
            <w:r>
              <w:t>17.072</w:t>
            </w:r>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tcPr>
          <w:p>
            <w:pPr>
              <w:pStyle w:val="yTableNAm"/>
              <w:jc w:val="center"/>
            </w:pPr>
            <w:r>
              <w:t>17.083</w:t>
            </w:r>
          </w:p>
        </w:tc>
        <w:tc>
          <w:tcPr>
            <w:tcW w:w="2160" w:type="dxa"/>
            <w:tcBorders>
              <w:top w:val="nil"/>
              <w:left w:val="nil"/>
              <w:bottom w:val="nil"/>
              <w:right w:val="nil"/>
            </w:tcBorders>
            <w:noWrap/>
          </w:tcPr>
          <w:p>
            <w:pPr>
              <w:pStyle w:val="yTableNAm"/>
              <w:jc w:val="center"/>
            </w:pPr>
            <w:r>
              <w:t>26.324</w:t>
            </w:r>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tcPr>
          <w:p>
            <w:pPr>
              <w:pStyle w:val="yTableNAm"/>
              <w:jc w:val="center"/>
            </w:pPr>
            <w:r>
              <w:t>33.451</w:t>
            </w:r>
          </w:p>
        </w:tc>
        <w:tc>
          <w:tcPr>
            <w:tcW w:w="2160" w:type="dxa"/>
            <w:tcBorders>
              <w:top w:val="nil"/>
              <w:left w:val="nil"/>
              <w:bottom w:val="nil"/>
              <w:right w:val="nil"/>
            </w:tcBorders>
            <w:noWrap/>
          </w:tcPr>
          <w:p>
            <w:pPr>
              <w:pStyle w:val="yTableNAm"/>
              <w:jc w:val="center"/>
            </w:pPr>
            <w:r>
              <w:t>182.394</w:t>
            </w:r>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tcPr>
          <w:p>
            <w:pPr>
              <w:pStyle w:val="yTableNAm"/>
              <w:jc w:val="center"/>
            </w:pPr>
            <w:r>
              <w:t>11.467</w:t>
            </w:r>
          </w:p>
        </w:tc>
        <w:tc>
          <w:tcPr>
            <w:tcW w:w="2160" w:type="dxa"/>
            <w:tcBorders>
              <w:top w:val="nil"/>
              <w:left w:val="nil"/>
              <w:bottom w:val="nil"/>
              <w:right w:val="nil"/>
            </w:tcBorders>
            <w:noWrap/>
          </w:tcPr>
          <w:p>
            <w:pPr>
              <w:pStyle w:val="yTableNAm"/>
              <w:jc w:val="center"/>
            </w:pPr>
            <w:r>
              <w:t>16.186</w:t>
            </w:r>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tcPr>
          <w:p>
            <w:pPr>
              <w:pStyle w:val="yTableNAm"/>
              <w:jc w:val="center"/>
            </w:pPr>
            <w:r>
              <w:t>10.833</w:t>
            </w:r>
          </w:p>
        </w:tc>
        <w:tc>
          <w:tcPr>
            <w:tcW w:w="2160" w:type="dxa"/>
            <w:tcBorders>
              <w:top w:val="nil"/>
              <w:left w:val="nil"/>
              <w:bottom w:val="nil"/>
              <w:right w:val="nil"/>
            </w:tcBorders>
            <w:noWrap/>
          </w:tcPr>
          <w:p>
            <w:pPr>
              <w:pStyle w:val="yTableNAm"/>
              <w:jc w:val="center"/>
            </w:pPr>
            <w:r>
              <w:t>20.369</w:t>
            </w:r>
          </w:p>
        </w:tc>
      </w:tr>
      <w:tr>
        <w:tc>
          <w:tcPr>
            <w:tcW w:w="2159" w:type="dxa"/>
            <w:tcBorders>
              <w:top w:val="nil"/>
              <w:left w:val="nil"/>
              <w:bottom w:val="nil"/>
              <w:right w:val="nil"/>
            </w:tcBorders>
            <w:noWrap/>
          </w:tcPr>
          <w:p>
            <w:pPr>
              <w:pStyle w:val="yTableNAm"/>
            </w:pPr>
            <w:r>
              <w:t>Bruce Rock</w:t>
            </w:r>
          </w:p>
        </w:tc>
        <w:tc>
          <w:tcPr>
            <w:tcW w:w="1810" w:type="dxa"/>
            <w:tcBorders>
              <w:top w:val="nil"/>
              <w:left w:val="nil"/>
              <w:bottom w:val="nil"/>
              <w:right w:val="nil"/>
            </w:tcBorders>
            <w:noWrap/>
          </w:tcPr>
          <w:p>
            <w:pPr>
              <w:pStyle w:val="yTableNAm"/>
              <w:jc w:val="center"/>
            </w:pPr>
            <w:r>
              <w:t>58.698</w:t>
            </w:r>
          </w:p>
        </w:tc>
        <w:tc>
          <w:tcPr>
            <w:tcW w:w="2160" w:type="dxa"/>
            <w:tcBorders>
              <w:top w:val="nil"/>
              <w:left w:val="nil"/>
              <w:bottom w:val="nil"/>
              <w:right w:val="nil"/>
            </w:tcBorders>
            <w:noWrap/>
          </w:tcPr>
          <w:p>
            <w:pPr>
              <w:pStyle w:val="yTableNAm"/>
              <w:jc w:val="center"/>
            </w:pPr>
            <w:r>
              <w:t>58.698</w:t>
            </w:r>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tcPr>
          <w:p>
            <w:pPr>
              <w:pStyle w:val="yTableNAm"/>
              <w:jc w:val="center"/>
            </w:pPr>
            <w:r>
              <w:t>10.161</w:t>
            </w:r>
          </w:p>
        </w:tc>
        <w:tc>
          <w:tcPr>
            <w:tcW w:w="2160" w:type="dxa"/>
            <w:tcBorders>
              <w:top w:val="nil"/>
              <w:left w:val="nil"/>
              <w:bottom w:val="nil"/>
              <w:right w:val="nil"/>
            </w:tcBorders>
            <w:noWrap/>
          </w:tcPr>
          <w:p>
            <w:pPr>
              <w:pStyle w:val="yTableNAm"/>
              <w:jc w:val="center"/>
            </w:pPr>
            <w:r>
              <w:t>11.214</w:t>
            </w:r>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tcPr>
          <w:p>
            <w:pPr>
              <w:pStyle w:val="yTableNAm"/>
              <w:jc w:val="center"/>
            </w:pPr>
            <w:r>
              <w:t>9.669</w:t>
            </w:r>
          </w:p>
        </w:tc>
        <w:tc>
          <w:tcPr>
            <w:tcW w:w="2160" w:type="dxa"/>
            <w:tcBorders>
              <w:top w:val="nil"/>
              <w:left w:val="nil"/>
              <w:bottom w:val="nil"/>
              <w:right w:val="nil"/>
            </w:tcBorders>
            <w:noWrap/>
          </w:tcPr>
          <w:p>
            <w:pPr>
              <w:pStyle w:val="yTableNAm"/>
              <w:jc w:val="center"/>
            </w:pPr>
            <w:r>
              <w:t>6.601</w:t>
            </w:r>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tcPr>
          <w:p>
            <w:pPr>
              <w:pStyle w:val="yTableNAm"/>
              <w:jc w:val="center"/>
            </w:pPr>
            <w:r>
              <w:t>6.332</w:t>
            </w:r>
          </w:p>
        </w:tc>
        <w:tc>
          <w:tcPr>
            <w:tcW w:w="2160" w:type="dxa"/>
            <w:tcBorders>
              <w:top w:val="nil"/>
              <w:left w:val="nil"/>
              <w:bottom w:val="nil"/>
              <w:right w:val="nil"/>
            </w:tcBorders>
            <w:noWrap/>
          </w:tcPr>
          <w:p>
            <w:pPr>
              <w:pStyle w:val="yTableNAm"/>
              <w:jc w:val="center"/>
            </w:pPr>
            <w:r>
              <w:t>5.869</w:t>
            </w:r>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tcPr>
          <w:p>
            <w:pPr>
              <w:pStyle w:val="yTableNAm"/>
              <w:jc w:val="center"/>
            </w:pPr>
            <w:r>
              <w:t>9.661</w:t>
            </w:r>
          </w:p>
        </w:tc>
        <w:tc>
          <w:tcPr>
            <w:tcW w:w="2160" w:type="dxa"/>
            <w:tcBorders>
              <w:top w:val="nil"/>
              <w:left w:val="nil"/>
              <w:bottom w:val="nil"/>
              <w:right w:val="nil"/>
            </w:tcBorders>
            <w:noWrap/>
          </w:tcPr>
          <w:p>
            <w:pPr>
              <w:pStyle w:val="yTableNAm"/>
              <w:jc w:val="center"/>
            </w:pPr>
            <w:r>
              <w:t>10.131</w:t>
            </w:r>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tcPr>
          <w:p>
            <w:pPr>
              <w:pStyle w:val="yTableNAm"/>
              <w:jc w:val="center"/>
            </w:pPr>
            <w:r>
              <w:t>10.920</w:t>
            </w:r>
          </w:p>
        </w:tc>
        <w:tc>
          <w:tcPr>
            <w:tcW w:w="2160" w:type="dxa"/>
            <w:tcBorders>
              <w:top w:val="nil"/>
              <w:left w:val="nil"/>
              <w:bottom w:val="nil"/>
              <w:right w:val="nil"/>
            </w:tcBorders>
            <w:noWrap/>
          </w:tcPr>
          <w:p>
            <w:pPr>
              <w:pStyle w:val="yTableNAm"/>
              <w:jc w:val="center"/>
            </w:pPr>
            <w:r>
              <w:t>24.163</w:t>
            </w:r>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tcPr>
          <w:p>
            <w:pPr>
              <w:pStyle w:val="yTableNAm"/>
              <w:jc w:val="center"/>
            </w:pPr>
            <w:r>
              <w:t>12.488</w:t>
            </w:r>
          </w:p>
        </w:tc>
        <w:tc>
          <w:tcPr>
            <w:tcW w:w="2160" w:type="dxa"/>
            <w:tcBorders>
              <w:top w:val="nil"/>
              <w:left w:val="nil"/>
              <w:bottom w:val="nil"/>
              <w:right w:val="nil"/>
            </w:tcBorders>
            <w:noWrap/>
          </w:tcPr>
          <w:p>
            <w:pPr>
              <w:pStyle w:val="yTableNAm"/>
              <w:jc w:val="center"/>
            </w:pPr>
            <w:r>
              <w:t>13.500</w:t>
            </w:r>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tcPr>
          <w:p>
            <w:pPr>
              <w:pStyle w:val="yTableNAm"/>
              <w:jc w:val="center"/>
            </w:pPr>
            <w:r>
              <w:t>17.964</w:t>
            </w:r>
          </w:p>
        </w:tc>
        <w:tc>
          <w:tcPr>
            <w:tcW w:w="2160" w:type="dxa"/>
            <w:tcBorders>
              <w:top w:val="nil"/>
              <w:left w:val="nil"/>
              <w:bottom w:val="nil"/>
              <w:right w:val="nil"/>
            </w:tcBorders>
            <w:noWrap/>
          </w:tcPr>
          <w:p>
            <w:pPr>
              <w:pStyle w:val="yTableNAm"/>
              <w:jc w:val="center"/>
            </w:pPr>
            <w:r>
              <w:t>36.563</w:t>
            </w:r>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tcPr>
          <w:p>
            <w:pPr>
              <w:pStyle w:val="yTableNAm"/>
              <w:jc w:val="center"/>
            </w:pPr>
            <w:r>
              <w:t>357.066</w:t>
            </w:r>
          </w:p>
        </w:tc>
        <w:tc>
          <w:tcPr>
            <w:tcW w:w="2160" w:type="dxa"/>
            <w:tcBorders>
              <w:top w:val="nil"/>
              <w:left w:val="nil"/>
              <w:bottom w:val="nil"/>
              <w:right w:val="nil"/>
            </w:tcBorders>
            <w:noWrap/>
          </w:tcPr>
          <w:p>
            <w:pPr>
              <w:pStyle w:val="yTableNAm"/>
              <w:jc w:val="center"/>
            </w:pPr>
            <w:r>
              <w:t>1340.998</w:t>
            </w:r>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tcPr>
          <w:p>
            <w:pPr>
              <w:pStyle w:val="yTableNAm"/>
              <w:jc w:val="center"/>
            </w:pPr>
            <w:r>
              <w:t>28.489</w:t>
            </w:r>
          </w:p>
        </w:tc>
        <w:tc>
          <w:tcPr>
            <w:tcW w:w="2160" w:type="dxa"/>
            <w:tcBorders>
              <w:top w:val="nil"/>
              <w:left w:val="nil"/>
              <w:bottom w:val="nil"/>
              <w:right w:val="nil"/>
            </w:tcBorders>
            <w:noWrap/>
          </w:tcPr>
          <w:p>
            <w:pPr>
              <w:pStyle w:val="yTableNAm"/>
              <w:jc w:val="center"/>
            </w:pPr>
            <w:r>
              <w:t>140.373</w:t>
            </w:r>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tcPr>
          <w:p>
            <w:pPr>
              <w:pStyle w:val="yTableNAm"/>
              <w:jc w:val="center"/>
            </w:pPr>
            <w:r>
              <w:t>5.691</w:t>
            </w:r>
          </w:p>
        </w:tc>
        <w:tc>
          <w:tcPr>
            <w:tcW w:w="2160" w:type="dxa"/>
            <w:tcBorders>
              <w:top w:val="nil"/>
              <w:left w:val="nil"/>
              <w:bottom w:val="nil"/>
              <w:right w:val="nil"/>
            </w:tcBorders>
            <w:noWrap/>
          </w:tcPr>
          <w:p>
            <w:pPr>
              <w:pStyle w:val="yTableNAm"/>
              <w:jc w:val="center"/>
            </w:pPr>
            <w:r>
              <w:t>7.089</w:t>
            </w:r>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tcPr>
          <w:p>
            <w:pPr>
              <w:pStyle w:val="yTableNAm"/>
              <w:jc w:val="center"/>
            </w:pPr>
            <w:r>
              <w:t>16.537</w:t>
            </w:r>
          </w:p>
        </w:tc>
        <w:tc>
          <w:tcPr>
            <w:tcW w:w="2160" w:type="dxa"/>
            <w:tcBorders>
              <w:top w:val="nil"/>
              <w:left w:val="nil"/>
              <w:bottom w:val="nil"/>
              <w:right w:val="nil"/>
            </w:tcBorders>
            <w:noWrap/>
          </w:tcPr>
          <w:p>
            <w:pPr>
              <w:pStyle w:val="yTableNAm"/>
              <w:jc w:val="center"/>
            </w:pPr>
            <w:r>
              <w:t>77.335</w:t>
            </w:r>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tcPr>
          <w:p>
            <w:pPr>
              <w:pStyle w:val="yTableNAm"/>
              <w:jc w:val="center"/>
            </w:pPr>
            <w:r>
              <w:t>23.869</w:t>
            </w:r>
          </w:p>
        </w:tc>
        <w:tc>
          <w:tcPr>
            <w:tcW w:w="2160" w:type="dxa"/>
            <w:tcBorders>
              <w:top w:val="nil"/>
              <w:left w:val="nil"/>
              <w:bottom w:val="nil"/>
              <w:right w:val="nil"/>
            </w:tcBorders>
            <w:noWrap/>
          </w:tcPr>
          <w:p>
            <w:pPr>
              <w:pStyle w:val="yTableNAm"/>
              <w:jc w:val="center"/>
            </w:pPr>
            <w:r>
              <w:t>36.281</w:t>
            </w:r>
          </w:p>
        </w:tc>
      </w:tr>
      <w:tr>
        <w:tc>
          <w:tcPr>
            <w:tcW w:w="2159" w:type="dxa"/>
            <w:tcBorders>
              <w:top w:val="nil"/>
              <w:left w:val="nil"/>
              <w:bottom w:val="nil"/>
              <w:right w:val="nil"/>
            </w:tcBorders>
            <w:noWrap/>
          </w:tcPr>
          <w:p>
            <w:pPr>
              <w:pStyle w:val="yTableNAm"/>
            </w:pPr>
            <w:r>
              <w:lastRenderedPageBreak/>
              <w:t>Dalyellup</w:t>
            </w:r>
          </w:p>
        </w:tc>
        <w:tc>
          <w:tcPr>
            <w:tcW w:w="1810" w:type="dxa"/>
            <w:tcBorders>
              <w:top w:val="nil"/>
              <w:left w:val="nil"/>
              <w:bottom w:val="nil"/>
              <w:right w:val="nil"/>
            </w:tcBorders>
            <w:noWrap/>
          </w:tcPr>
          <w:p>
            <w:pPr>
              <w:pStyle w:val="yTableNAm"/>
              <w:jc w:val="center"/>
            </w:pPr>
            <w:r>
              <w:t>4.659</w:t>
            </w:r>
          </w:p>
        </w:tc>
        <w:tc>
          <w:tcPr>
            <w:tcW w:w="2160" w:type="dxa"/>
            <w:tcBorders>
              <w:top w:val="nil"/>
              <w:left w:val="nil"/>
              <w:bottom w:val="nil"/>
              <w:right w:val="nil"/>
            </w:tcBorders>
            <w:noWrap/>
          </w:tcPr>
          <w:p>
            <w:pPr>
              <w:pStyle w:val="yTableNAm"/>
              <w:jc w:val="center"/>
            </w:pPr>
            <w:r>
              <w:t>4.972</w:t>
            </w:r>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tcPr>
          <w:p>
            <w:pPr>
              <w:pStyle w:val="yTableNAm"/>
              <w:jc w:val="center"/>
            </w:pPr>
            <w:r>
              <w:t>20.623</w:t>
            </w:r>
          </w:p>
        </w:tc>
        <w:tc>
          <w:tcPr>
            <w:tcW w:w="2160" w:type="dxa"/>
            <w:tcBorders>
              <w:top w:val="nil"/>
              <w:left w:val="nil"/>
              <w:bottom w:val="nil"/>
              <w:right w:val="nil"/>
            </w:tcBorders>
            <w:noWrap/>
          </w:tcPr>
          <w:p>
            <w:pPr>
              <w:pStyle w:val="yTableNAm"/>
              <w:jc w:val="center"/>
            </w:pPr>
            <w:r>
              <w:t>63.318</w:t>
            </w:r>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tcPr>
          <w:p>
            <w:pPr>
              <w:pStyle w:val="yTableNAm"/>
              <w:jc w:val="center"/>
            </w:pPr>
            <w:r>
              <w:t>12.063</w:t>
            </w:r>
          </w:p>
        </w:tc>
        <w:tc>
          <w:tcPr>
            <w:tcW w:w="2160" w:type="dxa"/>
            <w:tcBorders>
              <w:top w:val="nil"/>
              <w:left w:val="nil"/>
              <w:bottom w:val="nil"/>
              <w:right w:val="nil"/>
            </w:tcBorders>
            <w:noWrap/>
          </w:tcPr>
          <w:p>
            <w:pPr>
              <w:pStyle w:val="yTableNAm"/>
              <w:jc w:val="center"/>
            </w:pPr>
            <w:r>
              <w:t>17.090</w:t>
            </w:r>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tcPr>
          <w:p>
            <w:pPr>
              <w:pStyle w:val="yTableNAm"/>
              <w:jc w:val="center"/>
            </w:pPr>
            <w:r>
              <w:t>23.057</w:t>
            </w:r>
          </w:p>
        </w:tc>
        <w:tc>
          <w:tcPr>
            <w:tcW w:w="2160" w:type="dxa"/>
            <w:tcBorders>
              <w:top w:val="nil"/>
              <w:left w:val="nil"/>
              <w:bottom w:val="nil"/>
              <w:right w:val="nil"/>
            </w:tcBorders>
            <w:noWrap/>
          </w:tcPr>
          <w:p>
            <w:pPr>
              <w:pStyle w:val="yTableNAm"/>
              <w:jc w:val="center"/>
            </w:pPr>
            <w:r>
              <w:t>52.194</w:t>
            </w:r>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tcPr>
          <w:p>
            <w:pPr>
              <w:pStyle w:val="yTableNAm"/>
              <w:jc w:val="center"/>
            </w:pPr>
            <w:r>
              <w:t>12.196</w:t>
            </w:r>
          </w:p>
        </w:tc>
        <w:tc>
          <w:tcPr>
            <w:tcW w:w="2160" w:type="dxa"/>
            <w:tcBorders>
              <w:top w:val="nil"/>
              <w:left w:val="nil"/>
              <w:bottom w:val="nil"/>
              <w:right w:val="nil"/>
            </w:tcBorders>
            <w:noWrap/>
          </w:tcPr>
          <w:p>
            <w:pPr>
              <w:pStyle w:val="yTableNAm"/>
              <w:jc w:val="center"/>
            </w:pPr>
            <w:r>
              <w:t>18.417</w:t>
            </w:r>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tcPr>
          <w:p>
            <w:pPr>
              <w:pStyle w:val="yTableNAm"/>
              <w:jc w:val="center"/>
            </w:pPr>
            <w:r>
              <w:t>16.541</w:t>
            </w:r>
          </w:p>
        </w:tc>
        <w:tc>
          <w:tcPr>
            <w:tcW w:w="2160" w:type="dxa"/>
            <w:tcBorders>
              <w:top w:val="nil"/>
              <w:left w:val="nil"/>
              <w:bottom w:val="nil"/>
              <w:right w:val="nil"/>
            </w:tcBorders>
            <w:noWrap/>
          </w:tcPr>
          <w:p>
            <w:pPr>
              <w:pStyle w:val="yTableNAm"/>
              <w:jc w:val="center"/>
            </w:pPr>
            <w:r>
              <w:t>30.024</w:t>
            </w:r>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tcPr>
          <w:p>
            <w:pPr>
              <w:pStyle w:val="yTableNAm"/>
              <w:jc w:val="center"/>
            </w:pPr>
            <w:r>
              <w:t>35.073</w:t>
            </w:r>
          </w:p>
        </w:tc>
        <w:tc>
          <w:tcPr>
            <w:tcW w:w="2160" w:type="dxa"/>
            <w:tcBorders>
              <w:top w:val="nil"/>
              <w:left w:val="nil"/>
              <w:bottom w:val="nil"/>
              <w:right w:val="nil"/>
            </w:tcBorders>
            <w:noWrap/>
          </w:tcPr>
          <w:p>
            <w:pPr>
              <w:pStyle w:val="yTableNAm"/>
              <w:jc w:val="center"/>
            </w:pPr>
            <w:r>
              <w:t>90.955</w:t>
            </w:r>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tcPr>
          <w:p>
            <w:pPr>
              <w:pStyle w:val="yTableNAm"/>
              <w:jc w:val="center"/>
            </w:pPr>
            <w:r>
              <w:t>6.731</w:t>
            </w:r>
          </w:p>
        </w:tc>
        <w:tc>
          <w:tcPr>
            <w:tcW w:w="2160" w:type="dxa"/>
            <w:tcBorders>
              <w:top w:val="nil"/>
              <w:left w:val="nil"/>
              <w:bottom w:val="nil"/>
              <w:right w:val="nil"/>
            </w:tcBorders>
            <w:noWrap/>
          </w:tcPr>
          <w:p>
            <w:pPr>
              <w:pStyle w:val="yTableNAm"/>
              <w:jc w:val="center"/>
            </w:pPr>
            <w:r>
              <w:t>4.695</w:t>
            </w:r>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tcPr>
          <w:p>
            <w:pPr>
              <w:pStyle w:val="yTableNAm"/>
              <w:jc w:val="center"/>
            </w:pPr>
            <w:r>
              <w:t>7.955</w:t>
            </w:r>
          </w:p>
        </w:tc>
        <w:tc>
          <w:tcPr>
            <w:tcW w:w="2160" w:type="dxa"/>
            <w:tcBorders>
              <w:top w:val="nil"/>
              <w:left w:val="nil"/>
              <w:bottom w:val="nil"/>
              <w:right w:val="nil"/>
            </w:tcBorders>
            <w:noWrap/>
          </w:tcPr>
          <w:p>
            <w:pPr>
              <w:pStyle w:val="yTableNAm"/>
              <w:jc w:val="center"/>
            </w:pPr>
            <w:r>
              <w:t>8.553</w:t>
            </w:r>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tcPr>
          <w:p>
            <w:pPr>
              <w:pStyle w:val="yTableNAm"/>
              <w:jc w:val="center"/>
            </w:pPr>
            <w:r>
              <w:t>34.140</w:t>
            </w:r>
          </w:p>
        </w:tc>
        <w:tc>
          <w:tcPr>
            <w:tcW w:w="2160" w:type="dxa"/>
            <w:tcBorders>
              <w:top w:val="nil"/>
              <w:left w:val="nil"/>
              <w:bottom w:val="nil"/>
              <w:right w:val="nil"/>
            </w:tcBorders>
            <w:noWrap/>
          </w:tcPr>
          <w:p>
            <w:pPr>
              <w:pStyle w:val="yTableNAm"/>
              <w:jc w:val="center"/>
            </w:pPr>
            <w:r>
              <w:t>244.183</w:t>
            </w:r>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tcPr>
          <w:p>
            <w:pPr>
              <w:pStyle w:val="yTableNAm"/>
              <w:jc w:val="center"/>
            </w:pPr>
            <w:r>
              <w:t>9.402</w:t>
            </w:r>
          </w:p>
        </w:tc>
        <w:tc>
          <w:tcPr>
            <w:tcW w:w="2160" w:type="dxa"/>
            <w:tcBorders>
              <w:top w:val="nil"/>
              <w:left w:val="nil"/>
              <w:bottom w:val="nil"/>
              <w:right w:val="nil"/>
            </w:tcBorders>
            <w:noWrap/>
          </w:tcPr>
          <w:p>
            <w:pPr>
              <w:pStyle w:val="yTableNAm"/>
              <w:jc w:val="center"/>
            </w:pPr>
            <w:r>
              <w:t>14.148</w:t>
            </w:r>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tcPr>
          <w:p>
            <w:pPr>
              <w:pStyle w:val="yTableNAm"/>
              <w:jc w:val="center"/>
            </w:pPr>
            <w:r>
              <w:t>3.099</w:t>
            </w:r>
          </w:p>
        </w:tc>
        <w:tc>
          <w:tcPr>
            <w:tcW w:w="2160" w:type="dxa"/>
            <w:tcBorders>
              <w:top w:val="nil"/>
              <w:left w:val="nil"/>
              <w:bottom w:val="nil"/>
              <w:right w:val="nil"/>
            </w:tcBorders>
            <w:noWrap/>
          </w:tcPr>
          <w:p>
            <w:pPr>
              <w:pStyle w:val="yTableNAm"/>
              <w:jc w:val="center"/>
            </w:pPr>
            <w:r>
              <w:t>5.531</w:t>
            </w:r>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tcPr>
          <w:p>
            <w:pPr>
              <w:pStyle w:val="yTableNAm"/>
              <w:jc w:val="center"/>
            </w:pPr>
            <w:r>
              <w:t>8.577</w:t>
            </w:r>
          </w:p>
        </w:tc>
        <w:tc>
          <w:tcPr>
            <w:tcW w:w="2160" w:type="dxa"/>
            <w:tcBorders>
              <w:top w:val="nil"/>
              <w:left w:val="nil"/>
              <w:bottom w:val="nil"/>
              <w:right w:val="nil"/>
            </w:tcBorders>
            <w:noWrap/>
          </w:tcPr>
          <w:p>
            <w:pPr>
              <w:pStyle w:val="yTableNAm"/>
              <w:jc w:val="center"/>
            </w:pPr>
            <w:r>
              <w:t>15.355</w:t>
            </w:r>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tcPr>
          <w:p>
            <w:pPr>
              <w:pStyle w:val="yTableNAm"/>
              <w:jc w:val="center"/>
            </w:pPr>
            <w:r>
              <w:t>10.742</w:t>
            </w:r>
          </w:p>
        </w:tc>
        <w:tc>
          <w:tcPr>
            <w:tcW w:w="2160" w:type="dxa"/>
            <w:tcBorders>
              <w:top w:val="nil"/>
              <w:left w:val="nil"/>
              <w:bottom w:val="nil"/>
              <w:right w:val="nil"/>
            </w:tcBorders>
            <w:noWrap/>
          </w:tcPr>
          <w:p>
            <w:pPr>
              <w:pStyle w:val="yTableNAm"/>
              <w:jc w:val="center"/>
            </w:pPr>
            <w:r>
              <w:t>15.472</w:t>
            </w:r>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tcPr>
          <w:p>
            <w:pPr>
              <w:pStyle w:val="yTableNAm"/>
              <w:jc w:val="center"/>
            </w:pPr>
            <w:r>
              <w:t>17.139</w:t>
            </w:r>
          </w:p>
        </w:tc>
        <w:tc>
          <w:tcPr>
            <w:tcW w:w="2160" w:type="dxa"/>
            <w:tcBorders>
              <w:top w:val="nil"/>
              <w:left w:val="nil"/>
              <w:bottom w:val="nil"/>
              <w:right w:val="nil"/>
            </w:tcBorders>
            <w:noWrap/>
          </w:tcPr>
          <w:p>
            <w:pPr>
              <w:pStyle w:val="yTableNAm"/>
              <w:jc w:val="center"/>
            </w:pPr>
            <w:r>
              <w:t>47.392</w:t>
            </w:r>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tcPr>
          <w:p>
            <w:pPr>
              <w:pStyle w:val="yTableNAm"/>
              <w:jc w:val="center"/>
            </w:pPr>
            <w:r>
              <w:t>8.775</w:t>
            </w:r>
          </w:p>
        </w:tc>
        <w:tc>
          <w:tcPr>
            <w:tcW w:w="2160" w:type="dxa"/>
            <w:tcBorders>
              <w:top w:val="nil"/>
              <w:left w:val="nil"/>
              <w:bottom w:val="nil"/>
              <w:right w:val="nil"/>
            </w:tcBorders>
            <w:noWrap/>
          </w:tcPr>
          <w:p>
            <w:pPr>
              <w:pStyle w:val="yTableNAm"/>
              <w:jc w:val="center"/>
            </w:pPr>
            <w:r>
              <w:t>19.976</w:t>
            </w:r>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tcPr>
          <w:p>
            <w:pPr>
              <w:pStyle w:val="yTableNAm"/>
              <w:jc w:val="center"/>
            </w:pPr>
            <w:r>
              <w:t>14.649</w:t>
            </w:r>
          </w:p>
        </w:tc>
        <w:tc>
          <w:tcPr>
            <w:tcW w:w="2160" w:type="dxa"/>
            <w:tcBorders>
              <w:top w:val="nil"/>
              <w:left w:val="nil"/>
              <w:bottom w:val="nil"/>
              <w:right w:val="nil"/>
            </w:tcBorders>
            <w:noWrap/>
          </w:tcPr>
          <w:p>
            <w:pPr>
              <w:pStyle w:val="yTableNAm"/>
              <w:jc w:val="center"/>
            </w:pPr>
            <w:r>
              <w:t>77.887</w:t>
            </w:r>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tcPr>
          <w:p>
            <w:pPr>
              <w:pStyle w:val="yTableNAm"/>
              <w:jc w:val="center"/>
            </w:pPr>
            <w:r>
              <w:t>10.220</w:t>
            </w:r>
          </w:p>
        </w:tc>
        <w:tc>
          <w:tcPr>
            <w:tcW w:w="2160" w:type="dxa"/>
            <w:tcBorders>
              <w:top w:val="nil"/>
              <w:left w:val="nil"/>
              <w:bottom w:val="nil"/>
              <w:right w:val="nil"/>
            </w:tcBorders>
            <w:noWrap/>
          </w:tcPr>
          <w:p>
            <w:pPr>
              <w:pStyle w:val="yTableNAm"/>
              <w:jc w:val="center"/>
            </w:pPr>
            <w:r>
              <w:t>16.444</w:t>
            </w:r>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tcPr>
          <w:p>
            <w:pPr>
              <w:pStyle w:val="yTableNAm"/>
              <w:jc w:val="center"/>
            </w:pPr>
            <w:r>
              <w:t>54.890</w:t>
            </w:r>
          </w:p>
        </w:tc>
        <w:tc>
          <w:tcPr>
            <w:tcW w:w="2160" w:type="dxa"/>
            <w:tcBorders>
              <w:top w:val="nil"/>
              <w:left w:val="nil"/>
              <w:bottom w:val="nil"/>
              <w:right w:val="nil"/>
            </w:tcBorders>
            <w:noWrap/>
          </w:tcPr>
          <w:p>
            <w:pPr>
              <w:pStyle w:val="yTableNAm"/>
              <w:jc w:val="center"/>
            </w:pPr>
            <w:r>
              <w:t>110.640</w:t>
            </w:r>
          </w:p>
        </w:tc>
      </w:tr>
      <w:tr>
        <w:tc>
          <w:tcPr>
            <w:tcW w:w="2159" w:type="dxa"/>
            <w:tcBorders>
              <w:top w:val="nil"/>
              <w:left w:val="nil"/>
              <w:bottom w:val="nil"/>
              <w:right w:val="nil"/>
            </w:tcBorders>
            <w:noWrap/>
          </w:tcPr>
          <w:p>
            <w:pPr>
              <w:pStyle w:val="yTableNAm"/>
            </w:pPr>
            <w:r>
              <w:lastRenderedPageBreak/>
              <w:t>Horrocks</w:t>
            </w:r>
          </w:p>
        </w:tc>
        <w:tc>
          <w:tcPr>
            <w:tcW w:w="1810" w:type="dxa"/>
            <w:tcBorders>
              <w:top w:val="nil"/>
              <w:left w:val="nil"/>
              <w:bottom w:val="nil"/>
              <w:right w:val="nil"/>
            </w:tcBorders>
            <w:noWrap/>
          </w:tcPr>
          <w:p>
            <w:pPr>
              <w:pStyle w:val="yTableNAm"/>
              <w:jc w:val="center"/>
            </w:pPr>
            <w:r>
              <w:t>25.415</w:t>
            </w:r>
          </w:p>
        </w:tc>
        <w:tc>
          <w:tcPr>
            <w:tcW w:w="2160" w:type="dxa"/>
            <w:tcBorders>
              <w:top w:val="nil"/>
              <w:left w:val="nil"/>
              <w:bottom w:val="nil"/>
              <w:right w:val="nil"/>
            </w:tcBorders>
            <w:noWrap/>
          </w:tcPr>
          <w:p>
            <w:pPr>
              <w:pStyle w:val="yTableNAm"/>
              <w:jc w:val="center"/>
            </w:pPr>
            <w:r>
              <w:t>43.321</w:t>
            </w:r>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tcPr>
          <w:p>
            <w:pPr>
              <w:pStyle w:val="yTableNAm"/>
              <w:jc w:val="center"/>
            </w:pPr>
            <w:r>
              <w:t>91.112</w:t>
            </w:r>
          </w:p>
        </w:tc>
        <w:tc>
          <w:tcPr>
            <w:tcW w:w="2160" w:type="dxa"/>
            <w:tcBorders>
              <w:top w:val="nil"/>
              <w:left w:val="nil"/>
              <w:bottom w:val="nil"/>
              <w:right w:val="nil"/>
            </w:tcBorders>
            <w:noWrap/>
          </w:tcPr>
          <w:p>
            <w:pPr>
              <w:pStyle w:val="yTableNAm"/>
              <w:jc w:val="center"/>
            </w:pPr>
            <w:r>
              <w:t>281.895</w:t>
            </w:r>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tcPr>
          <w:p>
            <w:pPr>
              <w:pStyle w:val="yTableNAm"/>
              <w:jc w:val="center"/>
            </w:pPr>
            <w:r>
              <w:t>4.461</w:t>
            </w:r>
          </w:p>
        </w:tc>
        <w:tc>
          <w:tcPr>
            <w:tcW w:w="2160" w:type="dxa"/>
            <w:tcBorders>
              <w:top w:val="nil"/>
              <w:left w:val="nil"/>
              <w:bottom w:val="nil"/>
              <w:right w:val="nil"/>
            </w:tcBorders>
            <w:noWrap/>
          </w:tcPr>
          <w:p>
            <w:pPr>
              <w:pStyle w:val="yTableNAm"/>
              <w:jc w:val="center"/>
            </w:pPr>
            <w:r>
              <w:t>10.511</w:t>
            </w:r>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tcPr>
          <w:p>
            <w:pPr>
              <w:pStyle w:val="yTableNAm"/>
              <w:jc w:val="center"/>
            </w:pPr>
            <w:r>
              <w:t>10.880</w:t>
            </w:r>
          </w:p>
        </w:tc>
        <w:tc>
          <w:tcPr>
            <w:tcW w:w="2160" w:type="dxa"/>
            <w:tcBorders>
              <w:top w:val="nil"/>
              <w:left w:val="nil"/>
              <w:bottom w:val="nil"/>
              <w:right w:val="nil"/>
            </w:tcBorders>
            <w:noWrap/>
          </w:tcPr>
          <w:p>
            <w:pPr>
              <w:pStyle w:val="yTableNAm"/>
              <w:jc w:val="center"/>
            </w:pPr>
            <w:r>
              <w:t>22.082</w:t>
            </w:r>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tcPr>
          <w:p>
            <w:pPr>
              <w:pStyle w:val="yTableNAm"/>
              <w:jc w:val="center"/>
            </w:pPr>
            <w:r>
              <w:t>7.455</w:t>
            </w:r>
          </w:p>
        </w:tc>
        <w:tc>
          <w:tcPr>
            <w:tcW w:w="2160" w:type="dxa"/>
            <w:tcBorders>
              <w:top w:val="nil"/>
              <w:left w:val="nil"/>
              <w:bottom w:val="nil"/>
              <w:right w:val="nil"/>
            </w:tcBorders>
            <w:noWrap/>
          </w:tcPr>
          <w:p>
            <w:pPr>
              <w:pStyle w:val="yTableNAm"/>
              <w:jc w:val="center"/>
            </w:pPr>
            <w:r>
              <w:t>57.008</w:t>
            </w:r>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tcPr>
          <w:p>
            <w:pPr>
              <w:pStyle w:val="yTableNAm"/>
              <w:jc w:val="center"/>
            </w:pPr>
            <w:r>
              <w:t>4.408</w:t>
            </w:r>
          </w:p>
        </w:tc>
        <w:tc>
          <w:tcPr>
            <w:tcW w:w="2160" w:type="dxa"/>
            <w:tcBorders>
              <w:top w:val="nil"/>
              <w:left w:val="nil"/>
              <w:bottom w:val="nil"/>
              <w:right w:val="nil"/>
            </w:tcBorders>
            <w:noWrap/>
          </w:tcPr>
          <w:p>
            <w:pPr>
              <w:pStyle w:val="yTableNAm"/>
              <w:jc w:val="center"/>
            </w:pPr>
            <w:r>
              <w:t>10.547</w:t>
            </w:r>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tcPr>
          <w:p>
            <w:pPr>
              <w:pStyle w:val="yTableNAm"/>
              <w:jc w:val="center"/>
            </w:pPr>
            <w:r>
              <w:t>15.992</w:t>
            </w:r>
          </w:p>
        </w:tc>
        <w:tc>
          <w:tcPr>
            <w:tcW w:w="2160" w:type="dxa"/>
            <w:tcBorders>
              <w:top w:val="nil"/>
              <w:left w:val="nil"/>
              <w:bottom w:val="nil"/>
              <w:right w:val="nil"/>
            </w:tcBorders>
            <w:noWrap/>
          </w:tcPr>
          <w:p>
            <w:pPr>
              <w:pStyle w:val="yTableNAm"/>
              <w:jc w:val="center"/>
            </w:pPr>
            <w:r>
              <w:t>77.572</w:t>
            </w:r>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tcPr>
          <w:p>
            <w:pPr>
              <w:pStyle w:val="yTableNAm"/>
              <w:jc w:val="center"/>
            </w:pPr>
            <w:r>
              <w:t>30.618</w:t>
            </w:r>
          </w:p>
        </w:tc>
        <w:tc>
          <w:tcPr>
            <w:tcW w:w="2160" w:type="dxa"/>
            <w:tcBorders>
              <w:top w:val="nil"/>
              <w:left w:val="nil"/>
              <w:bottom w:val="nil"/>
              <w:right w:val="nil"/>
            </w:tcBorders>
            <w:noWrap/>
          </w:tcPr>
          <w:p>
            <w:pPr>
              <w:pStyle w:val="yTableNAm"/>
              <w:jc w:val="center"/>
            </w:pPr>
            <w:r>
              <w:t>274.928</w:t>
            </w:r>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tcPr>
          <w:p>
            <w:pPr>
              <w:pStyle w:val="yTableNAm"/>
              <w:jc w:val="center"/>
            </w:pPr>
            <w:r>
              <w:t>19.986</w:t>
            </w:r>
          </w:p>
        </w:tc>
        <w:tc>
          <w:tcPr>
            <w:tcW w:w="2160" w:type="dxa"/>
            <w:tcBorders>
              <w:top w:val="nil"/>
              <w:left w:val="nil"/>
              <w:bottom w:val="nil"/>
              <w:right w:val="nil"/>
            </w:tcBorders>
            <w:noWrap/>
          </w:tcPr>
          <w:p>
            <w:pPr>
              <w:pStyle w:val="yTableNAm"/>
              <w:jc w:val="center"/>
            </w:pPr>
            <w:r>
              <w:t>64.964</w:t>
            </w:r>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tcPr>
          <w:p>
            <w:pPr>
              <w:pStyle w:val="yTableNAm"/>
              <w:jc w:val="center"/>
            </w:pPr>
            <w:r>
              <w:t>47.560</w:t>
            </w:r>
          </w:p>
        </w:tc>
        <w:tc>
          <w:tcPr>
            <w:tcW w:w="2160" w:type="dxa"/>
            <w:tcBorders>
              <w:top w:val="nil"/>
              <w:left w:val="nil"/>
              <w:bottom w:val="nil"/>
              <w:right w:val="nil"/>
            </w:tcBorders>
            <w:noWrap/>
          </w:tcPr>
          <w:p>
            <w:pPr>
              <w:pStyle w:val="yTableNAm"/>
              <w:jc w:val="center"/>
            </w:pPr>
            <w:r>
              <w:t>347.016</w:t>
            </w:r>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tcPr>
          <w:p>
            <w:pPr>
              <w:pStyle w:val="yTableNAm"/>
              <w:jc w:val="center"/>
            </w:pPr>
            <w:r>
              <w:t>8.399</w:t>
            </w:r>
          </w:p>
        </w:tc>
        <w:tc>
          <w:tcPr>
            <w:tcW w:w="2160" w:type="dxa"/>
            <w:tcBorders>
              <w:top w:val="nil"/>
              <w:left w:val="nil"/>
              <w:bottom w:val="nil"/>
              <w:right w:val="nil"/>
            </w:tcBorders>
            <w:noWrap/>
          </w:tcPr>
          <w:p>
            <w:pPr>
              <w:pStyle w:val="yTableNAm"/>
              <w:jc w:val="center"/>
            </w:pPr>
            <w:r>
              <w:t>16.713</w:t>
            </w:r>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tcPr>
          <w:p>
            <w:pPr>
              <w:pStyle w:val="yTableNAm"/>
              <w:jc w:val="center"/>
            </w:pPr>
            <w:r>
              <w:t>19.830</w:t>
            </w:r>
          </w:p>
        </w:tc>
        <w:tc>
          <w:tcPr>
            <w:tcW w:w="2160" w:type="dxa"/>
            <w:tcBorders>
              <w:top w:val="nil"/>
              <w:left w:val="nil"/>
              <w:bottom w:val="nil"/>
              <w:right w:val="nil"/>
            </w:tcBorders>
            <w:noWrap/>
          </w:tcPr>
          <w:p>
            <w:pPr>
              <w:pStyle w:val="yTableNAm"/>
              <w:jc w:val="center"/>
            </w:pPr>
            <w:r>
              <w:t>11.831</w:t>
            </w:r>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tcPr>
          <w:p>
            <w:pPr>
              <w:pStyle w:val="yTableNAm"/>
              <w:jc w:val="center"/>
            </w:pPr>
            <w:r>
              <w:t>26.547</w:t>
            </w:r>
          </w:p>
        </w:tc>
        <w:tc>
          <w:tcPr>
            <w:tcW w:w="2160" w:type="dxa"/>
            <w:tcBorders>
              <w:top w:val="nil"/>
              <w:left w:val="nil"/>
              <w:bottom w:val="nil"/>
              <w:right w:val="nil"/>
            </w:tcBorders>
            <w:noWrap/>
          </w:tcPr>
          <w:p>
            <w:pPr>
              <w:pStyle w:val="yTableNAm"/>
              <w:jc w:val="center"/>
            </w:pPr>
            <w:r>
              <w:t>690.912</w:t>
            </w:r>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tcPr>
          <w:p>
            <w:pPr>
              <w:pStyle w:val="yTableNAm"/>
              <w:jc w:val="center"/>
            </w:pPr>
            <w:r>
              <w:t>8.563</w:t>
            </w:r>
          </w:p>
        </w:tc>
        <w:tc>
          <w:tcPr>
            <w:tcW w:w="2160" w:type="dxa"/>
            <w:tcBorders>
              <w:top w:val="nil"/>
              <w:left w:val="nil"/>
              <w:bottom w:val="nil"/>
              <w:right w:val="nil"/>
            </w:tcBorders>
            <w:noWrap/>
          </w:tcPr>
          <w:p>
            <w:pPr>
              <w:pStyle w:val="yTableNAm"/>
              <w:jc w:val="center"/>
            </w:pPr>
            <w:r>
              <w:t>10.396</w:t>
            </w:r>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tcPr>
          <w:p>
            <w:pPr>
              <w:pStyle w:val="yTableNAm"/>
              <w:jc w:val="center"/>
            </w:pPr>
            <w:r>
              <w:t>15.585</w:t>
            </w:r>
          </w:p>
        </w:tc>
        <w:tc>
          <w:tcPr>
            <w:tcW w:w="2160" w:type="dxa"/>
            <w:tcBorders>
              <w:top w:val="nil"/>
              <w:left w:val="nil"/>
              <w:bottom w:val="nil"/>
              <w:right w:val="nil"/>
            </w:tcBorders>
            <w:noWrap/>
          </w:tcPr>
          <w:p>
            <w:pPr>
              <w:pStyle w:val="yTableNAm"/>
              <w:jc w:val="center"/>
            </w:pPr>
            <w:r>
              <w:t>27.974</w:t>
            </w:r>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tcPr>
          <w:p>
            <w:pPr>
              <w:pStyle w:val="yTableNAm"/>
              <w:jc w:val="center"/>
            </w:pPr>
            <w:r>
              <w:t>2.812</w:t>
            </w:r>
          </w:p>
        </w:tc>
        <w:tc>
          <w:tcPr>
            <w:tcW w:w="2160" w:type="dxa"/>
            <w:tcBorders>
              <w:top w:val="nil"/>
              <w:left w:val="nil"/>
              <w:bottom w:val="nil"/>
              <w:right w:val="nil"/>
            </w:tcBorders>
            <w:noWrap/>
          </w:tcPr>
          <w:p>
            <w:pPr>
              <w:pStyle w:val="yTableNAm"/>
              <w:jc w:val="center"/>
            </w:pPr>
            <w:r>
              <w:t>28.028</w:t>
            </w:r>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tcPr>
          <w:p>
            <w:pPr>
              <w:pStyle w:val="yTableNAm"/>
              <w:jc w:val="center"/>
            </w:pPr>
            <w:r>
              <w:t>7.892</w:t>
            </w:r>
          </w:p>
        </w:tc>
        <w:tc>
          <w:tcPr>
            <w:tcW w:w="2160" w:type="dxa"/>
            <w:tcBorders>
              <w:top w:val="nil"/>
              <w:left w:val="nil"/>
              <w:bottom w:val="nil"/>
              <w:right w:val="nil"/>
            </w:tcBorders>
            <w:noWrap/>
          </w:tcPr>
          <w:p>
            <w:pPr>
              <w:pStyle w:val="yTableNAm"/>
              <w:jc w:val="center"/>
            </w:pPr>
            <w:r>
              <w:t>7.002</w:t>
            </w:r>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tcPr>
          <w:p>
            <w:pPr>
              <w:pStyle w:val="yTableNAm"/>
              <w:jc w:val="center"/>
            </w:pPr>
            <w:r>
              <w:t>17.862</w:t>
            </w:r>
          </w:p>
        </w:tc>
        <w:tc>
          <w:tcPr>
            <w:tcW w:w="2160" w:type="dxa"/>
            <w:tcBorders>
              <w:top w:val="nil"/>
              <w:left w:val="nil"/>
              <w:bottom w:val="nil"/>
              <w:right w:val="nil"/>
            </w:tcBorders>
            <w:noWrap/>
          </w:tcPr>
          <w:p>
            <w:pPr>
              <w:pStyle w:val="yTableNAm"/>
              <w:jc w:val="center"/>
            </w:pPr>
            <w:r>
              <w:t>35.245</w:t>
            </w:r>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tcPr>
          <w:p>
            <w:pPr>
              <w:pStyle w:val="yTableNAm"/>
              <w:jc w:val="center"/>
            </w:pPr>
            <w:r>
              <w:t>13.225</w:t>
            </w:r>
          </w:p>
        </w:tc>
        <w:tc>
          <w:tcPr>
            <w:tcW w:w="2160" w:type="dxa"/>
            <w:tcBorders>
              <w:top w:val="nil"/>
              <w:left w:val="nil"/>
              <w:bottom w:val="nil"/>
              <w:right w:val="nil"/>
            </w:tcBorders>
            <w:noWrap/>
          </w:tcPr>
          <w:p>
            <w:pPr>
              <w:pStyle w:val="yTableNAm"/>
              <w:jc w:val="center"/>
            </w:pPr>
            <w:r>
              <w:t>28.382</w:t>
            </w:r>
          </w:p>
        </w:tc>
      </w:tr>
      <w:tr>
        <w:tc>
          <w:tcPr>
            <w:tcW w:w="2159" w:type="dxa"/>
            <w:tcBorders>
              <w:top w:val="nil"/>
              <w:left w:val="nil"/>
              <w:bottom w:val="nil"/>
              <w:right w:val="nil"/>
            </w:tcBorders>
            <w:noWrap/>
          </w:tcPr>
          <w:p>
            <w:pPr>
              <w:pStyle w:val="yTableNAm"/>
            </w:pPr>
            <w:r>
              <w:lastRenderedPageBreak/>
              <w:t>Meckering</w:t>
            </w:r>
          </w:p>
        </w:tc>
        <w:tc>
          <w:tcPr>
            <w:tcW w:w="1810" w:type="dxa"/>
            <w:tcBorders>
              <w:top w:val="nil"/>
              <w:left w:val="nil"/>
              <w:bottom w:val="nil"/>
              <w:right w:val="nil"/>
            </w:tcBorders>
            <w:noWrap/>
          </w:tcPr>
          <w:p>
            <w:pPr>
              <w:pStyle w:val="yTableNAm"/>
              <w:jc w:val="center"/>
            </w:pPr>
            <w:r>
              <w:t>100.845</w:t>
            </w:r>
          </w:p>
        </w:tc>
        <w:tc>
          <w:tcPr>
            <w:tcW w:w="2160" w:type="dxa"/>
            <w:tcBorders>
              <w:top w:val="nil"/>
              <w:left w:val="nil"/>
              <w:bottom w:val="nil"/>
              <w:right w:val="nil"/>
            </w:tcBorders>
            <w:noWrap/>
          </w:tcPr>
          <w:p>
            <w:pPr>
              <w:pStyle w:val="yTableNAm"/>
              <w:jc w:val="center"/>
            </w:pPr>
            <w:r>
              <w:t>293.471</w:t>
            </w:r>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tcPr>
          <w:p>
            <w:pPr>
              <w:pStyle w:val="yTableNAm"/>
              <w:jc w:val="center"/>
            </w:pPr>
            <w:r>
              <w:t>15.645</w:t>
            </w:r>
          </w:p>
        </w:tc>
        <w:tc>
          <w:tcPr>
            <w:tcW w:w="2160" w:type="dxa"/>
            <w:tcBorders>
              <w:top w:val="nil"/>
              <w:left w:val="nil"/>
              <w:bottom w:val="nil"/>
              <w:right w:val="nil"/>
            </w:tcBorders>
            <w:noWrap/>
          </w:tcPr>
          <w:p>
            <w:pPr>
              <w:pStyle w:val="yTableNAm"/>
              <w:jc w:val="center"/>
            </w:pPr>
            <w:r>
              <w:t>59.492</w:t>
            </w:r>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tcPr>
          <w:p>
            <w:pPr>
              <w:pStyle w:val="yTableNAm"/>
              <w:jc w:val="center"/>
            </w:pPr>
            <w:r>
              <w:t>14.910</w:t>
            </w:r>
          </w:p>
        </w:tc>
        <w:tc>
          <w:tcPr>
            <w:tcW w:w="2160" w:type="dxa"/>
            <w:tcBorders>
              <w:top w:val="nil"/>
              <w:left w:val="nil"/>
              <w:bottom w:val="nil"/>
              <w:right w:val="nil"/>
            </w:tcBorders>
            <w:noWrap/>
          </w:tcPr>
          <w:p>
            <w:pPr>
              <w:pStyle w:val="yTableNAm"/>
              <w:jc w:val="center"/>
            </w:pPr>
            <w:r>
              <w:t>30.985</w:t>
            </w:r>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tcPr>
          <w:p>
            <w:pPr>
              <w:pStyle w:val="yTableNAm"/>
              <w:jc w:val="center"/>
            </w:pPr>
            <w:r>
              <w:t>34.320</w:t>
            </w:r>
          </w:p>
        </w:tc>
        <w:tc>
          <w:tcPr>
            <w:tcW w:w="2160" w:type="dxa"/>
            <w:tcBorders>
              <w:top w:val="nil"/>
              <w:left w:val="nil"/>
              <w:bottom w:val="nil"/>
              <w:right w:val="nil"/>
            </w:tcBorders>
            <w:noWrap/>
          </w:tcPr>
          <w:p>
            <w:pPr>
              <w:pStyle w:val="yTableNAm"/>
              <w:jc w:val="center"/>
            </w:pPr>
            <w:r>
              <w:t>345.878</w:t>
            </w:r>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tcPr>
          <w:p>
            <w:pPr>
              <w:pStyle w:val="yTableNAm"/>
              <w:jc w:val="center"/>
            </w:pPr>
            <w:r>
              <w:t>11.894</w:t>
            </w:r>
          </w:p>
        </w:tc>
        <w:tc>
          <w:tcPr>
            <w:tcW w:w="2160" w:type="dxa"/>
            <w:tcBorders>
              <w:top w:val="nil"/>
              <w:left w:val="nil"/>
              <w:bottom w:val="nil"/>
              <w:right w:val="nil"/>
            </w:tcBorders>
            <w:noWrap/>
          </w:tcPr>
          <w:p>
            <w:pPr>
              <w:pStyle w:val="yTableNAm"/>
              <w:jc w:val="center"/>
            </w:pPr>
            <w:r>
              <w:t>20.242</w:t>
            </w:r>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tcPr>
          <w:p>
            <w:pPr>
              <w:pStyle w:val="yTableNAm"/>
              <w:jc w:val="center"/>
            </w:pPr>
            <w:r>
              <w:t>32.210</w:t>
            </w:r>
          </w:p>
        </w:tc>
        <w:tc>
          <w:tcPr>
            <w:tcW w:w="2160" w:type="dxa"/>
            <w:tcBorders>
              <w:top w:val="nil"/>
              <w:left w:val="nil"/>
              <w:bottom w:val="nil"/>
              <w:right w:val="nil"/>
            </w:tcBorders>
            <w:noWrap/>
          </w:tcPr>
          <w:p>
            <w:pPr>
              <w:pStyle w:val="yTableNAm"/>
              <w:jc w:val="center"/>
            </w:pPr>
            <w:r>
              <w:t>192.945</w:t>
            </w:r>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tcPr>
          <w:p>
            <w:pPr>
              <w:pStyle w:val="yTableNAm"/>
              <w:jc w:val="center"/>
            </w:pPr>
            <w:r>
              <w:t>11.938</w:t>
            </w:r>
          </w:p>
        </w:tc>
        <w:tc>
          <w:tcPr>
            <w:tcW w:w="2160" w:type="dxa"/>
            <w:tcBorders>
              <w:top w:val="nil"/>
              <w:left w:val="nil"/>
              <w:bottom w:val="nil"/>
              <w:right w:val="nil"/>
            </w:tcBorders>
            <w:noWrap/>
          </w:tcPr>
          <w:p>
            <w:pPr>
              <w:pStyle w:val="yTableNAm"/>
              <w:jc w:val="center"/>
            </w:pPr>
            <w:r>
              <w:t>21.965</w:t>
            </w:r>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tcPr>
          <w:p>
            <w:pPr>
              <w:pStyle w:val="yTableNAm"/>
              <w:jc w:val="center"/>
            </w:pPr>
            <w:r>
              <w:t>39.605</w:t>
            </w:r>
          </w:p>
        </w:tc>
        <w:tc>
          <w:tcPr>
            <w:tcW w:w="2160" w:type="dxa"/>
            <w:tcBorders>
              <w:top w:val="nil"/>
              <w:left w:val="nil"/>
              <w:bottom w:val="nil"/>
              <w:right w:val="nil"/>
            </w:tcBorders>
            <w:noWrap/>
          </w:tcPr>
          <w:p>
            <w:pPr>
              <w:pStyle w:val="yTableNAm"/>
              <w:jc w:val="center"/>
            </w:pPr>
            <w:r>
              <w:t>346.914</w:t>
            </w:r>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tcPr>
          <w:p>
            <w:pPr>
              <w:pStyle w:val="yTableNAm"/>
              <w:jc w:val="center"/>
            </w:pPr>
            <w:r>
              <w:t>1.197</w:t>
            </w:r>
          </w:p>
        </w:tc>
        <w:tc>
          <w:tcPr>
            <w:tcW w:w="2160" w:type="dxa"/>
            <w:tcBorders>
              <w:top w:val="nil"/>
              <w:left w:val="nil"/>
              <w:bottom w:val="nil"/>
              <w:right w:val="nil"/>
            </w:tcBorders>
            <w:noWrap/>
          </w:tcPr>
          <w:p>
            <w:pPr>
              <w:pStyle w:val="yTableNAm"/>
              <w:jc w:val="center"/>
            </w:pPr>
            <w:r>
              <w:t>1.040</w:t>
            </w:r>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tcPr>
          <w:p>
            <w:pPr>
              <w:pStyle w:val="yTableNAm"/>
              <w:jc w:val="center"/>
            </w:pPr>
            <w:r>
              <w:t>12.339</w:t>
            </w:r>
          </w:p>
        </w:tc>
        <w:tc>
          <w:tcPr>
            <w:tcW w:w="2160" w:type="dxa"/>
            <w:tcBorders>
              <w:top w:val="nil"/>
              <w:left w:val="nil"/>
              <w:bottom w:val="nil"/>
              <w:right w:val="nil"/>
            </w:tcBorders>
            <w:noWrap/>
          </w:tcPr>
          <w:p>
            <w:pPr>
              <w:pStyle w:val="yTableNAm"/>
              <w:jc w:val="center"/>
            </w:pPr>
            <w:r>
              <w:t>34.343</w:t>
            </w:r>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tcPr>
          <w:p>
            <w:pPr>
              <w:pStyle w:val="yTableNAm"/>
              <w:jc w:val="center"/>
            </w:pPr>
            <w:r>
              <w:t>3.029</w:t>
            </w:r>
          </w:p>
        </w:tc>
        <w:tc>
          <w:tcPr>
            <w:tcW w:w="2160" w:type="dxa"/>
            <w:tcBorders>
              <w:top w:val="nil"/>
              <w:left w:val="nil"/>
              <w:bottom w:val="nil"/>
              <w:right w:val="nil"/>
            </w:tcBorders>
            <w:noWrap/>
          </w:tcPr>
          <w:p>
            <w:pPr>
              <w:pStyle w:val="yTableNAm"/>
              <w:jc w:val="center"/>
            </w:pPr>
            <w:r>
              <w:t>18.088</w:t>
            </w:r>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tcPr>
          <w:p>
            <w:pPr>
              <w:pStyle w:val="yTableNAm"/>
              <w:jc w:val="center"/>
            </w:pPr>
            <w:r>
              <w:t>33.233</w:t>
            </w:r>
          </w:p>
        </w:tc>
        <w:tc>
          <w:tcPr>
            <w:tcW w:w="2160" w:type="dxa"/>
            <w:tcBorders>
              <w:top w:val="nil"/>
              <w:left w:val="nil"/>
              <w:bottom w:val="nil"/>
              <w:right w:val="nil"/>
            </w:tcBorders>
            <w:noWrap/>
          </w:tcPr>
          <w:p>
            <w:pPr>
              <w:pStyle w:val="yTableNAm"/>
              <w:jc w:val="center"/>
            </w:pPr>
            <w:r>
              <w:t>109.561</w:t>
            </w:r>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tcPr>
          <w:p>
            <w:pPr>
              <w:pStyle w:val="yTableNAm"/>
              <w:jc w:val="center"/>
            </w:pPr>
            <w:r>
              <w:t>20.433</w:t>
            </w:r>
          </w:p>
        </w:tc>
        <w:tc>
          <w:tcPr>
            <w:tcW w:w="2160" w:type="dxa"/>
            <w:tcBorders>
              <w:top w:val="nil"/>
              <w:left w:val="nil"/>
              <w:bottom w:val="nil"/>
              <w:right w:val="nil"/>
            </w:tcBorders>
            <w:noWrap/>
          </w:tcPr>
          <w:p>
            <w:pPr>
              <w:pStyle w:val="yTableNAm"/>
              <w:jc w:val="center"/>
            </w:pPr>
            <w:r>
              <w:t>88.111</w:t>
            </w:r>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tcPr>
          <w:p>
            <w:pPr>
              <w:pStyle w:val="yTableNAm"/>
              <w:jc w:val="center"/>
            </w:pPr>
            <w:r>
              <w:t>11.438</w:t>
            </w:r>
          </w:p>
        </w:tc>
        <w:tc>
          <w:tcPr>
            <w:tcW w:w="2160" w:type="dxa"/>
            <w:tcBorders>
              <w:top w:val="nil"/>
              <w:left w:val="nil"/>
              <w:bottom w:val="nil"/>
              <w:right w:val="nil"/>
            </w:tcBorders>
            <w:noWrap/>
          </w:tcPr>
          <w:p>
            <w:pPr>
              <w:pStyle w:val="yTableNAm"/>
              <w:jc w:val="center"/>
            </w:pPr>
            <w:r>
              <w:t>9.747</w:t>
            </w:r>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tcPr>
          <w:p>
            <w:pPr>
              <w:pStyle w:val="yTableNAm"/>
              <w:jc w:val="center"/>
            </w:pPr>
            <w:r>
              <w:t>8.898</w:t>
            </w:r>
          </w:p>
        </w:tc>
        <w:tc>
          <w:tcPr>
            <w:tcW w:w="2160" w:type="dxa"/>
            <w:tcBorders>
              <w:top w:val="nil"/>
              <w:left w:val="nil"/>
              <w:bottom w:val="nil"/>
              <w:right w:val="nil"/>
            </w:tcBorders>
            <w:noWrap/>
          </w:tcPr>
          <w:p>
            <w:pPr>
              <w:pStyle w:val="yTableNAm"/>
              <w:jc w:val="center"/>
            </w:pPr>
            <w:r>
              <w:t>37.293</w:t>
            </w:r>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tcPr>
          <w:p>
            <w:pPr>
              <w:pStyle w:val="yTableNAm"/>
              <w:jc w:val="center"/>
            </w:pPr>
            <w:r>
              <w:t>9.368</w:t>
            </w:r>
          </w:p>
        </w:tc>
        <w:tc>
          <w:tcPr>
            <w:tcW w:w="2160" w:type="dxa"/>
            <w:tcBorders>
              <w:top w:val="nil"/>
              <w:left w:val="nil"/>
              <w:bottom w:val="nil"/>
              <w:right w:val="nil"/>
            </w:tcBorders>
            <w:noWrap/>
          </w:tcPr>
          <w:p>
            <w:pPr>
              <w:pStyle w:val="yTableNAm"/>
              <w:jc w:val="center"/>
            </w:pPr>
            <w:r>
              <w:t>12.969</w:t>
            </w:r>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tcPr>
          <w:p>
            <w:pPr>
              <w:pStyle w:val="yTableNAm"/>
              <w:jc w:val="center"/>
            </w:pPr>
            <w:r>
              <w:t>27.205</w:t>
            </w:r>
          </w:p>
        </w:tc>
        <w:tc>
          <w:tcPr>
            <w:tcW w:w="2160" w:type="dxa"/>
            <w:tcBorders>
              <w:top w:val="nil"/>
              <w:left w:val="nil"/>
              <w:bottom w:val="nil"/>
              <w:right w:val="nil"/>
            </w:tcBorders>
            <w:noWrap/>
          </w:tcPr>
          <w:p>
            <w:pPr>
              <w:pStyle w:val="yTableNAm"/>
              <w:jc w:val="center"/>
            </w:pPr>
            <w:r>
              <w:t>73.304</w:t>
            </w:r>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tcPr>
          <w:p>
            <w:pPr>
              <w:pStyle w:val="yTableNAm"/>
              <w:jc w:val="center"/>
            </w:pPr>
            <w:r>
              <w:t>39.040</w:t>
            </w:r>
          </w:p>
        </w:tc>
        <w:tc>
          <w:tcPr>
            <w:tcW w:w="2160" w:type="dxa"/>
            <w:tcBorders>
              <w:top w:val="nil"/>
              <w:left w:val="nil"/>
              <w:bottom w:val="nil"/>
              <w:right w:val="nil"/>
            </w:tcBorders>
            <w:noWrap/>
          </w:tcPr>
          <w:p>
            <w:pPr>
              <w:pStyle w:val="yTableNAm"/>
              <w:jc w:val="center"/>
            </w:pPr>
            <w:r>
              <w:t>261.990</w:t>
            </w:r>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tcPr>
          <w:p>
            <w:pPr>
              <w:pStyle w:val="yTableNAm"/>
              <w:jc w:val="center"/>
            </w:pPr>
            <w:r>
              <w:t>64.991</w:t>
            </w:r>
          </w:p>
        </w:tc>
        <w:tc>
          <w:tcPr>
            <w:tcW w:w="2160" w:type="dxa"/>
            <w:tcBorders>
              <w:top w:val="nil"/>
              <w:left w:val="nil"/>
              <w:bottom w:val="nil"/>
              <w:right w:val="nil"/>
            </w:tcBorders>
            <w:noWrap/>
          </w:tcPr>
          <w:p>
            <w:pPr>
              <w:pStyle w:val="yTableNAm"/>
              <w:jc w:val="center"/>
            </w:pPr>
            <w:r>
              <w:t>102.734</w:t>
            </w:r>
          </w:p>
        </w:tc>
      </w:tr>
      <w:tr>
        <w:tc>
          <w:tcPr>
            <w:tcW w:w="2159" w:type="dxa"/>
            <w:tcBorders>
              <w:top w:val="nil"/>
              <w:left w:val="nil"/>
              <w:bottom w:val="nil"/>
              <w:right w:val="nil"/>
            </w:tcBorders>
            <w:noWrap/>
          </w:tcPr>
          <w:p>
            <w:pPr>
              <w:pStyle w:val="yTableNAm"/>
            </w:pPr>
            <w:r>
              <w:lastRenderedPageBreak/>
              <w:t>Tambellup</w:t>
            </w:r>
          </w:p>
        </w:tc>
        <w:tc>
          <w:tcPr>
            <w:tcW w:w="1810" w:type="dxa"/>
            <w:tcBorders>
              <w:top w:val="nil"/>
              <w:left w:val="nil"/>
              <w:bottom w:val="nil"/>
              <w:right w:val="nil"/>
            </w:tcBorders>
            <w:noWrap/>
          </w:tcPr>
          <w:p>
            <w:pPr>
              <w:pStyle w:val="yTableNAm"/>
              <w:jc w:val="center"/>
            </w:pPr>
            <w:r>
              <w:t>50.991</w:t>
            </w:r>
          </w:p>
        </w:tc>
        <w:tc>
          <w:tcPr>
            <w:tcW w:w="2160" w:type="dxa"/>
            <w:tcBorders>
              <w:top w:val="nil"/>
              <w:left w:val="nil"/>
              <w:bottom w:val="nil"/>
              <w:right w:val="nil"/>
            </w:tcBorders>
            <w:noWrap/>
          </w:tcPr>
          <w:p>
            <w:pPr>
              <w:pStyle w:val="yTableNAm"/>
              <w:jc w:val="center"/>
            </w:pPr>
            <w:r>
              <w:t>274.106</w:t>
            </w:r>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tcPr>
          <w:p>
            <w:pPr>
              <w:pStyle w:val="yTableNAm"/>
              <w:jc w:val="center"/>
            </w:pPr>
            <w:r>
              <w:t>5.097</w:t>
            </w:r>
          </w:p>
        </w:tc>
        <w:tc>
          <w:tcPr>
            <w:tcW w:w="2160" w:type="dxa"/>
            <w:tcBorders>
              <w:top w:val="nil"/>
              <w:left w:val="nil"/>
              <w:bottom w:val="nil"/>
              <w:right w:val="nil"/>
            </w:tcBorders>
            <w:noWrap/>
          </w:tcPr>
          <w:p>
            <w:pPr>
              <w:pStyle w:val="yTableNAm"/>
              <w:jc w:val="center"/>
            </w:pPr>
            <w:r>
              <w:t>79.604</w:t>
            </w:r>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tcPr>
          <w:p>
            <w:pPr>
              <w:pStyle w:val="yTableNAm"/>
              <w:jc w:val="center"/>
            </w:pPr>
            <w:r>
              <w:t>10.709</w:t>
            </w:r>
          </w:p>
        </w:tc>
        <w:tc>
          <w:tcPr>
            <w:tcW w:w="2160" w:type="dxa"/>
            <w:tcBorders>
              <w:top w:val="nil"/>
              <w:left w:val="nil"/>
              <w:bottom w:val="nil"/>
              <w:right w:val="nil"/>
            </w:tcBorders>
            <w:noWrap/>
          </w:tcPr>
          <w:p>
            <w:pPr>
              <w:pStyle w:val="yTableNAm"/>
              <w:jc w:val="center"/>
            </w:pPr>
            <w:r>
              <w:t>36.322</w:t>
            </w:r>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tcPr>
          <w:p>
            <w:pPr>
              <w:pStyle w:val="yTableNAm"/>
              <w:jc w:val="center"/>
            </w:pPr>
            <w:r>
              <w:t>17.922</w:t>
            </w:r>
          </w:p>
        </w:tc>
        <w:tc>
          <w:tcPr>
            <w:tcW w:w="2160" w:type="dxa"/>
            <w:tcBorders>
              <w:top w:val="nil"/>
              <w:left w:val="nil"/>
              <w:bottom w:val="nil"/>
              <w:right w:val="nil"/>
            </w:tcBorders>
            <w:noWrap/>
          </w:tcPr>
          <w:p>
            <w:pPr>
              <w:pStyle w:val="yTableNAm"/>
              <w:jc w:val="center"/>
            </w:pPr>
            <w:r>
              <w:t>45.286</w:t>
            </w:r>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tcPr>
          <w:p>
            <w:pPr>
              <w:pStyle w:val="yTableNAm"/>
              <w:jc w:val="center"/>
            </w:pPr>
            <w:r>
              <w:t>24.655</w:t>
            </w:r>
          </w:p>
        </w:tc>
        <w:tc>
          <w:tcPr>
            <w:tcW w:w="2160" w:type="dxa"/>
            <w:tcBorders>
              <w:top w:val="nil"/>
              <w:left w:val="nil"/>
              <w:bottom w:val="nil"/>
              <w:right w:val="nil"/>
            </w:tcBorders>
            <w:noWrap/>
          </w:tcPr>
          <w:p>
            <w:pPr>
              <w:pStyle w:val="yTableNAm"/>
              <w:jc w:val="center"/>
            </w:pPr>
            <w:r>
              <w:t>43.388</w:t>
            </w:r>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tcPr>
          <w:p>
            <w:pPr>
              <w:pStyle w:val="yTableNAm"/>
              <w:jc w:val="center"/>
            </w:pPr>
            <w:r>
              <w:t>8.995</w:t>
            </w:r>
          </w:p>
        </w:tc>
        <w:tc>
          <w:tcPr>
            <w:tcW w:w="2160" w:type="dxa"/>
            <w:tcBorders>
              <w:top w:val="nil"/>
              <w:left w:val="nil"/>
              <w:bottom w:val="nil"/>
              <w:right w:val="nil"/>
            </w:tcBorders>
            <w:noWrap/>
          </w:tcPr>
          <w:p>
            <w:pPr>
              <w:pStyle w:val="yTableNAm"/>
              <w:jc w:val="center"/>
            </w:pPr>
            <w:r>
              <w:t>16.412</w:t>
            </w:r>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tcPr>
          <w:p>
            <w:pPr>
              <w:pStyle w:val="yTableNAm"/>
              <w:jc w:val="center"/>
            </w:pPr>
            <w:r>
              <w:t>11.503</w:t>
            </w:r>
          </w:p>
        </w:tc>
        <w:tc>
          <w:tcPr>
            <w:tcW w:w="2160" w:type="dxa"/>
            <w:tcBorders>
              <w:top w:val="nil"/>
              <w:left w:val="nil"/>
              <w:bottom w:val="nil"/>
              <w:right w:val="nil"/>
            </w:tcBorders>
            <w:noWrap/>
          </w:tcPr>
          <w:p>
            <w:pPr>
              <w:pStyle w:val="yTableNAm"/>
              <w:jc w:val="center"/>
            </w:pPr>
            <w:r>
              <w:t>79.247</w:t>
            </w:r>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tcPr>
          <w:p>
            <w:pPr>
              <w:pStyle w:val="yTableNAm"/>
              <w:jc w:val="center"/>
            </w:pPr>
            <w:r>
              <w:t>23.648</w:t>
            </w:r>
          </w:p>
        </w:tc>
        <w:tc>
          <w:tcPr>
            <w:tcW w:w="2160" w:type="dxa"/>
            <w:tcBorders>
              <w:top w:val="nil"/>
              <w:left w:val="nil"/>
              <w:bottom w:val="nil"/>
              <w:right w:val="nil"/>
            </w:tcBorders>
            <w:noWrap/>
          </w:tcPr>
          <w:p>
            <w:pPr>
              <w:pStyle w:val="yTableNAm"/>
              <w:jc w:val="center"/>
            </w:pPr>
            <w:r>
              <w:t>36.201</w:t>
            </w:r>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tcPr>
          <w:p>
            <w:pPr>
              <w:pStyle w:val="yTableNAm"/>
              <w:jc w:val="center"/>
            </w:pPr>
            <w:r>
              <w:t>15.355</w:t>
            </w:r>
          </w:p>
        </w:tc>
        <w:tc>
          <w:tcPr>
            <w:tcW w:w="2160" w:type="dxa"/>
            <w:tcBorders>
              <w:top w:val="nil"/>
              <w:left w:val="nil"/>
              <w:bottom w:val="nil"/>
              <w:right w:val="nil"/>
            </w:tcBorders>
            <w:noWrap/>
          </w:tcPr>
          <w:p>
            <w:pPr>
              <w:pStyle w:val="yTableNAm"/>
              <w:jc w:val="center"/>
            </w:pPr>
            <w:r>
              <w:t>14.695</w:t>
            </w:r>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tcPr>
          <w:p>
            <w:pPr>
              <w:pStyle w:val="yTableNAm"/>
              <w:jc w:val="center"/>
            </w:pPr>
            <w:r>
              <w:t>18.635</w:t>
            </w:r>
          </w:p>
        </w:tc>
        <w:tc>
          <w:tcPr>
            <w:tcW w:w="2160" w:type="dxa"/>
            <w:tcBorders>
              <w:top w:val="nil"/>
              <w:left w:val="nil"/>
              <w:bottom w:val="nil"/>
              <w:right w:val="nil"/>
            </w:tcBorders>
            <w:noWrap/>
          </w:tcPr>
          <w:p>
            <w:pPr>
              <w:pStyle w:val="yTableNAm"/>
              <w:jc w:val="center"/>
            </w:pPr>
            <w:r>
              <w:t>60.341</w:t>
            </w:r>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tcPr>
          <w:p>
            <w:pPr>
              <w:pStyle w:val="yTableNAm"/>
              <w:jc w:val="center"/>
            </w:pPr>
            <w:r>
              <w:t>18.089</w:t>
            </w:r>
          </w:p>
        </w:tc>
        <w:tc>
          <w:tcPr>
            <w:tcW w:w="2160" w:type="dxa"/>
            <w:tcBorders>
              <w:top w:val="nil"/>
              <w:left w:val="nil"/>
              <w:bottom w:val="nil"/>
              <w:right w:val="nil"/>
            </w:tcBorders>
            <w:noWrap/>
          </w:tcPr>
          <w:p>
            <w:pPr>
              <w:pStyle w:val="yTableNAm"/>
              <w:jc w:val="center"/>
            </w:pPr>
            <w:r>
              <w:t>23.377</w:t>
            </w:r>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tcPr>
          <w:p>
            <w:pPr>
              <w:pStyle w:val="yTableNAm"/>
              <w:jc w:val="center"/>
            </w:pPr>
            <w:r>
              <w:t>39.617</w:t>
            </w:r>
          </w:p>
        </w:tc>
        <w:tc>
          <w:tcPr>
            <w:tcW w:w="2160" w:type="dxa"/>
            <w:tcBorders>
              <w:top w:val="nil"/>
              <w:left w:val="nil"/>
              <w:bottom w:val="nil"/>
              <w:right w:val="nil"/>
            </w:tcBorders>
            <w:noWrap/>
          </w:tcPr>
          <w:p>
            <w:pPr>
              <w:pStyle w:val="yTableNAm"/>
              <w:jc w:val="center"/>
            </w:pPr>
            <w:r>
              <w:t>207.937</w:t>
            </w:r>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tcPr>
          <w:p>
            <w:pPr>
              <w:pStyle w:val="yTableNAm"/>
              <w:jc w:val="center"/>
            </w:pPr>
            <w:r>
              <w:t>51.902</w:t>
            </w:r>
          </w:p>
        </w:tc>
        <w:tc>
          <w:tcPr>
            <w:tcW w:w="2160" w:type="dxa"/>
            <w:tcBorders>
              <w:top w:val="nil"/>
              <w:left w:val="nil"/>
              <w:bottom w:val="nil"/>
              <w:right w:val="nil"/>
            </w:tcBorders>
            <w:noWrap/>
          </w:tcPr>
          <w:p>
            <w:pPr>
              <w:pStyle w:val="yTableNAm"/>
              <w:jc w:val="center"/>
            </w:pPr>
            <w:r>
              <w:t>225.485</w:t>
            </w:r>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tcPr>
          <w:p>
            <w:pPr>
              <w:pStyle w:val="yTableNAm"/>
              <w:jc w:val="center"/>
            </w:pPr>
            <w:r>
              <w:t>1.575</w:t>
            </w:r>
          </w:p>
        </w:tc>
        <w:tc>
          <w:tcPr>
            <w:tcW w:w="2160" w:type="dxa"/>
            <w:tcBorders>
              <w:top w:val="nil"/>
              <w:left w:val="nil"/>
              <w:bottom w:val="nil"/>
              <w:right w:val="nil"/>
            </w:tcBorders>
            <w:noWrap/>
          </w:tcPr>
          <w:p>
            <w:pPr>
              <w:pStyle w:val="yTableNAm"/>
              <w:jc w:val="center"/>
            </w:pPr>
            <w:r>
              <w:t>3.113</w:t>
            </w:r>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tcPr>
          <w:p>
            <w:pPr>
              <w:pStyle w:val="yTableNAm"/>
              <w:jc w:val="center"/>
            </w:pPr>
            <w:r>
              <w:t>7.141</w:t>
            </w:r>
          </w:p>
        </w:tc>
        <w:tc>
          <w:tcPr>
            <w:tcW w:w="2160" w:type="dxa"/>
            <w:tcBorders>
              <w:top w:val="nil"/>
              <w:left w:val="nil"/>
              <w:bottom w:val="single" w:sz="4" w:space="0" w:color="auto"/>
              <w:right w:val="nil"/>
            </w:tcBorders>
            <w:noWrap/>
          </w:tcPr>
          <w:p>
            <w:pPr>
              <w:pStyle w:val="yTableNAm"/>
              <w:jc w:val="center"/>
            </w:pPr>
            <w:r>
              <w:t>8.065</w:t>
            </w:r>
          </w:p>
        </w:tc>
      </w:tr>
    </w:tbl>
    <w:p>
      <w:pPr>
        <w:pStyle w:val="yFootnotesection"/>
      </w:pPr>
      <w:r>
        <w:tab/>
        <w:t>[Division 1 inserted: SL 2021/80 r. 8.]</w:t>
      </w:r>
    </w:p>
    <w:p>
      <w:pPr>
        <w:pStyle w:val="yHeading3"/>
      </w:pPr>
      <w:bookmarkStart w:id="273" w:name="_Toc106104038"/>
      <w:bookmarkStart w:id="274" w:name="_Toc106104266"/>
      <w:bookmarkStart w:id="275" w:name="_Toc106179794"/>
      <w:bookmarkStart w:id="276" w:name="_Toc106180022"/>
      <w:r>
        <w:rPr>
          <w:rStyle w:val="CharSDivNo"/>
        </w:rPr>
        <w:lastRenderedPageBreak/>
        <w:t>Division 2</w:t>
      </w:r>
      <w:r>
        <w:t> — </w:t>
      </w:r>
      <w:r>
        <w:rPr>
          <w:rStyle w:val="CharSDivText"/>
        </w:rPr>
        <w:t>Combined charges for certain non</w:t>
      </w:r>
      <w:r>
        <w:rPr>
          <w:rStyle w:val="CharSDivText"/>
        </w:rPr>
        <w:noBreakHyphen/>
        <w:t>residential property</w:t>
      </w:r>
      <w:bookmarkEnd w:id="273"/>
      <w:bookmarkEnd w:id="274"/>
      <w:bookmarkEnd w:id="275"/>
      <w:bookmarkEnd w:id="276"/>
    </w:p>
    <w:p>
      <w:pPr>
        <w:pStyle w:val="yFootnoteheading"/>
        <w:keepNext/>
      </w:pPr>
      <w:r>
        <w:tab/>
        <w:t>[Heading inserted: SL 2021/80 r. 8.]</w:t>
      </w:r>
    </w:p>
    <w:p>
      <w:pPr>
        <w:pStyle w:val="yHeading4"/>
      </w:pPr>
      <w:bookmarkStart w:id="277" w:name="_Toc106104039"/>
      <w:bookmarkStart w:id="278" w:name="_Toc106104267"/>
      <w:bookmarkStart w:id="279" w:name="_Toc106179795"/>
      <w:bookmarkStart w:id="280" w:name="_Toc106180023"/>
      <w:r>
        <w:t>Subdivision 1 — Preliminary</w:t>
      </w:r>
      <w:bookmarkEnd w:id="277"/>
      <w:bookmarkEnd w:id="278"/>
      <w:bookmarkEnd w:id="279"/>
      <w:bookmarkEnd w:id="280"/>
    </w:p>
    <w:p>
      <w:pPr>
        <w:pStyle w:val="yFootnoteheading"/>
        <w:keepNext/>
      </w:pPr>
      <w:r>
        <w:tab/>
        <w:t>[Heading inserted: SL 2021/80 r. 8.]</w:t>
      </w:r>
    </w:p>
    <w:p>
      <w:pPr>
        <w:pStyle w:val="yHeading5"/>
      </w:pPr>
      <w:bookmarkStart w:id="281" w:name="_Toc106180024"/>
      <w:r>
        <w:t>12.</w:t>
      </w:r>
      <w:r>
        <w:tab/>
        <w:t>Combined charges for 2021/22 and subsequent years</w:t>
      </w:r>
      <w:bookmarkEnd w:id="281"/>
    </w:p>
    <w:p>
      <w:pPr>
        <w:pStyle w:val="ySubsection"/>
      </w:pPr>
      <w:r>
        <w:tab/>
      </w:r>
      <w:r>
        <w:tab/>
        <w:t>The charges set out in this Division apply for sewerage services provided and wastewater discharged in the 2021/22 financial year and each subsequent year.</w:t>
      </w:r>
    </w:p>
    <w:p>
      <w:pPr>
        <w:pStyle w:val="yHeading4"/>
      </w:pPr>
      <w:bookmarkStart w:id="282" w:name="_Toc106104041"/>
      <w:bookmarkStart w:id="283" w:name="_Toc106104269"/>
      <w:bookmarkStart w:id="284" w:name="_Toc106179797"/>
      <w:bookmarkStart w:id="285" w:name="_Toc106180025"/>
      <w:r>
        <w:t>Subdivision 2 — Combined charges: metropolitan</w:t>
      </w:r>
      <w:bookmarkEnd w:id="282"/>
      <w:bookmarkEnd w:id="283"/>
      <w:bookmarkEnd w:id="284"/>
      <w:bookmarkEnd w:id="285"/>
    </w:p>
    <w:p>
      <w:pPr>
        <w:pStyle w:val="yFootnoteheading"/>
      </w:pPr>
      <w:r>
        <w:tab/>
        <w:t>[Heading inserted: SL 2021/80 r. 8.]</w:t>
      </w:r>
    </w:p>
    <w:p>
      <w:pPr>
        <w:pStyle w:val="yHeading5"/>
      </w:pPr>
      <w:bookmarkStart w:id="286" w:name="_Toc106180026"/>
      <w:r>
        <w:t>13.</w:t>
      </w:r>
      <w:r>
        <w:tab/>
        <w:t>Metropolitan non</w:t>
      </w:r>
      <w:r>
        <w:noBreakHyphen/>
        <w:t>residential</w:t>
      </w:r>
      <w:bookmarkEnd w:id="286"/>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P</w:t>
      </w:r>
      <w:r>
        <w:tab/>
        <w:t xml:space="preserve">is the service charge calculated in accordance with </w:t>
      </w:r>
      <w:r>
        <w:tab/>
        <w:t>item 18;</w:t>
      </w:r>
    </w:p>
    <w:p>
      <w:pPr>
        <w:pStyle w:val="yMiscellaneousBody"/>
        <w:keepNext/>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Heading5"/>
      </w:pPr>
      <w:bookmarkStart w:id="287" w:name="_Toc106180027"/>
      <w:r>
        <w:t>14.</w:t>
      </w:r>
      <w:r>
        <w:tab/>
        <w:t>Metropolitan government trading organisation and non</w:t>
      </w:r>
      <w:r>
        <w:noBreakHyphen/>
        <w:t>commercial government property</w:t>
      </w:r>
      <w:bookmarkEnd w:id="287"/>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1418" w:hanging="851"/>
      </w:pPr>
      <w:r>
        <w:lastRenderedPageBreak/>
        <w:tab/>
        <w:t xml:space="preserve">where — </w:t>
      </w:r>
    </w:p>
    <w:p>
      <w:pPr>
        <w:pStyle w:val="yMiscellaneousBody"/>
        <w:tabs>
          <w:tab w:val="left" w:pos="284"/>
          <w:tab w:val="left" w:pos="1418"/>
          <w:tab w:val="left" w:pos="1701"/>
        </w:tabs>
        <w:ind w:left="1418" w:hanging="851"/>
      </w:pPr>
      <w:r>
        <w:tab/>
      </w:r>
      <w:r>
        <w:rPr>
          <w:b/>
        </w:rPr>
        <w:t>Y</w:t>
      </w:r>
      <w:r>
        <w:tab/>
        <w:t xml:space="preserve">is the charge according to the number of connected major </w:t>
      </w:r>
      <w:r>
        <w:tab/>
        <w:t>fixtures calculated in accordance with item 18;</w:t>
      </w:r>
    </w:p>
    <w:p>
      <w:pPr>
        <w:pStyle w:val="yMiscellaneousBody"/>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Subsection"/>
      </w:pPr>
      <w:r>
        <w:tab/>
        <w:t>(2)</w:t>
      </w:r>
      <w:r>
        <w:tab/>
        <w:t>Sub</w:t>
      </w:r>
      <w:r>
        <w:noBreakHyphen/>
        <w:t>item (1) does not apply to public land.</w:t>
      </w:r>
    </w:p>
    <w:p>
      <w:pPr>
        <w:pStyle w:val="yHeading5"/>
      </w:pPr>
      <w:bookmarkStart w:id="288" w:name="_Toc106180028"/>
      <w:r>
        <w:t>15.</w:t>
      </w:r>
      <w:r>
        <w:tab/>
        <w:t>Metropolitan non</w:t>
      </w:r>
      <w:r>
        <w:noBreakHyphen/>
        <w:t>strata titled caravan park with long</w:t>
      </w:r>
      <w:r>
        <w:noBreakHyphen/>
        <w:t>term residential caravan bays</w:t>
      </w:r>
      <w:bookmarkEnd w:id="288"/>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hanging="851"/>
      </w:pPr>
      <w:r>
        <w:rPr>
          <w:b/>
        </w:rPr>
        <w:tab/>
        <w:t>AA</w:t>
      </w:r>
      <w:r>
        <w:tab/>
        <w:t xml:space="preserve">is </w:t>
      </w:r>
      <w:r>
        <w:rPr>
          <w:szCs w:val="22"/>
        </w:rPr>
        <w:t>$</w:t>
      </w:r>
      <w:r>
        <w:t>343</w:t>
      </w:r>
      <w:r>
        <w:rPr>
          <w:szCs w:val="22"/>
        </w:rPr>
        <w:t xml:space="preserve">.08 </w:t>
      </w:r>
      <w:r>
        <w:t>for each long</w:t>
      </w:r>
      <w:r>
        <w:noBreakHyphen/>
        <w:t>term residential caravan bay;</w:t>
      </w:r>
    </w:p>
    <w:p>
      <w:pPr>
        <w:pStyle w:val="yMiscellaneousBody"/>
        <w:keepNext/>
        <w:tabs>
          <w:tab w:val="left" w:pos="284"/>
          <w:tab w:val="left" w:pos="1418"/>
          <w:tab w:val="left" w:pos="1843"/>
        </w:tabs>
        <w:ind w:left="1418" w:hanging="851"/>
      </w:pPr>
      <w:r>
        <w:rPr>
          <w:b/>
        </w:rPr>
        <w:tab/>
        <w:t>AB</w:t>
      </w:r>
      <w:r>
        <w:tab/>
        <w:t xml:space="preserve">is, for those parts of the caravan park not contained in </w:t>
      </w:r>
      <w:r>
        <w:tab/>
        <w:t>long</w:t>
      </w:r>
      <w:r>
        <w:noBreakHyphen/>
        <w:t xml:space="preserve">term residential caravan bays — </w:t>
      </w:r>
    </w:p>
    <w:p>
      <w:pPr>
        <w:pStyle w:val="Equation"/>
        <w:keepNext/>
        <w:spacing w:before="120"/>
        <w:ind w:left="1843"/>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keepLines/>
        <w:tabs>
          <w:tab w:val="left" w:pos="284"/>
          <w:tab w:val="right" w:leader="dot" w:pos="6804"/>
        </w:tabs>
        <w:ind w:left="1843"/>
      </w:pPr>
      <w:r>
        <w:t xml:space="preserve">where — </w:t>
      </w:r>
    </w:p>
    <w:p>
      <w:pPr>
        <w:pStyle w:val="yMiscellaneousBody"/>
        <w:tabs>
          <w:tab w:val="left" w:pos="284"/>
          <w:tab w:val="left" w:pos="1843"/>
          <w:tab w:val="left" w:pos="2268"/>
        </w:tabs>
        <w:ind w:left="1843"/>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pPr>
        <w:pStyle w:val="yMiscellaneousBody"/>
        <w:tabs>
          <w:tab w:val="left" w:pos="284"/>
          <w:tab w:val="left" w:pos="2268"/>
        </w:tabs>
        <w:ind w:left="1843"/>
      </w:pPr>
      <w:r>
        <w:rPr>
          <w:b/>
        </w:rPr>
        <w:t>Q</w:t>
      </w:r>
      <w:r>
        <w:tab/>
        <w:t xml:space="preserve">is the discharge charge calculated in accordance </w:t>
      </w:r>
      <w:r>
        <w:tab/>
        <w:t>with item 19.</w:t>
      </w:r>
    </w:p>
    <w:p>
      <w:pPr>
        <w:pStyle w:val="yHeading5"/>
      </w:pPr>
      <w:bookmarkStart w:id="289" w:name="_Toc106180029"/>
      <w:r>
        <w:t>16.</w:t>
      </w:r>
      <w:r>
        <w:tab/>
        <w:t>Metropolitan nursing home</w:t>
      </w:r>
      <w:bookmarkEnd w:id="289"/>
    </w:p>
    <w:p>
      <w:pPr>
        <w:pStyle w:val="ySubsection"/>
      </w:pPr>
      <w:r>
        <w:tab/>
      </w:r>
      <w:r>
        <w:tab/>
        <w:t>For a nursing home in the 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lastRenderedPageBreak/>
        <w:t xml:space="preserve">where — </w:t>
      </w:r>
    </w:p>
    <w:p>
      <w:pPr>
        <w:pStyle w:val="yMiscellaneousBody"/>
        <w:tabs>
          <w:tab w:val="left" w:pos="284"/>
          <w:tab w:val="left" w:pos="1418"/>
          <w:tab w:val="left" w:pos="1843"/>
        </w:tabs>
        <w:ind w:left="1418"/>
      </w:pPr>
      <w:r>
        <w:rPr>
          <w:b/>
        </w:rPr>
        <w:t>Q</w:t>
      </w:r>
      <w:r>
        <w:tab/>
        <w:t xml:space="preserve">is the discharge charge calculated in accordance with </w:t>
      </w:r>
      <w:r>
        <w:tab/>
        <w:t>item 19;</w:t>
      </w:r>
    </w:p>
    <w:p>
      <w:pPr>
        <w:pStyle w:val="yMiscellaneousBody"/>
        <w:tabs>
          <w:tab w:val="left" w:pos="284"/>
          <w:tab w:val="left" w:pos="1418"/>
          <w:tab w:val="left" w:pos="1843"/>
        </w:tabs>
        <w:ind w:left="1418"/>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418"/>
      </w:pPr>
      <w:r>
        <w:rPr>
          <w:b/>
        </w:rPr>
        <w:t>U</w:t>
      </w:r>
      <w:r>
        <w:tab/>
        <w:t>is the number of beds in the nursing home;</w:t>
      </w:r>
    </w:p>
    <w:p>
      <w:pPr>
        <w:pStyle w:val="yMiscellaneousBody"/>
        <w:tabs>
          <w:tab w:val="left" w:pos="284"/>
          <w:tab w:val="left" w:pos="1418"/>
          <w:tab w:val="left" w:pos="1843"/>
        </w:tabs>
        <w:ind w:left="1418"/>
      </w:pPr>
      <w:r>
        <w:rPr>
          <w:b/>
        </w:rPr>
        <w:t>V</w:t>
      </w:r>
      <w:r>
        <w:tab/>
        <w:t xml:space="preserve">is </w:t>
      </w:r>
      <w:r>
        <w:rPr>
          <w:szCs w:val="22"/>
        </w:rPr>
        <w:t>$</w:t>
      </w:r>
      <w:r>
        <w:t>194.1</w:t>
      </w:r>
      <w:r>
        <w:rPr>
          <w:szCs w:val="22"/>
        </w:rPr>
        <w:t>4.</w:t>
      </w:r>
    </w:p>
    <w:p>
      <w:pPr>
        <w:pStyle w:val="yHeading5"/>
      </w:pPr>
      <w:bookmarkStart w:id="290" w:name="_Toc106180030"/>
      <w:r>
        <w:t>17.</w:t>
      </w:r>
      <w:r>
        <w:tab/>
        <w:t>Certain metropolitan units</w:t>
      </w:r>
      <w:bookmarkEnd w:id="290"/>
      <w:r>
        <w:t xml:space="preserve"> </w:t>
      </w:r>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T</w:t>
      </w:r>
      <w:r>
        <w:tab/>
        <w:t xml:space="preserve">is </w:t>
      </w:r>
      <w:r>
        <w:rPr>
          <w:szCs w:val="22"/>
        </w:rPr>
        <w:t>$666.95</w:t>
      </w:r>
      <w:r>
        <w:t>;</w:t>
      </w:r>
    </w:p>
    <w:p>
      <w:pPr>
        <w:pStyle w:val="yMiscellaneousBody"/>
        <w:tabs>
          <w:tab w:val="left" w:pos="284"/>
          <w:tab w:val="left" w:pos="1418"/>
          <w:tab w:val="left" w:pos="1843"/>
        </w:tabs>
        <w:ind w:left="1418"/>
      </w:pPr>
      <w:r>
        <w:rPr>
          <w:b/>
        </w:rPr>
        <w:t>Q</w:t>
      </w:r>
      <w:r>
        <w:tab/>
        <w:t xml:space="preserve">is the </w:t>
      </w:r>
      <w:r>
        <w:rPr>
          <w:szCs w:val="22"/>
        </w:rPr>
        <w:t>discharge</w:t>
      </w:r>
      <w:r>
        <w:t xml:space="preserve"> charge calculated in accordance </w:t>
      </w:r>
      <w:r>
        <w:tab/>
        <w:t>with item 19.</w:t>
      </w:r>
    </w:p>
    <w:p>
      <w:pPr>
        <w:pStyle w:val="yHeading4"/>
      </w:pPr>
      <w:bookmarkStart w:id="291" w:name="_Toc106104047"/>
      <w:bookmarkStart w:id="292" w:name="_Toc106104275"/>
      <w:bookmarkStart w:id="293" w:name="_Toc106179803"/>
      <w:bookmarkStart w:id="294" w:name="_Toc106180031"/>
      <w:r>
        <w:lastRenderedPageBreak/>
        <w:t>Subdivision 3 — Calculation of certain factors for the purposes of Subdivision 2</w:t>
      </w:r>
      <w:bookmarkEnd w:id="291"/>
      <w:bookmarkEnd w:id="292"/>
      <w:bookmarkEnd w:id="293"/>
      <w:bookmarkEnd w:id="294"/>
    </w:p>
    <w:p>
      <w:pPr>
        <w:pStyle w:val="yFootnoteheading"/>
        <w:keepNext/>
      </w:pPr>
      <w:r>
        <w:tab/>
        <w:t>[Heading inserted: SL 2021/80 r. 8.]</w:t>
      </w:r>
    </w:p>
    <w:p>
      <w:pPr>
        <w:pStyle w:val="yHeading5"/>
      </w:pPr>
      <w:bookmarkStart w:id="295" w:name="_Toc106180032"/>
      <w:r>
        <w:t>18.</w:t>
      </w:r>
      <w:r>
        <w:tab/>
        <w:t>Service charge</w:t>
      </w:r>
      <w:bookmarkEnd w:id="295"/>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296" w:name="_Toc106180033"/>
      <w:r>
        <w:rPr>
          <w:szCs w:val="22"/>
        </w:rPr>
        <w:t>19.</w:t>
      </w:r>
      <w:r>
        <w:rPr>
          <w:szCs w:val="22"/>
        </w:rPr>
        <w:tab/>
        <w:t>Discharge charge</w:t>
      </w:r>
      <w:bookmarkEnd w:id="296"/>
    </w:p>
    <w:p>
      <w:pPr>
        <w:pStyle w:val="ySubsection"/>
      </w:pPr>
      <w:r>
        <w:rPr>
          <w:szCs w:val="22"/>
        </w:rPr>
        <w:tab/>
      </w:r>
      <w:r>
        <w:rPr>
          <w:szCs w:val="22"/>
        </w:rPr>
        <w:tab/>
        <w:t>The discharge charge (</w:t>
      </w:r>
      <w:r>
        <w:rPr>
          <w:b/>
          <w:i/>
          <w:szCs w:val="22"/>
        </w:rPr>
        <w:t>Q</w:t>
      </w:r>
      <w:r>
        <w:rPr>
          <w:szCs w:val="22"/>
        </w:rPr>
        <w:t>) is —</w:t>
      </w:r>
    </w:p>
    <w:p>
      <w:pPr>
        <w:pStyle w:val="yMiscellaneousBody"/>
        <w:keepNext/>
        <w:keepLines/>
        <w:tabs>
          <w:tab w:val="left" w:pos="284"/>
          <w:tab w:val="right" w:leader="dot" w:pos="6804"/>
        </w:tabs>
        <w:ind w:left="1701"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keepNext/>
        <w:keepLines/>
        <w:tabs>
          <w:tab w:val="left" w:pos="284"/>
          <w:tab w:val="right" w:leader="dot" w:pos="6804"/>
        </w:tabs>
        <w:ind w:left="1701" w:hanging="142"/>
        <w:rPr>
          <w:szCs w:val="22"/>
        </w:rPr>
      </w:pPr>
      <w:r>
        <w:rPr>
          <w:szCs w:val="22"/>
        </w:rPr>
        <w:tab/>
        <w:t>then nil</w:t>
      </w:r>
    </w:p>
    <w:p>
      <w:pPr>
        <w:pStyle w:val="yMiscellaneousBody"/>
        <w:tabs>
          <w:tab w:val="left" w:pos="284"/>
          <w:tab w:val="right" w:leader="dot" w:pos="6804"/>
        </w:tabs>
        <w:ind w:left="1701"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right" w:leader="dot" w:pos="6804"/>
        </w:tabs>
        <w:ind w:left="1701"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pPr>
        <w:pStyle w:val="yMiscellaneousBody"/>
        <w:keepNext/>
        <w:keepLines/>
        <w:tabs>
          <w:tab w:val="left" w:pos="284"/>
          <w:tab w:val="right" w:leader="dot" w:pos="6804"/>
        </w:tabs>
        <w:ind w:left="1701" w:hanging="142"/>
        <w:rPr>
          <w:szCs w:val="22"/>
        </w:rPr>
      </w:pPr>
      <w:r>
        <w:rPr>
          <w:szCs w:val="22"/>
        </w:rPr>
        <w:tab/>
        <w:t xml:space="preserve">where — </w:t>
      </w:r>
    </w:p>
    <w:p>
      <w:pPr>
        <w:pStyle w:val="yMiscellaneousBody"/>
        <w:tabs>
          <w:tab w:val="left" w:pos="2127"/>
          <w:tab w:val="right" w:leader="dot" w:pos="6804"/>
        </w:tabs>
        <w:ind w:left="1985" w:hanging="142"/>
        <w:rPr>
          <w:szCs w:val="22"/>
        </w:rPr>
      </w:pPr>
      <w:r>
        <w:rPr>
          <w:b/>
          <w:szCs w:val="22"/>
        </w:rPr>
        <w:t>F</w:t>
      </w:r>
      <w:r>
        <w:rPr>
          <w:b/>
          <w:szCs w:val="22"/>
        </w:rPr>
        <w:tab/>
      </w:r>
      <w:r>
        <w:rPr>
          <w:b/>
          <w:szCs w:val="22"/>
        </w:rPr>
        <w:tab/>
      </w:r>
      <w:r>
        <w:rPr>
          <w:szCs w:val="22"/>
        </w:rPr>
        <w:t xml:space="preserve">is the volume of water supplied to the land in the </w:t>
      </w:r>
      <w:r>
        <w:rPr>
          <w:szCs w:val="22"/>
        </w:rPr>
        <w:tab/>
        <w:t>current consumption year;</w:t>
      </w:r>
    </w:p>
    <w:p>
      <w:pPr>
        <w:pStyle w:val="yMiscellaneousBody"/>
        <w:tabs>
          <w:tab w:val="left" w:pos="2127"/>
          <w:tab w:val="right" w:leader="dot" w:pos="6804"/>
        </w:tabs>
        <w:ind w:left="1985" w:hanging="142"/>
        <w:rPr>
          <w:szCs w:val="22"/>
        </w:rPr>
      </w:pPr>
      <w:r>
        <w:rPr>
          <w:b/>
          <w:szCs w:val="22"/>
        </w:rPr>
        <w:t>G</w:t>
      </w:r>
      <w:r>
        <w:rPr>
          <w:szCs w:val="22"/>
        </w:rPr>
        <w:tab/>
        <w:t xml:space="preserve">is the discharge factor applicable for the land for the </w:t>
      </w:r>
      <w:r>
        <w:rPr>
          <w:szCs w:val="22"/>
        </w:rPr>
        <w:tab/>
        <w:t>current discharge year;</w:t>
      </w:r>
    </w:p>
    <w:p>
      <w:pPr>
        <w:pStyle w:val="yMiscellaneousBody"/>
        <w:tabs>
          <w:tab w:val="left" w:pos="2127"/>
          <w:tab w:val="right" w:leader="dot" w:pos="6804"/>
        </w:tabs>
        <w:ind w:left="1985" w:hanging="142"/>
        <w:rPr>
          <w:szCs w:val="22"/>
        </w:rPr>
      </w:pPr>
      <w:r>
        <w:rPr>
          <w:b/>
          <w:szCs w:val="22"/>
        </w:rPr>
        <w:t>H</w:t>
      </w:r>
      <w:r>
        <w:rPr>
          <w:szCs w:val="22"/>
        </w:rPr>
        <w:tab/>
        <w:t xml:space="preserve">is the discharge allowance for the current discharge </w:t>
      </w:r>
      <w:r>
        <w:rPr>
          <w:szCs w:val="22"/>
        </w:rPr>
        <w:tab/>
        <w:t xml:space="preserve">year </w:t>
      </w:r>
      <w:r>
        <w:rPr>
          <w:szCs w:val="22"/>
        </w:rPr>
        <w:tab/>
        <w:t>worked out in accordance with item 20;</w:t>
      </w:r>
    </w:p>
    <w:p>
      <w:pPr>
        <w:pStyle w:val="yMiscellaneousBody"/>
        <w:tabs>
          <w:tab w:val="left" w:pos="2127"/>
          <w:tab w:val="right" w:leader="dot" w:pos="6804"/>
        </w:tabs>
        <w:ind w:left="2127" w:hanging="284"/>
      </w:pPr>
      <w:r>
        <w:rPr>
          <w:b/>
        </w:rPr>
        <w:lastRenderedPageBreak/>
        <w:t>I</w:t>
      </w:r>
      <w:r>
        <w:tab/>
        <w:t xml:space="preserve">is </w:t>
      </w:r>
      <w:r>
        <w:rPr>
          <w:szCs w:val="22"/>
        </w:rPr>
        <w:t>$3.942</w:t>
      </w:r>
      <w:r>
        <w:t>,</w:t>
      </w:r>
    </w:p>
    <w:p>
      <w:pPr>
        <w:pStyle w:val="yMiscellaneousBody"/>
        <w:tabs>
          <w:tab w:val="left" w:pos="284"/>
          <w:tab w:val="right" w:leader="dot" w:pos="6804"/>
        </w:tabs>
        <w:ind w:left="1701" w:hanging="142"/>
      </w:pPr>
      <w:r>
        <w:tab/>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297" w:name="_Toc106180034"/>
      <w:r>
        <w:t>20.</w:t>
      </w:r>
      <w:r>
        <w:tab/>
        <w:t>Discharge allowance</w:t>
      </w:r>
      <w:bookmarkEnd w:id="297"/>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M</w:t>
      </w:r>
      <w:r>
        <w:tab/>
        <w:t>is 75 kL for each long</w:t>
      </w:r>
      <w:r>
        <w:noBreakHyphen/>
        <w:t>term residential caravan bay.</w:t>
      </w:r>
    </w:p>
    <w:p>
      <w:pPr>
        <w:pStyle w:val="yHeading4"/>
      </w:pPr>
      <w:bookmarkStart w:id="298" w:name="_Toc106104051"/>
      <w:bookmarkStart w:id="299" w:name="_Toc106104279"/>
      <w:bookmarkStart w:id="300" w:name="_Toc106179807"/>
      <w:bookmarkStart w:id="301" w:name="_Toc106180035"/>
      <w:r>
        <w:t>Subdivision 4 — Combined charges: non</w:t>
      </w:r>
      <w:r>
        <w:noBreakHyphen/>
        <w:t>metropolitan</w:t>
      </w:r>
      <w:bookmarkEnd w:id="298"/>
      <w:bookmarkEnd w:id="299"/>
      <w:bookmarkEnd w:id="300"/>
      <w:bookmarkEnd w:id="301"/>
    </w:p>
    <w:p>
      <w:pPr>
        <w:pStyle w:val="yFootnoteheading"/>
      </w:pPr>
      <w:r>
        <w:tab/>
        <w:t>[Heading inserted: SL 2021/80 r. 8.]</w:t>
      </w:r>
    </w:p>
    <w:p>
      <w:pPr>
        <w:pStyle w:val="yHeading5"/>
      </w:pPr>
      <w:bookmarkStart w:id="302" w:name="_Toc106180036"/>
      <w:r>
        <w:t>21.</w:t>
      </w:r>
      <w:r>
        <w:tab/>
        <w:t>Non</w:t>
      </w:r>
      <w:r>
        <w:noBreakHyphen/>
        <w:t>metropolitan non</w:t>
      </w:r>
      <w:r>
        <w:noBreakHyphen/>
        <w:t>residential</w:t>
      </w:r>
      <w:bookmarkEnd w:id="302"/>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P+Q</m:t>
        </m:r>
      </m:oMath>
    </w:p>
    <w:p>
      <w:pPr>
        <w:pStyle w:val="yMiscellaneousBody"/>
        <w:tabs>
          <w:tab w:val="left" w:pos="284"/>
          <w:tab w:val="right" w:leader="dot" w:pos="6804"/>
        </w:tabs>
        <w:ind w:left="1701" w:hanging="142"/>
      </w:pPr>
      <w:r>
        <w:lastRenderedPageBreak/>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w:r>
        <w:rPr>
          <w:b/>
        </w:rPr>
        <w:t>R</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418"/>
          <w:tab w:val="left" w:pos="1985"/>
        </w:tabs>
        <w:ind w:left="1985" w:hanging="425"/>
      </w:pPr>
      <w:r>
        <w:rPr>
          <w:b/>
        </w:rPr>
        <w:t>P</w:t>
      </w:r>
      <w:r>
        <w:tab/>
        <w:t>is the service charge calculated in accordance with item 25;</w:t>
      </w:r>
    </w:p>
    <w:p>
      <w:pPr>
        <w:pStyle w:val="yMiscellaneousBody"/>
        <w:tabs>
          <w:tab w:val="left" w:pos="284"/>
          <w:tab w:val="left" w:pos="1418"/>
          <w:tab w:val="left" w:pos="1985"/>
        </w:tabs>
        <w:ind w:left="1985" w:hanging="425"/>
      </w:pPr>
      <w:r>
        <w:rPr>
          <w:b/>
        </w:rPr>
        <w:t>Q</w:t>
      </w:r>
      <w:r>
        <w:tab/>
        <w:t>is the discharge charge calculated in accordance with item 26;</w:t>
      </w:r>
    </w:p>
    <w:p>
      <w:pPr>
        <w:pStyle w:val="yMiscellaneousBody"/>
        <w:tabs>
          <w:tab w:val="left" w:pos="284"/>
          <w:tab w:val="left" w:pos="1418"/>
          <w:tab w:val="left" w:pos="1985"/>
        </w:tabs>
        <w:ind w:left="1985" w:hanging="425"/>
      </w:pPr>
      <w:r>
        <w:rPr>
          <w:b/>
        </w:rPr>
        <w:t>R</w:t>
      </w:r>
      <w:r>
        <w:tab/>
        <w:t>is the maximum charge calculated in accordance with item 28;</w:t>
      </w:r>
    </w:p>
    <w:p>
      <w:pPr>
        <w:pStyle w:val="yMiscellaneousBody"/>
        <w:tabs>
          <w:tab w:val="left" w:pos="284"/>
          <w:tab w:val="left" w:pos="1418"/>
          <w:tab w:val="left" w:pos="1985"/>
        </w:tabs>
        <w:ind w:left="1985" w:hanging="425"/>
      </w:pPr>
      <w:r>
        <w:rPr>
          <w:b/>
        </w:rPr>
        <w:t>N</w:t>
      </w:r>
      <w:r>
        <w:tab/>
        <w:t>is the discharge volume for the current discharge year;</w:t>
      </w:r>
    </w:p>
    <w:p>
      <w:pPr>
        <w:pStyle w:val="yMiscellaneousBody"/>
        <w:tabs>
          <w:tab w:val="left" w:pos="284"/>
          <w:tab w:val="left" w:pos="1418"/>
          <w:tab w:val="left" w:pos="1985"/>
        </w:tabs>
        <w:ind w:left="1985" w:hanging="425"/>
      </w:pPr>
      <w:r>
        <w:rPr>
          <w:b/>
        </w:rPr>
        <w:t>W</w:t>
      </w:r>
      <w:r>
        <w:tab/>
        <w:t>is the discharge volume for the most recently completed discharge year;</w:t>
      </w:r>
    </w:p>
    <w:p>
      <w:pPr>
        <w:pStyle w:val="yMiscellaneousBody"/>
        <w:tabs>
          <w:tab w:val="left" w:pos="284"/>
          <w:tab w:val="left" w:pos="1418"/>
          <w:tab w:val="left" w:pos="1985"/>
        </w:tabs>
        <w:ind w:left="1985" w:hanging="425"/>
      </w:pPr>
      <w:r>
        <w:rPr>
          <w:b/>
        </w:rPr>
        <w:t>I</w:t>
      </w:r>
      <w:r>
        <w:tab/>
        <w:t xml:space="preserve">is </w:t>
      </w:r>
      <w:r>
        <w:rPr>
          <w:szCs w:val="22"/>
        </w:rPr>
        <w:t>$3.942</w:t>
      </w:r>
      <w:r>
        <w:t>.</w:t>
      </w:r>
    </w:p>
    <w:p>
      <w:pPr>
        <w:pStyle w:val="yHeading5"/>
      </w:pPr>
      <w:bookmarkStart w:id="303" w:name="_Toc106180037"/>
      <w:r>
        <w:t>22.</w:t>
      </w:r>
      <w:r>
        <w:tab/>
        <w:t>Non</w:t>
      </w:r>
      <w:r>
        <w:noBreakHyphen/>
        <w:t>metropolitan non</w:t>
      </w:r>
      <w:r>
        <w:noBreakHyphen/>
        <w:t>strata titled caravan park with long</w:t>
      </w:r>
      <w:r>
        <w:noBreakHyphen/>
        <w:t>term residential caravan bays</w:t>
      </w:r>
      <w:bookmarkEnd w:id="303"/>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AA</w:t>
      </w:r>
      <w:r>
        <w:tab/>
        <w:t xml:space="preserve"> is </w:t>
      </w:r>
      <w:r>
        <w:rPr>
          <w:szCs w:val="22"/>
        </w:rPr>
        <w:t>$343.08</w:t>
      </w:r>
      <w:r>
        <w:t xml:space="preserve"> for each long</w:t>
      </w:r>
      <w:r>
        <w:noBreakHyphen/>
        <w:t>term residential caravan bay;</w:t>
      </w:r>
    </w:p>
    <w:p>
      <w:pPr>
        <w:pStyle w:val="yMiscellaneousBody"/>
        <w:keepNext/>
        <w:tabs>
          <w:tab w:val="left" w:pos="284"/>
          <w:tab w:val="left" w:pos="1418"/>
          <w:tab w:val="left" w:pos="1843"/>
        </w:tabs>
        <w:ind w:left="1843" w:hanging="425"/>
      </w:pPr>
      <w:r>
        <w:rPr>
          <w:b/>
        </w:rPr>
        <w:lastRenderedPageBreak/>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843"/>
        </w:tabs>
        <w:ind w:left="1418" w:firstLine="425"/>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Y+Q</m:t>
        </m:r>
      </m:oMath>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rPr>
          <w:b/>
        </w:rPr>
      </w:pPr>
      <w:r>
        <w:tab/>
        <w:t xml:space="preserve">then </w:t>
      </w:r>
      <w:r>
        <w:rPr>
          <w:b/>
        </w:rPr>
        <w:t>R</w:t>
      </w:r>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keepNext/>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keepNext/>
        <w:tabs>
          <w:tab w:val="left" w:pos="284"/>
          <w:tab w:val="left" w:pos="1985"/>
        </w:tabs>
        <w:ind w:left="2268" w:hanging="425"/>
      </w:pPr>
      <w:r>
        <w:t xml:space="preserve">where — </w:t>
      </w:r>
    </w:p>
    <w:p>
      <w:pPr>
        <w:pStyle w:val="yMiscellaneousBody"/>
        <w:tabs>
          <w:tab w:val="left" w:pos="284"/>
          <w:tab w:val="left" w:pos="1985"/>
          <w:tab w:val="left" w:pos="2552"/>
        </w:tabs>
        <w:ind w:left="2268" w:hanging="425"/>
      </w:pPr>
      <w:r>
        <w:rPr>
          <w:b/>
        </w:rPr>
        <w:t>Y</w:t>
      </w:r>
      <w:r>
        <w:tab/>
        <w:t>is the charge according to the number of major fixtures for the relevant part of the caravan park, that is, “</w:t>
      </w:r>
      <w:r>
        <w:rPr>
          <w:b/>
        </w:rPr>
        <w:t>C</w:t>
      </w:r>
      <w:r>
        <w:t>” in item 25;</w:t>
      </w:r>
    </w:p>
    <w:p>
      <w:pPr>
        <w:pStyle w:val="yMiscellaneousBody"/>
        <w:tabs>
          <w:tab w:val="left" w:pos="284"/>
          <w:tab w:val="left" w:pos="1985"/>
          <w:tab w:val="left" w:pos="2552"/>
        </w:tabs>
        <w:ind w:left="2268" w:hanging="425"/>
      </w:pPr>
      <w:r>
        <w:rPr>
          <w:b/>
        </w:rPr>
        <w:t>Q</w:t>
      </w:r>
      <w:r>
        <w:tab/>
        <w:t>is the discharge charge calculated in accordance with item 26;</w:t>
      </w:r>
    </w:p>
    <w:p>
      <w:pPr>
        <w:pStyle w:val="yMiscellaneousBody"/>
        <w:keepNext/>
        <w:keepLines/>
        <w:tabs>
          <w:tab w:val="left" w:pos="284"/>
          <w:tab w:val="left" w:pos="1985"/>
          <w:tab w:val="left" w:pos="2552"/>
        </w:tabs>
        <w:ind w:left="2268" w:hanging="425"/>
      </w:pPr>
      <w:r>
        <w:rPr>
          <w:b/>
        </w:rPr>
        <w:t>R</w:t>
      </w:r>
      <w:r>
        <w:tab/>
        <w:t>is the maximum charge calculated in accordance with item 28;</w:t>
      </w:r>
    </w:p>
    <w:p>
      <w:pPr>
        <w:pStyle w:val="yMiscellaneousBody"/>
        <w:tabs>
          <w:tab w:val="left" w:pos="284"/>
          <w:tab w:val="left" w:pos="1985"/>
          <w:tab w:val="left" w:pos="2552"/>
        </w:tabs>
        <w:ind w:left="2268" w:hanging="425"/>
      </w:pPr>
      <w:r>
        <w:rPr>
          <w:b/>
        </w:rPr>
        <w:t>N</w:t>
      </w:r>
      <w:r>
        <w:tab/>
        <w:t>is the discharge volume for the current discharge year;</w:t>
      </w:r>
    </w:p>
    <w:p>
      <w:pPr>
        <w:pStyle w:val="yMiscellaneousBody"/>
        <w:tabs>
          <w:tab w:val="left" w:pos="284"/>
          <w:tab w:val="left" w:pos="1985"/>
          <w:tab w:val="left" w:pos="2552"/>
        </w:tabs>
        <w:ind w:left="2268" w:hanging="425"/>
      </w:pPr>
      <w:r>
        <w:rPr>
          <w:b/>
        </w:rPr>
        <w:t>W</w:t>
      </w:r>
      <w:r>
        <w:tab/>
        <w:t>is the discharge volume for the most recently completed discharge year;</w:t>
      </w:r>
    </w:p>
    <w:p>
      <w:pPr>
        <w:pStyle w:val="yMiscellaneousBody"/>
        <w:tabs>
          <w:tab w:val="left" w:pos="284"/>
          <w:tab w:val="left" w:pos="1985"/>
          <w:tab w:val="left" w:pos="2552"/>
        </w:tabs>
        <w:ind w:left="2268" w:hanging="425"/>
      </w:pPr>
      <w:r>
        <w:rPr>
          <w:b/>
        </w:rPr>
        <w:t>I</w:t>
      </w:r>
      <w:r>
        <w:rPr>
          <w:b/>
        </w:rPr>
        <w:tab/>
      </w:r>
      <w:r>
        <w:tab/>
        <w:t xml:space="preserve">is </w:t>
      </w:r>
      <w:r>
        <w:rPr>
          <w:szCs w:val="22"/>
        </w:rPr>
        <w:t>$3.942</w:t>
      </w:r>
      <w:r>
        <w:t>.</w:t>
      </w:r>
    </w:p>
    <w:p>
      <w:pPr>
        <w:pStyle w:val="yHeading5"/>
      </w:pPr>
      <w:bookmarkStart w:id="304" w:name="_Toc106180038"/>
      <w:r>
        <w:t>23.</w:t>
      </w:r>
      <w:r>
        <w:tab/>
        <w:t>Non</w:t>
      </w:r>
      <w:r>
        <w:noBreakHyphen/>
        <w:t>metropolitan nursing home</w:t>
      </w:r>
      <w:bookmarkEnd w:id="304"/>
    </w:p>
    <w:p>
      <w:pPr>
        <w:pStyle w:val="ySubsection"/>
      </w:pPr>
      <w:r>
        <w:tab/>
      </w:r>
      <w:r>
        <w:tab/>
        <w:t>For a nursing home in the non</w:t>
      </w:r>
      <w:r>
        <w:noBreakHyphen/>
        <w:t>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lastRenderedPageBreak/>
        <w:t xml:space="preserve">where — </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MiscellaneousBody"/>
        <w:tabs>
          <w:tab w:val="left" w:pos="284"/>
          <w:tab w:val="left" w:pos="1418"/>
          <w:tab w:val="left" w:pos="1843"/>
        </w:tabs>
        <w:ind w:left="1843"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843" w:hanging="425"/>
      </w:pPr>
      <w:r>
        <w:rPr>
          <w:b/>
        </w:rPr>
        <w:t>U</w:t>
      </w:r>
      <w:r>
        <w:tab/>
        <w:t>is the number of beds in the nursing home;</w:t>
      </w:r>
    </w:p>
    <w:p>
      <w:pPr>
        <w:pStyle w:val="yMiscellaneousBody"/>
        <w:tabs>
          <w:tab w:val="left" w:pos="284"/>
          <w:tab w:val="left" w:pos="1418"/>
          <w:tab w:val="left" w:pos="1843"/>
        </w:tabs>
        <w:ind w:left="1843" w:hanging="425"/>
      </w:pPr>
      <w:r>
        <w:rPr>
          <w:b/>
        </w:rPr>
        <w:t>V</w:t>
      </w:r>
      <w:r>
        <w:tab/>
        <w:t xml:space="preserve">is </w:t>
      </w:r>
      <w:r>
        <w:rPr>
          <w:szCs w:val="22"/>
        </w:rPr>
        <w:t>$</w:t>
      </w:r>
      <w:r>
        <w:t>194</w:t>
      </w:r>
      <w:r>
        <w:rPr>
          <w:szCs w:val="22"/>
        </w:rPr>
        <w:t>.14.</w:t>
      </w:r>
    </w:p>
    <w:p>
      <w:pPr>
        <w:pStyle w:val="yHeading5"/>
      </w:pPr>
      <w:bookmarkStart w:id="305" w:name="_Toc106180039"/>
      <w:r>
        <w:t>24.</w:t>
      </w:r>
      <w:r>
        <w:tab/>
        <w:t>Certain non</w:t>
      </w:r>
      <w:r>
        <w:noBreakHyphen/>
        <w:t>metropolitan units</w:t>
      </w:r>
      <w:bookmarkEnd w:id="305"/>
      <w:r>
        <w:t xml:space="preserve"> </w:t>
      </w:r>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T</w:t>
      </w:r>
      <w:r>
        <w:tab/>
        <w:t xml:space="preserve">is </w:t>
      </w:r>
      <w:r>
        <w:rPr>
          <w:szCs w:val="22"/>
        </w:rPr>
        <w:t>$666.95</w:t>
      </w:r>
      <w:r>
        <w:t>;</w:t>
      </w:r>
    </w:p>
    <w:p>
      <w:pPr>
        <w:pStyle w:val="yMiscellaneousBody"/>
        <w:tabs>
          <w:tab w:val="left" w:pos="284"/>
          <w:tab w:val="left" w:pos="1418"/>
          <w:tab w:val="left" w:pos="1843"/>
        </w:tabs>
        <w:ind w:left="1843" w:hanging="425"/>
      </w:pPr>
      <w:r>
        <w:rPr>
          <w:b/>
        </w:rPr>
        <w:t>Q</w:t>
      </w:r>
      <w:r>
        <w:tab/>
        <w:t xml:space="preserve">is the </w:t>
      </w:r>
      <w:r>
        <w:rPr>
          <w:szCs w:val="22"/>
        </w:rPr>
        <w:t>discharge</w:t>
      </w:r>
      <w:r>
        <w:t xml:space="preserve"> charge calculated in accordance with item 26.</w:t>
      </w:r>
    </w:p>
    <w:p>
      <w:pPr>
        <w:pStyle w:val="yHeading5"/>
      </w:pPr>
      <w:bookmarkStart w:id="306" w:name="_Toc106180040"/>
      <w:r>
        <w:t>24A.</w:t>
      </w:r>
      <w:r>
        <w:tab/>
        <w:t>Non</w:t>
      </w:r>
      <w:r>
        <w:noBreakHyphen/>
        <w:t>metropolitan government trading organisation and non</w:t>
      </w:r>
      <w:r>
        <w:noBreakHyphen/>
        <w:t>commercial government property</w:t>
      </w:r>
      <w:bookmarkEnd w:id="306"/>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lastRenderedPageBreak/>
        <w:t xml:space="preserve">where — </w:t>
      </w:r>
    </w:p>
    <w:p>
      <w:pPr>
        <w:pStyle w:val="yMiscellaneousBody"/>
        <w:tabs>
          <w:tab w:val="left" w:pos="284"/>
          <w:tab w:val="left" w:pos="1418"/>
          <w:tab w:val="left" w:pos="1843"/>
        </w:tabs>
        <w:ind w:left="1843" w:hanging="425"/>
      </w:pPr>
      <w:r>
        <w:rPr>
          <w:b/>
        </w:rPr>
        <w:t>Y</w:t>
      </w:r>
      <w:r>
        <w:tab/>
        <w:t xml:space="preserve">is </w:t>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Subsection"/>
      </w:pPr>
      <w:r>
        <w:tab/>
        <w:t>(2)</w:t>
      </w:r>
      <w:r>
        <w:tab/>
        <w:t>Sub</w:t>
      </w:r>
      <w:r>
        <w:noBreakHyphen/>
        <w:t>item (1) does not apply to public land.</w:t>
      </w:r>
    </w:p>
    <w:p>
      <w:pPr>
        <w:pStyle w:val="yHeading4"/>
      </w:pPr>
      <w:bookmarkStart w:id="307" w:name="_Toc106104057"/>
      <w:bookmarkStart w:id="308" w:name="_Toc106104285"/>
      <w:bookmarkStart w:id="309" w:name="_Toc106179813"/>
      <w:bookmarkStart w:id="310" w:name="_Toc106180041"/>
      <w:r>
        <w:t>Subdivision 5 — Calculation of certain factors for the purposes of Subdivision 4</w:t>
      </w:r>
      <w:bookmarkEnd w:id="307"/>
      <w:bookmarkEnd w:id="308"/>
      <w:bookmarkEnd w:id="309"/>
      <w:bookmarkEnd w:id="310"/>
    </w:p>
    <w:p>
      <w:pPr>
        <w:pStyle w:val="yFootnoteheading"/>
      </w:pPr>
      <w:r>
        <w:tab/>
        <w:t>[Heading inserted: SL 2021/80 r. 8.]</w:t>
      </w:r>
    </w:p>
    <w:p>
      <w:pPr>
        <w:pStyle w:val="yHeading5"/>
      </w:pPr>
      <w:bookmarkStart w:id="311" w:name="_Toc106180042"/>
      <w:r>
        <w:t>25.</w:t>
      </w:r>
      <w:r>
        <w:tab/>
        <w:t>Service charge</w:t>
      </w:r>
      <w:bookmarkEnd w:id="311"/>
    </w:p>
    <w:p>
      <w:pPr>
        <w:pStyle w:val="ySubsection"/>
      </w:pPr>
      <w:r>
        <w:tab/>
      </w:r>
      <w:r>
        <w:tab/>
        <w:t>The service charge (</w:t>
      </w:r>
      <w:r>
        <w:rPr>
          <w:b/>
          <w:i/>
        </w:rPr>
        <w:t>P</w:t>
      </w:r>
      <w:r>
        <w:t>) is —</w:t>
      </w:r>
    </w:p>
    <w:p>
      <w:pPr>
        <w:pStyle w:val="yMiscellaneousBody"/>
        <w:tabs>
          <w:tab w:val="left" w:pos="284"/>
          <w:tab w:val="right" w:leader="dot" w:pos="6804"/>
        </w:tabs>
        <w:ind w:left="1701"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R</w:t>
      </w:r>
    </w:p>
    <w:p>
      <w:pPr>
        <w:pStyle w:val="yMiscellaneousBody"/>
        <w:keepNext/>
        <w:keepLines/>
        <w:tabs>
          <w:tab w:val="left" w:pos="284"/>
          <w:tab w:val="right" w:leader="dot" w:pos="6804"/>
        </w:tabs>
        <w:ind w:left="1701"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C</w:t>
      </w:r>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R</w:t>
      </w:r>
      <w:r>
        <w:tab/>
        <w:t>is the maximum charge calculated in accordance with item 28;</w:t>
      </w:r>
    </w:p>
    <w:p>
      <w:pPr>
        <w:pStyle w:val="yMiscellaneousBody"/>
        <w:tabs>
          <w:tab w:val="left" w:pos="284"/>
          <w:tab w:val="left" w:pos="1985"/>
        </w:tabs>
        <w:ind w:left="198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985" w:hanging="425"/>
      </w:pPr>
      <w:r>
        <w:rPr>
          <w:b/>
        </w:rPr>
        <w:t>D</w:t>
      </w:r>
      <w:r>
        <w:tab/>
        <w:t>is 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lastRenderedPageBreak/>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312" w:name="_Toc106180043"/>
      <w:r>
        <w:t>26.</w:t>
      </w:r>
      <w:r>
        <w:tab/>
        <w:t>Discharge charge</w:t>
      </w:r>
      <w:bookmarkEnd w:id="312"/>
    </w:p>
    <w:p>
      <w:pPr>
        <w:pStyle w:val="ySubsection"/>
      </w:pPr>
      <w:r>
        <w:tab/>
      </w:r>
      <w:r>
        <w:tab/>
        <w:t>The discharge charge (</w:t>
      </w:r>
      <w:r>
        <w:rPr>
          <w:b/>
          <w:i/>
        </w:rPr>
        <w:t>Q</w:t>
      </w:r>
      <w:r>
        <w:t>) is —</w:t>
      </w:r>
    </w:p>
    <w:p>
      <w:pPr>
        <w:pStyle w:val="yMiscellaneousBody"/>
        <w:keepNext/>
        <w:keepLines/>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right" w:leader="dot" w:pos="6804"/>
        </w:tabs>
        <w:ind w:left="1701" w:hanging="142"/>
      </w:pPr>
      <w:r>
        <w:tab/>
        <w:t>then nil</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right" w:leader="dot" w:pos="6804"/>
        </w:tabs>
        <w:ind w:left="1701"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F</w:t>
      </w:r>
      <w:r>
        <w:tab/>
        <w:t>is the volume of water supplied to the land in the current consumption year;</w:t>
      </w:r>
    </w:p>
    <w:p>
      <w:pPr>
        <w:pStyle w:val="yMiscellaneousBody"/>
        <w:tabs>
          <w:tab w:val="left" w:pos="284"/>
          <w:tab w:val="left" w:pos="1985"/>
        </w:tabs>
        <w:ind w:left="1985" w:hanging="425"/>
      </w:pPr>
      <w:r>
        <w:rPr>
          <w:b/>
        </w:rPr>
        <w:t>G</w:t>
      </w:r>
      <w:r>
        <w:tab/>
        <w:t>is the discharge factor applicable for the land for the current discharge year;</w:t>
      </w:r>
    </w:p>
    <w:p>
      <w:pPr>
        <w:pStyle w:val="yMiscellaneousBody"/>
        <w:tabs>
          <w:tab w:val="left" w:pos="284"/>
          <w:tab w:val="left" w:pos="1985"/>
        </w:tabs>
        <w:ind w:left="1985" w:hanging="425"/>
      </w:pPr>
      <w:r>
        <w:rPr>
          <w:b/>
        </w:rPr>
        <w:t>H</w:t>
      </w:r>
      <w:r>
        <w:tab/>
        <w:t>is the discharge allowance for the current discharge year worked out in accordance with item 27;</w:t>
      </w:r>
    </w:p>
    <w:p>
      <w:pPr>
        <w:pStyle w:val="yMiscellaneousBody"/>
        <w:tabs>
          <w:tab w:val="left" w:pos="284"/>
          <w:tab w:val="left" w:pos="1985"/>
        </w:tabs>
        <w:ind w:left="1985" w:hanging="425"/>
      </w:pPr>
      <w:r>
        <w:rPr>
          <w:b/>
        </w:rPr>
        <w:t>I</w:t>
      </w:r>
      <w:r>
        <w:tab/>
        <w:t xml:space="preserve">is </w:t>
      </w:r>
      <w:r>
        <w:rPr>
          <w:szCs w:val="22"/>
        </w:rPr>
        <w:t>$3.942</w:t>
      </w:r>
      <w:r>
        <w:t>,</w:t>
      </w:r>
    </w:p>
    <w:p>
      <w:pPr>
        <w:pStyle w:val="yMiscellaneousBody"/>
        <w:tabs>
          <w:tab w:val="left" w:pos="284"/>
          <w:tab w:val="left" w:pos="1560"/>
        </w:tabs>
        <w:ind w:left="1560"/>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313" w:name="_Toc106180044"/>
      <w:r>
        <w:t>27.</w:t>
      </w:r>
      <w:r>
        <w:tab/>
        <w:t>Discharge allowance</w:t>
      </w:r>
      <w:bookmarkEnd w:id="313"/>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lastRenderedPageBreak/>
        <w:tab/>
        <w:t>(c)</w:t>
      </w:r>
      <w:r>
        <w:tab/>
        <w:t>for a caravan park referred to in item 22 — the amount (in kL) calculated in accordance with the formula in sub</w:t>
      </w:r>
      <w:r>
        <w:noBreakHyphen/>
        <w:t>item (2);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right" w:leader="dot" w:pos="6804"/>
        </w:tabs>
        <w:ind w:left="1843" w:hanging="425"/>
      </w:pPr>
      <w:r>
        <w:rPr>
          <w:b/>
        </w:rPr>
        <w:t>M</w:t>
      </w:r>
      <w:r>
        <w:tab/>
        <w:t>is 75 kL of water for each long</w:t>
      </w:r>
      <w:r>
        <w:noBreakHyphen/>
        <w:t>term residential caravan bay.</w:t>
      </w:r>
    </w:p>
    <w:p>
      <w:pPr>
        <w:pStyle w:val="yHeading5"/>
      </w:pPr>
      <w:bookmarkStart w:id="314" w:name="_Toc106180045"/>
      <w:r>
        <w:t>28.</w:t>
      </w:r>
      <w:r>
        <w:tab/>
        <w:t>Maximum charge</w:t>
      </w:r>
      <w:bookmarkEnd w:id="314"/>
    </w:p>
    <w:p>
      <w:pPr>
        <w:pStyle w:val="ySubsection"/>
      </w:pPr>
      <w:r>
        <w:tab/>
      </w:r>
      <w:r>
        <w:tab/>
        <w:t>The maximum charge (</w:t>
      </w:r>
      <w:r>
        <w:rPr>
          <w:b/>
          <w:i/>
        </w:rPr>
        <w:t>R</w:t>
      </w:r>
      <w:r>
        <w:t>) is —</w:t>
      </w:r>
    </w:p>
    <w:p>
      <w:pPr>
        <w:pStyle w:val="yMiscellaneousBody"/>
        <w:tabs>
          <w:tab w:val="left" w:pos="284"/>
          <w:tab w:val="right" w:leader="dot" w:pos="6804"/>
        </w:tabs>
        <w:ind w:left="1701"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right" w:leader="dot" w:pos="6804"/>
        </w:tabs>
        <w:ind w:left="1701" w:hanging="142"/>
      </w:pPr>
      <w:r>
        <w:tab/>
        <w:t xml:space="preserve">then — </w:t>
      </w:r>
    </w:p>
    <w:p>
      <w:pPr>
        <w:pStyle w:val="yMiscellaneousBody"/>
        <w:tabs>
          <w:tab w:val="left" w:pos="284"/>
          <w:tab w:val="right" w:leader="dot" w:pos="6804"/>
        </w:tabs>
        <w:ind w:left="1701" w:hanging="142"/>
      </w:pPr>
      <w:r>
        <w:tab/>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701" w:hanging="142"/>
      </w:pPr>
      <w:r>
        <w:tab/>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keepNext/>
        <w:keepLines/>
        <w:tabs>
          <w:tab w:val="left" w:pos="284"/>
          <w:tab w:val="right" w:leader="dot" w:pos="6804"/>
        </w:tabs>
        <w:ind w:left="1701" w:hanging="142"/>
      </w:pPr>
      <w:r>
        <w:tab/>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701" w:hanging="142"/>
      </w:pPr>
      <w:r>
        <w:tab/>
      </w: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P</w:t>
      </w:r>
      <w:r>
        <w:tab/>
        <w:t>is the service charge calculated in accordance with item 25;</w:t>
      </w:r>
    </w:p>
    <w:p>
      <w:pPr>
        <w:pStyle w:val="yMiscellaneousBody"/>
        <w:tabs>
          <w:tab w:val="left" w:pos="284"/>
          <w:tab w:val="left" w:pos="1985"/>
        </w:tabs>
        <w:ind w:left="1985" w:hanging="425"/>
      </w:pPr>
      <w:r>
        <w:rPr>
          <w:b/>
        </w:rPr>
        <w:t>Q</w:t>
      </w:r>
      <w:r>
        <w:tab/>
        <w:t>is the discharge charge calculated in accordance with item 26;</w:t>
      </w:r>
    </w:p>
    <w:p>
      <w:pPr>
        <w:pStyle w:val="yMiscellaneousBody"/>
        <w:tabs>
          <w:tab w:val="left" w:pos="284"/>
          <w:tab w:val="left" w:pos="1985"/>
        </w:tabs>
        <w:ind w:left="1985" w:hanging="425"/>
      </w:pPr>
      <w:r>
        <w:rPr>
          <w:b/>
        </w:rPr>
        <w:lastRenderedPageBreak/>
        <w:t>A</w:t>
      </w:r>
      <w:r>
        <w:tab/>
        <w:t>is the charge payable, for the previous financial year, under the item in Subdivision 4 for which this item is being applied;</w:t>
      </w:r>
    </w:p>
    <w:p>
      <w:pPr>
        <w:pStyle w:val="yMiscellaneousBody"/>
        <w:tabs>
          <w:tab w:val="left" w:pos="284"/>
          <w:tab w:val="left" w:pos="1985"/>
        </w:tabs>
        <w:ind w:left="1985" w:hanging="425"/>
      </w:pPr>
      <w:r>
        <w:rPr>
          <w:b/>
        </w:rPr>
        <w:t>S</w:t>
      </w:r>
      <w:r>
        <w:tab/>
        <w:t xml:space="preserve">is </w:t>
      </w:r>
      <w:r>
        <w:rPr>
          <w:szCs w:val="22"/>
        </w:rPr>
        <w:t>1.</w:t>
      </w:r>
      <w:r>
        <w:t>1175;</w:t>
      </w:r>
    </w:p>
    <w:p>
      <w:pPr>
        <w:pStyle w:val="yMiscellaneousBody"/>
        <w:tabs>
          <w:tab w:val="left" w:pos="284"/>
          <w:tab w:val="left" w:pos="1985"/>
        </w:tabs>
        <w:ind w:left="1985" w:hanging="425"/>
      </w:pPr>
      <w:r>
        <w:rPr>
          <w:b/>
        </w:rPr>
        <w:t>B</w:t>
      </w:r>
      <w:r>
        <w:tab/>
        <w:t>is $166.67.</w:t>
      </w:r>
    </w:p>
    <w:p>
      <w:pPr>
        <w:pStyle w:val="yFootnotesection"/>
      </w:pPr>
      <w:r>
        <w:tab/>
        <w:t>[Division 2 inserted: SL 2021/80 r. 8.]</w:t>
      </w:r>
    </w:p>
    <w:p>
      <w:pPr>
        <w:pStyle w:val="yHeading3"/>
      </w:pPr>
      <w:bookmarkStart w:id="315" w:name="_Toc106104062"/>
      <w:bookmarkStart w:id="316" w:name="_Toc106104290"/>
      <w:bookmarkStart w:id="317" w:name="_Toc106179818"/>
      <w:bookmarkStart w:id="318" w:name="_Toc106180046"/>
      <w:r>
        <w:rPr>
          <w:rStyle w:val="CharSDivNo"/>
        </w:rPr>
        <w:t>Division 3</w:t>
      </w:r>
      <w:r>
        <w:t> — </w:t>
      </w:r>
      <w:r>
        <w:rPr>
          <w:rStyle w:val="CharSDivText"/>
        </w:rPr>
        <w:t>Discharge charges: trade waste and effluent</w:t>
      </w:r>
      <w:bookmarkEnd w:id="315"/>
      <w:bookmarkEnd w:id="316"/>
      <w:bookmarkEnd w:id="317"/>
      <w:bookmarkEnd w:id="318"/>
    </w:p>
    <w:p>
      <w:pPr>
        <w:pStyle w:val="yFootnoteheading"/>
      </w:pPr>
      <w:r>
        <w:tab/>
        <w:t>[Heading inserted: SL 2021/80 r. 8.]</w:t>
      </w:r>
    </w:p>
    <w:p>
      <w:pPr>
        <w:pStyle w:val="yHeading5"/>
      </w:pPr>
      <w:bookmarkStart w:id="319" w:name="_Toc106180047"/>
      <w:r>
        <w:t>29.</w:t>
      </w:r>
      <w:r>
        <w:tab/>
        <w:t>Discharge charges for 2021/22 and subsequent years</w:t>
      </w:r>
      <w:bookmarkEnd w:id="319"/>
    </w:p>
    <w:p>
      <w:pPr>
        <w:pStyle w:val="ySubsection"/>
      </w:pPr>
      <w:r>
        <w:tab/>
      </w:r>
      <w:r>
        <w:tab/>
        <w:t>The charges set out in this Division apply for trade waste or effluent discharged in the 2021/22 financial year and each subsequent year.</w:t>
      </w:r>
    </w:p>
    <w:p>
      <w:pPr>
        <w:pStyle w:val="yHeading5"/>
      </w:pPr>
      <w:bookmarkStart w:id="320" w:name="_Toc106180048"/>
      <w:r>
        <w:t>30.</w:t>
      </w:r>
      <w:r>
        <w:tab/>
        <w:t>Trade waste discharged into sewer under approval</w:t>
      </w:r>
      <w:bookmarkEnd w:id="320"/>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153.5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128.1 c/kg</w:t>
      </w:r>
    </w:p>
    <w:p>
      <w:pPr>
        <w:pStyle w:val="yIndenti0"/>
        <w:tabs>
          <w:tab w:val="right" w:leader="dot" w:pos="6804"/>
        </w:tabs>
      </w:pPr>
      <w:r>
        <w:tab/>
        <w:t>(ii)</w:t>
      </w:r>
      <w:r>
        <w:tab/>
        <w:t xml:space="preserve">over 5 kg/kL </w:t>
      </w:r>
      <w:r>
        <w:tab/>
        <w:t xml:space="preserve"> 261.5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174.7 c/kg</w:t>
      </w:r>
    </w:p>
    <w:p>
      <w:pPr>
        <w:pStyle w:val="yIndenti0"/>
        <w:tabs>
          <w:tab w:val="right" w:leader="dot" w:pos="6804"/>
        </w:tabs>
      </w:pPr>
      <w:r>
        <w:tab/>
        <w:t>(ii)</w:t>
      </w:r>
      <w:r>
        <w:tab/>
        <w:t xml:space="preserve">over 2 kg/kL </w:t>
      </w:r>
      <w:r>
        <w:tab/>
        <w:t xml:space="preserve"> 351.5 c/kg</w:t>
      </w:r>
    </w:p>
    <w:p>
      <w:pPr>
        <w:pStyle w:val="yIndenta"/>
      </w:pPr>
      <w:r>
        <w:tab/>
        <w:t>(d)</w:t>
      </w:r>
      <w:r>
        <w:tab/>
        <w:t>for oil and grease with a concentration of —</w:t>
      </w:r>
    </w:p>
    <w:p>
      <w:pPr>
        <w:pStyle w:val="yIndenti0"/>
        <w:tabs>
          <w:tab w:val="right" w:leader="dot" w:pos="6804"/>
        </w:tabs>
      </w:pPr>
      <w:r>
        <w:tab/>
        <w:t>(i)</w:t>
      </w:r>
      <w:r>
        <w:tab/>
        <w:t xml:space="preserve">up to 0.3 kg/kL </w:t>
      </w:r>
      <w:r>
        <w:tab/>
        <w:t xml:space="preserve"> 157.7 c/kg</w:t>
      </w:r>
    </w:p>
    <w:p>
      <w:pPr>
        <w:pStyle w:val="yIndenti0"/>
        <w:tabs>
          <w:tab w:val="right" w:leader="dot" w:pos="6804"/>
        </w:tabs>
      </w:pPr>
      <w:r>
        <w:tab/>
        <w:t>(ii)</w:t>
      </w:r>
      <w:r>
        <w:tab/>
        <w:t xml:space="preserve">over 0.3 kg/kL but </w:t>
      </w:r>
      <w:r>
        <w:br/>
        <w:t xml:space="preserve">not over 0.6 kg/kL </w:t>
      </w:r>
      <w:r>
        <w:tab/>
        <w:t xml:space="preserve"> 309.1 c/kg</w:t>
      </w:r>
    </w:p>
    <w:p>
      <w:pPr>
        <w:pStyle w:val="yIndenti0"/>
        <w:tabs>
          <w:tab w:val="right" w:leader="dot" w:pos="6804"/>
        </w:tabs>
      </w:pPr>
      <w:r>
        <w:lastRenderedPageBreak/>
        <w:tab/>
        <w:t>(iii)</w:t>
      </w:r>
      <w:r>
        <w:tab/>
        <w:t xml:space="preserve">over 0.6 kg/kL </w:t>
      </w:r>
      <w:r>
        <w:tab/>
        <w:t>623.5 c/kg</w:t>
      </w:r>
    </w:p>
    <w:p>
      <w:pPr>
        <w:pStyle w:val="yIndenta"/>
      </w:pPr>
      <w:r>
        <w:tab/>
        <w:t>(e)</w:t>
      </w:r>
      <w:r>
        <w:tab/>
        <w:t>for acidity to pH 6 (expressed as calcium carbonate) —</w:t>
      </w:r>
    </w:p>
    <w:p>
      <w:pPr>
        <w:pStyle w:val="yIndenti0"/>
        <w:tabs>
          <w:tab w:val="right" w:leader="dot" w:pos="6804"/>
        </w:tabs>
      </w:pPr>
      <w:r>
        <w:tab/>
        <w:t>(i)</w:t>
      </w:r>
      <w:r>
        <w:tab/>
        <w:t xml:space="preserve">up to 0.1 kg/kL </w:t>
      </w:r>
      <w:r>
        <w:tab/>
        <w:t>43.4 c/kg</w:t>
      </w:r>
    </w:p>
    <w:p>
      <w:pPr>
        <w:pStyle w:val="yIndenti0"/>
        <w:tabs>
          <w:tab w:val="right" w:leader="dot" w:pos="6804"/>
        </w:tabs>
      </w:pPr>
      <w:r>
        <w:tab/>
        <w:t>(ii)</w:t>
      </w:r>
      <w:r>
        <w:tab/>
        <w:t xml:space="preserve">over 0.1 kg/kL but </w:t>
      </w:r>
      <w:r>
        <w:br/>
        <w:t xml:space="preserve">not over 0.3 kg/kL </w:t>
      </w:r>
      <w:r>
        <w:tab/>
        <w:t>91.0 c/kg</w:t>
      </w:r>
    </w:p>
    <w:p>
      <w:pPr>
        <w:pStyle w:val="yIndenti0"/>
        <w:tabs>
          <w:tab w:val="right" w:leader="dot" w:pos="6804"/>
        </w:tabs>
      </w:pPr>
      <w:r>
        <w:tab/>
        <w:t>(iii)</w:t>
      </w:r>
      <w:r>
        <w:tab/>
        <w:t xml:space="preserve">over 0.3 kg/kL </w:t>
      </w:r>
      <w:r>
        <w:tab/>
        <w:t>181.0 c/kg</w:t>
      </w:r>
    </w:p>
    <w:p>
      <w:pPr>
        <w:pStyle w:val="yIndenta"/>
      </w:pPr>
      <w:r>
        <w:tab/>
        <w:t>(f)</w:t>
      </w:r>
      <w:r>
        <w:tab/>
        <w:t>for alkalinity to pH 10 (expressed as calcium carbonate) —</w:t>
      </w:r>
    </w:p>
    <w:p>
      <w:pPr>
        <w:pStyle w:val="yIndenti0"/>
        <w:tabs>
          <w:tab w:val="right" w:leader="dot" w:pos="6804"/>
        </w:tabs>
      </w:pPr>
      <w:r>
        <w:tab/>
        <w:t>(i)</w:t>
      </w:r>
      <w:r>
        <w:tab/>
        <w:t xml:space="preserve">up to 0.1 kg/kL </w:t>
      </w:r>
      <w:r>
        <w:tab/>
        <w:t>13.8 c/kg</w:t>
      </w:r>
    </w:p>
    <w:p>
      <w:pPr>
        <w:pStyle w:val="yIndenti0"/>
        <w:tabs>
          <w:tab w:val="right" w:leader="dot" w:pos="6804"/>
        </w:tabs>
      </w:pPr>
      <w:r>
        <w:tab/>
        <w:t>(ii)</w:t>
      </w:r>
      <w:r>
        <w:tab/>
        <w:t xml:space="preserve">over 0.1 kg/kL but </w:t>
      </w:r>
      <w:r>
        <w:br/>
        <w:t xml:space="preserve">not over 0.2 kg/kL </w:t>
      </w:r>
      <w:r>
        <w:tab/>
        <w:t>32.8 c/kg</w:t>
      </w:r>
    </w:p>
    <w:p>
      <w:pPr>
        <w:pStyle w:val="yIndenti0"/>
        <w:tabs>
          <w:tab w:val="right" w:leader="dot" w:pos="6804"/>
        </w:tabs>
      </w:pPr>
      <w:r>
        <w:tab/>
        <w:t>(iii)</w:t>
      </w:r>
      <w:r>
        <w:tab/>
        <w:t xml:space="preserve">over 0.2 kg/kL </w:t>
      </w:r>
      <w:r>
        <w:tab/>
        <w:t>65.6 c/kg</w:t>
      </w:r>
    </w:p>
    <w:p>
      <w:pPr>
        <w:pStyle w:val="yIndenta"/>
        <w:tabs>
          <w:tab w:val="right" w:leader="dot" w:pos="6804"/>
        </w:tabs>
      </w:pPr>
      <w:r>
        <w:tab/>
        <w:t>(g)</w:t>
      </w:r>
      <w:r>
        <w:tab/>
        <w:t xml:space="preserve">for nitrogen </w:t>
      </w:r>
      <w:r>
        <w:tab/>
        <w:t>139.7 c/kg</w:t>
      </w:r>
    </w:p>
    <w:p>
      <w:pPr>
        <w:pStyle w:val="yIndenta"/>
        <w:tabs>
          <w:tab w:val="right" w:leader="dot" w:pos="6804"/>
        </w:tabs>
      </w:pPr>
      <w:r>
        <w:tab/>
        <w:t>(h)</w:t>
      </w:r>
      <w:r>
        <w:tab/>
        <w:t xml:space="preserve">for phosphorus </w:t>
      </w:r>
      <w:r>
        <w:tab/>
        <w:t>39.2 c/kg</w:t>
      </w:r>
    </w:p>
    <w:p>
      <w:pPr>
        <w:pStyle w:val="yIndenta"/>
        <w:rPr>
          <w:szCs w:val="22"/>
        </w:rPr>
      </w:pPr>
      <w:r>
        <w:rPr>
          <w:szCs w:val="22"/>
        </w:rPr>
        <w:tab/>
        <w:t>(i)</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t>74.1 c/kg</w:t>
      </w:r>
    </w:p>
    <w:p>
      <w:pPr>
        <w:pStyle w:val="yIndenta"/>
      </w:pPr>
      <w:r>
        <w:rPr>
          <w:szCs w:val="22"/>
        </w:rPr>
        <w:tab/>
        <w:t>(j)</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4.1 c/kg</w:t>
      </w:r>
    </w:p>
    <w:p>
      <w:pPr>
        <w:pStyle w:val="yIndenti0"/>
        <w:tabs>
          <w:tab w:val="right" w:leader="dot" w:pos="6804"/>
        </w:tabs>
      </w:pPr>
      <w:r>
        <w:tab/>
        <w:t>(iv)</w:t>
      </w:r>
      <w:r>
        <w:tab/>
        <w:t xml:space="preserve">over 6 kg/kL </w:t>
      </w:r>
      <w:r>
        <w:tab/>
        <w:t>14.7 c/kg</w:t>
      </w:r>
    </w:p>
    <w:p>
      <w:pPr>
        <w:pStyle w:val="yIndenta"/>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not </w:t>
      </w:r>
      <w:r>
        <w:br/>
        <w:t>over 1 kg/day</w:t>
      </w:r>
      <w:r>
        <w:tab/>
        <w:t>2 314.1 c/kg</w:t>
      </w:r>
    </w:p>
    <w:p>
      <w:pPr>
        <w:pStyle w:val="yIndenti0"/>
        <w:tabs>
          <w:tab w:val="right" w:leader="dot" w:pos="6804"/>
        </w:tabs>
      </w:pPr>
      <w:r>
        <w:tab/>
        <w:t>(iii)</w:t>
      </w:r>
      <w:r>
        <w:tab/>
        <w:t xml:space="preserve">over 1 kg/day </w:t>
      </w:r>
      <w:r>
        <w:tab/>
        <w:t>9 272.3 c/kg</w:t>
      </w:r>
    </w:p>
    <w:p>
      <w:pPr>
        <w:pStyle w:val="yIndenta"/>
      </w:pPr>
      <w:r>
        <w:rPr>
          <w:szCs w:val="22"/>
        </w:rPr>
        <w:tab/>
        <w:t>(l)</w:t>
      </w:r>
      <w:r>
        <w:rPr>
          <w:szCs w:val="22"/>
        </w:rPr>
        <w:tab/>
        <w:t>for copper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not over 0.12 kg/day</w:t>
      </w:r>
      <w:r>
        <w:tab/>
        <w:t>2 314.1 c/kg</w:t>
      </w:r>
    </w:p>
    <w:p>
      <w:pPr>
        <w:pStyle w:val="yIndenti0"/>
        <w:tabs>
          <w:tab w:val="right" w:leader="dot" w:pos="6804"/>
        </w:tabs>
      </w:pPr>
      <w:r>
        <w:lastRenderedPageBreak/>
        <w:tab/>
        <w:t>(iii)</w:t>
      </w:r>
      <w:r>
        <w:tab/>
        <w:t xml:space="preserve">over 0.12 kg/day </w:t>
      </w:r>
      <w:r>
        <w:tab/>
        <w:t>9 272.3 c/kg</w:t>
      </w:r>
    </w:p>
    <w:p>
      <w:pPr>
        <w:pStyle w:val="yIndenta"/>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 xml:space="preserve">not over 0.3 kg/day </w:t>
      </w:r>
      <w:r>
        <w:tab/>
        <w:t>2 314.1 c/kg</w:t>
      </w:r>
    </w:p>
    <w:p>
      <w:pPr>
        <w:pStyle w:val="yIndenti0"/>
        <w:tabs>
          <w:tab w:val="right" w:leader="dot" w:pos="6804"/>
        </w:tabs>
      </w:pPr>
      <w:r>
        <w:tab/>
        <w:t>(iii)</w:t>
      </w:r>
      <w:r>
        <w:tab/>
        <w:t xml:space="preserve">over 0.3 kg/day </w:t>
      </w:r>
      <w:r>
        <w:tab/>
        <w:t>9 272.3 c/kg</w:t>
      </w:r>
    </w:p>
    <w:p>
      <w:pPr>
        <w:pStyle w:val="yIndenta"/>
      </w:pPr>
      <w:r>
        <w:tab/>
        <w:t>(n)</w:t>
      </w:r>
      <w:r>
        <w:tab/>
        <w:t>for nickel with a discharge rate of —</w:t>
      </w:r>
    </w:p>
    <w:p>
      <w:pPr>
        <w:pStyle w:val="yIndenti0"/>
        <w:tabs>
          <w:tab w:val="right" w:leader="dot" w:pos="6804"/>
        </w:tabs>
      </w:pPr>
      <w:r>
        <w:tab/>
        <w:t>(i)</w:t>
      </w:r>
      <w:r>
        <w:tab/>
        <w:t xml:space="preserve">up to 0.006 kg/day </w:t>
      </w:r>
      <w:r>
        <w:tab/>
        <w:t>1 160.2 c/kg</w:t>
      </w:r>
    </w:p>
    <w:p>
      <w:pPr>
        <w:pStyle w:val="yIndenti0"/>
        <w:tabs>
          <w:tab w:val="right" w:leader="dot" w:pos="6804"/>
        </w:tabs>
      </w:pPr>
      <w:r>
        <w:tab/>
        <w:t>(ii)</w:t>
      </w:r>
      <w:r>
        <w:tab/>
        <w:t xml:space="preserve">over 0.006 kg/day but </w:t>
      </w:r>
      <w:r>
        <w:br/>
        <w:t xml:space="preserve">not over 0.15 kg/day </w:t>
      </w:r>
      <w:r>
        <w:tab/>
        <w:t>2 314.1 c/kg</w:t>
      </w:r>
    </w:p>
    <w:p>
      <w:pPr>
        <w:pStyle w:val="yIndenti0"/>
        <w:tabs>
          <w:tab w:val="right" w:leader="dot" w:pos="6804"/>
        </w:tabs>
      </w:pPr>
      <w:r>
        <w:tab/>
        <w:t>(iii)</w:t>
      </w:r>
      <w:r>
        <w:tab/>
        <w:t xml:space="preserve">over 0.15 kg/day </w:t>
      </w:r>
      <w:r>
        <w:tab/>
        <w:t>9 272.3 c/kg</w:t>
      </w:r>
    </w:p>
    <w:p>
      <w:pPr>
        <w:pStyle w:val="yIndenta"/>
      </w:pPr>
      <w:r>
        <w:tab/>
        <w:t>(o)</w:t>
      </w:r>
      <w:r>
        <w:tab/>
        <w:t>for zinc with a discharge rate of —</w:t>
      </w:r>
    </w:p>
    <w:p>
      <w:pPr>
        <w:pStyle w:val="yIndenti0"/>
        <w:tabs>
          <w:tab w:val="right" w:leader="dot" w:pos="6804"/>
        </w:tabs>
      </w:pPr>
      <w:r>
        <w:tab/>
        <w:t>(i)</w:t>
      </w:r>
      <w:r>
        <w:tab/>
        <w:t xml:space="preserve">up to 0.05 kg/day </w:t>
      </w:r>
      <w:r>
        <w:tab/>
        <w:t>1 160.2 c/kg</w:t>
      </w:r>
    </w:p>
    <w:p>
      <w:pPr>
        <w:pStyle w:val="yIndenti0"/>
        <w:tabs>
          <w:tab w:val="right" w:leader="dot" w:pos="6804"/>
        </w:tabs>
      </w:pPr>
      <w:r>
        <w:tab/>
        <w:t>(ii)</w:t>
      </w:r>
      <w:r>
        <w:tab/>
        <w:t>over 0.05 kg/day but</w:t>
      </w:r>
      <w:r>
        <w:br/>
        <w:t xml:space="preserve"> not over 0.5 kg/day </w:t>
      </w:r>
      <w:r>
        <w:tab/>
        <w:t>2 314.1 c/kg</w:t>
      </w:r>
    </w:p>
    <w:p>
      <w:pPr>
        <w:pStyle w:val="yIndenti0"/>
        <w:tabs>
          <w:tab w:val="right" w:leader="dot" w:pos="6804"/>
        </w:tabs>
      </w:pPr>
      <w:r>
        <w:tab/>
        <w:t>(iii)</w:t>
      </w:r>
      <w:r>
        <w:tab/>
        <w:t xml:space="preserve">over 0.5 kg/day </w:t>
      </w:r>
      <w:r>
        <w:tab/>
        <w:t>9 272.3 c/kg</w:t>
      </w:r>
    </w:p>
    <w:p>
      <w:pPr>
        <w:pStyle w:val="yIndenta"/>
      </w:pPr>
      <w:r>
        <w:tab/>
        <w:t>(p)</w:t>
      </w:r>
      <w:r>
        <w:tab/>
        <w:t>for arsenic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0.04 kg/day </w:t>
      </w:r>
      <w:r>
        <w:tab/>
        <w:t>11 587.5 c/kg</w:t>
      </w:r>
    </w:p>
    <w:p>
      <w:pPr>
        <w:pStyle w:val="yIndenti0"/>
        <w:tabs>
          <w:tab w:val="right" w:leader="dot" w:pos="6804"/>
        </w:tabs>
      </w:pPr>
      <w:r>
        <w:tab/>
        <w:t>(iii)</w:t>
      </w:r>
      <w:r>
        <w:tab/>
        <w:t xml:space="preserve">over 0.04 kg/day </w:t>
      </w:r>
      <w:r>
        <w:tab/>
        <w:t>115 873.0 c/kg</w:t>
      </w:r>
    </w:p>
    <w:p>
      <w:pPr>
        <w:pStyle w:val="yIndenta"/>
      </w:pPr>
      <w:r>
        <w:tab/>
        <w:t>(q)</w:t>
      </w:r>
      <w:r>
        <w:tab/>
        <w:t>for cadmium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0.015 kg/day </w:t>
      </w:r>
      <w:r>
        <w:tab/>
        <w:t>11 587.5 c/kg</w:t>
      </w:r>
    </w:p>
    <w:p>
      <w:pPr>
        <w:pStyle w:val="yIndenti0"/>
        <w:tabs>
          <w:tab w:val="right" w:leader="dot" w:pos="6804"/>
        </w:tabs>
      </w:pPr>
      <w:r>
        <w:tab/>
        <w:t>(iii)</w:t>
      </w:r>
      <w:r>
        <w:tab/>
        <w:t xml:space="preserve">over 0.015 kg/day </w:t>
      </w:r>
      <w:r>
        <w:tab/>
        <w:t>115 873.0 c/kg</w:t>
      </w:r>
    </w:p>
    <w:p>
      <w:pPr>
        <w:pStyle w:val="yIndenta"/>
      </w:pPr>
      <w:r>
        <w:tab/>
        <w:t>(r)</w:t>
      </w:r>
      <w:r>
        <w:tab/>
        <w:t>for molybdenum or selenium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0.02 kg/day </w:t>
      </w:r>
      <w:r>
        <w:tab/>
        <w:t>11 587.5 c/kg</w:t>
      </w:r>
    </w:p>
    <w:p>
      <w:pPr>
        <w:pStyle w:val="yIndenti0"/>
        <w:tabs>
          <w:tab w:val="right" w:leader="dot" w:pos="6804"/>
        </w:tabs>
      </w:pPr>
      <w:r>
        <w:tab/>
        <w:t>(iii)</w:t>
      </w:r>
      <w:r>
        <w:tab/>
        <w:t xml:space="preserve">over 0.02 kg/day </w:t>
      </w:r>
      <w:r>
        <w:tab/>
        <w:t>115 873.0 c/kg</w:t>
      </w:r>
    </w:p>
    <w:p>
      <w:pPr>
        <w:pStyle w:val="yIndenta"/>
        <w:keepNext/>
      </w:pPr>
      <w:r>
        <w:lastRenderedPageBreak/>
        <w:tab/>
        <w:t>(s)</w:t>
      </w:r>
      <w:r>
        <w:tab/>
        <w:t>for silver with a discharge rate of —</w:t>
      </w:r>
    </w:p>
    <w:p>
      <w:pPr>
        <w:pStyle w:val="yIndenti0"/>
        <w:tabs>
          <w:tab w:val="right" w:leader="dot" w:pos="6804"/>
        </w:tabs>
      </w:pPr>
      <w:r>
        <w:tab/>
        <w:t>(i)</w:t>
      </w:r>
      <w:r>
        <w:tab/>
        <w:t xml:space="preserve">up to 0.002 kg/day </w:t>
      </w:r>
      <w:r>
        <w:tab/>
        <w:t>1 160.2 c/kg</w:t>
      </w:r>
    </w:p>
    <w:p>
      <w:pPr>
        <w:pStyle w:val="yIndenti0"/>
        <w:tabs>
          <w:tab w:val="right" w:leader="dot" w:pos="6804"/>
        </w:tabs>
      </w:pPr>
      <w:r>
        <w:tab/>
        <w:t>(ii)</w:t>
      </w:r>
      <w:r>
        <w:tab/>
        <w:t xml:space="preserve">over 0.002 kg/day but </w:t>
      </w:r>
      <w:r>
        <w:br/>
        <w:t xml:space="preserve">not over 0.01 kg/day </w:t>
      </w:r>
      <w:r>
        <w:tab/>
        <w:t>11 587.5 c/kg</w:t>
      </w:r>
    </w:p>
    <w:p>
      <w:pPr>
        <w:pStyle w:val="yIndenti0"/>
        <w:tabs>
          <w:tab w:val="right" w:leader="dot" w:pos="6804"/>
        </w:tabs>
      </w:pPr>
      <w:r>
        <w:tab/>
        <w:t>(iii)</w:t>
      </w:r>
      <w:r>
        <w:tab/>
        <w:t xml:space="preserve">over 0.01 kg/day </w:t>
      </w:r>
      <w:r>
        <w:tab/>
        <w:t>115 873.0 c/kg</w:t>
      </w:r>
    </w:p>
    <w:p>
      <w:pPr>
        <w:pStyle w:val="yIndenta"/>
      </w:pPr>
      <w:r>
        <w:tab/>
        <w:t>(t)</w:t>
      </w:r>
      <w:r>
        <w:tab/>
        <w:t>for mercury with a discharge rate of —</w:t>
      </w:r>
    </w:p>
    <w:p>
      <w:pPr>
        <w:pStyle w:val="yIndenti0"/>
        <w:tabs>
          <w:tab w:val="right" w:leader="dot" w:pos="6804"/>
        </w:tabs>
      </w:pPr>
      <w:r>
        <w:tab/>
        <w:t>(i)</w:t>
      </w:r>
      <w:r>
        <w:tab/>
        <w:t xml:space="preserve">up to 0.0001 kg/day </w:t>
      </w:r>
      <w:r>
        <w:tab/>
        <w:t>1 160.2 c/kg</w:t>
      </w:r>
    </w:p>
    <w:p>
      <w:pPr>
        <w:pStyle w:val="yIndenti0"/>
        <w:tabs>
          <w:tab w:val="right" w:leader="dot" w:pos="6804"/>
        </w:tabs>
      </w:pPr>
      <w:r>
        <w:tab/>
        <w:t>(ii)</w:t>
      </w:r>
      <w:r>
        <w:tab/>
        <w:t xml:space="preserve">over 0.0001 kg/day but </w:t>
      </w:r>
      <w:r>
        <w:br/>
        <w:t xml:space="preserve">not over 0.001 kg/day </w:t>
      </w:r>
      <w:r>
        <w:tab/>
        <w:t>115 873.0 c/kg</w:t>
      </w:r>
    </w:p>
    <w:p>
      <w:pPr>
        <w:pStyle w:val="yIndenti0"/>
        <w:tabs>
          <w:tab w:val="right" w:leader="dot" w:pos="6804"/>
        </w:tabs>
      </w:pPr>
      <w:r>
        <w:tab/>
        <w:t>(iii)</w:t>
      </w:r>
      <w:r>
        <w:tab/>
        <w:t xml:space="preserve">over 0.001 kg/day </w:t>
      </w:r>
      <w:r>
        <w:tab/>
        <w:t>869 080.4 c/kg</w:t>
      </w:r>
    </w:p>
    <w:p>
      <w:pPr>
        <w:pStyle w:val="yHeading5"/>
      </w:pPr>
      <w:bookmarkStart w:id="321" w:name="_Toc106180049"/>
      <w:r>
        <w:t>31.</w:t>
      </w:r>
      <w:r>
        <w:tab/>
        <w:t>Effluent discharged from septic tank effluent pumping system into sewer</w:t>
      </w:r>
      <w:bookmarkEnd w:id="321"/>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175.7 cents/kL</w:t>
      </w:r>
    </w:p>
    <w:p>
      <w:pPr>
        <w:pStyle w:val="yFootnotesection"/>
      </w:pPr>
      <w:r>
        <w:tab/>
        <w:t>[Division 3 inserted: SL 2021/80 r. 8.]</w:t>
      </w:r>
    </w:p>
    <w:p>
      <w:pPr>
        <w:pStyle w:val="yScheduleHeading"/>
      </w:pPr>
      <w:bookmarkStart w:id="322" w:name="_Toc106104066"/>
      <w:bookmarkStart w:id="323" w:name="_Toc106104294"/>
      <w:bookmarkStart w:id="324" w:name="_Toc106179822"/>
      <w:bookmarkStart w:id="325" w:name="_Toc106180050"/>
      <w:r>
        <w:rPr>
          <w:rStyle w:val="CharSchNo"/>
        </w:rPr>
        <w:lastRenderedPageBreak/>
        <w:t>Schedule 5</w:t>
      </w:r>
      <w:r>
        <w:rPr>
          <w:rStyle w:val="CharSDivNo"/>
        </w:rPr>
        <w:t> </w:t>
      </w:r>
      <w:r>
        <w:t>—</w:t>
      </w:r>
      <w:r>
        <w:rPr>
          <w:rStyle w:val="CharSDivText"/>
        </w:rPr>
        <w:t> </w:t>
      </w:r>
      <w:r>
        <w:rPr>
          <w:rStyle w:val="CharSchText"/>
        </w:rPr>
        <w:t>Drainage charges for the Water Corporation</w:t>
      </w:r>
      <w:bookmarkEnd w:id="322"/>
      <w:bookmarkEnd w:id="323"/>
      <w:bookmarkEnd w:id="324"/>
      <w:bookmarkEnd w:id="325"/>
    </w:p>
    <w:p>
      <w:pPr>
        <w:pStyle w:val="yShoulderClause"/>
      </w:pPr>
      <w:r>
        <w:t>[r. 24 and 47]</w:t>
      </w:r>
    </w:p>
    <w:p>
      <w:pPr>
        <w:pStyle w:val="yFootnoteheading"/>
      </w:pPr>
      <w:r>
        <w:tab/>
        <w:t>[Heading inserted: SL 2021/80 r. 8.]</w:t>
      </w:r>
    </w:p>
    <w:p>
      <w:pPr>
        <w:pStyle w:val="yHeading5"/>
      </w:pPr>
      <w:bookmarkStart w:id="326" w:name="_Toc106180051"/>
      <w:r>
        <w:t>1.</w:t>
      </w:r>
      <w:r>
        <w:tab/>
        <w:t>Drainage charges for 2021/22 and subsequent years</w:t>
      </w:r>
      <w:bookmarkEnd w:id="326"/>
    </w:p>
    <w:p>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2021/22 </w:t>
      </w:r>
      <w:r>
        <w:t>financial year and each subsequent year.</w:t>
      </w:r>
    </w:p>
    <w:p>
      <w:pPr>
        <w:pStyle w:val="yHeading5"/>
      </w:pPr>
      <w:bookmarkStart w:id="327" w:name="_Toc106180052"/>
      <w:r>
        <w:t>2.</w:t>
      </w:r>
      <w:r>
        <w:tab/>
        <w:t>Strata</w:t>
      </w:r>
      <w:r>
        <w:noBreakHyphen/>
        <w:t>titled caravan bays</w:t>
      </w:r>
      <w:bookmarkEnd w:id="327"/>
    </w:p>
    <w:p>
      <w:pPr>
        <w:pStyle w:val="ySubsection"/>
        <w:tabs>
          <w:tab w:val="right" w:leader="dot" w:pos="6804"/>
        </w:tabs>
      </w:pPr>
      <w:r>
        <w:tab/>
      </w:r>
      <w:r>
        <w:tab/>
        <w:t>For a strata</w:t>
      </w:r>
      <w:r>
        <w:noBreakHyphen/>
        <w:t xml:space="preserve">titled caravan bay or a park home, </w:t>
      </w:r>
      <w:r>
        <w:br/>
        <w:t xml:space="preserve">the charge is </w:t>
      </w:r>
      <w:r>
        <w:tab/>
        <w:t>$38.09</w:t>
      </w:r>
    </w:p>
    <w:p>
      <w:pPr>
        <w:pStyle w:val="yHeading5"/>
      </w:pPr>
      <w:bookmarkStart w:id="328" w:name="_Toc106180053"/>
      <w:r>
        <w:t>3.</w:t>
      </w:r>
      <w:r>
        <w:tab/>
        <w:t>Storage units or parking bays in strata titles scheme or community titles scheme</w:t>
      </w:r>
      <w:bookmarkEnd w:id="328"/>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$14.66</w:t>
      </w:r>
    </w:p>
    <w:p>
      <w:pPr>
        <w:pStyle w:val="yHeading5"/>
      </w:pPr>
      <w:bookmarkStart w:id="329" w:name="_Toc106180054"/>
      <w:r>
        <w:t>4.</w:t>
      </w:r>
      <w:r>
        <w:tab/>
        <w:t>Residential or semi</w:t>
      </w:r>
      <w:r>
        <w:noBreakHyphen/>
        <w:t>rural residential</w:t>
      </w:r>
      <w:bookmarkEnd w:id="329"/>
    </w:p>
    <w:p>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0.646 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t xml:space="preserve"> </w:t>
      </w:r>
      <w:r>
        <w:rPr>
          <w:szCs w:val="22"/>
        </w:rPr>
        <w:t>$125.96</w:t>
      </w:r>
    </w:p>
    <w:p>
      <w:pPr>
        <w:pStyle w:val="yHeading5"/>
      </w:pPr>
      <w:bookmarkStart w:id="330" w:name="_Toc106180055"/>
      <w:r>
        <w:t>5.</w:t>
      </w:r>
      <w:r>
        <w:tab/>
        <w:t>Vacant land</w:t>
      </w:r>
      <w:bookmarkEnd w:id="330"/>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0.714 </w:t>
      </w:r>
      <w:r>
        <w:t>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r>
      <w:r>
        <w:rPr>
          <w:szCs w:val="22"/>
        </w:rPr>
        <w:t>$125.96</w:t>
      </w:r>
    </w:p>
    <w:p>
      <w:pPr>
        <w:pStyle w:val="yHeading5"/>
      </w:pPr>
      <w:bookmarkStart w:id="331" w:name="_Toc106180056"/>
      <w:r>
        <w:lastRenderedPageBreak/>
        <w:t>6.</w:t>
      </w:r>
      <w:r>
        <w:tab/>
        <w:t>Non</w:t>
      </w:r>
      <w:r>
        <w:noBreakHyphen/>
        <w:t>residential (except strata titled caravan bays and storage units or parking bays in strata titles scheme or community titles scheme)</w:t>
      </w:r>
      <w:bookmarkEnd w:id="331"/>
    </w:p>
    <w:p>
      <w:pPr>
        <w:pStyle w:val="ySubsection"/>
        <w:tabs>
          <w:tab w:val="right" w:leader="dot" w:pos="6804"/>
        </w:tabs>
      </w:pPr>
      <w:r>
        <w:tab/>
        <w:t>(1)</w:t>
      </w:r>
      <w:r>
        <w:tab/>
      </w:r>
      <w:r>
        <w:rPr>
          <w:szCs w:val="22"/>
        </w:rPr>
        <w:t xml:space="preserve">For land that is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0.363 </w:t>
      </w:r>
      <w:r>
        <w:t>cents/$</w:t>
      </w:r>
    </w:p>
    <w:p>
      <w:pPr>
        <w:pStyle w:val="ySubsection"/>
        <w:spacing w:before="0"/>
        <w:ind w:right="283"/>
        <w:jc w:val="right"/>
      </w:pPr>
      <w:r>
        <w:t>of GRV</w:t>
      </w:r>
    </w:p>
    <w:p>
      <w:pPr>
        <w:pStyle w:val="ySubsection"/>
        <w:tabs>
          <w:tab w:val="right" w:leader="dot" w:pos="6804"/>
        </w:tabs>
        <w:rPr>
          <w:szCs w:val="22"/>
        </w:rPr>
      </w:pPr>
      <w:r>
        <w:tab/>
        <w:t>(2)</w:t>
      </w:r>
      <w:r>
        <w:tab/>
        <w:t xml:space="preserve">The minimum charge under this item is </w:t>
      </w:r>
      <w:r>
        <w:tab/>
      </w:r>
      <w:r>
        <w:rPr>
          <w:szCs w:val="22"/>
        </w:rPr>
        <w:t>$125.96</w:t>
      </w:r>
    </w:p>
    <w:p>
      <w:pPr>
        <w:pStyle w:val="yFootnotesection"/>
      </w:pPr>
      <w:r>
        <w:tab/>
        <w:t>[Schedule 5 inserted: SL 2021/80 r. 8.]</w:t>
      </w:r>
    </w:p>
    <w:p>
      <w:pPr>
        <w:pStyle w:val="yScheduleHeading"/>
      </w:pPr>
      <w:bookmarkStart w:id="332" w:name="_Toc106104073"/>
      <w:bookmarkStart w:id="333" w:name="_Toc106104301"/>
      <w:bookmarkStart w:id="334" w:name="_Toc106179829"/>
      <w:bookmarkStart w:id="335" w:name="_Toc106180057"/>
      <w:r>
        <w:rPr>
          <w:rStyle w:val="CharSchNo"/>
        </w:rPr>
        <w:lastRenderedPageBreak/>
        <w:t>Schedule 6</w:t>
      </w:r>
      <w:r>
        <w:t> — </w:t>
      </w:r>
      <w:r>
        <w:rPr>
          <w:rStyle w:val="CharSchText"/>
        </w:rPr>
        <w:t>Irrigation charges for the Water Corporation (Ord Irrigation District)</w:t>
      </w:r>
      <w:bookmarkEnd w:id="332"/>
      <w:bookmarkEnd w:id="333"/>
      <w:bookmarkEnd w:id="334"/>
      <w:bookmarkEnd w:id="335"/>
    </w:p>
    <w:p>
      <w:pPr>
        <w:pStyle w:val="yShoulderClause"/>
      </w:pPr>
      <w:r>
        <w:t>[r. 50]</w:t>
      </w:r>
    </w:p>
    <w:p>
      <w:pPr>
        <w:pStyle w:val="yFootnoteheading"/>
      </w:pPr>
      <w:r>
        <w:tab/>
        <w:t>[Heading inserted: SL 2021/80 r. 8.]</w:t>
      </w:r>
    </w:p>
    <w:p>
      <w:pPr>
        <w:pStyle w:val="yHeading5"/>
      </w:pPr>
      <w:bookmarkStart w:id="336" w:name="_Toc106180058"/>
      <w:r>
        <w:t>1.</w:t>
      </w:r>
      <w:r>
        <w:tab/>
        <w:t>Irrigation charges for 2021/22 and subsequent years</w:t>
      </w:r>
      <w:bookmarkEnd w:id="336"/>
    </w:p>
    <w:p>
      <w:pPr>
        <w:pStyle w:val="ySubsection"/>
      </w:pPr>
      <w:r>
        <w:tab/>
      </w:r>
      <w:r>
        <w:tab/>
        <w:t xml:space="preserve">The charges set out in this Schedule apply for irrigation services provided in the </w:t>
      </w:r>
      <w:r>
        <w:rPr>
          <w:szCs w:val="22"/>
        </w:rPr>
        <w:t>2021/22</w:t>
      </w:r>
      <w:r>
        <w:t> financial year and each subsequent year.</w:t>
      </w:r>
    </w:p>
    <w:p>
      <w:pPr>
        <w:pStyle w:val="yHeading5"/>
      </w:pPr>
      <w:bookmarkStart w:id="337" w:name="_Toc106180059"/>
      <w:r>
        <w:t>2.</w:t>
      </w:r>
      <w:r>
        <w:tab/>
        <w:t>Water provided as irrigation service</w:t>
      </w:r>
      <w:bookmarkEnd w:id="337"/>
    </w:p>
    <w:p>
      <w:pPr>
        <w:pStyle w:val="ySubsection"/>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 xml:space="preserve"> $288.74</w:t>
      </w:r>
    </w:p>
    <w:p>
      <w:pPr>
        <w:pStyle w:val="yIndenta"/>
        <w:tabs>
          <w:tab w:val="right" w:leader="dot" w:pos="6804"/>
        </w:tabs>
      </w:pPr>
      <w:r>
        <w:tab/>
        <w:t>(b)</w:t>
      </w:r>
      <w:r>
        <w:tab/>
        <w:t>if the maximum area of</w:t>
      </w:r>
      <w:r>
        <w:br/>
        <w:t>land is more than</w:t>
      </w:r>
      <w:r>
        <w:br/>
        <w:t xml:space="preserve">1 hectare </w:t>
      </w:r>
      <w:r>
        <w:tab/>
        <w:t xml:space="preserve"> $199.37 per ha (pro rata)</w:t>
      </w:r>
    </w:p>
    <w:p>
      <w:pPr>
        <w:pStyle w:val="yFootnotesection"/>
      </w:pPr>
      <w:r>
        <w:tab/>
        <w:t>[Schedule 6 inserted: SL 2021/80 r. 8.]</w:t>
      </w:r>
    </w:p>
    <w:p>
      <w:pPr>
        <w:pStyle w:val="yScheduleHeading"/>
      </w:pPr>
      <w:bookmarkStart w:id="338" w:name="_Toc106104076"/>
      <w:bookmarkStart w:id="339" w:name="_Toc106104304"/>
      <w:bookmarkStart w:id="340" w:name="_Toc106179832"/>
      <w:bookmarkStart w:id="341" w:name="_Toc106180060"/>
      <w:r>
        <w:rPr>
          <w:rStyle w:val="CharSchNo"/>
        </w:rPr>
        <w:lastRenderedPageBreak/>
        <w:t>Schedule 7</w:t>
      </w:r>
      <w:r>
        <w:t> — </w:t>
      </w:r>
      <w:r>
        <w:rPr>
          <w:rStyle w:val="CharSchText"/>
        </w:rPr>
        <w:t>Miscellaneous charges for the Water Corporation</w:t>
      </w:r>
      <w:bookmarkEnd w:id="338"/>
      <w:bookmarkEnd w:id="339"/>
      <w:bookmarkEnd w:id="340"/>
      <w:bookmarkEnd w:id="341"/>
    </w:p>
    <w:p>
      <w:pPr>
        <w:pStyle w:val="yShoulderClause"/>
      </w:pPr>
      <w:r>
        <w:t>[r.  51]</w:t>
      </w:r>
    </w:p>
    <w:p>
      <w:pPr>
        <w:pStyle w:val="yFootnoteheading"/>
      </w:pPr>
      <w:r>
        <w:tab/>
        <w:t>[Heading inserted: SL 2021/80 r. 8.]</w:t>
      </w:r>
    </w:p>
    <w:p>
      <w:pPr>
        <w:pStyle w:val="yHeading5"/>
      </w:pPr>
      <w:bookmarkStart w:id="342" w:name="_Toc106180061"/>
      <w:r>
        <w:t>1.</w:t>
      </w:r>
      <w:r>
        <w:tab/>
        <w:t>Requests for sub</w:t>
      </w:r>
      <w:r>
        <w:noBreakHyphen/>
        <w:t>meter installations: multi</w:t>
      </w:r>
      <w:r>
        <w:noBreakHyphen/>
        <w:t>unit developments</w:t>
      </w:r>
      <w:bookmarkEnd w:id="342"/>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$118.71</w:t>
      </w:r>
    </w:p>
    <w:p>
      <w:pPr>
        <w:pStyle w:val="yHeading5"/>
      </w:pPr>
      <w:bookmarkStart w:id="343" w:name="_Toc106180062"/>
      <w:r>
        <w:rPr>
          <w:rStyle w:val="CharSClsNo"/>
        </w:rPr>
        <w:t>2</w:t>
      </w:r>
      <w:r>
        <w:t>.</w:t>
      </w:r>
      <w:r>
        <w:tab/>
        <w:t>Sub</w:t>
      </w:r>
      <w:r>
        <w:noBreakHyphen/>
        <w:t>meter installations: multi</w:t>
      </w:r>
      <w:r>
        <w:noBreakHyphen/>
        <w:t>unit developments</w:t>
      </w:r>
      <w:bookmarkEnd w:id="343"/>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$185.66</w:t>
      </w:r>
    </w:p>
    <w:p>
      <w:pPr>
        <w:pStyle w:val="yHeading5"/>
      </w:pPr>
      <w:bookmarkStart w:id="344" w:name="_Toc106180063"/>
      <w:r>
        <w:t>3.</w:t>
      </w:r>
      <w:r>
        <w:tab/>
        <w:t>Testing meters</w:t>
      </w:r>
      <w:bookmarkEnd w:id="344"/>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keepNext/>
        <w:tabs>
          <w:tab w:val="right" w:leader="dot" w:pos="6804"/>
        </w:tabs>
        <w:ind w:left="993"/>
      </w:pPr>
      <w:r>
        <w:t>20</w:t>
      </w:r>
      <w:r>
        <w:noBreakHyphen/>
        <w:t xml:space="preserve">25 mm </w:t>
      </w:r>
      <w:r>
        <w:tab/>
      </w:r>
      <w:r>
        <w:rPr>
          <w:szCs w:val="22"/>
        </w:rPr>
        <w:t>$117.51</w:t>
      </w:r>
    </w:p>
    <w:p>
      <w:pPr>
        <w:pStyle w:val="yMiscellaneousBody"/>
        <w:tabs>
          <w:tab w:val="right" w:leader="dot" w:pos="6804"/>
        </w:tabs>
        <w:ind w:left="993"/>
      </w:pPr>
      <w:r>
        <w:t xml:space="preserve">more than 25 mm </w:t>
      </w:r>
      <w:r>
        <w:tab/>
        <w:t>an amount</w:t>
      </w:r>
    </w:p>
    <w:p>
      <w:pPr>
        <w:pStyle w:val="yMiscellaneousBody"/>
        <w:tabs>
          <w:tab w:val="right" w:pos="6804"/>
        </w:tabs>
        <w:spacing w:before="0"/>
      </w:pPr>
      <w:r>
        <w:tab/>
        <w:t>equal to the</w:t>
      </w:r>
      <w:r>
        <w:br/>
      </w:r>
      <w:r>
        <w:tab/>
        <w:t>cost of testing</w:t>
      </w:r>
    </w:p>
    <w:p>
      <w:pPr>
        <w:pStyle w:val="yHeading5"/>
      </w:pPr>
      <w:bookmarkStart w:id="345" w:name="_Toc106180064"/>
      <w:r>
        <w:t>4.</w:t>
      </w:r>
      <w:r>
        <w:tab/>
        <w:t>Installing water supply connection</w:t>
      </w:r>
      <w:bookmarkEnd w:id="345"/>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$1 663.00</w:t>
      </w:r>
    </w:p>
    <w:p>
      <w:pPr>
        <w:pStyle w:val="yMiscellaneousBody"/>
        <w:tabs>
          <w:tab w:val="right" w:leader="dot" w:pos="6804"/>
        </w:tabs>
        <w:ind w:left="993"/>
      </w:pPr>
      <w:r>
        <w:t xml:space="preserve">25 mm </w:t>
      </w:r>
      <w:r>
        <w:tab/>
        <w:t>$2 131.00</w:t>
      </w:r>
    </w:p>
    <w:p>
      <w:pPr>
        <w:pStyle w:val="yMiscellaneousBody"/>
        <w:tabs>
          <w:tab w:val="right" w:leader="dot" w:pos="6804"/>
        </w:tabs>
        <w:ind w:left="993"/>
      </w:pPr>
      <w:r>
        <w:t xml:space="preserve">40 mm </w:t>
      </w:r>
      <w:r>
        <w:tab/>
        <w:t>$3 769.00</w:t>
      </w:r>
    </w:p>
    <w:p>
      <w:pPr>
        <w:pStyle w:val="yMiscellaneousBody"/>
        <w:tabs>
          <w:tab w:val="right" w:leader="dot" w:pos="6804"/>
        </w:tabs>
        <w:ind w:left="993"/>
      </w:pPr>
      <w:r>
        <w:lastRenderedPageBreak/>
        <w:t xml:space="preserve">50 mm </w:t>
      </w:r>
      <w:r>
        <w:tab/>
        <w:t>$5 073.00</w:t>
      </w:r>
    </w:p>
    <w:p>
      <w:pPr>
        <w:pStyle w:val="yMiscellaneousBody"/>
        <w:tabs>
          <w:tab w:val="right" w:leader="dot" w:pos="6804"/>
        </w:tabs>
        <w:ind w:left="993"/>
      </w:pPr>
      <w:r>
        <w:t>80</w:t>
      </w:r>
      <w:r>
        <w:noBreakHyphen/>
        <w:t xml:space="preserve">100 mm </w:t>
      </w:r>
      <w:r>
        <w:tab/>
        <w:t>$8 656.00</w:t>
      </w:r>
    </w:p>
    <w:p>
      <w:pPr>
        <w:pStyle w:val="yMiscellaneousBody"/>
        <w:tabs>
          <w:tab w:val="right" w:leader="dot" w:pos="6804"/>
        </w:tabs>
        <w:ind w:left="993"/>
      </w:pPr>
      <w:r>
        <w:t xml:space="preserve">150 mm </w:t>
      </w:r>
      <w:r>
        <w:tab/>
        <w:t>$11 378.00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pPr>
      <w:r>
        <w:tab/>
        <w:t>(2)</w:t>
      </w:r>
      <w:r>
        <w:tab/>
        <w:t xml:space="preserve">For installing a water supply connection in relation to land in the central business districts, the charge is </w:t>
      </w:r>
      <w:r>
        <w:tab/>
      </w:r>
      <w:r>
        <w:rPr>
          <w:szCs w:val="22"/>
        </w:rPr>
        <w:t>an amount</w:t>
      </w:r>
    </w:p>
    <w:p>
      <w:pPr>
        <w:pStyle w:val="ySubsection"/>
        <w:spacing w:before="0"/>
        <w:ind w:right="284"/>
        <w:jc w:val="right"/>
      </w:pPr>
      <w:r>
        <w:tab/>
        <w:t>equal to the</w:t>
      </w:r>
      <w:r>
        <w:br/>
      </w:r>
      <w:r>
        <w:tab/>
        <w:t>cost of</w:t>
      </w:r>
      <w:r>
        <w:br/>
      </w:r>
      <w:r>
        <w:tab/>
        <w:t>installation</w:t>
      </w:r>
    </w:p>
    <w:p>
      <w:pPr>
        <w:pStyle w:val="yHeading5"/>
      </w:pPr>
      <w:bookmarkStart w:id="346" w:name="_Toc106180065"/>
      <w:r>
        <w:t>5.</w:t>
      </w:r>
      <w:r>
        <w:tab/>
        <w:t>Activating water supply connection</w:t>
      </w:r>
      <w:bookmarkEnd w:id="346"/>
    </w:p>
    <w:p>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r>
      <w:r>
        <w:rPr>
          <w:szCs w:val="22"/>
        </w:rPr>
        <w:t>$196.01</w:t>
      </w:r>
    </w:p>
    <w:p>
      <w:pPr>
        <w:pStyle w:val="ySubsection"/>
      </w:pPr>
      <w:r>
        <w:tab/>
        <w:t>(2)</w:t>
      </w:r>
      <w:r>
        <w:tab/>
        <w:t>The charge under this item covers the supply of a meter, stopcock and, if required, a temporary standpipe.</w:t>
      </w:r>
    </w:p>
    <w:p>
      <w:pPr>
        <w:pStyle w:val="yHeading5"/>
      </w:pPr>
      <w:bookmarkStart w:id="347" w:name="_Toc106180066"/>
      <w:r>
        <w:t>6.</w:t>
      </w:r>
      <w:r>
        <w:tab/>
        <w:t>Disconnecting water supply connection</w:t>
      </w:r>
      <w:bookmarkEnd w:id="347"/>
    </w:p>
    <w:p>
      <w:pPr>
        <w:pStyle w:val="ySubsection"/>
        <w:tabs>
          <w:tab w:val="right" w:leader="dot" w:pos="6804"/>
        </w:tabs>
      </w:pPr>
      <w:r>
        <w:tab/>
        <w:t>(1)</w:t>
      </w:r>
      <w:r>
        <w:tab/>
        <w:t xml:space="preserve">For disconnecting a water supply connection </w:t>
      </w:r>
      <w:r>
        <w:br/>
        <w:t xml:space="preserve">to land, the charge is </w:t>
      </w:r>
      <w:r>
        <w:tab/>
      </w:r>
      <w:r>
        <w:rPr>
          <w:szCs w:val="22"/>
        </w:rPr>
        <w:t>$1 181.00</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348" w:name="_Toc106180067"/>
      <w:r>
        <w:t>7.</w:t>
      </w:r>
      <w:r>
        <w:tab/>
        <w:t>Relocating water supply connection</w:t>
      </w:r>
      <w:bookmarkEnd w:id="348"/>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$929.00</w:t>
      </w:r>
    </w:p>
    <w:p>
      <w:pPr>
        <w:pStyle w:val="yMiscellaneousBody"/>
        <w:tabs>
          <w:tab w:val="right" w:leader="dot" w:pos="6804"/>
        </w:tabs>
        <w:ind w:left="993"/>
      </w:pPr>
      <w:r>
        <w:lastRenderedPageBreak/>
        <w:t xml:space="preserve">25 mm </w:t>
      </w:r>
      <w:r>
        <w:tab/>
        <w:t>$1 184.00</w:t>
      </w:r>
    </w:p>
    <w:p>
      <w:pPr>
        <w:pStyle w:val="yMiscellaneousBody"/>
        <w:tabs>
          <w:tab w:val="right" w:leader="dot" w:pos="6804"/>
        </w:tabs>
        <w:ind w:left="993"/>
      </w:pPr>
      <w:r>
        <w:t xml:space="preserve">40 mm </w:t>
      </w:r>
      <w:r>
        <w:tab/>
        <w:t>$2 082.00</w:t>
      </w:r>
    </w:p>
    <w:p>
      <w:pPr>
        <w:pStyle w:val="yMiscellaneousBody"/>
        <w:keepNext/>
        <w:keepLines/>
        <w:tabs>
          <w:tab w:val="right" w:leader="dot" w:pos="6804"/>
        </w:tabs>
        <w:ind w:left="993"/>
      </w:pPr>
      <w:r>
        <w:t xml:space="preserve">50 mm </w:t>
      </w:r>
      <w:r>
        <w:tab/>
        <w:t>$2 797.00</w:t>
      </w:r>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$1 836.00</w:t>
      </w:r>
    </w:p>
    <w:p>
      <w:pPr>
        <w:pStyle w:val="yMiscellaneousBody"/>
        <w:tabs>
          <w:tab w:val="right" w:leader="dot" w:pos="6804"/>
        </w:tabs>
        <w:ind w:left="993"/>
      </w:pPr>
      <w:r>
        <w:t xml:space="preserve">25 mm </w:t>
      </w:r>
      <w:r>
        <w:tab/>
        <w:t>$2 303.00</w:t>
      </w:r>
    </w:p>
    <w:p>
      <w:pPr>
        <w:pStyle w:val="yMiscellaneousBody"/>
        <w:tabs>
          <w:tab w:val="right" w:leader="dot" w:pos="6804"/>
        </w:tabs>
        <w:ind w:left="993"/>
      </w:pPr>
      <w:r>
        <w:t xml:space="preserve">40 mm </w:t>
      </w:r>
      <w:r>
        <w:tab/>
        <w:t>$3 942.00</w:t>
      </w:r>
    </w:p>
    <w:p>
      <w:pPr>
        <w:pStyle w:val="yMiscellaneousBody"/>
        <w:tabs>
          <w:tab w:val="right" w:leader="dot" w:pos="6804"/>
        </w:tabs>
        <w:ind w:left="993"/>
      </w:pPr>
      <w:r>
        <w:t xml:space="preserve">50 mm </w:t>
      </w:r>
      <w:r>
        <w:tab/>
        <w:t>$5 244.00</w:t>
      </w:r>
    </w:p>
    <w:p>
      <w:pPr>
        <w:pStyle w:val="yMiscellaneousBody"/>
        <w:tabs>
          <w:tab w:val="right" w:leader="dot" w:pos="6804"/>
        </w:tabs>
        <w:ind w:left="993"/>
      </w:pPr>
      <w:r>
        <w:t>80</w:t>
      </w:r>
      <w:r>
        <w:noBreakHyphen/>
        <w:t xml:space="preserve">100 mm </w:t>
      </w:r>
      <w:r>
        <w:tab/>
        <w:t>$8 828.00</w:t>
      </w:r>
    </w:p>
    <w:p>
      <w:pPr>
        <w:pStyle w:val="yMiscellaneousBody"/>
        <w:tabs>
          <w:tab w:val="right" w:leader="dot" w:pos="6804"/>
        </w:tabs>
        <w:ind w:left="993"/>
      </w:pPr>
      <w:r>
        <w:t xml:space="preserve">150 mm </w:t>
      </w:r>
      <w:r>
        <w:tab/>
        <w:t>$11 551.00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Subsection"/>
        <w:spacing w:before="0"/>
        <w:ind w:right="284"/>
        <w:jc w:val="right"/>
      </w:pPr>
      <w:r>
        <w:tab/>
        <w:t>equal to the</w:t>
      </w:r>
      <w:r>
        <w:br/>
      </w:r>
      <w:r>
        <w:tab/>
        <w:t>cost of</w:t>
      </w:r>
      <w:r>
        <w:br/>
      </w:r>
      <w:r>
        <w:tab/>
        <w:t>installation</w:t>
      </w:r>
    </w:p>
    <w:p>
      <w:pPr>
        <w:pStyle w:val="yHeading5"/>
      </w:pPr>
      <w:bookmarkStart w:id="349" w:name="_Toc106180068"/>
      <w:r>
        <w:t>8.</w:t>
      </w:r>
      <w:r>
        <w:tab/>
        <w:t>Proposal to connect to sewer</w:t>
      </w:r>
      <w:bookmarkEnd w:id="349"/>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$33.76</w:t>
      </w:r>
    </w:p>
    <w:p>
      <w:pPr>
        <w:pStyle w:val="yHeading5"/>
      </w:pPr>
      <w:bookmarkStart w:id="350" w:name="_Toc106180069"/>
      <w:r>
        <w:lastRenderedPageBreak/>
        <w:t>9.</w:t>
      </w:r>
      <w:r>
        <w:tab/>
        <w:t>Installing sewer junction</w:t>
      </w:r>
      <w:bookmarkEnd w:id="350"/>
    </w:p>
    <w:p>
      <w:pPr>
        <w:pStyle w:val="ySubsection"/>
      </w:pPr>
      <w:r>
        <w:tab/>
      </w:r>
      <w:r>
        <w:tab/>
        <w:t>For installing a sewer junction for land, the charge, according to the size of the sewer, is —</w:t>
      </w:r>
    </w:p>
    <w:p>
      <w:pPr>
        <w:pStyle w:val="yMiscellaneousBody"/>
        <w:tabs>
          <w:tab w:val="right" w:leader="dot" w:pos="6804"/>
        </w:tabs>
        <w:ind w:left="993"/>
      </w:pPr>
      <w:r>
        <w:t xml:space="preserve">100 mm </w:t>
      </w:r>
      <w:r>
        <w:tab/>
        <w:t>$865.26</w:t>
      </w:r>
    </w:p>
    <w:p>
      <w:pPr>
        <w:pStyle w:val="yMiscellaneousBody"/>
        <w:tabs>
          <w:tab w:val="right" w:leader="dot" w:pos="6804"/>
        </w:tabs>
        <w:ind w:left="993"/>
      </w:pPr>
      <w:r>
        <w:t xml:space="preserve">150 mm </w:t>
      </w:r>
      <w:r>
        <w:tab/>
        <w:t>$1 060.43</w:t>
      </w:r>
    </w:p>
    <w:p>
      <w:pPr>
        <w:pStyle w:val="yHeading5"/>
      </w:pPr>
      <w:bookmarkStart w:id="351" w:name="_Toc106180070"/>
      <w:r>
        <w:t>10.</w:t>
      </w:r>
      <w:r>
        <w:tab/>
        <w:t>Hire of standpipe for fire hydrant</w:t>
      </w:r>
      <w:bookmarkEnd w:id="351"/>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$120.58</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r>
        <w:rPr>
          <w:szCs w:val="22"/>
        </w:rPr>
        <w:t>$247.97</w:t>
      </w:r>
      <w:r>
        <w:t>/month</w:t>
      </w:r>
    </w:p>
    <w:p>
      <w:pPr>
        <w:pStyle w:val="yMiscellaneousBody"/>
        <w:tabs>
          <w:tab w:val="right" w:pos="6804"/>
        </w:tabs>
        <w:spacing w:before="0"/>
      </w:pPr>
      <w:r>
        <w:tab/>
        <w:t>pro rata</w:t>
      </w:r>
    </w:p>
    <w:p>
      <w:pPr>
        <w:pStyle w:val="yMiscellaneousBody"/>
        <w:tabs>
          <w:tab w:val="right" w:leader="dot" w:pos="6804"/>
        </w:tabs>
        <w:ind w:left="993"/>
      </w:pPr>
      <w:r>
        <w:t xml:space="preserve">more than 25 mm </w:t>
      </w:r>
      <w:r>
        <w:tab/>
      </w:r>
      <w:r>
        <w:rPr>
          <w:szCs w:val="22"/>
        </w:rPr>
        <w:t>$414.96</w:t>
      </w:r>
      <w:r>
        <w:t>/month</w:t>
      </w:r>
    </w:p>
    <w:p>
      <w:pPr>
        <w:pStyle w:val="yMiscellaneousBody"/>
        <w:tabs>
          <w:tab w:val="right" w:pos="6804"/>
        </w:tabs>
        <w:spacing w:before="0"/>
      </w:pPr>
      <w:r>
        <w:tab/>
        <w:t>pro rata</w:t>
      </w:r>
    </w:p>
    <w:p>
      <w:pPr>
        <w:pStyle w:val="yHeading5"/>
      </w:pPr>
      <w:bookmarkStart w:id="352" w:name="_Toc106180071"/>
      <w:r>
        <w:t>11.</w:t>
      </w:r>
      <w:r>
        <w:tab/>
        <w:t>Trade waste: routine services</w:t>
      </w:r>
      <w:bookmarkEnd w:id="352"/>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r>
      <w:r>
        <w:rPr>
          <w:szCs w:val="22"/>
        </w:rPr>
        <w:t>$154.00</w:t>
      </w:r>
      <w:r>
        <w:t>/hour</w:t>
      </w:r>
    </w:p>
    <w:p>
      <w:pPr>
        <w:pStyle w:val="yIndenta"/>
        <w:tabs>
          <w:tab w:val="right" w:leader="dot" w:pos="6804"/>
        </w:tabs>
      </w:pPr>
      <w:r>
        <w:tab/>
        <w:t>(b)</w:t>
      </w:r>
      <w:r>
        <w:tab/>
        <w:t xml:space="preserve">for a meter reading </w:t>
      </w:r>
      <w:r>
        <w:tab/>
      </w:r>
      <w:r>
        <w:rPr>
          <w:szCs w:val="22"/>
        </w:rPr>
        <w:t>$42.02</w:t>
      </w:r>
    </w:p>
    <w:p>
      <w:pPr>
        <w:pStyle w:val="yIndenta"/>
        <w:tabs>
          <w:tab w:val="right" w:leader="dot" w:pos="6804"/>
        </w:tabs>
        <w:rPr>
          <w:szCs w:val="22"/>
        </w:rPr>
      </w:pPr>
      <w:r>
        <w:tab/>
        <w:t>(c)</w:t>
      </w:r>
      <w:r>
        <w:tab/>
        <w:t xml:space="preserve">for a grab sample </w:t>
      </w:r>
      <w:r>
        <w:tab/>
      </w:r>
      <w:r>
        <w:rPr>
          <w:szCs w:val="22"/>
        </w:rPr>
        <w:t>$474.98</w:t>
      </w:r>
    </w:p>
    <w:p>
      <w:pPr>
        <w:pStyle w:val="yIndenta"/>
        <w:tabs>
          <w:tab w:val="right" w:leader="dot" w:pos="6804"/>
        </w:tabs>
        <w:rPr>
          <w:szCs w:val="22"/>
        </w:rPr>
      </w:pPr>
      <w:r>
        <w:tab/>
        <w:t>(d)</w:t>
      </w:r>
      <w:r>
        <w:tab/>
        <w:t xml:space="preserve">for a composite sample </w:t>
      </w:r>
      <w:r>
        <w:tab/>
      </w:r>
      <w:r>
        <w:rPr>
          <w:szCs w:val="22"/>
        </w:rPr>
        <w:t>$752.40</w:t>
      </w:r>
    </w:p>
    <w:p>
      <w:pPr>
        <w:pStyle w:val="yIndenta"/>
        <w:tabs>
          <w:tab w:val="right" w:leader="dot" w:pos="6804"/>
        </w:tabs>
      </w:pPr>
      <w:r>
        <w:tab/>
        <w:t>(e)</w:t>
      </w:r>
      <w:r>
        <w:tab/>
        <w:t>for assessing an application to</w:t>
      </w:r>
      <w:r>
        <w:br/>
        <w:t xml:space="preserve">discharge </w:t>
      </w:r>
      <w:r>
        <w:tab/>
      </w:r>
      <w:r>
        <w:rPr>
          <w:szCs w:val="22"/>
        </w:rPr>
        <w:t>$140.09/hour</w:t>
      </w:r>
    </w:p>
    <w:p>
      <w:pPr>
        <w:pStyle w:val="yHeading5"/>
      </w:pPr>
      <w:bookmarkStart w:id="353" w:name="_Toc106180072"/>
      <w:r>
        <w:lastRenderedPageBreak/>
        <w:t>12.</w:t>
      </w:r>
      <w:r>
        <w:tab/>
        <w:t>Trade waste: ad hoc services</w:t>
      </w:r>
      <w:bookmarkEnd w:id="353"/>
    </w:p>
    <w:p>
      <w:pPr>
        <w:pStyle w:val="ySubsection"/>
        <w:keepNext/>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pPr>
      <w:r>
        <w:tab/>
        <w:t>(2)</w:t>
      </w:r>
      <w:r>
        <w:tab/>
        <w:t>For product evaluation in relation to the discharge of trade waste into a sewer of the Water Corporation, the charge is $183.87 per hour.</w:t>
      </w:r>
    </w:p>
    <w:p>
      <w:pPr>
        <w:pStyle w:val="yHeading5"/>
      </w:pPr>
      <w:bookmarkStart w:id="354" w:name="_Toc106180073"/>
      <w:r>
        <w:t>13.</w:t>
      </w:r>
      <w:r>
        <w:tab/>
        <w:t>Trade waste: one</w:t>
      </w:r>
      <w:r>
        <w:noBreakHyphen/>
        <w:t>off discharge services</w:t>
      </w:r>
      <w:bookmarkEnd w:id="354"/>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$140.09</w:t>
      </w:r>
      <w:r>
        <w:t>/hour</w:t>
      </w:r>
    </w:p>
    <w:p>
      <w:pPr>
        <w:pStyle w:val="yHeading5"/>
      </w:pPr>
      <w:bookmarkStart w:id="355" w:name="_Toc106180074"/>
      <w:r>
        <w:t>14.</w:t>
      </w:r>
      <w:r>
        <w:tab/>
        <w:t>Meter reading and other information</w:t>
      </w:r>
      <w:bookmarkEnd w:id="355"/>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$22.42</w:t>
      </w:r>
    </w:p>
    <w:p>
      <w:pPr>
        <w:pStyle w:val="yIndenta"/>
        <w:tabs>
          <w:tab w:val="right" w:leader="dot" w:pos="6804"/>
        </w:tabs>
      </w:pPr>
      <w:r>
        <w:tab/>
        <w:t>(b)</w:t>
      </w:r>
      <w:r>
        <w:tab/>
        <w:t xml:space="preserve">an urgent meter reading, the charge is </w:t>
      </w:r>
      <w:r>
        <w:tab/>
        <w:t xml:space="preserve"> $34.40</w:t>
      </w:r>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$30.71</w:t>
      </w:r>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 xml:space="preserve"> $42.68</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$95.85/hour</w:t>
      </w:r>
    </w:p>
    <w:p>
      <w:pPr>
        <w:pStyle w:val="yIndenta"/>
        <w:spacing w:before="0"/>
        <w:ind w:right="284"/>
        <w:jc w:val="right"/>
      </w:pPr>
      <w:r>
        <w:t>or part hour</w:t>
      </w:r>
    </w:p>
    <w:p>
      <w:pPr>
        <w:pStyle w:val="yHeading5"/>
      </w:pPr>
      <w:bookmarkStart w:id="356" w:name="_Toc106180075"/>
      <w:r>
        <w:t>15.</w:t>
      </w:r>
      <w:r>
        <w:tab/>
        <w:t>Copies of records</w:t>
      </w:r>
      <w:bookmarkEnd w:id="356"/>
    </w:p>
    <w:p>
      <w:pPr>
        <w:pStyle w:val="ySubsection"/>
        <w:tabs>
          <w:tab w:val="right" w:leader="dot" w:pos="6804"/>
        </w:tabs>
      </w:pPr>
      <w:r>
        <w:tab/>
      </w:r>
      <w:r>
        <w:tab/>
        <w:t xml:space="preserve">For a copy of records under the </w:t>
      </w:r>
      <w:r>
        <w:br/>
      </w:r>
      <w:r>
        <w:rPr>
          <w:i/>
        </w:rPr>
        <w:t>Water Services Regulations 2013</w:t>
      </w:r>
      <w:r>
        <w:t xml:space="preserve"> </w:t>
      </w:r>
      <w:r>
        <w:br/>
        <w:t xml:space="preserve">regulation 65(4)(b), the charge is </w:t>
      </w:r>
      <w:r>
        <w:tab/>
      </w:r>
      <w:r>
        <w:rPr>
          <w:szCs w:val="22"/>
        </w:rPr>
        <w:t>$18.48</w:t>
      </w:r>
    </w:p>
    <w:p>
      <w:pPr>
        <w:pStyle w:val="yFootnotesection"/>
      </w:pPr>
      <w:r>
        <w:tab/>
        <w:t>[Schedule 7 inserted: SL 2021/80 r. 8.]</w:t>
      </w:r>
    </w:p>
    <w:p>
      <w:pPr>
        <w:sectPr>
          <w:headerReference w:type="even" r:id="rId26"/>
          <w:headerReference w:type="default" r:id="rId27"/>
          <w:pgSz w:w="11907" w:h="16840" w:code="9"/>
          <w:pgMar w:top="2381" w:right="2410" w:bottom="3544" w:left="2410" w:header="720" w:footer="3380" w:gutter="0"/>
          <w:cols w:space="720"/>
          <w:docGrid w:linePitch="326"/>
        </w:sectPr>
      </w:pPr>
    </w:p>
    <w:p>
      <w:pPr>
        <w:pStyle w:val="yScheduleHeading"/>
      </w:pPr>
      <w:bookmarkStart w:id="358" w:name="_Toc106104092"/>
      <w:bookmarkStart w:id="359" w:name="_Toc106104320"/>
      <w:bookmarkStart w:id="360" w:name="_Toc106179848"/>
      <w:bookmarkStart w:id="361" w:name="_Toc106180076"/>
      <w:r>
        <w:rPr>
          <w:rStyle w:val="CharSchNo"/>
        </w:rPr>
        <w:lastRenderedPageBreak/>
        <w:t>Schedule 8</w:t>
      </w:r>
      <w:r>
        <w:rPr>
          <w:rStyle w:val="CharSDivNo"/>
        </w:rPr>
        <w:t> </w:t>
      </w:r>
      <w:r>
        <w:t>—</w:t>
      </w:r>
      <w:r>
        <w:rPr>
          <w:rStyle w:val="CharSDivText"/>
        </w:rPr>
        <w:t> </w:t>
      </w:r>
      <w:r>
        <w:rPr>
          <w:rStyle w:val="CharSchText"/>
        </w:rPr>
        <w:t>Government trading organisations</w:t>
      </w:r>
      <w:bookmarkEnd w:id="358"/>
      <w:bookmarkEnd w:id="359"/>
      <w:bookmarkEnd w:id="360"/>
      <w:bookmarkEnd w:id="361"/>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lastRenderedPageBreak/>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yScheduleHeading"/>
      </w:pPr>
      <w:bookmarkStart w:id="362" w:name="_Toc106104093"/>
      <w:bookmarkStart w:id="363" w:name="_Toc106104321"/>
      <w:bookmarkStart w:id="364" w:name="_Toc106179849"/>
      <w:bookmarkStart w:id="365" w:name="_Toc106180077"/>
      <w:r>
        <w:rPr>
          <w:rStyle w:val="CharSchNo"/>
        </w:rPr>
        <w:lastRenderedPageBreak/>
        <w:t>Schedule 9</w:t>
      </w:r>
      <w:r>
        <w:rPr>
          <w:rStyle w:val="CharSDivNo"/>
        </w:rPr>
        <w:t> </w:t>
      </w:r>
      <w:r>
        <w:t>—</w:t>
      </w:r>
      <w:r>
        <w:rPr>
          <w:rStyle w:val="CharSDivText"/>
        </w:rPr>
        <w:t> </w:t>
      </w:r>
      <w:r>
        <w:rPr>
          <w:rStyle w:val="CharSchText"/>
        </w:rPr>
        <w:t>Central business districts</w:t>
      </w:r>
      <w:bookmarkEnd w:id="362"/>
      <w:bookmarkEnd w:id="363"/>
      <w:bookmarkEnd w:id="364"/>
      <w:bookmarkEnd w:id="365"/>
    </w:p>
    <w:p>
      <w:pPr>
        <w:pStyle w:val="yShoulderClause"/>
      </w:pPr>
      <w:r>
        <w:t>[r. 16(1)]</w:t>
      </w:r>
    </w:p>
    <w:p>
      <w:pPr>
        <w:pStyle w:val="yHeading5"/>
      </w:pPr>
      <w:bookmarkStart w:id="366" w:name="_Toc106180078"/>
      <w:r>
        <w:rPr>
          <w:rStyle w:val="CharSClsNo"/>
        </w:rPr>
        <w:t>1</w:t>
      </w:r>
      <w:r>
        <w:t>.</w:t>
      </w:r>
      <w:r>
        <w:tab/>
        <w:t>Central business districts</w:t>
      </w:r>
      <w:bookmarkEnd w:id="366"/>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yScheduleHeading"/>
      </w:pPr>
      <w:bookmarkStart w:id="367" w:name="_Toc106104095"/>
      <w:bookmarkStart w:id="368" w:name="_Toc106104323"/>
      <w:bookmarkStart w:id="369" w:name="_Toc106179851"/>
      <w:bookmarkStart w:id="370" w:name="_Toc106180079"/>
      <w:r>
        <w:rPr>
          <w:rStyle w:val="CharSchNo"/>
        </w:rPr>
        <w:lastRenderedPageBreak/>
        <w:t>Schedule 10</w:t>
      </w:r>
      <w:r>
        <w:t> — </w:t>
      </w:r>
      <w:r>
        <w:rPr>
          <w:rStyle w:val="CharSchText"/>
        </w:rPr>
        <w:t>Class of town or area: current consumption year</w:t>
      </w:r>
      <w:bookmarkEnd w:id="367"/>
      <w:bookmarkEnd w:id="368"/>
      <w:bookmarkEnd w:id="369"/>
      <w:bookmarkEnd w:id="370"/>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lastRenderedPageBreak/>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w:t>
      </w:r>
    </w:p>
    <w:p>
      <w:pPr>
        <w:pStyle w:val="yScheduleHeading"/>
      </w:pPr>
      <w:bookmarkStart w:id="371" w:name="_Toc106104096"/>
      <w:bookmarkStart w:id="372" w:name="_Toc106104324"/>
      <w:bookmarkStart w:id="373" w:name="_Toc106179852"/>
      <w:bookmarkStart w:id="374" w:name="_Toc106180080"/>
      <w:r>
        <w:rPr>
          <w:rStyle w:val="CharSchNo"/>
        </w:rPr>
        <w:lastRenderedPageBreak/>
        <w:t>Schedule 11</w:t>
      </w:r>
      <w:r>
        <w:t> — </w:t>
      </w:r>
      <w:r>
        <w:rPr>
          <w:rStyle w:val="CharSchText"/>
        </w:rPr>
        <w:t>Class of town or area: previous consumption year</w:t>
      </w:r>
      <w:bookmarkEnd w:id="371"/>
      <w:bookmarkEnd w:id="372"/>
      <w:bookmarkEnd w:id="373"/>
      <w:bookmarkEnd w:id="374"/>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lastRenderedPageBreak/>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pPr>
      <w:bookmarkStart w:id="375" w:name="_Toc106104097"/>
      <w:bookmarkStart w:id="376" w:name="_Toc106104325"/>
      <w:bookmarkStart w:id="377" w:name="_Toc106179853"/>
      <w:bookmarkStart w:id="378" w:name="_Toc106180081"/>
      <w:r>
        <w:lastRenderedPageBreak/>
        <w:t>Notes</w:t>
      </w:r>
      <w:bookmarkEnd w:id="375"/>
      <w:bookmarkEnd w:id="376"/>
      <w:bookmarkEnd w:id="377"/>
      <w:bookmarkEnd w:id="378"/>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79" w:name="_Toc106180082"/>
      <w:r>
        <w:t>Compilation table</w:t>
      </w:r>
      <w:bookmarkEnd w:id="37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380" w:name="OLE_LINK1"/>
            <w:r>
              <w:rPr>
                <w:i/>
              </w:rPr>
              <w:t>Water Services (Water Corporations Charges) Amendment Regulations 2017</w:t>
            </w:r>
            <w:bookmarkEnd w:id="380"/>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pPr>
              <w:pStyle w:val="nTable"/>
              <w:spacing w:after="40"/>
            </w:pPr>
            <w:r>
              <w:t>SL 2021/128 16 Jul 2021</w:t>
            </w:r>
          </w:p>
        </w:tc>
        <w:tc>
          <w:tcPr>
            <w:tcW w:w="2693" w:type="dxa"/>
            <w:gridSpan w:val="2"/>
            <w:tcBorders>
              <w:top w:val="nil"/>
              <w:bottom w:val="nil"/>
            </w:tcBorders>
            <w:shd w:val="clear" w:color="auto" w:fill="auto"/>
          </w:tcPr>
          <w:p>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(Water Corporations Charges) Amendment Regulations (No. 2) 2021</w:t>
            </w:r>
          </w:p>
        </w:tc>
        <w:tc>
          <w:tcPr>
            <w:tcW w:w="1276" w:type="dxa"/>
            <w:gridSpan w:val="2"/>
            <w:tcBorders>
              <w:top w:val="nil"/>
              <w:bottom w:val="single" w:sz="4" w:space="0" w:color="auto"/>
            </w:tcBorders>
            <w:shd w:val="clear" w:color="auto" w:fill="auto"/>
          </w:tcPr>
          <w:p>
            <w:pPr>
              <w:pStyle w:val="nTable"/>
              <w:spacing w:after="40"/>
            </w:pPr>
            <w:r>
              <w:t>SL 2021/144 13 Aug 2021</w:t>
            </w:r>
          </w:p>
        </w:tc>
        <w:tc>
          <w:tcPr>
            <w:tcW w:w="2693" w:type="dxa"/>
            <w:gridSpan w:val="2"/>
            <w:tcBorders>
              <w:top w:val="nil"/>
              <w:bottom w:val="single" w:sz="4" w:space="0" w:color="auto"/>
            </w:tcBorders>
            <w:shd w:val="clear" w:color="auto" w:fill="auto"/>
          </w:tcPr>
          <w:p>
            <w:pPr>
              <w:pStyle w:val="nTable"/>
              <w:spacing w:after="40"/>
              <w:rPr>
                <w:bCs/>
                <w:snapToGrid w:val="0"/>
              </w:rPr>
            </w:pPr>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p>
        </w:tc>
      </w:tr>
    </w:tbl>
    <w:p>
      <w:pPr>
        <w:pStyle w:val="nHeading3"/>
      </w:pPr>
      <w:bookmarkStart w:id="381" w:name="_Toc106180083"/>
      <w:r>
        <w:t>Uncommenced provisions table</w:t>
      </w:r>
      <w:bookmarkEnd w:id="381"/>
    </w:p>
    <w:p>
      <w:pPr>
        <w:pStyle w:val="nStatement"/>
        <w:keepNext/>
        <w:spacing w:after="240"/>
      </w:pPr>
      <w:r>
        <w:t xml:space="preserve">To view the text of the uncommenced provisions see </w:t>
      </w:r>
      <w:r>
        <w:rPr>
          <w:i/>
        </w:rPr>
        <w:t xml:space="preserve">Subsidiary legislation as made </w:t>
      </w:r>
      <w:r>
        <w:t>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Water Services (Water Corporations Charges) Amendment Regulations 2022</w:t>
            </w:r>
            <w:r>
              <w:t xml:space="preserve"> r. 3 and 4</w:t>
            </w:r>
          </w:p>
        </w:tc>
        <w:tc>
          <w:tcPr>
            <w:tcW w:w="1276" w:type="dxa"/>
            <w:tcBorders>
              <w:bottom w:val="nil"/>
            </w:tcBorders>
          </w:tcPr>
          <w:p>
            <w:pPr>
              <w:pStyle w:val="nTable"/>
              <w:spacing w:after="40"/>
            </w:pPr>
            <w:r>
              <w:t>SL 2022/2</w:t>
            </w:r>
            <w:r>
              <w:br/>
              <w:t>18 Jan 2022</w:t>
            </w:r>
          </w:p>
        </w:tc>
        <w:tc>
          <w:tcPr>
            <w:tcW w:w="2693" w:type="dxa"/>
            <w:tcBorders>
              <w:bottom w:val="nil"/>
            </w:tcBorders>
          </w:tcPr>
          <w:p>
            <w:pPr>
              <w:pStyle w:val="nTable"/>
              <w:spacing w:after="40"/>
            </w:pPr>
            <w:r>
              <w:t>1 Jul 2022 (see r. 2(b) and SL 2022/77 cl. 2)</w:t>
            </w:r>
          </w:p>
        </w:tc>
      </w:tr>
      <w:tr>
        <w:tc>
          <w:tcPr>
            <w:tcW w:w="3118" w:type="dxa"/>
            <w:tcBorders>
              <w:top w:val="nil"/>
            </w:tcBorders>
          </w:tcPr>
          <w:p>
            <w:pPr>
              <w:pStyle w:val="nTable"/>
              <w:spacing w:after="40"/>
              <w:rPr>
                <w:i/>
              </w:rPr>
            </w:pPr>
            <w:r>
              <w:rPr>
                <w:i/>
              </w:rPr>
              <w:lastRenderedPageBreak/>
              <w:t>Water Services Regulations Amendment (Fees and Charges) Regulations 2022</w:t>
            </w:r>
            <w:r>
              <w:t xml:space="preserve"> Pt. 2</w:t>
            </w:r>
          </w:p>
        </w:tc>
        <w:tc>
          <w:tcPr>
            <w:tcW w:w="1276" w:type="dxa"/>
            <w:tcBorders>
              <w:top w:val="nil"/>
            </w:tcBorders>
          </w:tcPr>
          <w:p>
            <w:pPr>
              <w:pStyle w:val="nTable"/>
              <w:spacing w:after="40"/>
            </w:pPr>
            <w:r>
              <w:t>SL 2022/82 17 Jun 2022</w:t>
            </w:r>
          </w:p>
        </w:tc>
        <w:tc>
          <w:tcPr>
            <w:tcW w:w="2693" w:type="dxa"/>
            <w:tcBorders>
              <w:top w:val="nil"/>
            </w:tcBorders>
          </w:tcPr>
          <w:p>
            <w:pPr>
              <w:pStyle w:val="nTable"/>
              <w:spacing w:after="40"/>
            </w:pPr>
            <w:r>
              <w:t>1 Jul 2022 (see r. 2(b))</w:t>
            </w:r>
          </w:p>
        </w:tc>
      </w:tr>
    </w:tbl>
    <w:p>
      <w:pPr>
        <w:pStyle w:val="nHeading3"/>
      </w:pPr>
      <w:bookmarkStart w:id="382" w:name="_Toc106180084"/>
      <w:r>
        <w:t>Other notes</w:t>
      </w:r>
      <w:bookmarkEnd w:id="382"/>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384" w:name="_Toc106104101"/>
      <w:bookmarkStart w:id="385" w:name="_Toc106104329"/>
      <w:bookmarkStart w:id="386" w:name="_Toc106179857"/>
      <w:bookmarkStart w:id="387" w:name="_Toc106180085"/>
      <w:r>
        <w:rPr>
          <w:sz w:val="28"/>
        </w:rPr>
        <w:lastRenderedPageBreak/>
        <w:t>Defined terms</w:t>
      </w:r>
      <w:bookmarkEnd w:id="384"/>
      <w:bookmarkEnd w:id="385"/>
      <w:bookmarkEnd w:id="386"/>
      <w:bookmarkEnd w:id="3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30(1)</w:t>
      </w:r>
    </w:p>
    <w:p>
      <w:pPr>
        <w:pStyle w:val="DefinedTerms"/>
      </w:pPr>
      <w:r>
        <w:t>boundary volume</w:t>
      </w:r>
      <w:r>
        <w:tab/>
        <w:t>16(1)</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c/kg</w:t>
      </w:r>
      <w:r>
        <w:tab/>
        <w:t>Sch. 4 cl. 30(1)</w:t>
      </w:r>
    </w:p>
    <w:p>
      <w:pPr>
        <w:pStyle w:val="DefinedTerms"/>
      </w:pPr>
      <w:r>
        <w:t>c/kL</w:t>
      </w:r>
      <w:r>
        <w:tab/>
        <w:t>Sch. 4 cl. 30(1)</w:t>
      </w:r>
    </w:p>
    <w:p>
      <w:pPr>
        <w:pStyle w:val="DefinedTerms"/>
      </w:pPr>
      <w:r>
        <w:t>combined charge</w:t>
      </w:r>
      <w:r>
        <w:tab/>
        <w:t>42(1)</w:t>
      </w:r>
    </w:p>
    <w:p>
      <w:pPr>
        <w:pStyle w:val="DefinedTerms"/>
      </w:pPr>
      <w:r>
        <w:t>commercial standpipe</w:t>
      </w:r>
      <w:r>
        <w:tab/>
        <w:t>36A(1)</w:t>
      </w:r>
    </w:p>
    <w:p>
      <w:pPr>
        <w:pStyle w:val="DefinedTerms"/>
      </w:pPr>
      <w:r>
        <w:t>Commonwealth seniors health card</w:t>
      </w:r>
      <w:r>
        <w:tab/>
        <w:t>3(1)</w:t>
      </w:r>
    </w:p>
    <w:p>
      <w:pPr>
        <w:pStyle w:val="DefinedTerms"/>
      </w:pPr>
      <w:r>
        <w:t>community titles scheme</w:t>
      </w:r>
      <w:r>
        <w:tab/>
        <w:t>16(1)</w:t>
      </w:r>
    </w:p>
    <w:p>
      <w:pPr>
        <w:pStyle w:val="DefinedTerms"/>
      </w:pPr>
      <w:r>
        <w:t>concessional land</w:t>
      </w:r>
      <w:r>
        <w:tab/>
        <w:t>16(1)</w:t>
      </w:r>
    </w:p>
    <w:p>
      <w:pPr>
        <w:pStyle w:val="DefinedTerms"/>
      </w:pPr>
      <w:r>
        <w:t>concession card holder</w:t>
      </w:r>
      <w:r>
        <w:tab/>
        <w:t>16(1)</w:t>
      </w:r>
    </w:p>
    <w:p>
      <w:pPr>
        <w:pStyle w:val="DefinedTerms"/>
      </w:pPr>
      <w:r>
        <w:t>consumption year</w:t>
      </w:r>
      <w:r>
        <w:tab/>
        <w:t>6, 11, 16(1)</w:t>
      </w:r>
    </w:p>
    <w:p>
      <w:pPr>
        <w:pStyle w:val="DefinedTerms"/>
      </w:pPr>
      <w:r>
        <w:t>cost of sampling</w:t>
      </w:r>
      <w:r>
        <w:tab/>
        <w:t>Sch. 7 cl. 13(1)</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long-term residential caravan bay</w:t>
      </w:r>
      <w:r>
        <w:tab/>
        <w:t>16(1)</w:t>
      </w:r>
    </w:p>
    <w:p>
      <w:pPr>
        <w:pStyle w:val="DefinedTerms"/>
      </w:pPr>
      <w:r>
        <w:t>lot</w:t>
      </w:r>
      <w:r>
        <w:tab/>
        <w:t>6, 11, 16(1)</w:t>
      </w:r>
    </w:p>
    <w:p>
      <w:pPr>
        <w:pStyle w:val="DefinedTerms"/>
      </w:pPr>
      <w:r>
        <w:t>major fixture</w:t>
      </w:r>
      <w:r>
        <w:tab/>
        <w:t>16(1)</w:t>
      </w:r>
    </w:p>
    <w:p>
      <w:pPr>
        <w:pStyle w:val="DefinedTerms"/>
      </w:pPr>
      <w:r>
        <w:lastRenderedPageBreak/>
        <w:t>non-commercial government property</w:t>
      </w:r>
      <w:r>
        <w:tab/>
        <w:t>16(1)</w:t>
      </w:r>
    </w:p>
    <w:p>
      <w:pPr>
        <w:pStyle w:val="DefinedTerms"/>
      </w:pPr>
      <w:r>
        <w:t>non-profit private organisation</w:t>
      </w:r>
      <w:r>
        <w:tab/>
        <w:t>16(1)</w:t>
      </w:r>
    </w:p>
    <w:p>
      <w:pPr>
        <w:pStyle w:val="DefinedTerms"/>
      </w:pPr>
      <w:r>
        <w:t>non-residential lot</w:t>
      </w:r>
      <w:r>
        <w:tab/>
        <w:t>6, 11</w:t>
      </w:r>
    </w:p>
    <w:p>
      <w:pPr>
        <w:pStyle w:val="DefinedTerms"/>
      </w:pPr>
      <w:r>
        <w:t>nursing home</w:t>
      </w:r>
      <w:r>
        <w:tab/>
        <w:t>16(1)</w:t>
      </w:r>
    </w:p>
    <w:p>
      <w:pPr>
        <w:pStyle w:val="DefinedTerms"/>
      </w:pPr>
      <w:r>
        <w:t>old provision</w:t>
      </w:r>
      <w:r>
        <w:tab/>
        <w:t>55(1)</w:t>
      </w:r>
    </w:p>
    <w:p>
      <w:pPr>
        <w:pStyle w:val="DefinedTerms"/>
      </w:pPr>
      <w:r>
        <w:t>park home</w:t>
      </w:r>
      <w:r>
        <w:tab/>
        <w:t>16(1)</w:t>
      </w:r>
    </w:p>
    <w:p>
      <w:pPr>
        <w:pStyle w:val="DefinedTerms"/>
      </w:pPr>
      <w:r>
        <w:t>permitted surcharge</w:t>
      </w:r>
      <w:r>
        <w:tab/>
        <w:t>15A(1), 20(1)</w:t>
      </w:r>
    </w:p>
    <w:p>
      <w:pPr>
        <w:pStyle w:val="DefinedTerms"/>
      </w:pPr>
      <w:r>
        <w:t>product evaluation</w:t>
      </w:r>
      <w:r>
        <w:tab/>
        <w:t>Sch. 7 cl. 13(1)</w:t>
      </w:r>
    </w:p>
    <w:p>
      <w:pPr>
        <w:pStyle w:val="DefinedTerms"/>
      </w:pPr>
      <w:r>
        <w:t>public land</w:t>
      </w:r>
      <w:r>
        <w:tab/>
        <w:t>16(1)</w:t>
      </w:r>
    </w:p>
    <w:p>
      <w:pPr>
        <w:pStyle w:val="DefinedTerms"/>
      </w:pPr>
      <w:r>
        <w:t>RBA Standard No. 3 of 2016</w:t>
      </w:r>
      <w:r>
        <w:tab/>
        <w:t>15A(1), 20(1)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scheme plan</w:t>
      </w:r>
      <w:r>
        <w:tab/>
        <w:t>16(1)</w:t>
      </w:r>
    </w:p>
    <w:p>
      <w:pPr>
        <w:pStyle w:val="DefinedTerms"/>
      </w:pPr>
      <w:r>
        <w:t>semi-rural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8(1)</w:t>
      </w:r>
    </w:p>
    <w:p>
      <w:pPr>
        <w:pStyle w:val="DefinedTerms"/>
      </w:pPr>
      <w:r>
        <w:t>single capital infrastructure charge</w:t>
      </w:r>
      <w:r>
        <w:tab/>
        <w:t>16(1)</w:t>
      </w:r>
    </w:p>
    <w:p>
      <w:pPr>
        <w:pStyle w:val="DefinedTerms"/>
      </w:pPr>
      <w:r>
        <w:t>special meter reading</w:t>
      </w:r>
      <w:r>
        <w:tab/>
        <w:t>16(1)</w:t>
      </w:r>
    </w:p>
    <w:p>
      <w:pPr>
        <w:pStyle w:val="DefinedTerms"/>
      </w:pPr>
      <w:r>
        <w:t>strata-titled caravan bay</w:t>
      </w:r>
      <w:r>
        <w:tab/>
        <w:t>16(1)</w:t>
      </w:r>
    </w:p>
    <w:p>
      <w:pPr>
        <w:pStyle w:val="DefinedTerms"/>
      </w:pPr>
      <w:r>
        <w:t>strata titles scheme</w:t>
      </w:r>
      <w:r>
        <w:tab/>
        <w:t>16(1)</w:t>
      </w:r>
    </w:p>
    <w:p>
      <w:pPr>
        <w:pStyle w:val="DefinedTerms"/>
      </w:pPr>
      <w:r>
        <w:t>trade waste charge</w:t>
      </w:r>
      <w:r>
        <w:tab/>
        <w:t>19(1)</w:t>
      </w:r>
    </w:p>
    <w:p>
      <w:pPr>
        <w:pStyle w:val="DefinedTerms"/>
      </w:pPr>
      <w:r>
        <w:t>vacant land</w:t>
      </w:r>
      <w:r>
        <w:tab/>
        <w:t>3(1)</w:t>
      </w:r>
    </w:p>
    <w:p>
      <w:pPr>
        <w:pStyle w:val="DefinedTerms"/>
      </w:pPr>
      <w:r>
        <w:t>water deficiency declaration</w:t>
      </w:r>
      <w:r>
        <w:tab/>
        <w:t>36A(1)</w:t>
      </w:r>
    </w:p>
    <w:p>
      <w:pPr>
        <w:pStyle w:val="DefinedTerms"/>
      </w:pPr>
      <w:r>
        <w:t>water supply charge</w:t>
      </w:r>
      <w:r>
        <w:tab/>
        <w:t>16(1)</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01-u0-00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01-u0-00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01-u0-00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01-u0-00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01-u0-00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01-u0-00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357" w:name="Schedule"/>
    <w:bookmarkEnd w:id="35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83" w:name="Compilation"/>
    <w:bookmarkEnd w:id="383"/>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88" w:name="DefinedTerms"/>
    <w:bookmarkEnd w:id="388"/>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89" w:name="Coversheet"/>
    <w:bookmarkEnd w:id="38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88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4125414"/>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 w:name="WAFER_202201111539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53959_GUID" w:val="05eeae70-66be-4020-bbad-ba0356214b31"/>
    <w:docVar w:name="WAFER_202201111600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60047_GUID" w:val="c1cf7778-367f-44d7-bf93-4748ff497ad9"/>
    <w:docVar w:name="WAFER_202203021601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2160136_GUID" w:val="97caea11-fa90-4e3a-84c1-8758b3676175"/>
    <w:docVar w:name="WAFER_2022061412541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25414_GUID" w:val="6cb2f04a-8351-438b-8b92-015dcdd08e0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7"/>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21" Type="http://schemas.openxmlformats.org/officeDocument/2006/relationships/image" Target="media/image2.wmf"/><Relationship Id="rId34" Type="http://schemas.openxmlformats.org/officeDocument/2006/relationships/header" Target="header17.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4.png"/><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0356F-156F-40D6-B96A-4B7DE7F57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28068</Words>
  <Characters>135008</Characters>
  <Application>Microsoft Office Word</Application>
  <DocSecurity>0</DocSecurity>
  <Lines>5869</Lines>
  <Paragraphs>4659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2014 - 01-u0-00</dc:title>
  <dc:subject/>
  <dc:creator/>
  <cp:keywords/>
  <dc:description/>
  <cp:lastModifiedBy>Master Repository Process</cp:lastModifiedBy>
  <cp:revision>4</cp:revision>
  <cp:lastPrinted>2019-06-24T04:53:00Z</cp:lastPrinted>
  <dcterms:created xsi:type="dcterms:W3CDTF">2022-06-17T03:12:00Z</dcterms:created>
  <dcterms:modified xsi:type="dcterms:W3CDTF">2022-06-17T03:12:00Z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17 Jun 2022</vt:lpwstr>
  </property>
  <property fmtid="{D5CDD505-2E9C-101B-9397-08002B2CF9AE}" pid="7" name="Suffix">
    <vt:lpwstr>01-u0-00</vt:lpwstr>
  </property>
  <property fmtid="{D5CDD505-2E9C-101B-9397-08002B2CF9AE}" pid="8" name="CommencementDate">
    <vt:lpwstr>20220617</vt:lpwstr>
  </property>
</Properties>
</file>