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(Customer Contracts)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_Toc106263414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_Toc106263415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_Toc106263416 \h </w:instrText>
      </w:r>
      <w:r>
        <w:fldChar w:fldCharType="separate"/>
      </w:r>
      <w:r>
        <w:t>1</w:t>
      </w:r>
      <w:r>
        <w:fldChar w:fldCharType="end"/>
      </w:r>
    </w:p>
    <w:p>
      <w:pPr>
        <w:pStyle w:val="TOC8"/>
        <w:rPr>
          <w:rFonts w:asciiTheme="minorHAnsi" w:eastAsiaTheme="minorEastAsia" w:hAnsiTheme="minorHAnsi" w:cstheme="minorBidi"/>
          <w:szCs w:val="22"/>
        </w:rPr>
      </w:pPr>
      <w:r>
        <w:t>4.</w:t>
      </w:r>
      <w:r>
        <w:tab/>
        <w:t>Status of notes</w:t>
      </w:r>
      <w:r>
        <w:tab/>
      </w:r>
      <w:r>
        <w:fldChar w:fldCharType="begin"/>
      </w:r>
      <w:r>
        <w:instrText xml:space="preserve"> PAGEREF _Toc106263417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all customer contracts</w:t>
      </w:r>
    </w:p>
    <w:p>
      <w:pPr>
        <w:pStyle w:val="TOC8"/>
        <w:rPr>
          <w:rFonts w:asciiTheme="minorHAnsi" w:eastAsiaTheme="minorEastAsia" w:hAnsiTheme="minorHAnsi" w:cstheme="minorBidi"/>
          <w:szCs w:val="22"/>
        </w:rPr>
      </w:pPr>
      <w:r>
        <w:t>5.</w:t>
      </w:r>
      <w:r>
        <w:tab/>
        <w:t>Format and expression</w:t>
      </w:r>
      <w:r>
        <w:tab/>
      </w:r>
      <w:r>
        <w:fldChar w:fldCharType="begin"/>
      </w:r>
      <w:r>
        <w:instrText xml:space="preserve"> PAGEREF _Toc106263419 \h </w:instrText>
      </w:r>
      <w:r>
        <w:fldChar w:fldCharType="separate"/>
      </w:r>
      <w:r>
        <w:t>4</w:t>
      </w:r>
      <w:r>
        <w:fldChar w:fldCharType="end"/>
      </w:r>
    </w:p>
    <w:p>
      <w:pPr>
        <w:pStyle w:val="TOC8"/>
        <w:rPr>
          <w:rFonts w:asciiTheme="minorHAnsi" w:eastAsiaTheme="minorEastAsia" w:hAnsiTheme="minorHAnsi" w:cstheme="minorBidi"/>
          <w:szCs w:val="22"/>
        </w:rPr>
      </w:pPr>
      <w:r>
        <w:t>6.</w:t>
      </w:r>
      <w:r>
        <w:tab/>
        <w:t>Duration of contract</w:t>
      </w:r>
      <w:r>
        <w:tab/>
      </w:r>
      <w:r>
        <w:fldChar w:fldCharType="begin"/>
      </w:r>
      <w:r>
        <w:instrText xml:space="preserve"> PAGEREF _Toc106263420 \h </w:instrText>
      </w:r>
      <w:r>
        <w:fldChar w:fldCharType="separate"/>
      </w:r>
      <w:r>
        <w:t>4</w:t>
      </w:r>
      <w:r>
        <w:fldChar w:fldCharType="end"/>
      </w:r>
    </w:p>
    <w:p>
      <w:pPr>
        <w:pStyle w:val="TOC8"/>
        <w:rPr>
          <w:rFonts w:asciiTheme="minorHAnsi" w:eastAsiaTheme="minorEastAsia" w:hAnsiTheme="minorHAnsi" w:cstheme="minorBidi"/>
          <w:szCs w:val="22"/>
        </w:rPr>
      </w:pPr>
      <w:r>
        <w:t>7.</w:t>
      </w:r>
      <w:r>
        <w:tab/>
        <w:t>Details of retail supplier</w:t>
      </w:r>
      <w:r>
        <w:tab/>
      </w:r>
      <w:r>
        <w:fldChar w:fldCharType="begin"/>
      </w:r>
      <w:r>
        <w:instrText xml:space="preserve"> PAGEREF _Toc106263421 \h </w:instrText>
      </w:r>
      <w:r>
        <w:fldChar w:fldCharType="separate"/>
      </w:r>
      <w:r>
        <w:t>4</w:t>
      </w:r>
      <w:r>
        <w:fldChar w:fldCharType="end"/>
      </w:r>
    </w:p>
    <w:p>
      <w:pPr>
        <w:pStyle w:val="TOC8"/>
        <w:rPr>
          <w:rFonts w:asciiTheme="minorHAnsi" w:eastAsiaTheme="minorEastAsia" w:hAnsiTheme="minorHAnsi" w:cstheme="minorBidi"/>
          <w:szCs w:val="22"/>
        </w:rPr>
      </w:pPr>
      <w:r>
        <w:t>8.</w:t>
      </w:r>
      <w:r>
        <w:tab/>
        <w:t>Description of goods and services</w:t>
      </w:r>
      <w:r>
        <w:tab/>
      </w:r>
      <w:r>
        <w:fldChar w:fldCharType="begin"/>
      </w:r>
      <w:r>
        <w:instrText xml:space="preserve"> PAGEREF _Toc106263422 \h </w:instrText>
      </w:r>
      <w:r>
        <w:fldChar w:fldCharType="separate"/>
      </w:r>
      <w:r>
        <w:t>4</w:t>
      </w:r>
      <w:r>
        <w:fldChar w:fldCharType="end"/>
      </w:r>
    </w:p>
    <w:p>
      <w:pPr>
        <w:pStyle w:val="TOC8"/>
        <w:rPr>
          <w:rFonts w:asciiTheme="minorHAnsi" w:eastAsiaTheme="minorEastAsia" w:hAnsiTheme="minorHAnsi" w:cstheme="minorBidi"/>
          <w:szCs w:val="22"/>
        </w:rPr>
      </w:pPr>
      <w:r>
        <w:t>9.</w:t>
      </w:r>
      <w:r>
        <w:tab/>
        <w:t>Roles of retail supplier and gas distribution operator</w:t>
      </w:r>
      <w:r>
        <w:tab/>
      </w:r>
      <w:r>
        <w:fldChar w:fldCharType="begin"/>
      </w:r>
      <w:r>
        <w:instrText xml:space="preserve"> PAGEREF _Toc106263423 \h </w:instrText>
      </w:r>
      <w:r>
        <w:fldChar w:fldCharType="separate"/>
      </w:r>
      <w:r>
        <w:t>4</w:t>
      </w:r>
      <w:r>
        <w:fldChar w:fldCharType="end"/>
      </w:r>
    </w:p>
    <w:p>
      <w:pPr>
        <w:pStyle w:val="TOC8"/>
        <w:rPr>
          <w:rFonts w:asciiTheme="minorHAnsi" w:eastAsiaTheme="minorEastAsia" w:hAnsiTheme="minorHAnsi" w:cstheme="minorBidi"/>
          <w:szCs w:val="22"/>
        </w:rPr>
      </w:pPr>
      <w:r>
        <w:t>10.</w:t>
      </w:r>
      <w:r>
        <w:tab/>
        <w:t>Relevant codes</w:t>
      </w:r>
      <w:r>
        <w:tab/>
      </w:r>
      <w:r>
        <w:fldChar w:fldCharType="begin"/>
      </w:r>
      <w:r>
        <w:instrText xml:space="preserve"> PAGEREF _Toc106263424 \h </w:instrText>
      </w:r>
      <w:r>
        <w:fldChar w:fldCharType="separate"/>
      </w:r>
      <w:r>
        <w:t>5</w:t>
      </w:r>
      <w:r>
        <w:fldChar w:fldCharType="end"/>
      </w:r>
    </w:p>
    <w:p>
      <w:pPr>
        <w:pStyle w:val="TOC8"/>
        <w:rPr>
          <w:rFonts w:asciiTheme="minorHAnsi" w:eastAsiaTheme="minorEastAsia" w:hAnsiTheme="minorHAnsi" w:cstheme="minorBidi"/>
          <w:szCs w:val="22"/>
        </w:rPr>
      </w:pPr>
      <w:r>
        <w:t>11.</w:t>
      </w:r>
      <w:r>
        <w:tab/>
        <w:t>Certain obligations of customer in relation to supply</w:t>
      </w:r>
      <w:r>
        <w:tab/>
      </w:r>
      <w:r>
        <w:fldChar w:fldCharType="begin"/>
      </w:r>
      <w:r>
        <w:instrText xml:space="preserve"> PAGEREF _Toc106263425 \h </w:instrText>
      </w:r>
      <w:r>
        <w:fldChar w:fldCharType="separate"/>
      </w:r>
      <w:r>
        <w:t>5</w:t>
      </w:r>
      <w:r>
        <w:fldChar w:fldCharType="end"/>
      </w:r>
    </w:p>
    <w:p>
      <w:pPr>
        <w:pStyle w:val="TOC8"/>
        <w:rPr>
          <w:rFonts w:asciiTheme="minorHAnsi" w:eastAsiaTheme="minorEastAsia" w:hAnsiTheme="minorHAnsi" w:cstheme="minorBidi"/>
          <w:szCs w:val="22"/>
        </w:rPr>
      </w:pPr>
      <w:r>
        <w:t>12.</w:t>
      </w:r>
      <w:r>
        <w:tab/>
        <w:t>Disconnection and reconnection</w:t>
      </w:r>
      <w:r>
        <w:tab/>
      </w:r>
      <w:r>
        <w:fldChar w:fldCharType="begin"/>
      </w:r>
      <w:r>
        <w:instrText xml:space="preserve"> PAGEREF _Toc106263426 \h </w:instrText>
      </w:r>
      <w:r>
        <w:fldChar w:fldCharType="separate"/>
      </w:r>
      <w:r>
        <w:t>5</w:t>
      </w:r>
      <w:r>
        <w:fldChar w:fldCharType="end"/>
      </w:r>
    </w:p>
    <w:p>
      <w:pPr>
        <w:pStyle w:val="TOC8"/>
        <w:rPr>
          <w:rFonts w:asciiTheme="minorHAnsi" w:eastAsiaTheme="minorEastAsia" w:hAnsiTheme="minorHAnsi" w:cstheme="minorBidi"/>
          <w:szCs w:val="22"/>
        </w:rPr>
      </w:pPr>
      <w:r>
        <w:t>13.</w:t>
      </w:r>
      <w:r>
        <w:tab/>
        <w:t>Refundable advances</w:t>
      </w:r>
      <w:r>
        <w:tab/>
      </w:r>
      <w:r>
        <w:fldChar w:fldCharType="begin"/>
      </w:r>
      <w:r>
        <w:instrText xml:space="preserve"> PAGEREF _Toc106263427 \h </w:instrText>
      </w:r>
      <w:r>
        <w:fldChar w:fldCharType="separate"/>
      </w:r>
      <w:r>
        <w:t>8</w:t>
      </w:r>
      <w:r>
        <w:fldChar w:fldCharType="end"/>
      </w:r>
    </w:p>
    <w:p>
      <w:pPr>
        <w:pStyle w:val="TOC8"/>
        <w:rPr>
          <w:rFonts w:asciiTheme="minorHAnsi" w:eastAsiaTheme="minorEastAsia" w:hAnsiTheme="minorHAnsi" w:cstheme="minorBidi"/>
          <w:szCs w:val="22"/>
        </w:rPr>
      </w:pPr>
      <w:r>
        <w:t>14.</w:t>
      </w:r>
      <w:r>
        <w:tab/>
        <w:t>Fees and charges</w:t>
      </w:r>
      <w:r>
        <w:tab/>
      </w:r>
      <w:r>
        <w:fldChar w:fldCharType="begin"/>
      </w:r>
      <w:r>
        <w:instrText xml:space="preserve"> PAGEREF _Toc106263428 \h </w:instrText>
      </w:r>
      <w:r>
        <w:fldChar w:fldCharType="separate"/>
      </w:r>
      <w:r>
        <w:t>9</w:t>
      </w:r>
      <w:r>
        <w:fldChar w:fldCharType="end"/>
      </w:r>
    </w:p>
    <w:p>
      <w:pPr>
        <w:pStyle w:val="TOC8"/>
        <w:rPr>
          <w:rFonts w:asciiTheme="minorHAnsi" w:eastAsiaTheme="minorEastAsia" w:hAnsiTheme="minorHAnsi" w:cstheme="minorBidi"/>
          <w:szCs w:val="22"/>
        </w:rPr>
      </w:pPr>
      <w:r>
        <w:t>15.</w:t>
      </w:r>
      <w:r>
        <w:tab/>
        <w:t>Billing</w:t>
      </w:r>
      <w:r>
        <w:tab/>
      </w:r>
      <w:r>
        <w:fldChar w:fldCharType="begin"/>
      </w:r>
      <w:r>
        <w:instrText xml:space="preserve"> PAGEREF _Toc106263429 \h </w:instrText>
      </w:r>
      <w:r>
        <w:fldChar w:fldCharType="separate"/>
      </w:r>
      <w:r>
        <w:t>10</w:t>
      </w:r>
      <w:r>
        <w:fldChar w:fldCharType="end"/>
      </w:r>
    </w:p>
    <w:p>
      <w:pPr>
        <w:pStyle w:val="TOC8"/>
        <w:rPr>
          <w:rFonts w:asciiTheme="minorHAnsi" w:eastAsiaTheme="minorEastAsia" w:hAnsiTheme="minorHAnsi" w:cstheme="minorBidi"/>
          <w:szCs w:val="22"/>
        </w:rPr>
      </w:pPr>
      <w:r>
        <w:t>16.</w:t>
      </w:r>
      <w:r>
        <w:tab/>
        <w:t>Termination</w:t>
      </w:r>
      <w:r>
        <w:tab/>
      </w:r>
      <w:r>
        <w:fldChar w:fldCharType="begin"/>
      </w:r>
      <w:r>
        <w:instrText xml:space="preserve"> PAGEREF _Toc106263430 \h </w:instrText>
      </w:r>
      <w:r>
        <w:fldChar w:fldCharType="separate"/>
      </w:r>
      <w:r>
        <w:t>12</w:t>
      </w:r>
      <w:r>
        <w:fldChar w:fldCharType="end"/>
      </w:r>
    </w:p>
    <w:p>
      <w:pPr>
        <w:pStyle w:val="TOC8"/>
        <w:rPr>
          <w:rFonts w:asciiTheme="minorHAnsi" w:eastAsiaTheme="minorEastAsia" w:hAnsiTheme="minorHAnsi" w:cstheme="minorBidi"/>
          <w:szCs w:val="22"/>
        </w:rPr>
      </w:pPr>
      <w:r>
        <w:t>17.</w:t>
      </w:r>
      <w:r>
        <w:tab/>
        <w:t>Amendment of contract</w:t>
      </w:r>
      <w:r>
        <w:tab/>
      </w:r>
      <w:r>
        <w:fldChar w:fldCharType="begin"/>
      </w:r>
      <w:r>
        <w:instrText xml:space="preserve"> PAGEREF _Toc106263431 \h </w:instrText>
      </w:r>
      <w:r>
        <w:fldChar w:fldCharType="separate"/>
      </w:r>
      <w:r>
        <w:t>13</w:t>
      </w:r>
      <w:r>
        <w:fldChar w:fldCharType="end"/>
      </w:r>
    </w:p>
    <w:p>
      <w:pPr>
        <w:pStyle w:val="TOC8"/>
        <w:rPr>
          <w:rFonts w:asciiTheme="minorHAnsi" w:eastAsiaTheme="minorEastAsia" w:hAnsiTheme="minorHAnsi" w:cstheme="minorBidi"/>
          <w:szCs w:val="22"/>
        </w:rPr>
      </w:pPr>
      <w:r>
        <w:t>18.</w:t>
      </w:r>
      <w:r>
        <w:tab/>
        <w:t>Assignment</w:t>
      </w:r>
      <w:r>
        <w:tab/>
      </w:r>
      <w:r>
        <w:fldChar w:fldCharType="begin"/>
      </w:r>
      <w:r>
        <w:instrText xml:space="preserve"> PAGEREF _Toc106263432 \h </w:instrText>
      </w:r>
      <w:r>
        <w:fldChar w:fldCharType="separate"/>
      </w:r>
      <w:r>
        <w:t>14</w:t>
      </w:r>
      <w:r>
        <w:fldChar w:fldCharType="end"/>
      </w:r>
    </w:p>
    <w:p>
      <w:pPr>
        <w:pStyle w:val="TOC8"/>
        <w:rPr>
          <w:rFonts w:asciiTheme="minorHAnsi" w:eastAsiaTheme="minorEastAsia" w:hAnsiTheme="minorHAnsi" w:cstheme="minorBidi"/>
          <w:szCs w:val="22"/>
        </w:rPr>
      </w:pPr>
      <w:r>
        <w:t>19.</w:t>
      </w:r>
      <w:r>
        <w:tab/>
        <w:t>Information</w:t>
      </w:r>
      <w:r>
        <w:tab/>
      </w:r>
      <w:r>
        <w:fldChar w:fldCharType="begin"/>
      </w:r>
      <w:r>
        <w:instrText xml:space="preserve"> PAGEREF _Toc106263433 \h </w:instrText>
      </w:r>
      <w:r>
        <w:fldChar w:fldCharType="separate"/>
      </w:r>
      <w:r>
        <w:t>14</w:t>
      </w:r>
      <w:r>
        <w:fldChar w:fldCharType="end"/>
      </w:r>
    </w:p>
    <w:p>
      <w:pPr>
        <w:pStyle w:val="TOC8"/>
        <w:rPr>
          <w:rFonts w:asciiTheme="minorHAnsi" w:eastAsiaTheme="minorEastAsia" w:hAnsiTheme="minorHAnsi" w:cstheme="minorBidi"/>
          <w:szCs w:val="22"/>
        </w:rPr>
      </w:pPr>
      <w:r>
        <w:t>20.</w:t>
      </w:r>
      <w:r>
        <w:tab/>
        <w:t>Payment difficulties and debt recovery</w:t>
      </w:r>
      <w:r>
        <w:tab/>
      </w:r>
      <w:r>
        <w:fldChar w:fldCharType="begin"/>
      </w:r>
      <w:r>
        <w:instrText xml:space="preserve"> PAGEREF _Toc106263434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tab/>
        <w:t>Dispute resolution</w:t>
      </w:r>
      <w:r>
        <w:tab/>
      </w:r>
      <w:r>
        <w:fldChar w:fldCharType="begin"/>
      </w:r>
      <w:r>
        <w:instrText xml:space="preserve"> PAGEREF _Toc106263435 \h </w:instrText>
      </w:r>
      <w:r>
        <w:fldChar w:fldCharType="separate"/>
      </w:r>
      <w:r>
        <w:t>15</w:t>
      </w:r>
      <w:r>
        <w:fldChar w:fldCharType="end"/>
      </w:r>
    </w:p>
    <w:p>
      <w:pPr>
        <w:pStyle w:val="TOC8"/>
        <w:rPr>
          <w:rFonts w:asciiTheme="minorHAnsi" w:eastAsiaTheme="minorEastAsia" w:hAnsiTheme="minorHAnsi" w:cstheme="minorBidi"/>
          <w:szCs w:val="22"/>
        </w:rPr>
      </w:pPr>
      <w:r>
        <w:t>22.</w:t>
      </w:r>
      <w:r>
        <w:tab/>
        <w:t>Confidentiality</w:t>
      </w:r>
      <w:r>
        <w:tab/>
      </w:r>
      <w:r>
        <w:fldChar w:fldCharType="begin"/>
      </w:r>
      <w:r>
        <w:instrText xml:space="preserve"> PAGEREF _Toc106263436 \h </w:instrText>
      </w:r>
      <w:r>
        <w:fldChar w:fldCharType="separate"/>
      </w:r>
      <w:r>
        <w:t>16</w:t>
      </w:r>
      <w:r>
        <w:fldChar w:fldCharType="end"/>
      </w:r>
    </w:p>
    <w:p>
      <w:pPr>
        <w:pStyle w:val="TOC8"/>
        <w:rPr>
          <w:rFonts w:asciiTheme="minorHAnsi" w:eastAsiaTheme="minorEastAsia" w:hAnsiTheme="minorHAnsi" w:cstheme="minorBidi"/>
          <w:szCs w:val="22"/>
        </w:rPr>
      </w:pPr>
      <w:r>
        <w:t>23.</w:t>
      </w:r>
      <w:r>
        <w:tab/>
        <w:t>Miscellaneous provisions</w:t>
      </w:r>
      <w:r>
        <w:tab/>
      </w:r>
      <w:r>
        <w:fldChar w:fldCharType="begin"/>
      </w:r>
      <w:r>
        <w:instrText xml:space="preserve"> PAGEREF _Toc106263437 \h </w:instrText>
      </w:r>
      <w:r>
        <w:fldChar w:fldCharType="separate"/>
      </w:r>
      <w:r>
        <w:t>16</w:t>
      </w:r>
      <w:r>
        <w:fldChar w:fldCharType="end"/>
      </w:r>
    </w:p>
    <w:p>
      <w:pPr>
        <w:pStyle w:val="TOC8"/>
        <w:rPr>
          <w:rFonts w:asciiTheme="minorHAnsi" w:eastAsiaTheme="minorEastAsia" w:hAnsiTheme="minorHAnsi" w:cstheme="minorBidi"/>
          <w:szCs w:val="22"/>
        </w:rPr>
      </w:pPr>
      <w:r>
        <w:t>24.</w:t>
      </w:r>
      <w:r>
        <w:tab/>
        <w:t>Compliance with standards of service</w:t>
      </w:r>
      <w:r>
        <w:tab/>
      </w:r>
      <w:r>
        <w:fldChar w:fldCharType="begin"/>
      </w:r>
      <w:r>
        <w:instrText xml:space="preserve"> PAGEREF _Toc106263438 \h </w:instrText>
      </w:r>
      <w:r>
        <w:fldChar w:fldCharType="separate"/>
      </w:r>
      <w:r>
        <w:t>16</w:t>
      </w:r>
      <w:r>
        <w:fldChar w:fldCharType="end"/>
      </w:r>
    </w:p>
    <w:p>
      <w:pPr>
        <w:pStyle w:val="TOC8"/>
        <w:rPr>
          <w:rFonts w:asciiTheme="minorHAnsi" w:eastAsiaTheme="minorEastAsia" w:hAnsiTheme="minorHAnsi" w:cstheme="minorBidi"/>
          <w:szCs w:val="22"/>
        </w:rPr>
      </w:pPr>
      <w:r>
        <w:t>25.</w:t>
      </w:r>
      <w:r>
        <w:tab/>
        <w:t>No contracting out of Code of Conduct</w:t>
      </w:r>
      <w:r>
        <w:tab/>
      </w:r>
      <w:r>
        <w:fldChar w:fldCharType="begin"/>
      </w:r>
      <w:r>
        <w:instrText xml:space="preserve"> PAGEREF _Toc106263439 \h </w:instrText>
      </w:r>
      <w:r>
        <w:fldChar w:fldCharType="separate"/>
      </w:r>
      <w:r>
        <w:t>16</w:t>
      </w:r>
      <w:r>
        <w:fldChar w:fldCharType="end"/>
      </w:r>
    </w:p>
    <w:p>
      <w:pPr>
        <w:pStyle w:val="TOC8"/>
        <w:rPr>
          <w:rFonts w:asciiTheme="minorHAnsi" w:eastAsiaTheme="minorEastAsia" w:hAnsiTheme="minorHAnsi" w:cstheme="minorBidi"/>
          <w:szCs w:val="22"/>
        </w:rPr>
      </w:pPr>
      <w:r>
        <w:t>25A.</w:t>
      </w:r>
      <w:r>
        <w:tab/>
        <w:t>Effect of last resort supply arrangements</w:t>
      </w:r>
      <w:r>
        <w:tab/>
      </w:r>
      <w:r>
        <w:fldChar w:fldCharType="begin"/>
      </w:r>
      <w:r>
        <w:instrText xml:space="preserve"> PAGEREF _Toc106263440 \h </w:instrText>
      </w:r>
      <w:r>
        <w:fldChar w:fldCharType="separate"/>
      </w:r>
      <w:r>
        <w:t>17</w:t>
      </w:r>
      <w:r>
        <w:fldChar w:fldCharType="end"/>
      </w:r>
    </w:p>
    <w:p>
      <w:pPr>
        <w:pStyle w:val="TOC8"/>
        <w:rPr>
          <w:rFonts w:asciiTheme="minorHAnsi" w:eastAsiaTheme="minorEastAsia" w:hAnsiTheme="minorHAnsi" w:cstheme="minorBidi"/>
          <w:szCs w:val="22"/>
        </w:rPr>
      </w:pPr>
      <w:r>
        <w:t>25B.</w:t>
      </w:r>
      <w:r>
        <w:tab/>
        <w:t>Heating value for determining charges for supply of gas</w:t>
      </w:r>
      <w:r>
        <w:tab/>
      </w:r>
      <w:r>
        <w:fldChar w:fldCharType="begin"/>
      </w:r>
      <w:r>
        <w:instrText xml:space="preserve"> PAGEREF _Toc106263441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Specific requirements for standard form contracts</w:t>
      </w:r>
    </w:p>
    <w:p>
      <w:pPr>
        <w:pStyle w:val="TOC8"/>
        <w:rPr>
          <w:rFonts w:asciiTheme="minorHAnsi" w:eastAsiaTheme="minorEastAsia" w:hAnsiTheme="minorHAnsi" w:cstheme="minorBidi"/>
          <w:szCs w:val="22"/>
        </w:rPr>
      </w:pPr>
      <w:r>
        <w:t>26.</w:t>
      </w:r>
      <w:r>
        <w:tab/>
        <w:t>Period for which contract has effect</w:t>
      </w:r>
      <w:r>
        <w:tab/>
      </w:r>
      <w:r>
        <w:fldChar w:fldCharType="begin"/>
      </w:r>
      <w:r>
        <w:instrText xml:space="preserve"> PAGEREF _Toc106263443 \h </w:instrText>
      </w:r>
      <w:r>
        <w:fldChar w:fldCharType="separate"/>
      </w:r>
      <w:r>
        <w:t>19</w:t>
      </w:r>
      <w:r>
        <w:fldChar w:fldCharType="end"/>
      </w:r>
    </w:p>
    <w:p>
      <w:pPr>
        <w:pStyle w:val="TOC8"/>
        <w:rPr>
          <w:rFonts w:asciiTheme="minorHAnsi" w:eastAsiaTheme="minorEastAsia" w:hAnsiTheme="minorHAnsi" w:cstheme="minorBidi"/>
          <w:szCs w:val="22"/>
        </w:rPr>
      </w:pPr>
      <w:r>
        <w:t>27.</w:t>
      </w:r>
      <w:r>
        <w:tab/>
        <w:t>Cooling</w:t>
      </w:r>
      <w:r>
        <w:noBreakHyphen/>
        <w:t>off period for door to door contracts</w:t>
      </w:r>
      <w:r>
        <w:tab/>
      </w:r>
      <w:r>
        <w:fldChar w:fldCharType="begin"/>
      </w:r>
      <w:r>
        <w:instrText xml:space="preserve"> PAGEREF _Toc106263444 \h </w:instrText>
      </w:r>
      <w:r>
        <w:fldChar w:fldCharType="separate"/>
      </w:r>
      <w:r>
        <w:t>19</w:t>
      </w:r>
      <w:r>
        <w:fldChar w:fldCharType="end"/>
      </w:r>
    </w:p>
    <w:p>
      <w:pPr>
        <w:pStyle w:val="TOC8"/>
        <w:rPr>
          <w:rFonts w:asciiTheme="minorHAnsi" w:eastAsiaTheme="minorEastAsia" w:hAnsiTheme="minorHAnsi" w:cstheme="minorBidi"/>
          <w:szCs w:val="22"/>
        </w:rPr>
      </w:pPr>
      <w:r>
        <w:t>28.</w:t>
      </w:r>
      <w:r>
        <w:tab/>
        <w:t>Retail supplier’s obligations in relation to supply</w:t>
      </w:r>
      <w:r>
        <w:tab/>
      </w:r>
      <w:r>
        <w:fldChar w:fldCharType="begin"/>
      </w:r>
      <w:r>
        <w:instrText xml:space="preserve"> PAGEREF _Toc106263445 \h </w:instrText>
      </w:r>
      <w:r>
        <w:fldChar w:fldCharType="separate"/>
      </w:r>
      <w:r>
        <w:t>20</w:t>
      </w:r>
      <w:r>
        <w:fldChar w:fldCharType="end"/>
      </w:r>
    </w:p>
    <w:p>
      <w:pPr>
        <w:pStyle w:val="TOC8"/>
        <w:rPr>
          <w:rFonts w:asciiTheme="minorHAnsi" w:eastAsiaTheme="minorEastAsia" w:hAnsiTheme="minorHAnsi" w:cstheme="minorBidi"/>
          <w:szCs w:val="22"/>
        </w:rPr>
      </w:pPr>
      <w:r>
        <w:t>29.</w:t>
      </w:r>
      <w:r>
        <w:tab/>
        <w:t>Customer’s obligation to pay for gas</w:t>
      </w:r>
      <w:r>
        <w:tab/>
      </w:r>
      <w:r>
        <w:fldChar w:fldCharType="begin"/>
      </w:r>
      <w:r>
        <w:instrText xml:space="preserve"> PAGEREF _Toc106263446 \h </w:instrText>
      </w:r>
      <w:r>
        <w:fldChar w:fldCharType="separate"/>
      </w:r>
      <w:r>
        <w:t>20</w:t>
      </w:r>
      <w:r>
        <w:fldChar w:fldCharType="end"/>
      </w:r>
    </w:p>
    <w:p>
      <w:pPr>
        <w:pStyle w:val="TOC8"/>
        <w:rPr>
          <w:rFonts w:asciiTheme="minorHAnsi" w:eastAsiaTheme="minorEastAsia" w:hAnsiTheme="minorHAnsi" w:cstheme="minorBidi"/>
          <w:szCs w:val="22"/>
        </w:rPr>
      </w:pPr>
      <w:r>
        <w:t>30.</w:t>
      </w:r>
      <w:r>
        <w:tab/>
        <w:t>Termination of contract by customer</w:t>
      </w:r>
      <w:r>
        <w:tab/>
      </w:r>
      <w:r>
        <w:fldChar w:fldCharType="begin"/>
      </w:r>
      <w:r>
        <w:instrText xml:space="preserve"> PAGEREF _Toc106263447 \h </w:instrText>
      </w:r>
      <w:r>
        <w:fldChar w:fldCharType="separate"/>
      </w:r>
      <w:r>
        <w:t>20</w:t>
      </w:r>
      <w:r>
        <w:fldChar w:fldCharType="end"/>
      </w:r>
    </w:p>
    <w:p>
      <w:pPr>
        <w:pStyle w:val="TOC8"/>
        <w:rPr>
          <w:rFonts w:asciiTheme="minorHAnsi" w:eastAsiaTheme="minorEastAsia" w:hAnsiTheme="minorHAnsi" w:cstheme="minorBidi"/>
          <w:szCs w:val="22"/>
        </w:rPr>
      </w:pPr>
      <w:r>
        <w:t>31.</w:t>
      </w:r>
      <w:r>
        <w:tab/>
        <w:t>Equipment ownership and responsibility</w:t>
      </w:r>
      <w:r>
        <w:tab/>
      </w:r>
      <w:r>
        <w:fldChar w:fldCharType="begin"/>
      </w:r>
      <w:r>
        <w:instrText xml:space="preserve"> PAGEREF _Toc106263448 \h </w:instrText>
      </w:r>
      <w:r>
        <w:fldChar w:fldCharType="separate"/>
      </w:r>
      <w:r>
        <w:t>20</w:t>
      </w:r>
      <w:r>
        <w:fldChar w:fldCharType="end"/>
      </w:r>
    </w:p>
    <w:p>
      <w:pPr>
        <w:pStyle w:val="TOC8"/>
        <w:rPr>
          <w:rFonts w:asciiTheme="minorHAnsi" w:eastAsiaTheme="minorEastAsia" w:hAnsiTheme="minorHAnsi" w:cstheme="minorBidi"/>
          <w:szCs w:val="22"/>
        </w:rPr>
      </w:pPr>
      <w:r>
        <w:t>32.</w:t>
      </w:r>
      <w:r>
        <w:tab/>
        <w:t>Meter testing</w:t>
      </w:r>
      <w:r>
        <w:tab/>
      </w:r>
      <w:r>
        <w:fldChar w:fldCharType="begin"/>
      </w:r>
      <w:r>
        <w:instrText xml:space="preserve"> PAGEREF _Toc106263449 \h </w:instrText>
      </w:r>
      <w:r>
        <w:fldChar w:fldCharType="separate"/>
      </w:r>
      <w:r>
        <w:t>20</w:t>
      </w:r>
      <w:r>
        <w:fldChar w:fldCharType="end"/>
      </w:r>
    </w:p>
    <w:p>
      <w:pPr>
        <w:pStyle w:val="TOC8"/>
        <w:rPr>
          <w:rFonts w:asciiTheme="minorHAnsi" w:eastAsiaTheme="minorEastAsia" w:hAnsiTheme="minorHAnsi" w:cstheme="minorBidi"/>
          <w:szCs w:val="22"/>
        </w:rPr>
      </w:pPr>
      <w:r>
        <w:t>33.</w:t>
      </w:r>
      <w:r>
        <w:tab/>
        <w:t>Access to supply address</w:t>
      </w:r>
      <w:r>
        <w:tab/>
      </w:r>
      <w:r>
        <w:fldChar w:fldCharType="begin"/>
      </w:r>
      <w:r>
        <w:instrText xml:space="preserve"> PAGEREF _Toc106263450 \h </w:instrText>
      </w:r>
      <w:r>
        <w:fldChar w:fldCharType="separate"/>
      </w:r>
      <w:r>
        <w:t>21</w:t>
      </w:r>
      <w:r>
        <w:fldChar w:fldCharType="end"/>
      </w:r>
    </w:p>
    <w:p>
      <w:pPr>
        <w:pStyle w:val="TOC8"/>
        <w:rPr>
          <w:rFonts w:asciiTheme="minorHAnsi" w:eastAsiaTheme="minorEastAsia" w:hAnsiTheme="minorHAnsi" w:cstheme="minorBidi"/>
          <w:szCs w:val="22"/>
        </w:rPr>
      </w:pPr>
      <w:r>
        <w:t>34.</w:t>
      </w:r>
      <w:r>
        <w:tab/>
        <w:t>Customer entering supply address</w:t>
      </w:r>
      <w:r>
        <w:tab/>
      </w:r>
      <w:r>
        <w:fldChar w:fldCharType="begin"/>
      </w:r>
      <w:r>
        <w:instrText xml:space="preserve"> PAGEREF _Toc106263451 \h </w:instrText>
      </w:r>
      <w:r>
        <w:fldChar w:fldCharType="separate"/>
      </w:r>
      <w:r>
        <w:t>21</w:t>
      </w:r>
      <w:r>
        <w:fldChar w:fldCharType="end"/>
      </w:r>
    </w:p>
    <w:p>
      <w:pPr>
        <w:pStyle w:val="TOC8"/>
        <w:rPr>
          <w:rFonts w:asciiTheme="minorHAnsi" w:eastAsiaTheme="minorEastAsia" w:hAnsiTheme="minorHAnsi" w:cstheme="minorBidi"/>
          <w:szCs w:val="22"/>
        </w:rPr>
      </w:pPr>
      <w:r>
        <w:t>35.</w:t>
      </w:r>
      <w:r>
        <w:tab/>
        <w:t>Customer leaving supply address</w:t>
      </w:r>
      <w:r>
        <w:tab/>
      </w:r>
      <w:r>
        <w:fldChar w:fldCharType="begin"/>
      </w:r>
      <w:r>
        <w:instrText xml:space="preserve"> PAGEREF _Toc106263452 \h </w:instrText>
      </w:r>
      <w:r>
        <w:fldChar w:fldCharType="separate"/>
      </w:r>
      <w:r>
        <w:t>21</w:t>
      </w:r>
      <w:r>
        <w:fldChar w:fldCharType="end"/>
      </w:r>
    </w:p>
    <w:p>
      <w:pPr>
        <w:pStyle w:val="TOC8"/>
        <w:rPr>
          <w:rFonts w:asciiTheme="minorHAnsi" w:eastAsiaTheme="minorEastAsia" w:hAnsiTheme="minorHAnsi" w:cstheme="minorBidi"/>
          <w:szCs w:val="22"/>
        </w:rPr>
      </w:pPr>
      <w:r>
        <w:t>36.</w:t>
      </w:r>
      <w:r>
        <w:tab/>
        <w:t>Matters beyond the control of customer or retail supplier</w:t>
      </w:r>
      <w:r>
        <w:tab/>
      </w:r>
      <w:r>
        <w:fldChar w:fldCharType="begin"/>
      </w:r>
      <w:r>
        <w:instrText xml:space="preserve"> PAGEREF _Toc106263453 \h </w:instrText>
      </w:r>
      <w:r>
        <w:fldChar w:fldCharType="separate"/>
      </w:r>
      <w:r>
        <w:t>22</w:t>
      </w:r>
      <w:r>
        <w:fldChar w:fldCharType="end"/>
      </w:r>
    </w:p>
    <w:p>
      <w:pPr>
        <w:pStyle w:val="TOC8"/>
        <w:rPr>
          <w:rFonts w:asciiTheme="minorHAnsi" w:eastAsiaTheme="minorEastAsia" w:hAnsiTheme="minorHAnsi" w:cstheme="minorBidi"/>
          <w:szCs w:val="22"/>
        </w:rPr>
      </w:pPr>
      <w:r>
        <w:t>37.</w:t>
      </w:r>
      <w:r>
        <w:tab/>
        <w:t>Refundable advances</w:t>
      </w:r>
      <w:r>
        <w:tab/>
      </w:r>
      <w:r>
        <w:fldChar w:fldCharType="begin"/>
      </w:r>
      <w:r>
        <w:instrText xml:space="preserve"> PAGEREF _Toc106263454 \h </w:instrText>
      </w:r>
      <w:r>
        <w:fldChar w:fldCharType="separate"/>
      </w:r>
      <w:r>
        <w:t>22</w:t>
      </w:r>
      <w:r>
        <w:fldChar w:fldCharType="end"/>
      </w:r>
    </w:p>
    <w:p>
      <w:pPr>
        <w:pStyle w:val="TOC8"/>
        <w:rPr>
          <w:rFonts w:asciiTheme="minorHAnsi" w:eastAsiaTheme="minorEastAsia" w:hAnsiTheme="minorHAnsi" w:cstheme="minorBidi"/>
          <w:szCs w:val="22"/>
        </w:rPr>
      </w:pPr>
      <w:r>
        <w:t>38.</w:t>
      </w:r>
      <w:r>
        <w:tab/>
        <w:t>Supply charges</w:t>
      </w:r>
      <w:r>
        <w:tab/>
      </w:r>
      <w:r>
        <w:fldChar w:fldCharType="begin"/>
      </w:r>
      <w:r>
        <w:instrText xml:space="preserve"> PAGEREF _Toc106263455 \h </w:instrText>
      </w:r>
      <w:r>
        <w:fldChar w:fldCharType="separate"/>
      </w:r>
      <w:r>
        <w:t>23</w:t>
      </w:r>
      <w:r>
        <w:fldChar w:fldCharType="end"/>
      </w:r>
    </w:p>
    <w:p>
      <w:pPr>
        <w:pStyle w:val="TOC8"/>
        <w:rPr>
          <w:rFonts w:asciiTheme="minorHAnsi" w:eastAsiaTheme="minorEastAsia" w:hAnsiTheme="minorHAnsi" w:cstheme="minorBidi"/>
          <w:szCs w:val="22"/>
        </w:rPr>
      </w:pPr>
      <w:r>
        <w:t>38A.</w:t>
      </w:r>
      <w:r>
        <w:tab/>
        <w:t>Provisions relating to last resort supply</w:t>
      </w:r>
      <w:r>
        <w:tab/>
      </w:r>
      <w:r>
        <w:fldChar w:fldCharType="begin"/>
      </w:r>
      <w:r>
        <w:instrText xml:space="preserve"> PAGEREF _Toc106263456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Specific requirements for non</w:t>
      </w:r>
      <w:r>
        <w:noBreakHyphen/>
        <w:t>standard contracts</w:t>
      </w:r>
    </w:p>
    <w:p>
      <w:pPr>
        <w:pStyle w:val="TOC8"/>
        <w:rPr>
          <w:rFonts w:asciiTheme="minorHAnsi" w:eastAsiaTheme="minorEastAsia" w:hAnsiTheme="minorHAnsi" w:cstheme="minorBidi"/>
          <w:szCs w:val="22"/>
        </w:rPr>
      </w:pPr>
      <w:r>
        <w:t>39.</w:t>
      </w:r>
      <w:r>
        <w:tab/>
        <w:t>Period for which contract has effect</w:t>
      </w:r>
      <w:r>
        <w:tab/>
      </w:r>
      <w:r>
        <w:fldChar w:fldCharType="begin"/>
      </w:r>
      <w:r>
        <w:instrText xml:space="preserve"> PAGEREF _Toc106263458 \h </w:instrText>
      </w:r>
      <w:r>
        <w:fldChar w:fldCharType="separate"/>
      </w:r>
      <w:r>
        <w:t>25</w:t>
      </w:r>
      <w:r>
        <w:fldChar w:fldCharType="end"/>
      </w:r>
    </w:p>
    <w:p>
      <w:pPr>
        <w:pStyle w:val="TOC8"/>
        <w:rPr>
          <w:rFonts w:asciiTheme="minorHAnsi" w:eastAsiaTheme="minorEastAsia" w:hAnsiTheme="minorHAnsi" w:cstheme="minorBidi"/>
          <w:szCs w:val="22"/>
        </w:rPr>
      </w:pPr>
      <w:r>
        <w:t>40.</w:t>
      </w:r>
      <w:r>
        <w:tab/>
        <w:t>Cooling</w:t>
      </w:r>
      <w:r>
        <w:noBreakHyphen/>
        <w:t>off period for non</w:t>
      </w:r>
      <w:r>
        <w:noBreakHyphen/>
        <w:t>standard contracts</w:t>
      </w:r>
      <w:r>
        <w:tab/>
      </w:r>
      <w:r>
        <w:fldChar w:fldCharType="begin"/>
      </w:r>
      <w:r>
        <w:instrText xml:space="preserve"> PAGEREF _Toc106263459 \h </w:instrText>
      </w:r>
      <w:r>
        <w:fldChar w:fldCharType="separate"/>
      </w:r>
      <w:r>
        <w:t>25</w:t>
      </w:r>
      <w:r>
        <w:fldChar w:fldCharType="end"/>
      </w:r>
    </w:p>
    <w:p>
      <w:pPr>
        <w:pStyle w:val="TOC8"/>
        <w:rPr>
          <w:rFonts w:asciiTheme="minorHAnsi" w:eastAsiaTheme="minorEastAsia" w:hAnsiTheme="minorHAnsi" w:cstheme="minorBidi"/>
          <w:szCs w:val="22"/>
        </w:rPr>
      </w:pPr>
      <w:r>
        <w:t>41.</w:t>
      </w:r>
      <w:r>
        <w:tab/>
        <w:t>Termination of contract by customer</w:t>
      </w:r>
      <w:r>
        <w:tab/>
      </w:r>
      <w:r>
        <w:fldChar w:fldCharType="begin"/>
      </w:r>
      <w:r>
        <w:instrText xml:space="preserve"> PAGEREF _Toc106263460 \h </w:instrText>
      </w:r>
      <w:r>
        <w:fldChar w:fldCharType="separate"/>
      </w:r>
      <w:r>
        <w:t>25</w:t>
      </w:r>
      <w:r>
        <w:fldChar w:fldCharType="end"/>
      </w:r>
    </w:p>
    <w:p>
      <w:pPr>
        <w:pStyle w:val="TOC8"/>
        <w:rPr>
          <w:rFonts w:asciiTheme="minorHAnsi" w:eastAsiaTheme="minorEastAsia" w:hAnsiTheme="minorHAnsi" w:cstheme="minorBidi"/>
          <w:szCs w:val="22"/>
        </w:rPr>
      </w:pPr>
      <w:r>
        <w:t>42.</w:t>
      </w:r>
      <w:r>
        <w:tab/>
        <w:t>Amendment of contract</w:t>
      </w:r>
      <w:r>
        <w:tab/>
      </w:r>
      <w:r>
        <w:fldChar w:fldCharType="begin"/>
      </w:r>
      <w:r>
        <w:instrText xml:space="preserve"> PAGEREF _Toc106263461 \h </w:instrText>
      </w:r>
      <w:r>
        <w:fldChar w:fldCharType="separate"/>
      </w:r>
      <w:r>
        <w:t>26</w:t>
      </w:r>
      <w:r>
        <w:fldChar w:fldCharType="end"/>
      </w:r>
    </w:p>
    <w:p>
      <w:pPr>
        <w:pStyle w:val="TOC8"/>
        <w:rPr>
          <w:rFonts w:asciiTheme="minorHAnsi" w:eastAsiaTheme="minorEastAsia" w:hAnsiTheme="minorHAnsi" w:cstheme="minorBidi"/>
          <w:szCs w:val="22"/>
        </w:rPr>
      </w:pPr>
      <w:r>
        <w:t>43.</w:t>
      </w:r>
      <w:r>
        <w:tab/>
        <w:t>Continuation of contract after expiry</w:t>
      </w:r>
      <w:r>
        <w:tab/>
      </w:r>
      <w:r>
        <w:fldChar w:fldCharType="begin"/>
      </w:r>
      <w:r>
        <w:instrText xml:space="preserve"> PAGEREF _Toc106263462 \h </w:instrText>
      </w:r>
      <w:r>
        <w:fldChar w:fldCharType="separate"/>
      </w:r>
      <w:r>
        <w:t>26</w:t>
      </w:r>
      <w:r>
        <w:fldChar w:fldCharType="end"/>
      </w:r>
    </w:p>
    <w:p>
      <w:pPr>
        <w:pStyle w:val="TOC8"/>
        <w:rPr>
          <w:rFonts w:asciiTheme="minorHAnsi" w:eastAsiaTheme="minorEastAsia" w:hAnsiTheme="minorHAnsi" w:cstheme="minorBidi"/>
          <w:szCs w:val="22"/>
        </w:rPr>
      </w:pPr>
      <w:r>
        <w:t>44.</w:t>
      </w:r>
      <w:r>
        <w:tab/>
        <w:t>Information relating to expiry of fixed term contract</w:t>
      </w:r>
      <w:r>
        <w:tab/>
      </w:r>
      <w:r>
        <w:fldChar w:fldCharType="begin"/>
      </w:r>
      <w:r>
        <w:instrText xml:space="preserve"> PAGEREF _Toc106263463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Standards of service</w:t>
      </w:r>
    </w:p>
    <w:p>
      <w:pPr>
        <w:pStyle w:val="TOC8"/>
        <w:rPr>
          <w:rFonts w:asciiTheme="minorHAnsi" w:eastAsiaTheme="minorEastAsia" w:hAnsiTheme="minorHAnsi" w:cstheme="minorBidi"/>
          <w:szCs w:val="22"/>
        </w:rPr>
      </w:pPr>
      <w:r>
        <w:t>45.</w:t>
      </w:r>
      <w:r>
        <w:tab/>
        <w:t>Customer to be provided with copy of customer service charter</w:t>
      </w:r>
      <w:r>
        <w:tab/>
      </w:r>
      <w:r>
        <w:fldChar w:fldCharType="begin"/>
      </w:r>
      <w:r>
        <w:instrText xml:space="preserve"> PAGEREF _Toc106263465 \h </w:instrText>
      </w:r>
      <w:r>
        <w:fldChar w:fldCharType="separate"/>
      </w:r>
      <w:r>
        <w:t>28</w:t>
      </w:r>
      <w:r>
        <w:fldChar w:fldCharType="end"/>
      </w:r>
    </w:p>
    <w:p>
      <w:pPr>
        <w:pStyle w:val="TOC8"/>
        <w:rPr>
          <w:rFonts w:asciiTheme="minorHAnsi" w:eastAsiaTheme="minorEastAsia" w:hAnsiTheme="minorHAnsi" w:cstheme="minorBidi"/>
          <w:szCs w:val="22"/>
        </w:rPr>
      </w:pPr>
      <w:r>
        <w:t>46.</w:t>
      </w:r>
      <w:r>
        <w:tab/>
        <w:t>Customer to be provided with copy of regulations or relevant code</w:t>
      </w:r>
      <w:r>
        <w:tab/>
      </w:r>
      <w:r>
        <w:fldChar w:fldCharType="begin"/>
      </w:r>
      <w:r>
        <w:instrText xml:space="preserve"> PAGEREF _Toc106263466 \h </w:instrText>
      </w:r>
      <w:r>
        <w:fldChar w:fldCharType="separate"/>
      </w:r>
      <w:r>
        <w:t>28</w:t>
      </w:r>
      <w:r>
        <w:fldChar w:fldCharType="end"/>
      </w:r>
    </w:p>
    <w:p>
      <w:pPr>
        <w:pStyle w:val="TOC8"/>
        <w:rPr>
          <w:rFonts w:asciiTheme="minorHAnsi" w:eastAsiaTheme="minorEastAsia" w:hAnsiTheme="minorHAnsi" w:cstheme="minorBidi"/>
          <w:szCs w:val="22"/>
        </w:rPr>
      </w:pPr>
      <w:r>
        <w:t>47.</w:t>
      </w:r>
      <w:r>
        <w:tab/>
        <w:t>Billing data</w:t>
      </w:r>
      <w:r>
        <w:tab/>
      </w:r>
      <w:r>
        <w:fldChar w:fldCharType="begin"/>
      </w:r>
      <w:r>
        <w:instrText xml:space="preserve"> PAGEREF _Toc106263467 \h </w:instrText>
      </w:r>
      <w:r>
        <w:fldChar w:fldCharType="separate"/>
      </w:r>
      <w:r>
        <w:t>28</w:t>
      </w:r>
      <w:r>
        <w:fldChar w:fldCharType="end"/>
      </w:r>
    </w:p>
    <w:p>
      <w:pPr>
        <w:pStyle w:val="TOC8"/>
        <w:rPr>
          <w:rFonts w:asciiTheme="minorHAnsi" w:eastAsiaTheme="minorEastAsia" w:hAnsiTheme="minorHAnsi" w:cstheme="minorBidi"/>
          <w:szCs w:val="22"/>
        </w:rPr>
      </w:pPr>
      <w:r>
        <w:t>48.</w:t>
      </w:r>
      <w:r>
        <w:tab/>
        <w:t>Debt collection</w:t>
      </w:r>
      <w:r>
        <w:tab/>
      </w:r>
      <w:r>
        <w:fldChar w:fldCharType="begin"/>
      </w:r>
      <w:r>
        <w:instrText xml:space="preserve"> PAGEREF _Toc106263468 \h </w:instrText>
      </w:r>
      <w:r>
        <w:fldChar w:fldCharType="separate"/>
      </w:r>
      <w:r>
        <w:t>30</w:t>
      </w:r>
      <w:r>
        <w:fldChar w:fldCharType="end"/>
      </w:r>
    </w:p>
    <w:p>
      <w:pPr>
        <w:pStyle w:val="TOC8"/>
        <w:rPr>
          <w:rFonts w:asciiTheme="minorHAnsi" w:eastAsiaTheme="minorEastAsia" w:hAnsiTheme="minorHAnsi" w:cstheme="minorBidi"/>
          <w:szCs w:val="22"/>
        </w:rPr>
      </w:pPr>
      <w:r>
        <w:t>49.</w:t>
      </w:r>
      <w:r>
        <w:tab/>
        <w:t>Default listing</w:t>
      </w:r>
      <w:r>
        <w:tab/>
      </w:r>
      <w:r>
        <w:fldChar w:fldCharType="begin"/>
      </w:r>
      <w:r>
        <w:instrText xml:space="preserve"> PAGEREF _Toc106263469 \h </w:instrText>
      </w:r>
      <w:r>
        <w:fldChar w:fldCharType="separate"/>
      </w:r>
      <w:r>
        <w:t>30</w:t>
      </w:r>
      <w:r>
        <w:fldChar w:fldCharType="end"/>
      </w:r>
    </w:p>
    <w:p>
      <w:pPr>
        <w:pStyle w:val="TOC8"/>
        <w:rPr>
          <w:rFonts w:asciiTheme="minorHAnsi" w:eastAsiaTheme="minorEastAsia" w:hAnsiTheme="minorHAnsi" w:cstheme="minorBidi"/>
          <w:szCs w:val="22"/>
        </w:rPr>
      </w:pPr>
      <w:r>
        <w:t>50.</w:t>
      </w:r>
      <w:r>
        <w:tab/>
        <w:t>Disconnection warning to include information on dispute resolution</w:t>
      </w:r>
      <w:r>
        <w:tab/>
      </w:r>
      <w:r>
        <w:fldChar w:fldCharType="begin"/>
      </w:r>
      <w:r>
        <w:instrText xml:space="preserve"> PAGEREF _Toc106263470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_Toc106263472 \h </w:instrText>
      </w:r>
      <w:r>
        <w:fldChar w:fldCharType="separate"/>
      </w:r>
      <w:r>
        <w:t>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_Toc106263473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3" w:name="_Toc106198536"/>
      <w:bookmarkStart w:id="4" w:name="_Toc106198774"/>
      <w:bookmarkStart w:id="5" w:name="_Toc10626341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263414"/>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t>.</w:t>
      </w:r>
    </w:p>
    <w:p>
      <w:pPr>
        <w:pStyle w:val="Heading5"/>
        <w:rPr>
          <w:spacing w:val="-2"/>
        </w:rPr>
      </w:pPr>
      <w:bookmarkStart w:id="7" w:name="_Toc106263415"/>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p>
    <w:p>
      <w:pPr>
        <w:pStyle w:val="Heading5"/>
      </w:pPr>
      <w:bookmarkStart w:id="8" w:name="_Toc106263416"/>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lastRenderedPageBreak/>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keepLines/>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lastRenderedPageBreak/>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9" w:name="_Toc106263417"/>
      <w:r>
        <w:rPr>
          <w:rStyle w:val="CharSectno"/>
        </w:rPr>
        <w:t>4</w:t>
      </w:r>
      <w:r>
        <w:t>.</w:t>
      </w:r>
      <w:r>
        <w:tab/>
        <w:t>Status of notes</w:t>
      </w:r>
      <w:bookmarkEnd w:id="9"/>
    </w:p>
    <w:p>
      <w:pPr>
        <w:pStyle w:val="Subsection"/>
      </w:pPr>
      <w:r>
        <w:tab/>
      </w:r>
      <w:r>
        <w:tab/>
        <w:t>Notes in these regulations are provided to assist understanding and do not form part of the regulations.</w:t>
      </w:r>
    </w:p>
    <w:p>
      <w:pPr>
        <w:pStyle w:val="Heading2"/>
      </w:pPr>
      <w:bookmarkStart w:id="10" w:name="_Toc106198541"/>
      <w:bookmarkStart w:id="11" w:name="_Toc106198779"/>
      <w:bookmarkStart w:id="12" w:name="_Toc106263418"/>
      <w:r>
        <w:rPr>
          <w:rStyle w:val="CharPartNo"/>
        </w:rPr>
        <w:lastRenderedPageBreak/>
        <w:t>Part 2</w:t>
      </w:r>
      <w:r>
        <w:t> — </w:t>
      </w:r>
      <w:r>
        <w:rPr>
          <w:rStyle w:val="CharPartText"/>
        </w:rPr>
        <w:t>Requirements for all customer contracts</w:t>
      </w:r>
      <w:bookmarkEnd w:id="10"/>
      <w:bookmarkEnd w:id="11"/>
      <w:bookmarkEnd w:id="12"/>
    </w:p>
    <w:p>
      <w:pPr>
        <w:pStyle w:val="Heading5"/>
        <w:spacing w:before="180"/>
      </w:pPr>
      <w:bookmarkStart w:id="13" w:name="_Toc106263419"/>
      <w:r>
        <w:rPr>
          <w:rStyle w:val="CharSectno"/>
        </w:rPr>
        <w:t>5</w:t>
      </w:r>
      <w:r>
        <w:t>.</w:t>
      </w:r>
      <w:r>
        <w:tab/>
        <w:t>Format and expression</w:t>
      </w:r>
      <w:bookmarkEnd w:id="13"/>
    </w:p>
    <w:p>
      <w:pPr>
        <w:pStyle w:val="Subsection"/>
        <w:spacing w:before="120"/>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spacing w:before="180"/>
      </w:pPr>
      <w:bookmarkStart w:id="14" w:name="_Toc106263420"/>
      <w:r>
        <w:rPr>
          <w:rStyle w:val="CharSectno"/>
        </w:rPr>
        <w:t>6</w:t>
      </w:r>
      <w:r>
        <w:t>.</w:t>
      </w:r>
      <w:r>
        <w:tab/>
        <w:t>Duration of contract</w:t>
      </w:r>
      <w:bookmarkEnd w:id="14"/>
    </w:p>
    <w:p>
      <w:pPr>
        <w:pStyle w:val="Subsection"/>
      </w:pPr>
      <w:r>
        <w:tab/>
      </w:r>
      <w:r>
        <w:tab/>
        <w:t>A customer contract must specify the day on which the contract comes into effect and the period for which it has effect.</w:t>
      </w:r>
    </w:p>
    <w:p>
      <w:pPr>
        <w:pStyle w:val="Heading5"/>
        <w:spacing w:before="180"/>
      </w:pPr>
      <w:bookmarkStart w:id="15" w:name="_Toc106263421"/>
      <w:r>
        <w:rPr>
          <w:rStyle w:val="CharSectno"/>
        </w:rPr>
        <w:t>7</w:t>
      </w:r>
      <w:r>
        <w:t>.</w:t>
      </w:r>
      <w:r>
        <w:tab/>
        <w:t>Details of retail supplier</w:t>
      </w:r>
      <w:bookmarkEnd w:id="15"/>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spacing w:before="180"/>
      </w:pPr>
      <w:bookmarkStart w:id="16" w:name="_Toc106263422"/>
      <w:r>
        <w:rPr>
          <w:rStyle w:val="CharSectno"/>
        </w:rPr>
        <w:t>8</w:t>
      </w:r>
      <w:r>
        <w:t>.</w:t>
      </w:r>
      <w:r>
        <w:tab/>
        <w:t>Description of goods and services</w:t>
      </w:r>
      <w:bookmarkEnd w:id="16"/>
    </w:p>
    <w:p>
      <w:pPr>
        <w:pStyle w:val="Subsection"/>
        <w:spacing w:before="120"/>
      </w:pPr>
      <w:r>
        <w:tab/>
      </w:r>
      <w:r>
        <w:tab/>
        <w:t>A customer contract must give an exact description of the goods and services that the retail supplier will provide under the contract.</w:t>
      </w:r>
    </w:p>
    <w:p>
      <w:pPr>
        <w:pStyle w:val="Heading5"/>
        <w:keepNext w:val="0"/>
        <w:keepLines w:val="0"/>
        <w:spacing w:before="180"/>
      </w:pPr>
      <w:bookmarkStart w:id="17" w:name="_Toc106263423"/>
      <w:r>
        <w:rPr>
          <w:rStyle w:val="CharSectno"/>
        </w:rPr>
        <w:t>9</w:t>
      </w:r>
      <w:r>
        <w:t>.</w:t>
      </w:r>
      <w:r>
        <w:tab/>
        <w:t>Roles of retail supplier and gas distribution operator</w:t>
      </w:r>
      <w:bookmarkEnd w:id="17"/>
    </w:p>
    <w:p>
      <w:pPr>
        <w:pStyle w:val="Subsection"/>
        <w:spacing w:before="120"/>
      </w:pPr>
      <w:r>
        <w:tab/>
      </w:r>
      <w:r>
        <w:tab/>
        <w:t>A customer contract must explain the respective functions of the retail supplier and the gas distribution operator in relation to supply.</w:t>
      </w:r>
    </w:p>
    <w:p>
      <w:pPr>
        <w:pStyle w:val="Heading5"/>
      </w:pPr>
      <w:bookmarkStart w:id="18" w:name="_Toc106263424"/>
      <w:r>
        <w:rPr>
          <w:rStyle w:val="CharSectno"/>
        </w:rPr>
        <w:lastRenderedPageBreak/>
        <w:t>10</w:t>
      </w:r>
      <w:r>
        <w:t>.</w:t>
      </w:r>
      <w:r>
        <w:tab/>
        <w:t>Relevant codes</w:t>
      </w:r>
      <w:bookmarkEnd w:id="18"/>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19" w:name="_Toc106263425"/>
      <w:r>
        <w:rPr>
          <w:rStyle w:val="CharSectno"/>
        </w:rPr>
        <w:t>11</w:t>
      </w:r>
      <w:r>
        <w:t>.</w:t>
      </w:r>
      <w:r>
        <w:tab/>
        <w:t>Certain obligations of customer in relation to supply</w:t>
      </w:r>
      <w:bookmarkEnd w:id="19"/>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20" w:name="_Toc106263426"/>
      <w:r>
        <w:rPr>
          <w:rStyle w:val="CharSectno"/>
        </w:rPr>
        <w:t>12</w:t>
      </w:r>
      <w:r>
        <w:t>.</w:t>
      </w:r>
      <w:r>
        <w:tab/>
        <w:t>Disconnection and reconnection</w:t>
      </w:r>
      <w:bookmarkEnd w:id="20"/>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keepNext/>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pPr>
      <w:r>
        <w:tab/>
        <w:t>(2)</w:t>
      </w:r>
      <w:r>
        <w:tab/>
        <w:t xml:space="preserve">Without limiting subregulation (1), a customer contract must prohibit a retail supplier, except in circumstances where </w:t>
      </w:r>
      <w:r>
        <w:lastRenderedPageBreak/>
        <w:t xml:space="preserve">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lastRenderedPageBreak/>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5.1.1</w:t>
            </w:r>
          </w:p>
        </w:tc>
        <w:tc>
          <w:tcPr>
            <w:tcW w:w="3969" w:type="dxa"/>
          </w:tcPr>
          <w:p>
            <w:pPr>
              <w:pStyle w:val="TableNAm"/>
              <w:spacing w:before="60"/>
            </w:pPr>
            <w:r>
              <w:t>Disconnection for unpaid bills</w:t>
            </w:r>
          </w:p>
        </w:tc>
      </w:tr>
      <w:tr>
        <w:tc>
          <w:tcPr>
            <w:tcW w:w="2268" w:type="dxa"/>
          </w:tcPr>
          <w:p>
            <w:pPr>
              <w:pStyle w:val="TableNAm"/>
              <w:spacing w:before="60"/>
            </w:pPr>
            <w:r>
              <w:t>clause 5.1.2</w:t>
            </w:r>
          </w:p>
        </w:tc>
        <w:tc>
          <w:tcPr>
            <w:tcW w:w="3969" w:type="dxa"/>
          </w:tcPr>
          <w:p>
            <w:pPr>
              <w:pStyle w:val="TableNAm"/>
              <w:spacing w:before="60"/>
            </w:pPr>
            <w:r>
              <w:t>Disconnection for denying access to the meter</w:t>
            </w:r>
          </w:p>
        </w:tc>
      </w:tr>
      <w:tr>
        <w:tc>
          <w:tcPr>
            <w:tcW w:w="2268" w:type="dxa"/>
          </w:tcPr>
          <w:p>
            <w:pPr>
              <w:pStyle w:val="TableNAm"/>
              <w:spacing w:before="60"/>
            </w:pPr>
            <w:r>
              <w:t>clause 5.1.3</w:t>
            </w:r>
          </w:p>
        </w:tc>
        <w:tc>
          <w:tcPr>
            <w:tcW w:w="3969" w:type="dxa"/>
          </w:tcPr>
          <w:p>
            <w:pPr>
              <w:pStyle w:val="TableNAm"/>
              <w:spacing w:before="60"/>
            </w:pPr>
            <w:r>
              <w:t>Disconnection for emergencies</w:t>
            </w:r>
          </w:p>
        </w:tc>
      </w:tr>
      <w:tr>
        <w:tc>
          <w:tcPr>
            <w:tcW w:w="2268" w:type="dxa"/>
          </w:tcPr>
          <w:p>
            <w:pPr>
              <w:pStyle w:val="TableNAm"/>
              <w:spacing w:before="60"/>
            </w:pPr>
            <w:r>
              <w:t>clause 5.1.4</w:t>
            </w:r>
          </w:p>
        </w:tc>
        <w:tc>
          <w:tcPr>
            <w:tcW w:w="3969" w:type="dxa"/>
          </w:tcPr>
          <w:p>
            <w:pPr>
              <w:pStyle w:val="TableNAm"/>
              <w:spacing w:before="60"/>
            </w:pPr>
            <w:r>
              <w:t>Disconnection for health and safety reasons</w:t>
            </w:r>
          </w:p>
        </w:tc>
      </w:tr>
      <w:tr>
        <w:tc>
          <w:tcPr>
            <w:tcW w:w="2268" w:type="dxa"/>
          </w:tcPr>
          <w:p>
            <w:pPr>
              <w:pStyle w:val="TableNAm"/>
              <w:spacing w:before="60"/>
            </w:pPr>
            <w:r>
              <w:lastRenderedPageBreak/>
              <w:t>clause 5.1.5</w:t>
            </w:r>
          </w:p>
        </w:tc>
        <w:tc>
          <w:tcPr>
            <w:tcW w:w="3969" w:type="dxa"/>
          </w:tcPr>
          <w:p>
            <w:pPr>
              <w:pStyle w:val="TableNAm"/>
              <w:spacing w:before="60"/>
            </w:pPr>
            <w:r>
              <w:t>Disconnection for planned maintenance</w:t>
            </w:r>
          </w:p>
        </w:tc>
      </w:tr>
      <w:tr>
        <w:tc>
          <w:tcPr>
            <w:tcW w:w="2268" w:type="dxa"/>
          </w:tcPr>
          <w:p>
            <w:pPr>
              <w:pStyle w:val="TableNAm"/>
              <w:spacing w:before="60"/>
            </w:pPr>
            <w:r>
              <w:t>clause 5.1.6</w:t>
            </w:r>
          </w:p>
        </w:tc>
        <w:tc>
          <w:tcPr>
            <w:tcW w:w="3969" w:type="dxa"/>
          </w:tcPr>
          <w:p>
            <w:pPr>
              <w:pStyle w:val="TableNAm"/>
              <w:spacing w:before="60"/>
            </w:pPr>
            <w:r>
              <w:t>Disconnection for unauthorised utilisation</w:t>
            </w:r>
          </w:p>
        </w:tc>
      </w:tr>
      <w:tr>
        <w:tc>
          <w:tcPr>
            <w:tcW w:w="2268" w:type="dxa"/>
          </w:tcPr>
          <w:p>
            <w:pPr>
              <w:pStyle w:val="TableNAm"/>
              <w:spacing w:before="60"/>
            </w:pPr>
            <w:r>
              <w:t>clause 5.1.7</w:t>
            </w:r>
          </w:p>
        </w:tc>
        <w:tc>
          <w:tcPr>
            <w:tcW w:w="3969" w:type="dxa"/>
          </w:tcPr>
          <w:p>
            <w:pPr>
              <w:pStyle w:val="TableNAm"/>
              <w:spacing w:before="60"/>
            </w:pPr>
            <w:r>
              <w:t>Disconnection for refusal to pay refundable advances</w:t>
            </w:r>
          </w:p>
        </w:tc>
      </w:tr>
      <w:tr>
        <w:tc>
          <w:tcPr>
            <w:tcW w:w="2268" w:type="dxa"/>
          </w:tcPr>
          <w:p>
            <w:pPr>
              <w:pStyle w:val="TableNAm"/>
              <w:spacing w:before="60"/>
            </w:pPr>
            <w:r>
              <w:t>clause 5.1.8</w:t>
            </w:r>
          </w:p>
        </w:tc>
        <w:tc>
          <w:tcPr>
            <w:tcW w:w="3969" w:type="dxa"/>
          </w:tcPr>
          <w:p>
            <w:pPr>
              <w:pStyle w:val="TableNAm"/>
              <w:spacing w:before="60"/>
            </w:pPr>
            <w:r>
              <w:t>When a supplier shall not disconnect</w:t>
            </w:r>
          </w:p>
        </w:tc>
      </w:tr>
      <w:tr>
        <w:tc>
          <w:tcPr>
            <w:tcW w:w="2268" w:type="dxa"/>
            <w:tcBorders>
              <w:bottom w:val="single" w:sz="4" w:space="0" w:color="auto"/>
            </w:tcBorders>
          </w:tcPr>
          <w:p>
            <w:pPr>
              <w:pStyle w:val="TableNAm"/>
              <w:spacing w:before="60"/>
            </w:pPr>
            <w:r>
              <w:t>clause 5.2.2</w:t>
            </w:r>
          </w:p>
        </w:tc>
        <w:tc>
          <w:tcPr>
            <w:tcW w:w="3969" w:type="dxa"/>
            <w:tcBorders>
              <w:bottom w:val="single" w:sz="4" w:space="0" w:color="auto"/>
            </w:tcBorders>
          </w:tcPr>
          <w:p>
            <w:pPr>
              <w:pStyle w:val="TableNAm"/>
              <w:spacing w:before="60"/>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Footnotesection"/>
      </w:pPr>
      <w:r>
        <w:tab/>
        <w:t>Regulation 12 amended: Gazette 14 Jun 2011 p. 2132.]</w:t>
      </w:r>
    </w:p>
    <w:p>
      <w:pPr>
        <w:pStyle w:val="Heading5"/>
      </w:pPr>
      <w:bookmarkStart w:id="21" w:name="_Toc106263427"/>
      <w:r>
        <w:rPr>
          <w:rStyle w:val="CharSectno"/>
        </w:rPr>
        <w:t>13</w:t>
      </w:r>
      <w:r>
        <w:t>.</w:t>
      </w:r>
      <w:r>
        <w:tab/>
        <w:t>Refundable advances</w:t>
      </w:r>
      <w:bookmarkEnd w:id="21"/>
    </w:p>
    <w:p>
      <w:pPr>
        <w:pStyle w:val="Subsection"/>
      </w:pPr>
      <w:r>
        <w:tab/>
        <w:t>(1)</w:t>
      </w:r>
      <w:r>
        <w:tab/>
        <w:t>A customer contract must include a provision that has the same effect as clause 4.4.6 of the AGA Code.</w:t>
      </w:r>
    </w:p>
    <w:p>
      <w:pPr>
        <w:pStyle w:val="PermNoteHeading"/>
      </w:pPr>
      <w:r>
        <w:tab/>
        <w:t>Note for this subregulation:</w:t>
      </w:r>
    </w:p>
    <w:p>
      <w:pPr>
        <w:pStyle w:val="PermNoteText"/>
      </w:pPr>
      <w:r>
        <w:tab/>
      </w:r>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keepNext/>
      </w:pPr>
      <w:r>
        <w:lastRenderedPageBreak/>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22" w:name="_Toc106263428"/>
      <w:r>
        <w:rPr>
          <w:rStyle w:val="CharSectno"/>
        </w:rPr>
        <w:t>14</w:t>
      </w:r>
      <w:r>
        <w:t>.</w:t>
      </w:r>
      <w:r>
        <w:tab/>
        <w:t>Fees and charges</w:t>
      </w:r>
      <w:bookmarkEnd w:id="22"/>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keepNext/>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lastRenderedPageBreak/>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4.1.2</w:t>
            </w:r>
          </w:p>
        </w:tc>
        <w:tc>
          <w:tcPr>
            <w:tcW w:w="3969" w:type="dxa"/>
          </w:tcPr>
          <w:p>
            <w:pPr>
              <w:pStyle w:val="TableNAm"/>
              <w:spacing w:before="60"/>
            </w:pPr>
            <w:r>
              <w:t>Notice of tariffs</w:t>
            </w:r>
          </w:p>
        </w:tc>
      </w:tr>
      <w:tr>
        <w:tc>
          <w:tcPr>
            <w:tcW w:w="2268" w:type="dxa"/>
            <w:tcBorders>
              <w:bottom w:val="single" w:sz="4" w:space="0" w:color="auto"/>
            </w:tcBorders>
          </w:tcPr>
          <w:p>
            <w:pPr>
              <w:pStyle w:val="TableNAm"/>
              <w:spacing w:before="60"/>
            </w:pPr>
            <w:r>
              <w:t>clause 4.1.3</w:t>
            </w:r>
          </w:p>
        </w:tc>
        <w:tc>
          <w:tcPr>
            <w:tcW w:w="3969" w:type="dxa"/>
            <w:tcBorders>
              <w:bottom w:val="single" w:sz="4" w:space="0" w:color="auto"/>
            </w:tcBorders>
          </w:tcPr>
          <w:p>
            <w:pPr>
              <w:pStyle w:val="TableNAm"/>
              <w:spacing w:before="60"/>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23" w:name="_Toc106263429"/>
      <w:r>
        <w:rPr>
          <w:rStyle w:val="CharSectno"/>
        </w:rPr>
        <w:t>15</w:t>
      </w:r>
      <w:r>
        <w:t>.</w:t>
      </w:r>
      <w:r>
        <w:tab/>
        <w:t>Billing</w:t>
      </w:r>
      <w:bookmarkEnd w:id="23"/>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4.2.1</w:t>
            </w:r>
          </w:p>
        </w:tc>
        <w:tc>
          <w:tcPr>
            <w:tcW w:w="3969" w:type="dxa"/>
          </w:tcPr>
          <w:p>
            <w:pPr>
              <w:pStyle w:val="TableNAm"/>
              <w:spacing w:before="60"/>
            </w:pPr>
            <w:r>
              <w:t>When bills are issued</w:t>
            </w:r>
          </w:p>
        </w:tc>
      </w:tr>
      <w:tr>
        <w:tc>
          <w:tcPr>
            <w:tcW w:w="2268" w:type="dxa"/>
          </w:tcPr>
          <w:p>
            <w:pPr>
              <w:pStyle w:val="TableNAm"/>
              <w:spacing w:before="60"/>
            </w:pPr>
            <w:r>
              <w:t>clause 4.2.3</w:t>
            </w:r>
          </w:p>
        </w:tc>
        <w:tc>
          <w:tcPr>
            <w:tcW w:w="3969" w:type="dxa"/>
          </w:tcPr>
          <w:p>
            <w:pPr>
              <w:pStyle w:val="TableNAm"/>
              <w:spacing w:before="60"/>
            </w:pPr>
            <w:r>
              <w:t>Contents of a bill</w:t>
            </w:r>
          </w:p>
        </w:tc>
      </w:tr>
      <w:tr>
        <w:tc>
          <w:tcPr>
            <w:tcW w:w="2268" w:type="dxa"/>
          </w:tcPr>
          <w:p>
            <w:pPr>
              <w:pStyle w:val="TableNAm"/>
              <w:spacing w:before="60"/>
            </w:pPr>
            <w:r>
              <w:t>clause 4.2.4</w:t>
            </w:r>
          </w:p>
        </w:tc>
        <w:tc>
          <w:tcPr>
            <w:tcW w:w="3969" w:type="dxa"/>
          </w:tcPr>
          <w:p>
            <w:pPr>
              <w:pStyle w:val="TableNAm"/>
              <w:spacing w:before="60"/>
            </w:pPr>
            <w:r>
              <w:t>The basis of a bill</w:t>
            </w:r>
          </w:p>
        </w:tc>
      </w:tr>
      <w:tr>
        <w:tc>
          <w:tcPr>
            <w:tcW w:w="2268" w:type="dxa"/>
          </w:tcPr>
          <w:p>
            <w:pPr>
              <w:pStyle w:val="TableNAm"/>
              <w:spacing w:before="60"/>
            </w:pPr>
            <w:r>
              <w:t>clause 4.2.10</w:t>
            </w:r>
          </w:p>
        </w:tc>
        <w:tc>
          <w:tcPr>
            <w:tcW w:w="3969" w:type="dxa"/>
          </w:tcPr>
          <w:p>
            <w:pPr>
              <w:pStyle w:val="TableNAm"/>
              <w:spacing w:before="60"/>
            </w:pPr>
            <w:r>
              <w:t>Calculation of consumption</w:t>
            </w:r>
          </w:p>
        </w:tc>
      </w:tr>
      <w:tr>
        <w:tc>
          <w:tcPr>
            <w:tcW w:w="2268" w:type="dxa"/>
            <w:tcBorders>
              <w:bottom w:val="single" w:sz="4" w:space="0" w:color="auto"/>
            </w:tcBorders>
          </w:tcPr>
          <w:p>
            <w:pPr>
              <w:pStyle w:val="TableNAm"/>
              <w:spacing w:before="60"/>
            </w:pPr>
            <w:r>
              <w:t>clause 4.3.2</w:t>
            </w:r>
          </w:p>
        </w:tc>
        <w:tc>
          <w:tcPr>
            <w:tcW w:w="3969" w:type="dxa"/>
            <w:tcBorders>
              <w:bottom w:val="single" w:sz="4" w:space="0" w:color="auto"/>
            </w:tcBorders>
          </w:tcPr>
          <w:p>
            <w:pPr>
              <w:pStyle w:val="TableNAm"/>
              <w:spacing w:before="60"/>
            </w:pPr>
            <w:r>
              <w:t>Methods of making payment</w:t>
            </w:r>
          </w:p>
        </w:tc>
      </w:tr>
    </w:tbl>
    <w:p>
      <w:pPr>
        <w:pStyle w:val="Subsection"/>
        <w:keepNext/>
        <w:keepLines/>
      </w:pPr>
      <w:r>
        <w:lastRenderedPageBreak/>
        <w:tab/>
        <w:t>(2)</w:t>
      </w:r>
      <w:r>
        <w:tab/>
        <w:t xml:space="preserve">For the purposes of subregulation (1), clause 4.2.3.2 of the AGA Code is to be read as if — </w:t>
      </w:r>
    </w:p>
    <w:p>
      <w:pPr>
        <w:pStyle w:val="Indenta"/>
        <w:keepNext/>
        <w:keepLines/>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24" w:name="_Toc106263430"/>
      <w:r>
        <w:rPr>
          <w:rStyle w:val="CharSectno"/>
        </w:rPr>
        <w:lastRenderedPageBreak/>
        <w:t>16</w:t>
      </w:r>
      <w:r>
        <w:t>.</w:t>
      </w:r>
      <w:r>
        <w:tab/>
        <w:t>Termination</w:t>
      </w:r>
      <w:bookmarkEnd w:id="24"/>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 xml:space="preserve">in the case of termination because the customer has entered into a customer contract with another retail </w:t>
      </w:r>
      <w:r>
        <w:lastRenderedPageBreak/>
        <w:t>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 16 amended: Gazette 13 May 2005 p. 2074.]</w:t>
      </w:r>
    </w:p>
    <w:p>
      <w:pPr>
        <w:pStyle w:val="Heading5"/>
      </w:pPr>
      <w:bookmarkStart w:id="25" w:name="_Toc106263431"/>
      <w:r>
        <w:rPr>
          <w:rStyle w:val="CharSectno"/>
        </w:rPr>
        <w:t>17</w:t>
      </w:r>
      <w:r>
        <w:t>.</w:t>
      </w:r>
      <w:r>
        <w:tab/>
        <w:t>Amendment of contract</w:t>
      </w:r>
      <w:bookmarkEnd w:id="25"/>
    </w:p>
    <w:p>
      <w:pPr>
        <w:pStyle w:val="Subsection"/>
      </w:pPr>
      <w:r>
        <w:tab/>
        <w:t>(1)</w:t>
      </w:r>
      <w:r>
        <w:tab/>
        <w:t>A customer contract must inform the customer that the provisions of the contract may be amended without the customer’s consent.</w:t>
      </w:r>
    </w:p>
    <w:p>
      <w:pPr>
        <w:pStyle w:val="Subsection"/>
      </w:pPr>
      <w:r>
        <w:lastRenderedPageBreak/>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26" w:name="_Toc106263432"/>
      <w:r>
        <w:rPr>
          <w:rStyle w:val="CharSectno"/>
        </w:rPr>
        <w:t>18</w:t>
      </w:r>
      <w:r>
        <w:t>.</w:t>
      </w:r>
      <w:r>
        <w:tab/>
        <w:t>Assignment</w:t>
      </w:r>
      <w:bookmarkEnd w:id="26"/>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27" w:name="_Toc106263433"/>
      <w:r>
        <w:rPr>
          <w:rStyle w:val="CharSectno"/>
        </w:rPr>
        <w:t>19</w:t>
      </w:r>
      <w:r>
        <w:t>.</w:t>
      </w:r>
      <w:r>
        <w:tab/>
        <w:t>Information</w:t>
      </w:r>
      <w:bookmarkEnd w:id="27"/>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PermNoteHeading"/>
      </w:pPr>
      <w:r>
        <w:lastRenderedPageBreak/>
        <w:tab/>
        <w:t>Notes for this regulation:</w:t>
      </w:r>
    </w:p>
    <w:p>
      <w:pPr>
        <w:pStyle w:val="PermNoteText"/>
      </w:pPr>
      <w:r>
        <w:tab/>
        <w:t>1.</w:t>
      </w:r>
      <w:r>
        <w:tab/>
        <w:t>Regulation 45 sets out standards of service to be met by a retail supplier in relation to providing copies of its customer service charter.</w:t>
      </w:r>
    </w:p>
    <w:p>
      <w:pPr>
        <w:pStyle w:val="PermNoteText"/>
      </w:pPr>
      <w:r>
        <w:tab/>
        <w:t>2.</w:t>
      </w:r>
      <w:r>
        <w:tab/>
        <w:t>Regulation 46 sets out standards of service to be met by a retail supplier in relation to providing copies of these regulations or a relevant code.</w:t>
      </w:r>
    </w:p>
    <w:p>
      <w:pPr>
        <w:pStyle w:val="PermNoteText"/>
      </w:pPr>
      <w:r>
        <w:tab/>
        <w:t>3.</w:t>
      </w:r>
      <w:r>
        <w:tab/>
        <w:t>Regulation 47 sets out standards of service to be met by a retail supplier in relation to the provision of billing data.</w:t>
      </w:r>
    </w:p>
    <w:p>
      <w:pPr>
        <w:pStyle w:val="Heading5"/>
      </w:pPr>
      <w:bookmarkStart w:id="28" w:name="_Toc106263434"/>
      <w:r>
        <w:rPr>
          <w:rStyle w:val="CharSectno"/>
        </w:rPr>
        <w:t>20</w:t>
      </w:r>
      <w:r>
        <w:t>.</w:t>
      </w:r>
      <w:r>
        <w:tab/>
        <w:t>Payment difficulties and debt recovery</w:t>
      </w:r>
      <w:bookmarkEnd w:id="28"/>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PermNoteHeading"/>
      </w:pPr>
      <w:r>
        <w:tab/>
        <w:t>Notes for this regulation:</w:t>
      </w:r>
    </w:p>
    <w:p>
      <w:pPr>
        <w:pStyle w:val="PermNoteText"/>
      </w:pPr>
      <w:r>
        <w:tab/>
        <w:t>1.</w:t>
      </w:r>
      <w:r>
        <w:tab/>
        <w:t>Clause 4.3.5.1 of the AGA Code sets out options to be offered to the customer by the retail supplier if the customer is experiencing payment difficulties.</w:t>
      </w:r>
    </w:p>
    <w:p>
      <w:pPr>
        <w:pStyle w:val="PermNoteText"/>
      </w:pPr>
      <w:r>
        <w:tab/>
        <w:t>2.</w:t>
      </w:r>
      <w:r>
        <w:tab/>
        <w:t>Regulation 48 sets out standards of service to be met by a retail supplier in relation to debt collection.</w:t>
      </w:r>
    </w:p>
    <w:p>
      <w:pPr>
        <w:pStyle w:val="Heading5"/>
      </w:pPr>
      <w:bookmarkStart w:id="29" w:name="_Toc106263435"/>
      <w:r>
        <w:rPr>
          <w:rStyle w:val="CharSectno"/>
        </w:rPr>
        <w:t>21</w:t>
      </w:r>
      <w:r>
        <w:t>.</w:t>
      </w:r>
      <w:r>
        <w:tab/>
        <w:t>Dispute resolution</w:t>
      </w:r>
      <w:bookmarkEnd w:id="29"/>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2.5.1</w:t>
            </w:r>
          </w:p>
        </w:tc>
        <w:tc>
          <w:tcPr>
            <w:tcW w:w="3969" w:type="dxa"/>
          </w:tcPr>
          <w:p>
            <w:pPr>
              <w:pStyle w:val="TableNAm"/>
              <w:spacing w:before="60"/>
            </w:pPr>
            <w:r>
              <w:t>Obligations on a supplier</w:t>
            </w:r>
          </w:p>
        </w:tc>
      </w:tr>
      <w:tr>
        <w:tc>
          <w:tcPr>
            <w:tcW w:w="2268" w:type="dxa"/>
            <w:tcBorders>
              <w:bottom w:val="single" w:sz="4" w:space="0" w:color="auto"/>
            </w:tcBorders>
          </w:tcPr>
          <w:p>
            <w:pPr>
              <w:pStyle w:val="TableNAm"/>
              <w:spacing w:before="60"/>
            </w:pPr>
            <w:r>
              <w:t>clause 2.5.2</w:t>
            </w:r>
          </w:p>
        </w:tc>
        <w:tc>
          <w:tcPr>
            <w:tcW w:w="3969" w:type="dxa"/>
            <w:tcBorders>
              <w:bottom w:val="single" w:sz="4" w:space="0" w:color="auto"/>
            </w:tcBorders>
          </w:tcPr>
          <w:p>
            <w:pPr>
              <w:pStyle w:val="TableNAm"/>
              <w:spacing w:before="60"/>
            </w:pPr>
            <w:r>
              <w:t>Rights of a customer</w:t>
            </w:r>
          </w:p>
        </w:tc>
      </w:tr>
    </w:tbl>
    <w:p>
      <w:pPr>
        <w:pStyle w:val="Subsection"/>
        <w:keepNext/>
        <w:keepLines/>
      </w:pPr>
      <w:r>
        <w:lastRenderedPageBreak/>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30" w:name="_Toc106263436"/>
      <w:r>
        <w:rPr>
          <w:rStyle w:val="CharSectno"/>
        </w:rPr>
        <w:t>22</w:t>
      </w:r>
      <w:r>
        <w:t>.</w:t>
      </w:r>
      <w:r>
        <w:tab/>
        <w:t>Confidentiality</w:t>
      </w:r>
      <w:bookmarkEnd w:id="30"/>
    </w:p>
    <w:p>
      <w:pPr>
        <w:pStyle w:val="Subsection"/>
        <w:spacing w:before="120"/>
      </w:pPr>
      <w:r>
        <w:tab/>
      </w:r>
      <w:r>
        <w:tab/>
        <w:t>A customer contract must specify the steps that are to be taken by the retail supplier to ensure that information held by the retail supplier about the customer is dealt with in a confidential manner.</w:t>
      </w:r>
    </w:p>
    <w:p>
      <w:pPr>
        <w:pStyle w:val="PermNoteHeading"/>
      </w:pPr>
      <w:r>
        <w:tab/>
        <w:t>Note for this regulation:</w:t>
      </w:r>
    </w:p>
    <w:p>
      <w:pPr>
        <w:pStyle w:val="PermNoteText"/>
      </w:pPr>
      <w:r>
        <w:tab/>
      </w:r>
      <w:r>
        <w:tab/>
        <w:t>Regulation 49 sets out standards of service to be met by a retail supplier in relation to dealing with information about a customer’s failure to pay a bill.</w:t>
      </w:r>
    </w:p>
    <w:p>
      <w:pPr>
        <w:pStyle w:val="Heading5"/>
      </w:pPr>
      <w:bookmarkStart w:id="31" w:name="_Toc106263437"/>
      <w:r>
        <w:rPr>
          <w:rStyle w:val="CharSectno"/>
        </w:rPr>
        <w:t>23</w:t>
      </w:r>
      <w:r>
        <w:t>.</w:t>
      </w:r>
      <w:r>
        <w:tab/>
        <w:t>Miscellaneous provisions</w:t>
      </w:r>
      <w:bookmarkEnd w:id="31"/>
    </w:p>
    <w:p>
      <w:pPr>
        <w:pStyle w:val="Subsection"/>
        <w:spacing w:before="120"/>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32" w:name="_Toc106263438"/>
      <w:r>
        <w:rPr>
          <w:rStyle w:val="CharSectno"/>
        </w:rPr>
        <w:t>24</w:t>
      </w:r>
      <w:r>
        <w:t>.</w:t>
      </w:r>
      <w:r>
        <w:tab/>
        <w:t>Compliance with standards of service</w:t>
      </w:r>
      <w:bookmarkEnd w:id="32"/>
    </w:p>
    <w:p>
      <w:pPr>
        <w:pStyle w:val="Subsection"/>
        <w:spacing w:before="120"/>
      </w:pPr>
      <w:r>
        <w:tab/>
      </w:r>
      <w:r>
        <w:tab/>
        <w:t>A customer contract must require the retail supplier to comply with the standards of service set out in Part 5.</w:t>
      </w:r>
    </w:p>
    <w:p>
      <w:pPr>
        <w:pStyle w:val="Heading5"/>
        <w:keepNext w:val="0"/>
      </w:pPr>
      <w:bookmarkStart w:id="33" w:name="_Toc106263439"/>
      <w:r>
        <w:rPr>
          <w:rStyle w:val="CharSectno"/>
        </w:rPr>
        <w:t>25</w:t>
      </w:r>
      <w:r>
        <w:t>.</w:t>
      </w:r>
      <w:r>
        <w:tab/>
        <w:t>No contracting out of Code of Conduct</w:t>
      </w:r>
      <w:bookmarkEnd w:id="33"/>
    </w:p>
    <w:p>
      <w:pPr>
        <w:pStyle w:val="Subsection"/>
      </w:pPr>
      <w:r>
        <w:lastRenderedPageBreak/>
        <w:tab/>
        <w:t>(1)</w:t>
      </w:r>
      <w:r>
        <w:tab/>
        <w:t>A customer contract must not include a provision that purports to exclude, restrict or modify the effect of the Code of Conduct.</w:t>
      </w:r>
    </w:p>
    <w:p>
      <w:pPr>
        <w:pStyle w:val="Subsection"/>
        <w:keepNext/>
        <w:keepLines/>
      </w:pPr>
      <w:r>
        <w:tab/>
        <w:t>(2)</w:t>
      </w:r>
      <w:r>
        <w:tab/>
        <w:t>A provision of the kind described in subregulation (1) is of no effect.</w:t>
      </w:r>
    </w:p>
    <w:p>
      <w:pPr>
        <w:pStyle w:val="Heading5"/>
        <w:spacing w:before="180"/>
      </w:pPr>
      <w:bookmarkStart w:id="34" w:name="_Toc106263440"/>
      <w:r>
        <w:rPr>
          <w:rStyle w:val="CharSectno"/>
        </w:rPr>
        <w:t>25A</w:t>
      </w:r>
      <w:r>
        <w:t>.</w:t>
      </w:r>
      <w:r>
        <w:tab/>
        <w:t>Effect of last resort supply arrangements</w:t>
      </w:r>
      <w:bookmarkEnd w:id="34"/>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p>
    <w:p>
      <w:pPr>
        <w:pStyle w:val="Subsection"/>
      </w:pPr>
      <w:r>
        <w:tab/>
      </w:r>
      <w:r>
        <w:tab/>
        <w:t xml:space="preserve">until the day fixed under section 60(4)(b) of the </w:t>
      </w:r>
      <w:r>
        <w:rPr>
          <w:i/>
          <w:iCs/>
        </w:rPr>
        <w:t>Energy Legislation Amendment Act 2003</w:t>
      </w:r>
      <w:r>
        <w:t>.</w:t>
      </w:r>
    </w:p>
    <w:p>
      <w:pPr>
        <w:pStyle w:val="Footnotesection"/>
      </w:pPr>
      <w:r>
        <w:tab/>
        <w:t>[Regulation 25A inserted: Gazette 13 May 2005 p. 2074</w:t>
      </w:r>
      <w:r>
        <w:noBreakHyphen/>
        <w:t>5.]</w:t>
      </w:r>
    </w:p>
    <w:p>
      <w:pPr>
        <w:pStyle w:val="Heading5"/>
      </w:pPr>
      <w:bookmarkStart w:id="35" w:name="_Toc106263441"/>
      <w:r>
        <w:rPr>
          <w:rStyle w:val="CharSectno"/>
        </w:rPr>
        <w:lastRenderedPageBreak/>
        <w:t>25B</w:t>
      </w:r>
      <w:r>
        <w:t>.</w:t>
      </w:r>
      <w:r>
        <w:tab/>
        <w:t>Heating value for determining charges for supply of gas</w:t>
      </w:r>
      <w:bookmarkEnd w:id="35"/>
    </w:p>
    <w:p>
      <w:pPr>
        <w:pStyle w:val="Subsection"/>
      </w:pPr>
      <w:r>
        <w:tab/>
        <w:t>(1)</w:t>
      </w:r>
      <w:r>
        <w:tab/>
        <w:t xml:space="preserve">In subregulation (2) — </w:t>
      </w:r>
    </w:p>
    <w:p>
      <w:pPr>
        <w:pStyle w:val="Defstart"/>
      </w:pPr>
      <w:r>
        <w:tab/>
      </w:r>
      <w:r>
        <w:rPr>
          <w:rStyle w:val="CharDefText"/>
        </w:rPr>
        <w:t xml:space="preserve">determined heating value </w:t>
      </w:r>
      <w:r>
        <w:t>and</w:t>
      </w:r>
      <w:r>
        <w:rPr>
          <w:rStyle w:val="CharDefText"/>
        </w:rPr>
        <w:t xml:space="preserve"> 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 25B inserted: Gazette 27 Jan 2009 p. 178</w:t>
      </w:r>
      <w:r>
        <w:noBreakHyphen/>
        <w:t>9.]</w:t>
      </w:r>
    </w:p>
    <w:p>
      <w:pPr>
        <w:pStyle w:val="Heading2"/>
      </w:pPr>
      <w:bookmarkStart w:id="36" w:name="_Toc106198565"/>
      <w:bookmarkStart w:id="37" w:name="_Toc106198803"/>
      <w:bookmarkStart w:id="38" w:name="_Toc106263442"/>
      <w:r>
        <w:rPr>
          <w:rStyle w:val="CharPartNo"/>
        </w:rPr>
        <w:lastRenderedPageBreak/>
        <w:t>Part 3</w:t>
      </w:r>
      <w:r>
        <w:rPr>
          <w:rStyle w:val="CharDivNo"/>
        </w:rPr>
        <w:t> </w:t>
      </w:r>
      <w:r>
        <w:t>—</w:t>
      </w:r>
      <w:r>
        <w:rPr>
          <w:rStyle w:val="CharDivText"/>
        </w:rPr>
        <w:t> </w:t>
      </w:r>
      <w:r>
        <w:rPr>
          <w:rStyle w:val="CharPartText"/>
        </w:rPr>
        <w:t>Specific requirements for standard form contracts</w:t>
      </w:r>
      <w:bookmarkEnd w:id="36"/>
      <w:bookmarkEnd w:id="37"/>
      <w:bookmarkEnd w:id="38"/>
    </w:p>
    <w:p>
      <w:pPr>
        <w:pStyle w:val="Heading5"/>
      </w:pPr>
      <w:bookmarkStart w:id="39" w:name="_Toc106263443"/>
      <w:r>
        <w:rPr>
          <w:rStyle w:val="CharSectno"/>
        </w:rPr>
        <w:t>26</w:t>
      </w:r>
      <w:r>
        <w:t>.</w:t>
      </w:r>
      <w:r>
        <w:tab/>
        <w:t>Period for which contract has effect</w:t>
      </w:r>
      <w:bookmarkEnd w:id="39"/>
    </w:p>
    <w:p>
      <w:pPr>
        <w:pStyle w:val="Subsection"/>
      </w:pPr>
      <w:r>
        <w:tab/>
      </w:r>
      <w:r>
        <w:tab/>
        <w:t>A standard form contract must be expressed to have effect for a definite period.</w:t>
      </w:r>
    </w:p>
    <w:p>
      <w:pPr>
        <w:pStyle w:val="Heading5"/>
      </w:pPr>
      <w:bookmarkStart w:id="40" w:name="_Toc106263444"/>
      <w:r>
        <w:rPr>
          <w:rStyle w:val="CharSectno"/>
        </w:rPr>
        <w:t>27</w:t>
      </w:r>
      <w:r>
        <w:t>.</w:t>
      </w:r>
      <w:r>
        <w:tab/>
        <w:t>Cooling</w:t>
      </w:r>
      <w:r>
        <w:noBreakHyphen/>
        <w:t>off period for door to door contracts</w:t>
      </w:r>
      <w:bookmarkEnd w:id="40"/>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 xml:space="preserve">For the purposes of the definition of </w:t>
      </w:r>
      <w:r>
        <w:rPr>
          <w:b/>
          <w:bCs/>
          <w:i/>
          <w:iCs/>
        </w:rPr>
        <w:t>door to door contract</w:t>
      </w:r>
      <w:r>
        <w:t xml:space="preserve">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41" w:name="_Toc106263445"/>
      <w:r>
        <w:rPr>
          <w:rStyle w:val="CharSectno"/>
        </w:rPr>
        <w:lastRenderedPageBreak/>
        <w:t>28</w:t>
      </w:r>
      <w:r>
        <w:t>.</w:t>
      </w:r>
      <w:r>
        <w:tab/>
        <w:t>Retail supplier’s obligations in relation to supply</w:t>
      </w:r>
      <w:bookmarkEnd w:id="41"/>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3.1.1</w:t>
            </w:r>
          </w:p>
        </w:tc>
        <w:tc>
          <w:tcPr>
            <w:tcW w:w="3969" w:type="dxa"/>
          </w:tcPr>
          <w:p>
            <w:pPr>
              <w:pStyle w:val="TableNAm"/>
              <w:spacing w:before="60"/>
            </w:pPr>
            <w:r>
              <w:t>Supply and metering equipment</w:t>
            </w:r>
          </w:p>
        </w:tc>
      </w:tr>
      <w:tr>
        <w:tc>
          <w:tcPr>
            <w:tcW w:w="2268" w:type="dxa"/>
          </w:tcPr>
          <w:p>
            <w:pPr>
              <w:pStyle w:val="TableNAm"/>
              <w:spacing w:before="60"/>
            </w:pPr>
            <w:r>
              <w:t>clause 3.1.2</w:t>
            </w:r>
          </w:p>
        </w:tc>
        <w:tc>
          <w:tcPr>
            <w:tcW w:w="3969" w:type="dxa"/>
          </w:tcPr>
          <w:p>
            <w:pPr>
              <w:pStyle w:val="TableNAm"/>
              <w:spacing w:before="60"/>
            </w:pPr>
            <w:r>
              <w:t>Existing connections</w:t>
            </w:r>
          </w:p>
        </w:tc>
      </w:tr>
      <w:tr>
        <w:tc>
          <w:tcPr>
            <w:tcW w:w="2268" w:type="dxa"/>
            <w:tcBorders>
              <w:bottom w:val="single" w:sz="4" w:space="0" w:color="auto"/>
            </w:tcBorders>
          </w:tcPr>
          <w:p>
            <w:pPr>
              <w:pStyle w:val="TableNAm"/>
              <w:spacing w:before="60"/>
            </w:pPr>
            <w:r>
              <w:t>clause 3.1.3</w:t>
            </w:r>
          </w:p>
        </w:tc>
        <w:tc>
          <w:tcPr>
            <w:tcW w:w="3969" w:type="dxa"/>
            <w:tcBorders>
              <w:bottom w:val="single" w:sz="4" w:space="0" w:color="auto"/>
            </w:tcBorders>
          </w:tcPr>
          <w:p>
            <w:pPr>
              <w:pStyle w:val="TableNAm"/>
              <w:spacing w:before="60"/>
            </w:pPr>
            <w:r>
              <w:t>New connections</w:t>
            </w:r>
          </w:p>
        </w:tc>
      </w:tr>
    </w:tbl>
    <w:p>
      <w:pPr>
        <w:pStyle w:val="Heading5"/>
      </w:pPr>
      <w:bookmarkStart w:id="42" w:name="_Toc106263446"/>
      <w:r>
        <w:rPr>
          <w:rStyle w:val="CharSectno"/>
        </w:rPr>
        <w:t>29</w:t>
      </w:r>
      <w:r>
        <w:t>.</w:t>
      </w:r>
      <w:r>
        <w:tab/>
        <w:t>Customer’s obligation to pay for gas</w:t>
      </w:r>
      <w:bookmarkEnd w:id="42"/>
    </w:p>
    <w:p>
      <w:pPr>
        <w:pStyle w:val="Subsection"/>
      </w:pPr>
      <w:r>
        <w:tab/>
      </w:r>
      <w:r>
        <w:tab/>
        <w:t>A standard form contract must require the customer to pay for gas supplied under the contract.</w:t>
      </w:r>
    </w:p>
    <w:p>
      <w:pPr>
        <w:pStyle w:val="Heading5"/>
      </w:pPr>
      <w:bookmarkStart w:id="43" w:name="_Toc106263447"/>
      <w:r>
        <w:rPr>
          <w:rStyle w:val="CharSectno"/>
        </w:rPr>
        <w:t>30</w:t>
      </w:r>
      <w:r>
        <w:t>.</w:t>
      </w:r>
      <w:r>
        <w:tab/>
        <w:t>Termination of contract by customer</w:t>
      </w:r>
      <w:bookmarkEnd w:id="43"/>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44" w:name="_Toc106263448"/>
      <w:r>
        <w:rPr>
          <w:rStyle w:val="CharSectno"/>
        </w:rPr>
        <w:t>31</w:t>
      </w:r>
      <w:r>
        <w:t>.</w:t>
      </w:r>
      <w:r>
        <w:tab/>
        <w:t>Equipment ownership and responsibility</w:t>
      </w:r>
      <w:bookmarkEnd w:id="44"/>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45" w:name="_Toc106263449"/>
      <w:r>
        <w:rPr>
          <w:rStyle w:val="CharSectno"/>
        </w:rPr>
        <w:t>32</w:t>
      </w:r>
      <w:r>
        <w:t>.</w:t>
      </w:r>
      <w:r>
        <w:tab/>
        <w:t>Meter testing</w:t>
      </w:r>
      <w:bookmarkEnd w:id="45"/>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lastRenderedPageBreak/>
        <w:tab/>
        <w:t>(b)</w:t>
      </w:r>
      <w:r>
        <w:tab/>
        <w:t>of the circumstances in which the customer is required to pay a fee for the test.</w:t>
      </w:r>
    </w:p>
    <w:p>
      <w:pPr>
        <w:pStyle w:val="Heading5"/>
      </w:pPr>
      <w:bookmarkStart w:id="46" w:name="_Toc106263450"/>
      <w:r>
        <w:rPr>
          <w:rStyle w:val="CharSectno"/>
        </w:rPr>
        <w:t>33</w:t>
      </w:r>
      <w:r>
        <w:t>.</w:t>
      </w:r>
      <w:r>
        <w:tab/>
        <w:t>Access to supply address</w:t>
      </w:r>
      <w:bookmarkEnd w:id="46"/>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PermNoteHeading"/>
      </w:pPr>
      <w:r>
        <w:tab/>
        <w:t>Note for this regulation:</w:t>
      </w:r>
    </w:p>
    <w:p>
      <w:pPr>
        <w:pStyle w:val="PermNoteText"/>
      </w:pPr>
      <w:r>
        <w:tab/>
      </w:r>
      <w:r>
        <w:tab/>
        <w:t>Clause 3.5.2 of the AGA Code sets out notice and identification requirements to be observed when access to a supply address is sought.</w:t>
      </w:r>
    </w:p>
    <w:p>
      <w:pPr>
        <w:pStyle w:val="Heading5"/>
      </w:pPr>
      <w:bookmarkStart w:id="47" w:name="_Toc106263451"/>
      <w:r>
        <w:rPr>
          <w:rStyle w:val="CharSectno"/>
        </w:rPr>
        <w:t>34</w:t>
      </w:r>
      <w:r>
        <w:t>.</w:t>
      </w:r>
      <w:r>
        <w:tab/>
        <w:t>Customer entering supply address</w:t>
      </w:r>
      <w:bookmarkEnd w:id="47"/>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48" w:name="_Toc106263452"/>
      <w:r>
        <w:rPr>
          <w:rStyle w:val="CharSectno"/>
        </w:rPr>
        <w:t>35</w:t>
      </w:r>
      <w:r>
        <w:t>.</w:t>
      </w:r>
      <w:r>
        <w:tab/>
        <w:t>Customer leaving supply address</w:t>
      </w:r>
      <w:bookmarkEnd w:id="48"/>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keepLines/>
      </w:pPr>
      <w:r>
        <w:lastRenderedPageBreak/>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49" w:name="_Toc106263453"/>
      <w:r>
        <w:rPr>
          <w:rStyle w:val="CharSectno"/>
        </w:rPr>
        <w:t>36</w:t>
      </w:r>
      <w:r>
        <w:t>.</w:t>
      </w:r>
      <w:r>
        <w:tab/>
        <w:t>Matters beyond the control of customer or retail supplier</w:t>
      </w:r>
      <w:bookmarkEnd w:id="49"/>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50" w:name="_Toc106263454"/>
      <w:r>
        <w:rPr>
          <w:rStyle w:val="CharSectno"/>
        </w:rPr>
        <w:t>37</w:t>
      </w:r>
      <w:r>
        <w:t>.</w:t>
      </w:r>
      <w:r>
        <w:tab/>
        <w:t>Refundable advances</w:t>
      </w:r>
      <w:bookmarkEnd w:id="50"/>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51" w:name="_Toc106263455"/>
      <w:r>
        <w:rPr>
          <w:rStyle w:val="CharSectno"/>
        </w:rPr>
        <w:lastRenderedPageBreak/>
        <w:t>38</w:t>
      </w:r>
      <w:r>
        <w:t>.</w:t>
      </w:r>
      <w:r>
        <w:tab/>
        <w:t>Supply charges</w:t>
      </w:r>
      <w:bookmarkEnd w:id="51"/>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52" w:name="_Toc106263456"/>
      <w:r>
        <w:rPr>
          <w:rStyle w:val="CharSectno"/>
        </w:rPr>
        <w:t>38A</w:t>
      </w:r>
      <w:r>
        <w:t>.</w:t>
      </w:r>
      <w:r>
        <w:tab/>
        <w:t>Provisions relating to last resort supply</w:t>
      </w:r>
      <w:bookmarkEnd w:id="52"/>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lastRenderedPageBreak/>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 Gazette 13 May 2005 p. 2075</w:t>
      </w:r>
      <w:r>
        <w:noBreakHyphen/>
        <w:t>6.]</w:t>
      </w:r>
    </w:p>
    <w:p>
      <w:pPr>
        <w:pStyle w:val="Heading2"/>
      </w:pPr>
      <w:bookmarkStart w:id="53" w:name="_Toc106198580"/>
      <w:bookmarkStart w:id="54" w:name="_Toc106198818"/>
      <w:bookmarkStart w:id="55" w:name="_Toc106263457"/>
      <w:r>
        <w:rPr>
          <w:rStyle w:val="CharPartNo"/>
        </w:rPr>
        <w:lastRenderedPageBreak/>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53"/>
      <w:bookmarkEnd w:id="54"/>
      <w:bookmarkEnd w:id="55"/>
    </w:p>
    <w:p>
      <w:pPr>
        <w:pStyle w:val="Heading5"/>
      </w:pPr>
      <w:bookmarkStart w:id="56" w:name="_Toc106263458"/>
      <w:r>
        <w:rPr>
          <w:rStyle w:val="CharSectno"/>
        </w:rPr>
        <w:t>39</w:t>
      </w:r>
      <w:r>
        <w:t>.</w:t>
      </w:r>
      <w:r>
        <w:tab/>
        <w:t>Period for which contract has effect</w:t>
      </w:r>
      <w:bookmarkEnd w:id="56"/>
    </w:p>
    <w:p>
      <w:pPr>
        <w:pStyle w:val="Subsection"/>
      </w:pPr>
      <w:r>
        <w:tab/>
      </w:r>
      <w:r>
        <w:tab/>
        <w:t>A non</w:t>
      </w:r>
      <w:r>
        <w:noBreakHyphen/>
        <w:t>standard contract may be expressed to have effect for a definite period or an indefinite period.</w:t>
      </w:r>
    </w:p>
    <w:p>
      <w:pPr>
        <w:pStyle w:val="Heading5"/>
      </w:pPr>
      <w:bookmarkStart w:id="57" w:name="_Toc106263459"/>
      <w:r>
        <w:rPr>
          <w:rStyle w:val="CharSectno"/>
        </w:rPr>
        <w:t>40</w:t>
      </w:r>
      <w:r>
        <w:t>.</w:t>
      </w:r>
      <w:r>
        <w:tab/>
        <w:t>Cooling</w:t>
      </w:r>
      <w:r>
        <w:noBreakHyphen/>
        <w:t>off period for non</w:t>
      </w:r>
      <w:r>
        <w:noBreakHyphen/>
        <w:t>standard contracts</w:t>
      </w:r>
      <w:bookmarkEnd w:id="57"/>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58" w:name="_Toc106263460"/>
      <w:r>
        <w:rPr>
          <w:rStyle w:val="CharSectno"/>
        </w:rPr>
        <w:t>41</w:t>
      </w:r>
      <w:r>
        <w:t>.</w:t>
      </w:r>
      <w:r>
        <w:tab/>
        <w:t>Termination of contract by customer</w:t>
      </w:r>
      <w:bookmarkEnd w:id="58"/>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lastRenderedPageBreak/>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59" w:name="_Toc106263461"/>
      <w:r>
        <w:rPr>
          <w:rStyle w:val="CharSectno"/>
        </w:rPr>
        <w:t>42</w:t>
      </w:r>
      <w:r>
        <w:t>.</w:t>
      </w:r>
      <w:r>
        <w:tab/>
        <w:t>Amendment of contract</w:t>
      </w:r>
      <w:bookmarkEnd w:id="59"/>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60" w:name="_Toc106263462"/>
      <w:r>
        <w:rPr>
          <w:rStyle w:val="CharSectno"/>
        </w:rPr>
        <w:t>43</w:t>
      </w:r>
      <w:r>
        <w:t>.</w:t>
      </w:r>
      <w:r>
        <w:tab/>
        <w:t>Continuation of contract after expiry</w:t>
      </w:r>
      <w:bookmarkEnd w:id="60"/>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61" w:name="_Toc106263463"/>
      <w:r>
        <w:rPr>
          <w:rStyle w:val="CharSectno"/>
        </w:rPr>
        <w:t>44</w:t>
      </w:r>
      <w:r>
        <w:t>.</w:t>
      </w:r>
      <w:r>
        <w:tab/>
        <w:t>Information relating to expiry of fixed term contract</w:t>
      </w:r>
      <w:bookmarkEnd w:id="61"/>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lastRenderedPageBreak/>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62" w:name="_Toc106198587"/>
      <w:bookmarkStart w:id="63" w:name="_Toc106198825"/>
      <w:bookmarkStart w:id="64" w:name="_Toc106263464"/>
      <w:r>
        <w:rPr>
          <w:rStyle w:val="CharPartNo"/>
        </w:rPr>
        <w:lastRenderedPageBreak/>
        <w:t>Part 5</w:t>
      </w:r>
      <w:r>
        <w:rPr>
          <w:rStyle w:val="CharDivNo"/>
        </w:rPr>
        <w:t> </w:t>
      </w:r>
      <w:r>
        <w:t>—</w:t>
      </w:r>
      <w:r>
        <w:rPr>
          <w:rStyle w:val="CharDivText"/>
        </w:rPr>
        <w:t> </w:t>
      </w:r>
      <w:r>
        <w:rPr>
          <w:rStyle w:val="CharPartText"/>
        </w:rPr>
        <w:t>Standards of service</w:t>
      </w:r>
      <w:bookmarkEnd w:id="62"/>
      <w:bookmarkEnd w:id="63"/>
      <w:bookmarkEnd w:id="64"/>
    </w:p>
    <w:p>
      <w:pPr>
        <w:pStyle w:val="Heading5"/>
      </w:pPr>
      <w:bookmarkStart w:id="65" w:name="_Toc106263465"/>
      <w:r>
        <w:rPr>
          <w:rStyle w:val="CharSectno"/>
        </w:rPr>
        <w:t>45</w:t>
      </w:r>
      <w:r>
        <w:t>.</w:t>
      </w:r>
      <w:r>
        <w:tab/>
        <w:t>Customer to be provided with copy of customer service charter</w:t>
      </w:r>
      <w:bookmarkEnd w:id="65"/>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66" w:name="_Toc106263466"/>
      <w:r>
        <w:rPr>
          <w:rStyle w:val="CharSectno"/>
        </w:rPr>
        <w:t>46</w:t>
      </w:r>
      <w:r>
        <w:t>.</w:t>
      </w:r>
      <w:r>
        <w:tab/>
        <w:t>Customer to be provided with copy of regulations or relevant code</w:t>
      </w:r>
      <w:bookmarkEnd w:id="66"/>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67" w:name="_Toc106263467"/>
      <w:r>
        <w:rPr>
          <w:rStyle w:val="CharSectno"/>
        </w:rPr>
        <w:t>47</w:t>
      </w:r>
      <w:r>
        <w:t>.</w:t>
      </w:r>
      <w:r>
        <w:tab/>
        <w:t>Billing data</w:t>
      </w:r>
      <w:bookmarkEnd w:id="67"/>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lastRenderedPageBreak/>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 Gazette 2 Nov 2004 p. 4961.]</w:t>
      </w:r>
    </w:p>
    <w:p>
      <w:pPr>
        <w:pStyle w:val="Heading5"/>
      </w:pPr>
      <w:bookmarkStart w:id="68" w:name="_Toc106263468"/>
      <w:r>
        <w:rPr>
          <w:rStyle w:val="CharSectno"/>
        </w:rPr>
        <w:lastRenderedPageBreak/>
        <w:t>48</w:t>
      </w:r>
      <w:r>
        <w:t>.</w:t>
      </w:r>
      <w:r>
        <w:tab/>
        <w:t>Debt collection</w:t>
      </w:r>
      <w:bookmarkEnd w:id="68"/>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69" w:name="_Toc106263469"/>
      <w:r>
        <w:rPr>
          <w:rStyle w:val="CharSectno"/>
        </w:rPr>
        <w:t>49</w:t>
      </w:r>
      <w:r>
        <w:t>.</w:t>
      </w:r>
      <w:r>
        <w:tab/>
        <w:t>Default listing</w:t>
      </w:r>
      <w:bookmarkEnd w:id="69"/>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70" w:name="_Toc106263470"/>
      <w:r>
        <w:rPr>
          <w:rStyle w:val="CharSectno"/>
        </w:rPr>
        <w:lastRenderedPageBreak/>
        <w:t>50</w:t>
      </w:r>
      <w:r>
        <w:t>.</w:t>
      </w:r>
      <w:r>
        <w:tab/>
        <w:t>Disconnection warning to include information on dispute resolution</w:t>
      </w:r>
      <w:bookmarkEnd w:id="70"/>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1" w:name="_Toc106198832"/>
      <w:bookmarkStart w:id="72" w:name="_Toc106263471"/>
      <w:bookmarkStart w:id="73" w:name="_Toc106198596"/>
      <w:r>
        <w:lastRenderedPageBreak/>
        <w:t>Notes</w:t>
      </w:r>
      <w:bookmarkEnd w:id="71"/>
      <w:bookmarkEnd w:id="72"/>
    </w:p>
    <w:p>
      <w:pPr>
        <w:pStyle w:val="nStatement"/>
      </w:pPr>
      <w:r>
        <w:t xml:space="preserve">This is a compilation of the </w:t>
      </w:r>
      <w:r>
        <w:rPr>
          <w:i/>
          <w:noProof/>
        </w:rPr>
        <w:t>Energy Coordination (Customer Contracts)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 w:name="_Toc106263472"/>
      <w:r>
        <w:t>Compilation table</w:t>
      </w:r>
      <w:bookmarkEnd w:id="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Energy Coordination (Customer Contracts) Regulations 2004</w:t>
            </w:r>
          </w:p>
        </w:tc>
        <w:tc>
          <w:tcPr>
            <w:tcW w:w="1276" w:type="dxa"/>
            <w:tcBorders>
              <w:top w:val="single" w:sz="8" w:space="0" w:color="auto"/>
            </w:tcBorders>
          </w:tcPr>
          <w:p>
            <w:pPr>
              <w:pStyle w:val="nTable"/>
            </w:pPr>
            <w:r>
              <w:t>28 May 2004 p. 1791</w:t>
            </w:r>
            <w:r>
              <w:noBreakHyphen/>
              <w:t>823</w:t>
            </w:r>
          </w:p>
        </w:tc>
        <w:tc>
          <w:tcPr>
            <w:tcW w:w="2693" w:type="dxa"/>
            <w:tcBorders>
              <w:top w:val="single" w:sz="8" w:space="0" w:color="auto"/>
            </w:tcBorders>
          </w:tcPr>
          <w:p>
            <w:pPr>
              <w:pStyle w:val="nTable"/>
            </w:pPr>
            <w:r>
              <w:t xml:space="preserve">31 May 2004 (see r. 2 and </w:t>
            </w:r>
            <w:r>
              <w:rPr>
                <w:i/>
              </w:rPr>
              <w:t>Gazette</w:t>
            </w:r>
            <w:r>
              <w:t xml:space="preserve"> 28 May 2004 p. 1827)</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2004</w:t>
            </w:r>
          </w:p>
        </w:tc>
        <w:tc>
          <w:tcPr>
            <w:tcW w:w="1276" w:type="dxa"/>
          </w:tcPr>
          <w:p>
            <w:pPr>
              <w:pStyle w:val="nTable"/>
            </w:pPr>
            <w:r>
              <w:t>2 Nov 2004 p. 4961</w:t>
            </w:r>
          </w:p>
        </w:tc>
        <w:tc>
          <w:tcPr>
            <w:tcW w:w="2693" w:type="dxa"/>
          </w:tcPr>
          <w:p>
            <w:pPr>
              <w:pStyle w:val="nTable"/>
            </w:pPr>
            <w:r>
              <w:t>2 Nov 2004</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2005</w:t>
            </w:r>
          </w:p>
        </w:tc>
        <w:tc>
          <w:tcPr>
            <w:tcW w:w="1276" w:type="dxa"/>
          </w:tcPr>
          <w:p>
            <w:pPr>
              <w:pStyle w:val="nTable"/>
            </w:pPr>
            <w:r>
              <w:t>13 May 2005 p. 2073</w:t>
            </w:r>
            <w:r>
              <w:noBreakHyphen/>
              <w:t>6</w:t>
            </w:r>
          </w:p>
        </w:tc>
        <w:tc>
          <w:tcPr>
            <w:tcW w:w="2693" w:type="dxa"/>
          </w:tcPr>
          <w:p>
            <w:pPr>
              <w:pStyle w:val="nTable"/>
            </w:pPr>
            <w:r>
              <w:t xml:space="preserve">14 May 2005 (see r. 2 and </w:t>
            </w:r>
            <w:r>
              <w:rPr>
                <w:i/>
                <w:iCs/>
              </w:rPr>
              <w:t>Gazette</w:t>
            </w:r>
            <w:r>
              <w:t xml:space="preserve"> 13 May 2005 p. 2073)</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Energy Coordination (Customer Contracts) Amendment Regulations 2008</w:t>
            </w:r>
          </w:p>
        </w:tc>
        <w:tc>
          <w:tcPr>
            <w:tcW w:w="1276" w:type="dxa"/>
          </w:tcPr>
          <w:p>
            <w:pPr>
              <w:pStyle w:val="nTable"/>
            </w:pPr>
            <w:r>
              <w:t>27 Jan 2009 p. 178</w:t>
            </w:r>
            <w:r>
              <w:noBreakHyphen/>
              <w:t>9</w:t>
            </w:r>
          </w:p>
        </w:tc>
        <w:tc>
          <w:tcPr>
            <w:tcW w:w="2693" w:type="dxa"/>
          </w:tcPr>
          <w:p>
            <w:pPr>
              <w:pStyle w:val="nTable"/>
            </w:pPr>
            <w:r>
              <w:t>r. 1 and 2: 27 Jan 2009 (see r. 2(a));</w:t>
            </w:r>
          </w:p>
          <w:p>
            <w:pPr>
              <w:pStyle w:val="nTable"/>
              <w:spacing w:before="0"/>
            </w:pPr>
            <w:r>
              <w:t>Regulations other than r. 1 and 2: 28 Jan 2009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pPr>
            <w:r>
              <w:rPr>
                <w:b/>
                <w:bCs/>
              </w:rPr>
              <w:t xml:space="preserve">Reprint 1: The </w:t>
            </w:r>
            <w:r>
              <w:rPr>
                <w:b/>
                <w:bCs/>
                <w:i/>
              </w:rPr>
              <w:t xml:space="preserve">Energy Coordination (Customer Contracts) Regulations 2004 </w:t>
            </w:r>
            <w:r>
              <w:rPr>
                <w:b/>
                <w:bCs/>
              </w:rPr>
              <w:t>as at 20 Nov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Energy Coordination (Customer Contracts) Amendment Regulations (No. 2) 2011</w:t>
            </w:r>
          </w:p>
        </w:tc>
        <w:tc>
          <w:tcPr>
            <w:tcW w:w="1276" w:type="dxa"/>
            <w:tcBorders>
              <w:bottom w:val="single" w:sz="4" w:space="0" w:color="auto"/>
            </w:tcBorders>
          </w:tcPr>
          <w:p>
            <w:pPr>
              <w:pStyle w:val="nTable"/>
            </w:pPr>
            <w:r>
              <w:t>14 Jun 2011 p. 2132</w:t>
            </w:r>
          </w:p>
        </w:tc>
        <w:tc>
          <w:tcPr>
            <w:tcW w:w="2693" w:type="dxa"/>
            <w:tcBorders>
              <w:bottom w:val="single" w:sz="4" w:space="0" w:color="auto"/>
            </w:tcBorders>
          </w:tcPr>
          <w:p>
            <w:pPr>
              <w:pStyle w:val="nTable"/>
            </w:pPr>
            <w:r>
              <w:t>r. 1 and 2: 14 Jun 2011 (see r. 2(a));</w:t>
            </w:r>
          </w:p>
          <w:p>
            <w:pPr>
              <w:pStyle w:val="nTable"/>
              <w:spacing w:before="0"/>
            </w:pPr>
            <w:r>
              <w:t>Regulations other than r. 1 and 2: 15 Jun 2011 (see r. 2(b))</w:t>
            </w:r>
          </w:p>
        </w:tc>
      </w:tr>
    </w:tbl>
    <w:p>
      <w:pPr>
        <w:pStyle w:val="nHeading3"/>
      </w:pPr>
      <w:bookmarkStart w:id="75" w:name="_Toc106263473"/>
      <w:r>
        <w:t>Uncommenced provisions table</w:t>
      </w:r>
      <w:bookmarkEnd w:id="7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Coordination (Customer Contracts) Amendment Regulations 2022</w:t>
            </w:r>
            <w:r>
              <w:t xml:space="preserve"> r. 3</w:t>
            </w:r>
            <w:r>
              <w:noBreakHyphen/>
              <w:t>28</w:t>
            </w:r>
          </w:p>
        </w:tc>
        <w:tc>
          <w:tcPr>
            <w:tcW w:w="1276" w:type="dxa"/>
          </w:tcPr>
          <w:p>
            <w:pPr>
              <w:pStyle w:val="nTable"/>
              <w:spacing w:after="40"/>
            </w:pPr>
            <w:r>
              <w:t>SL 2022/104 17 Jun 2022</w:t>
            </w:r>
          </w:p>
        </w:tc>
        <w:tc>
          <w:tcPr>
            <w:tcW w:w="2693" w:type="dxa"/>
          </w:tcPr>
          <w:p>
            <w:pPr>
              <w:pStyle w:val="nTable"/>
              <w:spacing w:after="40"/>
            </w:pPr>
            <w:r>
              <w:t>1 Jan 2023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77" w:name="_Toc106198835"/>
      <w:bookmarkStart w:id="78" w:name="_Toc106263474"/>
      <w:r>
        <w:rPr>
          <w:sz w:val="28"/>
        </w:rPr>
        <w:lastRenderedPageBreak/>
        <w:t>Defined terms</w:t>
      </w:r>
      <w:bookmarkEnd w:id="73"/>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AGA Code</w:t>
      </w:r>
      <w:r>
        <w:tab/>
        <w:t>3</w:t>
      </w:r>
    </w:p>
    <w:p>
      <w:pPr>
        <w:pStyle w:val="DefinedTerms"/>
      </w:pPr>
      <w:r>
        <w:t>bank bill rate</w:t>
      </w:r>
      <w:r>
        <w:tab/>
        <w:t>13(5)</w:t>
      </w:r>
    </w:p>
    <w:p>
      <w:pPr>
        <w:pStyle w:val="DefinedTerms"/>
      </w:pPr>
      <w:r>
        <w:t>billing data</w:t>
      </w:r>
      <w:r>
        <w:tab/>
        <w:t>3</w:t>
      </w:r>
    </w:p>
    <w:p>
      <w:pPr>
        <w:pStyle w:val="DefinedTerms"/>
      </w:pPr>
      <w:r>
        <w:t>billing day</w:t>
      </w:r>
      <w:r>
        <w:tab/>
        <w:t>12(4)</w:t>
      </w:r>
    </w:p>
    <w:p>
      <w:pPr>
        <w:pStyle w:val="DefinedTerms"/>
      </w:pPr>
      <w:r>
        <w:t>business day</w:t>
      </w:r>
      <w:r>
        <w:tab/>
        <w:t>3</w:t>
      </w:r>
    </w:p>
    <w:p>
      <w:pPr>
        <w:pStyle w:val="DefinedTerms"/>
      </w:pPr>
      <w:r>
        <w:t>charge</w:t>
      </w:r>
      <w:r>
        <w:tab/>
        <w:t>3</w:t>
      </w:r>
    </w:p>
    <w:p>
      <w:pPr>
        <w:pStyle w:val="DefinedTerms"/>
      </w:pPr>
      <w:r>
        <w:t>Code of Conduct</w:t>
      </w:r>
      <w:r>
        <w:tab/>
        <w:t>3</w:t>
      </w:r>
    </w:p>
    <w:p>
      <w:pPr>
        <w:pStyle w:val="DefinedTerms"/>
      </w:pPr>
      <w:r>
        <w:t>cooling</w:t>
      </w:r>
      <w:r>
        <w:noBreakHyphen/>
        <w:t>off period</w:t>
      </w:r>
      <w:r>
        <w:tab/>
        <w:t>27(1), 40(1)</w:t>
      </w:r>
    </w:p>
    <w:p>
      <w:pPr>
        <w:pStyle w:val="DefinedTerms"/>
      </w:pPr>
      <w:r>
        <w:t>current supplier</w:t>
      </w:r>
      <w:r>
        <w:tab/>
        <w:t>47(1)</w:t>
      </w:r>
    </w:p>
    <w:p>
      <w:pPr>
        <w:pStyle w:val="DefinedTerms"/>
      </w:pPr>
      <w:r>
        <w:t>customer contract</w:t>
      </w:r>
      <w:r>
        <w:tab/>
        <w:t>3</w:t>
      </w:r>
    </w:p>
    <w:p>
      <w:pPr>
        <w:pStyle w:val="DefinedTerms"/>
      </w:pPr>
      <w:r>
        <w:t>customer service charter</w:t>
      </w:r>
      <w:r>
        <w:tab/>
        <w:t>3</w:t>
      </w:r>
    </w:p>
    <w:p>
      <w:pPr>
        <w:pStyle w:val="DefinedTerms"/>
      </w:pPr>
      <w:r>
        <w:t>default</w:t>
      </w:r>
      <w:r>
        <w:tab/>
        <w:t>49(1)</w:t>
      </w:r>
    </w:p>
    <w:p>
      <w:pPr>
        <w:pStyle w:val="DefinedTerms"/>
      </w:pPr>
      <w:r>
        <w:t xml:space="preserve">determined heating value </w:t>
      </w:r>
      <w:r>
        <w:tab/>
        <w:t>25B(1)</w:t>
      </w:r>
    </w:p>
    <w:p>
      <w:pPr>
        <w:pStyle w:val="DefinedTerms"/>
      </w:pPr>
      <w:r>
        <w:t>disconnection</w:t>
      </w:r>
      <w:r>
        <w:tab/>
        <w:t>3</w:t>
      </w:r>
    </w:p>
    <w:p>
      <w:pPr>
        <w:pStyle w:val="DefinedTerms"/>
      </w:pPr>
      <w:r>
        <w:t>disconnection warning</w:t>
      </w:r>
      <w:r>
        <w:tab/>
        <w:t>12(4)</w:t>
      </w:r>
    </w:p>
    <w:p>
      <w:pPr>
        <w:pStyle w:val="DefinedTerms"/>
      </w:pPr>
      <w:r>
        <w:t>door to door contract</w:t>
      </w:r>
      <w:r>
        <w:tab/>
        <w:t>27(1)</w:t>
      </w:r>
    </w:p>
    <w:p>
      <w:pPr>
        <w:pStyle w:val="DefinedTerms"/>
      </w:pPr>
      <w:r>
        <w:t>fixed term contract</w:t>
      </w:r>
      <w:r>
        <w:tab/>
        <w:t>3</w:t>
      </w:r>
    </w:p>
    <w:p>
      <w:pPr>
        <w:pStyle w:val="DefinedTerms"/>
      </w:pPr>
      <w:r>
        <w:t>former supplier</w:t>
      </w:r>
      <w:r>
        <w:tab/>
        <w:t>47(1)</w:t>
      </w:r>
    </w:p>
    <w:p>
      <w:pPr>
        <w:pStyle w:val="DefinedTerms"/>
      </w:pPr>
      <w:r>
        <w:t xml:space="preserve"> gas day</w:t>
      </w:r>
      <w:r>
        <w:tab/>
        <w:t>25B(1)</w:t>
      </w:r>
    </w:p>
    <w:p>
      <w:pPr>
        <w:pStyle w:val="DefinedTerms"/>
      </w:pPr>
      <w:r>
        <w:t>gas distribution operator</w:t>
      </w:r>
      <w:r>
        <w:tab/>
        <w:t>3</w:t>
      </w:r>
    </w:p>
    <w:p>
      <w:pPr>
        <w:pStyle w:val="DefinedTerms"/>
      </w:pPr>
      <w:r>
        <w:t>gas industry ombudsman</w:t>
      </w:r>
      <w:r>
        <w:tab/>
        <w:t>3</w:t>
      </w:r>
    </w:p>
    <w:p>
      <w:pPr>
        <w:pStyle w:val="DefinedTerms"/>
      </w:pPr>
      <w:r>
        <w:t>gas industry ombudsman scheme</w:t>
      </w:r>
      <w:r>
        <w:tab/>
        <w:t>3</w:t>
      </w:r>
    </w:p>
    <w:p>
      <w:pPr>
        <w:pStyle w:val="DefinedTerms"/>
      </w:pPr>
      <w:r>
        <w:t>last resort supply fee</w:t>
      </w:r>
      <w:r>
        <w:tab/>
        <w:t>38A(1)</w:t>
      </w:r>
    </w:p>
    <w:p>
      <w:pPr>
        <w:pStyle w:val="DefinedTerms"/>
      </w:pPr>
      <w:r>
        <w:t>last resort supply plan</w:t>
      </w:r>
      <w:r>
        <w:tab/>
        <w:t>38A(1)</w:t>
      </w:r>
    </w:p>
    <w:p>
      <w:pPr>
        <w:pStyle w:val="DefinedTerms"/>
      </w:pPr>
      <w:r>
        <w:t>medical practitioner</w:t>
      </w:r>
      <w:r>
        <w:tab/>
        <w:t>12(3)</w:t>
      </w:r>
    </w:p>
    <w:p>
      <w:pPr>
        <w:pStyle w:val="DefinedTerms"/>
      </w:pPr>
      <w:r>
        <w:t>meter</w:t>
      </w:r>
      <w:r>
        <w:tab/>
        <w:t>3</w:t>
      </w:r>
    </w:p>
    <w:p>
      <w:pPr>
        <w:pStyle w:val="DefinedTerms"/>
      </w:pPr>
      <w:r>
        <w:t>network equipment</w:t>
      </w:r>
      <w:r>
        <w:tab/>
        <w:t>3</w:t>
      </w:r>
    </w:p>
    <w:p>
      <w:pPr>
        <w:pStyle w:val="DefinedTerms"/>
      </w:pPr>
      <w:r>
        <w:t>new contract</w:t>
      </w:r>
      <w:r>
        <w:tab/>
        <w:t>35(3)</w:t>
      </w:r>
    </w:p>
    <w:p>
      <w:pPr>
        <w:pStyle w:val="DefinedTerms"/>
      </w:pPr>
      <w:r>
        <w:t>new customer</w:t>
      </w:r>
      <w:r>
        <w:tab/>
        <w:t>35(3)</w:t>
      </w:r>
    </w:p>
    <w:p>
      <w:pPr>
        <w:pStyle w:val="DefinedTerms"/>
      </w:pPr>
      <w:r>
        <w:t>non</w:t>
      </w:r>
      <w:r>
        <w:noBreakHyphen/>
        <w:t>standard contract</w:t>
      </w:r>
      <w:r>
        <w:tab/>
        <w:t>3</w:t>
      </w:r>
    </w:p>
    <w:p>
      <w:pPr>
        <w:pStyle w:val="DefinedTerms"/>
      </w:pPr>
      <w:r>
        <w:t>old customer</w:t>
      </w:r>
      <w:r>
        <w:tab/>
        <w:t>35(3)</w:t>
      </w:r>
    </w:p>
    <w:p>
      <w:pPr>
        <w:pStyle w:val="DefinedTerms"/>
      </w:pPr>
      <w:r>
        <w:t>prescribed time</w:t>
      </w:r>
      <w:r>
        <w:tab/>
        <w:t>47(1)</w:t>
      </w:r>
    </w:p>
    <w:p>
      <w:pPr>
        <w:pStyle w:val="DefinedTerms"/>
      </w:pPr>
      <w:r>
        <w:t>provision</w:t>
      </w:r>
      <w:r>
        <w:tab/>
        <w:t>3</w:t>
      </w:r>
    </w:p>
    <w:p>
      <w:pPr>
        <w:pStyle w:val="DefinedTerms"/>
      </w:pPr>
      <w:r>
        <w:t>reasonable charge</w:t>
      </w:r>
      <w:r>
        <w:tab/>
        <w:t>46(3), 47(1)</w:t>
      </w:r>
    </w:p>
    <w:p>
      <w:pPr>
        <w:pStyle w:val="DefinedTerms"/>
      </w:pPr>
      <w:r>
        <w:t>reconnection</w:t>
      </w:r>
      <w:r>
        <w:tab/>
        <w:t>3</w:t>
      </w:r>
    </w:p>
    <w:p>
      <w:pPr>
        <w:pStyle w:val="DefinedTerms"/>
      </w:pPr>
      <w:r>
        <w:t>refundable advance</w:t>
      </w:r>
      <w:r>
        <w:tab/>
        <w:t>3</w:t>
      </w:r>
    </w:p>
    <w:p>
      <w:pPr>
        <w:pStyle w:val="DefinedTerms"/>
      </w:pPr>
      <w:r>
        <w:t>relevant code</w:t>
      </w:r>
      <w:r>
        <w:tab/>
        <w:t>3</w:t>
      </w:r>
    </w:p>
    <w:p>
      <w:pPr>
        <w:pStyle w:val="DefinedTerms"/>
      </w:pPr>
      <w:r>
        <w:t>relevant last resort supply plan</w:t>
      </w:r>
      <w:r>
        <w:tab/>
        <w:t>25A(1)</w:t>
      </w:r>
    </w:p>
    <w:p>
      <w:pPr>
        <w:pStyle w:val="DefinedTerms"/>
      </w:pPr>
      <w:r>
        <w:t>relevant request</w:t>
      </w:r>
      <w:r>
        <w:tab/>
        <w:t>47(2)</w:t>
      </w:r>
    </w:p>
    <w:p>
      <w:pPr>
        <w:pStyle w:val="DefinedTerms"/>
      </w:pPr>
      <w:r>
        <w:t>reminder notice</w:t>
      </w:r>
      <w:r>
        <w:tab/>
        <w:t>12(4)</w:t>
      </w:r>
    </w:p>
    <w:p>
      <w:pPr>
        <w:pStyle w:val="DefinedTerms"/>
      </w:pPr>
      <w:r>
        <w:lastRenderedPageBreak/>
        <w:t>retail supplier</w:t>
      </w:r>
      <w:r>
        <w:tab/>
        <w:t>3</w:t>
      </w:r>
    </w:p>
    <w:p>
      <w:pPr>
        <w:pStyle w:val="DefinedTerms"/>
      </w:pPr>
      <w:r>
        <w:t>standard form contract</w:t>
      </w:r>
      <w:r>
        <w:tab/>
        <w:t>3</w:t>
      </w:r>
    </w:p>
    <w:p>
      <w:pPr>
        <w:pStyle w:val="DefinedTerms"/>
      </w:pPr>
      <w:r>
        <w:t>supply</w:t>
      </w:r>
      <w:r>
        <w:tab/>
        <w:t>3</w:t>
      </w:r>
    </w:p>
    <w:p>
      <w:pPr>
        <w:pStyle w:val="DefinedTerms"/>
      </w:pPr>
      <w:r>
        <w:t>supply address</w:t>
      </w:r>
      <w:r>
        <w:tab/>
        <w:t>3</w:t>
      </w:r>
    </w:p>
    <w:p>
      <w:pPr>
        <w:pStyle w:val="DefinedTerms"/>
      </w:pPr>
      <w:r>
        <w:t>supply charge</w:t>
      </w:r>
      <w:r>
        <w:tab/>
        <w:t>14(2)</w:t>
      </w:r>
    </w:p>
    <w:p>
      <w:pPr>
        <w:pStyle w:val="DefinedTerms"/>
      </w:pPr>
      <w:r>
        <w:t>transferred customer</w:t>
      </w:r>
      <w:r>
        <w:tab/>
        <w:t>38A(1)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(Customer Contracts)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C449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51345"/>
    <w:docVar w:name="WAFER_20140123094259" w:val="RemoveTocBookmarks,RemoveUnusedBookmarks,RemoveLanguageTags,UsedStyles,ResetPageSize,UpdateArrangement"/>
    <w:docVar w:name="WAFER_20140123094259_GUID" w:val="6b5c95cf-f03a-438d-96c7-d08975a63a6b"/>
    <w:docVar w:name="WAFER_20140123094905" w:val="RemoveTocBookmarks,RunningHeaders"/>
    <w:docVar w:name="WAFER_20140123094905_GUID" w:val="7b940cea-c18a-4a97-b464-c917ae5018e5"/>
    <w:docVar w:name="WAFER_20150414165742" w:val="ResetPageSize,UpdateArrangement,UpdateNTable"/>
    <w:docVar w:name="WAFER_20150414165742_GUID" w:val="5b09dbe7-df24-48b2-9bd6-8cbe4a13e44e"/>
    <w:docVar w:name="WAFER_20151125093845" w:val="UpdateStyles"/>
    <w:docVar w:name="WAFER_20151125093845_GUID" w:val="0bb37aac-7099-40dd-8df8-1d3da4990c41"/>
    <w:docVar w:name="WAFER_20151126125730" w:val="UsedStyles"/>
    <w:docVar w:name="WAFER_20151126125730_GUID" w:val="6cd08152-49dd-40fa-bb72-5a1b6ee423b9"/>
    <w:docVar w:name="WAFER_20151201112006" w:val="RemoveTrackChanges"/>
    <w:docVar w:name="WAFER_20151201112006_GUID" w:val="a69142c4-8c11-423d-9e7d-f0ad44771ef8"/>
    <w:docVar w:name="WAFER_2022061515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51345_GUID" w:val="53888b11-0375-411d-89fa-7af4d2642d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08C18D7-AAA0-4160-AC6C-20C909A4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7778</Words>
  <Characters>39126</Characters>
  <Application>Microsoft Office Word</Application>
  <DocSecurity>0</DocSecurity>
  <Lines>1150</Lines>
  <Paragraphs>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2004 - 01-c0-00</dc:title>
  <dc:subject/>
  <dc:creator/>
  <cp:keywords/>
  <dc:description/>
  <cp:lastModifiedBy>Master Repository Process</cp:lastModifiedBy>
  <cp:revision>4</cp:revision>
  <cp:lastPrinted>2009-12-02T01:46:00Z</cp:lastPrinted>
  <dcterms:created xsi:type="dcterms:W3CDTF">2022-06-17T03:32:00Z</dcterms:created>
  <dcterms:modified xsi:type="dcterms:W3CDTF">2022-06-17T03:32:00Z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OwlsUID">
    <vt:i4>34566</vt:i4>
  </property>
  <property fmtid="{D5CDD505-2E9C-101B-9397-08002B2CF9AE}" pid="4" name="ReprintNo">
    <vt:lpwstr>1</vt:lpwstr>
  </property>
  <property fmtid="{D5CDD505-2E9C-101B-9397-08002B2CF9AE}" pid="5" name="DocumentType">
    <vt:lpwstr>Reg</vt:lpwstr>
  </property>
  <property fmtid="{D5CDD505-2E9C-101B-9397-08002B2CF9AE}" pid="6" name="AsAtDate">
    <vt:lpwstr>17 Jun 2022</vt:lpwstr>
  </property>
  <property fmtid="{D5CDD505-2E9C-101B-9397-08002B2CF9AE}" pid="7" name="Suffix">
    <vt:lpwstr>01-c0-00</vt:lpwstr>
  </property>
  <property fmtid="{D5CDD505-2E9C-101B-9397-08002B2CF9AE}" pid="8" name="CommencementDate">
    <vt:lpwstr>20220617</vt:lpwstr>
  </property>
</Properties>
</file>