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(Civil Proceedings)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_Toc106719353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_Toc106719354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_Toc106719355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_Toc106719356 \h </w:instrText>
      </w:r>
      <w:r>
        <w:fldChar w:fldCharType="separate"/>
      </w:r>
      <w:r>
        <w:t>1</w:t>
      </w:r>
      <w:r>
        <w:fldChar w:fldCharType="end"/>
      </w:r>
    </w:p>
    <w:p>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_Toc106719357 \h </w:instrText>
      </w:r>
      <w:r>
        <w:fldChar w:fldCharType="separate"/>
      </w:r>
      <w:r>
        <w:t>3</w:t>
      </w:r>
      <w:r>
        <w:fldChar w:fldCharType="end"/>
      </w:r>
    </w:p>
    <w:p>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_Toc106719358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How to make and defend a claim</w:t>
      </w:r>
    </w:p>
    <w:p>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_Toc106719360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8</w:t>
      </w:r>
      <w:r>
        <w:t>.</w:t>
      </w:r>
      <w:r>
        <w:tab/>
        <w:t>How to make a third party claim</w:t>
      </w:r>
      <w:r>
        <w:tab/>
      </w:r>
      <w:r>
        <w:fldChar w:fldCharType="begin"/>
      </w:r>
      <w:r>
        <w:instrText xml:space="preserve"> PAGEREF _Toc106719361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_Toc106719362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PAGEREF _Toc106719363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_Toc106719364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10C</w:t>
      </w:r>
      <w:r>
        <w:t>.</w:t>
      </w:r>
      <w:r>
        <w:tab/>
        <w:t>You may admit liability but dispute the amount claimed</w:t>
      </w:r>
      <w:r>
        <w:tab/>
      </w:r>
      <w:r>
        <w:fldChar w:fldCharType="begin"/>
      </w:r>
      <w:r>
        <w:instrText xml:space="preserve"> PAGEREF _Toc106719365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_Toc106719366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If you or another party does not defend a claim</w:t>
      </w:r>
    </w:p>
    <w:p>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_Toc106719368 \h </w:instrText>
      </w:r>
      <w:r>
        <w:fldChar w:fldCharType="separate"/>
      </w:r>
      <w:r>
        <w:t>7</w:t>
      </w:r>
      <w:r>
        <w:fldChar w:fldCharType="end"/>
      </w:r>
    </w:p>
    <w:p>
      <w:pPr>
        <w:pStyle w:val="TOC8"/>
        <w:rPr>
          <w:rFonts w:asciiTheme="minorHAnsi" w:eastAsiaTheme="minorEastAsia" w:hAnsiTheme="minorHAnsi" w:cstheme="minorBidi"/>
          <w:szCs w:val="22"/>
        </w:rPr>
      </w:pPr>
      <w:r>
        <w:t>17.</w:t>
      </w:r>
      <w:r>
        <w:tab/>
        <w:t>If the claim is for a liquidated amount</w:t>
      </w:r>
      <w:r>
        <w:tab/>
      </w:r>
      <w:r>
        <w:fldChar w:fldCharType="begin"/>
      </w:r>
      <w:r>
        <w:instrText xml:space="preserve"> PAGEREF _Toc106719369 \h </w:instrText>
      </w:r>
      <w:r>
        <w:fldChar w:fldCharType="separate"/>
      </w:r>
      <w:r>
        <w:t>7</w:t>
      </w:r>
      <w:r>
        <w:fldChar w:fldCharType="end"/>
      </w:r>
    </w:p>
    <w:p>
      <w:pPr>
        <w:pStyle w:val="TOC8"/>
        <w:rPr>
          <w:rFonts w:asciiTheme="minorHAnsi" w:eastAsiaTheme="minorEastAsia" w:hAnsiTheme="minorHAnsi" w:cstheme="minorBidi"/>
          <w:szCs w:val="22"/>
        </w:rPr>
      </w:pPr>
      <w:r>
        <w:t>18.</w:t>
      </w:r>
      <w:r>
        <w:tab/>
        <w:t>If the claim is for an unliquidated amount</w:t>
      </w:r>
      <w:r>
        <w:tab/>
      </w:r>
      <w:r>
        <w:fldChar w:fldCharType="begin"/>
      </w:r>
      <w:r>
        <w:instrText xml:space="preserve"> PAGEREF _Toc106719370 \h </w:instrText>
      </w:r>
      <w:r>
        <w:fldChar w:fldCharType="separate"/>
      </w:r>
      <w:r>
        <w:t>7</w:t>
      </w:r>
      <w:r>
        <w:fldChar w:fldCharType="end"/>
      </w:r>
    </w:p>
    <w:p>
      <w:pPr>
        <w:pStyle w:val="TOC8"/>
        <w:rPr>
          <w:rFonts w:asciiTheme="minorHAnsi" w:eastAsiaTheme="minorEastAsia" w:hAnsiTheme="minorHAnsi" w:cstheme="minorBidi"/>
          <w:szCs w:val="22"/>
        </w:rPr>
      </w:pPr>
      <w:r>
        <w:lastRenderedPageBreak/>
        <w:t>19.</w:t>
      </w:r>
      <w:r>
        <w:tab/>
        <w:t>If the claim against you is to recover possession of personal property</w:t>
      </w:r>
      <w:r>
        <w:tab/>
      </w:r>
      <w:r>
        <w:fldChar w:fldCharType="begin"/>
      </w:r>
      <w:r>
        <w:instrText xml:space="preserve"> PAGEREF _Toc106719371 \h </w:instrText>
      </w:r>
      <w:r>
        <w:fldChar w:fldCharType="separate"/>
      </w:r>
      <w:r>
        <w:t>8</w:t>
      </w:r>
      <w:r>
        <w:fldChar w:fldCharType="end"/>
      </w:r>
    </w:p>
    <w:p>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_Toc106719372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_Toc106719373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22A</w:t>
      </w:r>
      <w:r>
        <w:t>.</w:t>
      </w:r>
      <w:r>
        <w:tab/>
        <w:t>Default judgment one year or more after originating claim, referral to Magistrate</w:t>
      </w:r>
      <w:r>
        <w:tab/>
      </w:r>
      <w:r>
        <w:fldChar w:fldCharType="begin"/>
      </w:r>
      <w:r>
        <w:instrText xml:space="preserve"> PAGEREF _Toc106719374 \h </w:instrText>
      </w:r>
      <w:r>
        <w:fldChar w:fldCharType="separate"/>
      </w:r>
      <w:r>
        <w:t>8</w:t>
      </w:r>
      <w:r>
        <w:fldChar w:fldCharType="end"/>
      </w:r>
    </w:p>
    <w:p>
      <w:pPr>
        <w:pStyle w:val="TOC8"/>
        <w:rPr>
          <w:rFonts w:asciiTheme="minorHAnsi" w:eastAsiaTheme="minorEastAsia" w:hAnsiTheme="minorHAnsi" w:cstheme="minorBidi"/>
          <w:szCs w:val="22"/>
        </w:rPr>
      </w:pPr>
      <w:r>
        <w:t>22.</w:t>
      </w:r>
      <w:r>
        <w:tab/>
        <w:t>Application for default judgment to be dismissed if not granted</w:t>
      </w:r>
      <w:r>
        <w:tab/>
      </w:r>
      <w:r>
        <w:fldChar w:fldCharType="begin"/>
      </w:r>
      <w:r>
        <w:instrText xml:space="preserve"> PAGEREF _Toc106719375 \h </w:instrText>
      </w:r>
      <w:r>
        <w:fldChar w:fldCharType="separate"/>
      </w:r>
      <w:r>
        <w:t>9</w:t>
      </w:r>
      <w:r>
        <w:fldChar w:fldCharType="end"/>
      </w:r>
    </w:p>
    <w:p>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_Toc106719376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Status conferences and pre</w:t>
      </w:r>
      <w:r>
        <w:noBreakHyphen/>
        <w:t>trial conferences</w:t>
      </w:r>
    </w:p>
    <w:p>
      <w:pPr>
        <w:pStyle w:val="TOC8"/>
        <w:rPr>
          <w:rFonts w:asciiTheme="minorHAnsi" w:eastAsiaTheme="minorEastAsia" w:hAnsiTheme="minorHAnsi" w:cstheme="minorBidi"/>
          <w:szCs w:val="22"/>
        </w:rPr>
      </w:pPr>
      <w:r>
        <w:rPr>
          <w:rFonts w:ascii="Times" w:hAnsi="Times"/>
        </w:rPr>
        <w:t>23</w:t>
      </w:r>
      <w:r>
        <w:t>.</w:t>
      </w:r>
      <w:r>
        <w:tab/>
        <w:t>Listing case for a status conference</w:t>
      </w:r>
      <w:r>
        <w:tab/>
      </w:r>
      <w:r>
        <w:fldChar w:fldCharType="begin"/>
      </w:r>
      <w:r>
        <w:instrText xml:space="preserve"> PAGEREF _Toc106719378 \h </w:instrText>
      </w:r>
      <w:r>
        <w:fldChar w:fldCharType="separate"/>
      </w:r>
      <w:r>
        <w:t>10</w:t>
      </w:r>
      <w:r>
        <w:fldChar w:fldCharType="end"/>
      </w:r>
    </w:p>
    <w:p>
      <w:pPr>
        <w:pStyle w:val="TOC8"/>
        <w:rPr>
          <w:rFonts w:asciiTheme="minorHAnsi" w:eastAsiaTheme="minorEastAsia" w:hAnsiTheme="minorHAnsi" w:cstheme="minorBidi"/>
          <w:szCs w:val="22"/>
        </w:rPr>
      </w:pPr>
      <w:r>
        <w:t>23AA.</w:t>
      </w:r>
      <w:r>
        <w:tab/>
        <w:t>What happens at a status conference</w:t>
      </w:r>
      <w:r>
        <w:tab/>
      </w:r>
      <w:r>
        <w:fldChar w:fldCharType="begin"/>
      </w:r>
      <w:r>
        <w:instrText xml:space="preserve"> PAGEREF _Toc106719379 \h </w:instrText>
      </w:r>
      <w:r>
        <w:fldChar w:fldCharType="separate"/>
      </w:r>
      <w:r>
        <w:t>10</w:t>
      </w:r>
      <w:r>
        <w:fldChar w:fldCharType="end"/>
      </w:r>
    </w:p>
    <w:p>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_Toc106719380 \h </w:instrText>
      </w:r>
      <w:r>
        <w:fldChar w:fldCharType="separate"/>
      </w:r>
      <w:r>
        <w:t>11</w:t>
      </w:r>
      <w:r>
        <w:fldChar w:fldCharType="end"/>
      </w:r>
    </w:p>
    <w:p>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_Toc106719381 \h </w:instrText>
      </w:r>
      <w:r>
        <w:fldChar w:fldCharType="separate"/>
      </w:r>
      <w:r>
        <w:t>12</w:t>
      </w:r>
      <w:r>
        <w:fldChar w:fldCharType="end"/>
      </w:r>
    </w:p>
    <w:p>
      <w:pPr>
        <w:pStyle w:val="TOC8"/>
        <w:rPr>
          <w:rFonts w:asciiTheme="minorHAnsi" w:eastAsiaTheme="minorEastAsia" w:hAnsiTheme="minorHAnsi" w:cstheme="minorBidi"/>
          <w:szCs w:val="22"/>
        </w:rPr>
      </w:pPr>
      <w:r>
        <w:t>26.</w:t>
      </w:r>
      <w:r>
        <w:tab/>
        <w:t>Your attendance at a status conference, pre</w:t>
      </w:r>
      <w:r>
        <w:noBreakHyphen/>
        <w:t>trial conference or hearing</w:t>
      </w:r>
      <w:r>
        <w:tab/>
      </w:r>
      <w:r>
        <w:fldChar w:fldCharType="begin"/>
      </w:r>
      <w:r>
        <w:instrText xml:space="preserve"> PAGEREF _Toc106719382 \h </w:instrText>
      </w:r>
      <w:r>
        <w:fldChar w:fldCharType="separate"/>
      </w:r>
      <w:r>
        <w:t>12</w:t>
      </w:r>
      <w:r>
        <w:fldChar w:fldCharType="end"/>
      </w:r>
    </w:p>
    <w:p>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_Toc106719383 \h </w:instrText>
      </w:r>
      <w:r>
        <w:fldChar w:fldCharType="separate"/>
      </w:r>
      <w:r>
        <w:t>13</w:t>
      </w:r>
      <w:r>
        <w:fldChar w:fldCharType="end"/>
      </w:r>
    </w:p>
    <w:p>
      <w:pPr>
        <w:pStyle w:val="TOC8"/>
        <w:rPr>
          <w:rFonts w:asciiTheme="minorHAnsi" w:eastAsiaTheme="minorEastAsia" w:hAnsiTheme="minorHAnsi" w:cstheme="minorBidi"/>
          <w:szCs w:val="22"/>
        </w:rPr>
      </w:pPr>
      <w:r>
        <w:t>28.</w:t>
      </w:r>
      <w:r>
        <w:tab/>
        <w:t>Status of things said or done at a status conference or a pre</w:t>
      </w:r>
      <w:r>
        <w:noBreakHyphen/>
        <w:t>trial conference</w:t>
      </w:r>
      <w:r>
        <w:tab/>
      </w:r>
      <w:r>
        <w:fldChar w:fldCharType="begin"/>
      </w:r>
      <w:r>
        <w:instrText xml:space="preserve"> PAGEREF _Toc106719384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Mediation</w:t>
      </w:r>
    </w:p>
    <w:p>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_Toc106719386 \h </w:instrText>
      </w:r>
      <w:r>
        <w:fldChar w:fldCharType="separate"/>
      </w:r>
      <w:r>
        <w:t>14</w:t>
      </w:r>
      <w:r>
        <w:fldChar w:fldCharType="end"/>
      </w:r>
    </w:p>
    <w:p>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PAGEREF _Toc106719387 \h </w:instrText>
      </w:r>
      <w:r>
        <w:fldChar w:fldCharType="separate"/>
      </w:r>
      <w:r>
        <w:t>14</w:t>
      </w:r>
      <w:r>
        <w:fldChar w:fldCharType="end"/>
      </w:r>
    </w:p>
    <w:p>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_Toc106719388 \h </w:instrText>
      </w:r>
      <w:r>
        <w:fldChar w:fldCharType="separate"/>
      </w:r>
      <w:r>
        <w:t>14</w:t>
      </w:r>
      <w:r>
        <w:fldChar w:fldCharType="end"/>
      </w:r>
    </w:p>
    <w:p>
      <w:pPr>
        <w:pStyle w:val="TOC8"/>
        <w:rPr>
          <w:rFonts w:asciiTheme="minorHAnsi" w:eastAsiaTheme="minorEastAsia" w:hAnsiTheme="minorHAnsi" w:cstheme="minorBidi"/>
          <w:szCs w:val="22"/>
        </w:rPr>
      </w:pPr>
      <w:r>
        <w:t>32.</w:t>
      </w:r>
      <w:r>
        <w:tab/>
        <w:t>Further pre</w:t>
      </w:r>
      <w:r>
        <w:noBreakHyphen/>
        <w:t>trial conference if case not settled</w:t>
      </w:r>
      <w:r>
        <w:tab/>
      </w:r>
      <w:r>
        <w:fldChar w:fldCharType="begin"/>
      </w:r>
      <w:r>
        <w:instrText xml:space="preserve"> PAGEREF _Toc106719389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7 — Consent orders and settlement</w:t>
      </w:r>
    </w:p>
    <w:p>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_Toc106719391 \h </w:instrText>
      </w:r>
      <w:r>
        <w:fldChar w:fldCharType="separate"/>
      </w:r>
      <w:r>
        <w:t>15</w:t>
      </w:r>
      <w:r>
        <w:fldChar w:fldCharType="end"/>
      </w:r>
    </w:p>
    <w:p>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_Toc106719392 \h </w:instrText>
      </w:r>
      <w:r>
        <w:fldChar w:fldCharType="separate"/>
      </w:r>
      <w:r>
        <w:t>15</w:t>
      </w:r>
      <w:r>
        <w:fldChar w:fldCharType="end"/>
      </w:r>
    </w:p>
    <w:p>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_Toc106719393 \h </w:instrText>
      </w:r>
      <w:r>
        <w:fldChar w:fldCharType="separate"/>
      </w:r>
      <w:r>
        <w:t>15</w:t>
      </w:r>
      <w:r>
        <w:fldChar w:fldCharType="end"/>
      </w:r>
    </w:p>
    <w:p>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_Toc106719394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Trial</w:t>
      </w:r>
    </w:p>
    <w:p>
      <w:pPr>
        <w:pStyle w:val="TOC8"/>
        <w:rPr>
          <w:rFonts w:asciiTheme="minorHAnsi" w:eastAsiaTheme="minorEastAsia" w:hAnsiTheme="minorHAnsi" w:cstheme="minorBidi"/>
          <w:szCs w:val="22"/>
        </w:rPr>
      </w:pPr>
      <w:r>
        <w:t>37.</w:t>
      </w:r>
      <w:r>
        <w:tab/>
        <w:t>How the trial of your case is to be conducted</w:t>
      </w:r>
      <w:r>
        <w:tab/>
      </w:r>
      <w:r>
        <w:fldChar w:fldCharType="begin"/>
      </w:r>
      <w:r>
        <w:instrText xml:space="preserve"> PAGEREF _Toc106719396 \h </w:instrText>
      </w:r>
      <w:r>
        <w:fldChar w:fldCharType="separate"/>
      </w:r>
      <w:r>
        <w:t>17</w:t>
      </w:r>
      <w:r>
        <w:fldChar w:fldCharType="end"/>
      </w:r>
    </w:p>
    <w:p>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_Toc106719397 \h </w:instrText>
      </w:r>
      <w:r>
        <w:fldChar w:fldCharType="separate"/>
      </w:r>
      <w:r>
        <w:t>17</w:t>
      </w:r>
      <w:r>
        <w:fldChar w:fldCharType="end"/>
      </w:r>
    </w:p>
    <w:p>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_Toc106719398 \h </w:instrText>
      </w:r>
      <w:r>
        <w:fldChar w:fldCharType="separate"/>
      </w:r>
      <w:r>
        <w:t>17</w:t>
      </w:r>
      <w:r>
        <w:fldChar w:fldCharType="end"/>
      </w:r>
    </w:p>
    <w:p>
      <w:pPr>
        <w:pStyle w:val="TOC8"/>
        <w:rPr>
          <w:rFonts w:asciiTheme="minorHAnsi" w:eastAsiaTheme="minorEastAsia" w:hAnsiTheme="minorHAnsi" w:cstheme="minorBidi"/>
          <w:szCs w:val="22"/>
        </w:rPr>
      </w:pPr>
      <w:r>
        <w:t>39A.</w:t>
      </w:r>
      <w:r>
        <w:tab/>
        <w:t>Compliance with witness summons</w:t>
      </w:r>
      <w:r>
        <w:tab/>
      </w:r>
      <w:r>
        <w:fldChar w:fldCharType="begin"/>
      </w:r>
      <w:r>
        <w:instrText xml:space="preserve"> PAGEREF _Toc106719399 \h </w:instrText>
      </w:r>
      <w:r>
        <w:fldChar w:fldCharType="separate"/>
      </w:r>
      <w:r>
        <w:t>18</w:t>
      </w:r>
      <w:r>
        <w:fldChar w:fldCharType="end"/>
      </w:r>
    </w:p>
    <w:p>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_Toc106719400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9 — Orders and judgments</w:t>
      </w:r>
    </w:p>
    <w:p>
      <w:pPr>
        <w:pStyle w:val="TOC8"/>
        <w:rPr>
          <w:rFonts w:asciiTheme="minorHAnsi" w:eastAsiaTheme="minorEastAsia" w:hAnsiTheme="minorHAnsi" w:cstheme="minorBidi"/>
          <w:szCs w:val="22"/>
        </w:rPr>
      </w:pPr>
      <w:r>
        <w:t>41.</w:t>
      </w:r>
      <w:r>
        <w:tab/>
        <w:t>Money paid to you if you are a person under a legal disability</w:t>
      </w:r>
      <w:r>
        <w:tab/>
      </w:r>
      <w:r>
        <w:fldChar w:fldCharType="begin"/>
      </w:r>
      <w:r>
        <w:instrText xml:space="preserve"> PAGEREF _Toc106719402 \h </w:instrText>
      </w:r>
      <w:r>
        <w:fldChar w:fldCharType="separate"/>
      </w:r>
      <w:r>
        <w:t>20</w:t>
      </w:r>
      <w:r>
        <w:fldChar w:fldCharType="end"/>
      </w:r>
    </w:p>
    <w:p>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_Toc106719403 \h </w:instrText>
      </w:r>
      <w:r>
        <w:fldChar w:fldCharType="separate"/>
      </w:r>
      <w:r>
        <w:t>20</w:t>
      </w:r>
      <w:r>
        <w:fldChar w:fldCharType="end"/>
      </w:r>
    </w:p>
    <w:p>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_Toc106719404 \h </w:instrText>
      </w:r>
      <w:r>
        <w:fldChar w:fldCharType="separate"/>
      </w:r>
      <w:r>
        <w:t>20</w:t>
      </w:r>
      <w:r>
        <w:fldChar w:fldCharType="end"/>
      </w:r>
    </w:p>
    <w:p>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_Toc106719405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10A — Inactive cases</w:t>
      </w:r>
    </w:p>
    <w:p>
      <w:pPr>
        <w:pStyle w:val="TOC8"/>
        <w:rPr>
          <w:rFonts w:asciiTheme="minorHAnsi" w:eastAsiaTheme="minorEastAsia" w:hAnsiTheme="minorHAnsi" w:cstheme="minorBidi"/>
          <w:szCs w:val="22"/>
        </w:rPr>
      </w:pPr>
      <w:r>
        <w:t>45A.</w:t>
      </w:r>
      <w:r>
        <w:tab/>
        <w:t>Term used: inactive case</w:t>
      </w:r>
      <w:r>
        <w:tab/>
      </w:r>
      <w:r>
        <w:fldChar w:fldCharType="begin"/>
      </w:r>
      <w:r>
        <w:instrText xml:space="preserve"> PAGEREF _Toc106719407 \h </w:instrText>
      </w:r>
      <w:r>
        <w:fldChar w:fldCharType="separate"/>
      </w:r>
      <w:r>
        <w:t>21</w:t>
      </w:r>
      <w:r>
        <w:fldChar w:fldCharType="end"/>
      </w:r>
    </w:p>
    <w:p>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_Toc106719408 \h </w:instrText>
      </w:r>
      <w:r>
        <w:fldChar w:fldCharType="separate"/>
      </w:r>
      <w:r>
        <w:t>21</w:t>
      </w:r>
      <w:r>
        <w:fldChar w:fldCharType="end"/>
      </w:r>
    </w:p>
    <w:p>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_Toc106719409 \h </w:instrText>
      </w:r>
      <w:r>
        <w:fldChar w:fldCharType="separate"/>
      </w:r>
      <w:r>
        <w:t>21</w:t>
      </w:r>
      <w:r>
        <w:fldChar w:fldCharType="end"/>
      </w:r>
    </w:p>
    <w:p>
      <w:pPr>
        <w:pStyle w:val="TOC8"/>
        <w:rPr>
          <w:rFonts w:asciiTheme="minorHAnsi" w:eastAsiaTheme="minorEastAsia" w:hAnsiTheme="minorHAnsi" w:cstheme="minorBidi"/>
          <w:szCs w:val="22"/>
        </w:rPr>
      </w:pPr>
      <w:r>
        <w:t>45D.</w:t>
      </w:r>
      <w:r>
        <w:tab/>
        <w:t>Consequences of case becoming an inactive case</w:t>
      </w:r>
      <w:r>
        <w:tab/>
      </w:r>
      <w:r>
        <w:fldChar w:fldCharType="begin"/>
      </w:r>
      <w:r>
        <w:instrText xml:space="preserve"> PAGEREF _Toc106719410 \h </w:instrText>
      </w:r>
      <w:r>
        <w:fldChar w:fldCharType="separate"/>
      </w:r>
      <w:r>
        <w:t>22</w:t>
      </w:r>
      <w:r>
        <w:fldChar w:fldCharType="end"/>
      </w:r>
    </w:p>
    <w:p>
      <w:pPr>
        <w:pStyle w:val="TOC8"/>
        <w:rPr>
          <w:rFonts w:asciiTheme="minorHAnsi" w:eastAsiaTheme="minorEastAsia" w:hAnsiTheme="minorHAnsi" w:cstheme="minorBidi"/>
          <w:szCs w:val="22"/>
        </w:rPr>
      </w:pPr>
      <w:r>
        <w:t>45E.</w:t>
      </w:r>
      <w:r>
        <w:tab/>
        <w:t>Cases no longer taken to be inactive</w:t>
      </w:r>
      <w:r>
        <w:tab/>
      </w:r>
      <w:r>
        <w:fldChar w:fldCharType="begin"/>
      </w:r>
      <w:r>
        <w:instrText xml:space="preserve"> PAGEREF _Toc106719411 \h </w:instrText>
      </w:r>
      <w:r>
        <w:fldChar w:fldCharType="separate"/>
      </w:r>
      <w:r>
        <w:t>22</w:t>
      </w:r>
      <w:r>
        <w:fldChar w:fldCharType="end"/>
      </w:r>
    </w:p>
    <w:p>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_Toc106719412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How to lodge documents</w:t>
      </w:r>
    </w:p>
    <w:p>
      <w:pPr>
        <w:pStyle w:val="TOC8"/>
        <w:rPr>
          <w:rFonts w:asciiTheme="minorHAnsi" w:eastAsiaTheme="minorEastAsia" w:hAnsiTheme="minorHAnsi" w:cstheme="minorBidi"/>
          <w:szCs w:val="22"/>
        </w:rPr>
      </w:pPr>
      <w:r>
        <w:t>45.</w:t>
      </w:r>
      <w:r>
        <w:tab/>
        <w:t>How to lodge a document</w:t>
      </w:r>
      <w:r>
        <w:tab/>
      </w:r>
      <w:r>
        <w:fldChar w:fldCharType="begin"/>
      </w:r>
      <w:r>
        <w:instrText xml:space="preserve"> PAGEREF _Toc106719414 \h </w:instrText>
      </w:r>
      <w:r>
        <w:fldChar w:fldCharType="separate"/>
      </w:r>
      <w:r>
        <w:t>24</w:t>
      </w:r>
      <w:r>
        <w:fldChar w:fldCharType="end"/>
      </w:r>
    </w:p>
    <w:p>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_Toc106719415 \h </w:instrText>
      </w:r>
      <w:r>
        <w:fldChar w:fldCharType="separate"/>
      </w:r>
      <w:r>
        <w:t>24</w:t>
      </w:r>
      <w:r>
        <w:fldChar w:fldCharType="end"/>
      </w:r>
    </w:p>
    <w:p>
      <w:pPr>
        <w:pStyle w:val="TOC8"/>
        <w:rPr>
          <w:rFonts w:asciiTheme="minorHAnsi" w:eastAsiaTheme="minorEastAsia" w:hAnsiTheme="minorHAnsi" w:cstheme="minorBidi"/>
          <w:szCs w:val="22"/>
        </w:rPr>
      </w:pPr>
      <w:r>
        <w:t>47.</w:t>
      </w:r>
      <w:r>
        <w:tab/>
        <w:t>You must lodge a document by using the ECMS unless these rules permit you not to</w:t>
      </w:r>
      <w:r>
        <w:tab/>
      </w:r>
      <w:r>
        <w:fldChar w:fldCharType="begin"/>
      </w:r>
      <w:r>
        <w:instrText xml:space="preserve"> PAGEREF _Toc106719416 \h </w:instrText>
      </w:r>
      <w:r>
        <w:fldChar w:fldCharType="separate"/>
      </w:r>
      <w:r>
        <w:t>24</w:t>
      </w:r>
      <w:r>
        <w:fldChar w:fldCharType="end"/>
      </w:r>
    </w:p>
    <w:p>
      <w:pPr>
        <w:pStyle w:val="TOC8"/>
        <w:rPr>
          <w:rFonts w:asciiTheme="minorHAnsi" w:eastAsiaTheme="minorEastAsia" w:hAnsiTheme="minorHAnsi" w:cstheme="minorBidi"/>
          <w:szCs w:val="22"/>
        </w:rPr>
      </w:pPr>
      <w:r>
        <w:t>48.</w:t>
      </w:r>
      <w:r>
        <w:tab/>
        <w:t>Lodging documents by email</w:t>
      </w:r>
      <w:r>
        <w:tab/>
      </w:r>
      <w:r>
        <w:fldChar w:fldCharType="begin"/>
      </w:r>
      <w:r>
        <w:instrText xml:space="preserve"> PAGEREF _Toc106719417 \h </w:instrText>
      </w:r>
      <w:r>
        <w:fldChar w:fldCharType="separate"/>
      </w:r>
      <w:r>
        <w:t>25</w:t>
      </w:r>
      <w:r>
        <w:fldChar w:fldCharType="end"/>
      </w:r>
    </w:p>
    <w:p>
      <w:pPr>
        <w:pStyle w:val="TOC8"/>
        <w:rPr>
          <w:rFonts w:asciiTheme="minorHAnsi" w:eastAsiaTheme="minorEastAsia" w:hAnsiTheme="minorHAnsi" w:cstheme="minorBidi"/>
          <w:szCs w:val="22"/>
        </w:rPr>
      </w:pPr>
      <w:r>
        <w:t>49.</w:t>
      </w:r>
      <w:r>
        <w:tab/>
        <w:t>Form of documents lodged using ECMS or by email</w:t>
      </w:r>
      <w:r>
        <w:tab/>
      </w:r>
      <w:r>
        <w:fldChar w:fldCharType="begin"/>
      </w:r>
      <w:r>
        <w:instrText xml:space="preserve"> PAGEREF _Toc106719418 \h </w:instrText>
      </w:r>
      <w:r>
        <w:fldChar w:fldCharType="separate"/>
      </w:r>
      <w:r>
        <w:t>25</w:t>
      </w:r>
      <w:r>
        <w:fldChar w:fldCharType="end"/>
      </w:r>
    </w:p>
    <w:p>
      <w:pPr>
        <w:pStyle w:val="TOC8"/>
        <w:rPr>
          <w:rFonts w:asciiTheme="minorHAnsi" w:eastAsiaTheme="minorEastAsia" w:hAnsiTheme="minorHAnsi" w:cstheme="minorBidi"/>
          <w:szCs w:val="22"/>
        </w:rPr>
      </w:pPr>
      <w:r>
        <w:t>49A.</w:t>
      </w:r>
      <w:r>
        <w:tab/>
        <w:t>Time documents are lodged</w:t>
      </w:r>
      <w:r>
        <w:tab/>
      </w:r>
      <w:r>
        <w:fldChar w:fldCharType="begin"/>
      </w:r>
      <w:r>
        <w:instrText xml:space="preserve"> PAGEREF _Toc106719419 \h </w:instrText>
      </w:r>
      <w:r>
        <w:fldChar w:fldCharType="separate"/>
      </w:r>
      <w:r>
        <w:t>26</w:t>
      </w:r>
      <w:r>
        <w:fldChar w:fldCharType="end"/>
      </w:r>
    </w:p>
    <w:p>
      <w:pPr>
        <w:pStyle w:val="TOC8"/>
        <w:rPr>
          <w:rFonts w:asciiTheme="minorHAnsi" w:eastAsiaTheme="minorEastAsia" w:hAnsiTheme="minorHAnsi" w:cstheme="minorBidi"/>
          <w:szCs w:val="22"/>
        </w:rPr>
      </w:pPr>
      <w:r>
        <w:t>49B.</w:t>
      </w:r>
      <w:r>
        <w:tab/>
        <w:t>General provisions as to lodgment</w:t>
      </w:r>
      <w:r>
        <w:tab/>
      </w:r>
      <w:r>
        <w:fldChar w:fldCharType="begin"/>
      </w:r>
      <w:r>
        <w:instrText xml:space="preserve"> PAGEREF _Toc106719420 \h </w:instrText>
      </w:r>
      <w:r>
        <w:fldChar w:fldCharType="separate"/>
      </w:r>
      <w:r>
        <w:t>26</w:t>
      </w:r>
      <w:r>
        <w:fldChar w:fldCharType="end"/>
      </w:r>
    </w:p>
    <w:p>
      <w:pPr>
        <w:pStyle w:val="TOC8"/>
        <w:rPr>
          <w:rFonts w:asciiTheme="minorHAnsi" w:eastAsiaTheme="minorEastAsia" w:hAnsiTheme="minorHAnsi" w:cstheme="minorBidi"/>
          <w:szCs w:val="22"/>
        </w:rPr>
      </w:pPr>
      <w:r>
        <w:t>49C.</w:t>
      </w:r>
      <w:r>
        <w:tab/>
        <w:t>Lodging documents by post or fax</w:t>
      </w:r>
      <w:r>
        <w:tab/>
      </w:r>
      <w:r>
        <w:fldChar w:fldCharType="begin"/>
      </w:r>
      <w:r>
        <w:instrText xml:space="preserve"> PAGEREF _Toc106719421 \h </w:instrText>
      </w:r>
      <w:r>
        <w:fldChar w:fldCharType="separate"/>
      </w:r>
      <w:r>
        <w:t>27</w:t>
      </w:r>
      <w:r>
        <w:fldChar w:fldCharType="end"/>
      </w:r>
    </w:p>
    <w:p>
      <w:pPr>
        <w:pStyle w:val="TOC8"/>
        <w:rPr>
          <w:rFonts w:asciiTheme="minorHAnsi" w:eastAsiaTheme="minorEastAsia" w:hAnsiTheme="minorHAnsi" w:cstheme="minorBidi"/>
          <w:szCs w:val="22"/>
        </w:rPr>
      </w:pPr>
      <w:r>
        <w:t>49D.</w:t>
      </w:r>
      <w:r>
        <w:tab/>
        <w:t>The Court may convert paper documents to electronic form</w:t>
      </w:r>
      <w:r>
        <w:tab/>
      </w:r>
      <w:r>
        <w:fldChar w:fldCharType="begin"/>
      </w:r>
      <w:r>
        <w:instrText xml:space="preserve"> PAGEREF _Toc106719422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11 — How to serve documents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_Toc106719425 \h </w:instrText>
      </w:r>
      <w:r>
        <w:fldChar w:fldCharType="separate"/>
      </w:r>
      <w:r>
        <w:t>28</w:t>
      </w:r>
      <w:r>
        <w:fldChar w:fldCharType="end"/>
      </w:r>
    </w:p>
    <w:p>
      <w:pPr>
        <w:pStyle w:val="TOC8"/>
        <w:rPr>
          <w:rFonts w:asciiTheme="minorHAnsi" w:eastAsiaTheme="minorEastAsia" w:hAnsiTheme="minorHAnsi" w:cstheme="minorBidi"/>
          <w:szCs w:val="22"/>
        </w:rPr>
      </w:pPr>
      <w:r>
        <w:lastRenderedPageBreak/>
        <w:t>51.</w:t>
      </w:r>
      <w:r>
        <w:tab/>
        <w:t>How to serve a document</w:t>
      </w:r>
      <w:r>
        <w:tab/>
      </w:r>
      <w:r>
        <w:fldChar w:fldCharType="begin"/>
      </w:r>
      <w:r>
        <w:instrText xml:space="preserve"> PAGEREF _Toc106719426 \h </w:instrText>
      </w:r>
      <w:r>
        <w:fldChar w:fldCharType="separate"/>
      </w:r>
      <w:r>
        <w:t>28</w:t>
      </w:r>
      <w:r>
        <w:fldChar w:fldCharType="end"/>
      </w:r>
    </w:p>
    <w:p>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_Toc106719427 \h </w:instrText>
      </w:r>
      <w:r>
        <w:fldChar w:fldCharType="separate"/>
      </w:r>
      <w:r>
        <w:t>29</w:t>
      </w:r>
      <w:r>
        <w:fldChar w:fldCharType="end"/>
      </w:r>
    </w:p>
    <w:p>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_Toc106719428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Service at a residential or business address</w:t>
      </w:r>
    </w:p>
    <w:p>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_Toc106719430 \h </w:instrText>
      </w:r>
      <w:r>
        <w:fldChar w:fldCharType="separate"/>
      </w:r>
      <w:r>
        <w:t>29</w:t>
      </w:r>
      <w:r>
        <w:fldChar w:fldCharType="end"/>
      </w:r>
    </w:p>
    <w:p>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_Toc106719431 \h </w:instrText>
      </w:r>
      <w:r>
        <w:fldChar w:fldCharType="separate"/>
      </w:r>
      <w:r>
        <w:t>30</w:t>
      </w:r>
      <w:r>
        <w:fldChar w:fldCharType="end"/>
      </w:r>
    </w:p>
    <w:p>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_Toc106719432 \h </w:instrText>
      </w:r>
      <w:r>
        <w:fldChar w:fldCharType="separate"/>
      </w:r>
      <w:r>
        <w:t>30</w:t>
      </w:r>
      <w:r>
        <w:fldChar w:fldCharType="end"/>
      </w:r>
    </w:p>
    <w:p>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_Toc106719433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Personal service</w:t>
      </w:r>
    </w:p>
    <w:p>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_Toc106719435 \h </w:instrText>
      </w:r>
      <w:r>
        <w:fldChar w:fldCharType="separate"/>
      </w:r>
      <w:r>
        <w:t>31</w:t>
      </w:r>
      <w:r>
        <w:fldChar w:fldCharType="end"/>
      </w:r>
    </w:p>
    <w:p>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_Toc106719436 \h </w:instrText>
      </w:r>
      <w:r>
        <w:fldChar w:fldCharType="separate"/>
      </w:r>
      <w:r>
        <w:t>32</w:t>
      </w:r>
      <w:r>
        <w:fldChar w:fldCharType="end"/>
      </w:r>
    </w:p>
    <w:p>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_Toc106719437 \h </w:instrText>
      </w:r>
      <w:r>
        <w:fldChar w:fldCharType="separate"/>
      </w:r>
      <w:r>
        <w:t>32</w:t>
      </w:r>
      <w:r>
        <w:fldChar w:fldCharType="end"/>
      </w:r>
    </w:p>
    <w:p>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_Toc106719438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62A.</w:t>
      </w:r>
      <w:r>
        <w:tab/>
        <w:t>Applications for substituted service</w:t>
      </w:r>
      <w:r>
        <w:tab/>
      </w:r>
      <w:r>
        <w:fldChar w:fldCharType="begin"/>
      </w:r>
      <w:r>
        <w:instrText xml:space="preserve"> PAGEREF _Toc106719440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12 — How to make an application</w:t>
      </w:r>
    </w:p>
    <w:p>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_Toc106719442 \h </w:instrText>
      </w:r>
      <w:r>
        <w:fldChar w:fldCharType="separate"/>
      </w:r>
      <w:r>
        <w:t>34</w:t>
      </w:r>
      <w:r>
        <w:fldChar w:fldCharType="end"/>
      </w:r>
    </w:p>
    <w:p>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_Toc106719443 \h </w:instrText>
      </w:r>
      <w:r>
        <w:fldChar w:fldCharType="separate"/>
      </w:r>
      <w:r>
        <w:t>34</w:t>
      </w:r>
      <w:r>
        <w:fldChar w:fldCharType="end"/>
      </w:r>
    </w:p>
    <w:p>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_Toc106719444 \h </w:instrText>
      </w:r>
      <w:r>
        <w:fldChar w:fldCharType="separate"/>
      </w:r>
      <w:r>
        <w:t>34</w:t>
      </w:r>
      <w:r>
        <w:fldChar w:fldCharType="end"/>
      </w:r>
    </w:p>
    <w:p>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_Toc106719445 \h </w:instrText>
      </w:r>
      <w:r>
        <w:fldChar w:fldCharType="separate"/>
      </w:r>
      <w:r>
        <w:t>35</w:t>
      </w:r>
      <w:r>
        <w:fldChar w:fldCharType="end"/>
      </w:r>
    </w:p>
    <w:p>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_Toc106719446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13 — Affidavits</w:t>
      </w:r>
    </w:p>
    <w:p>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_Toc106719448 \h </w:instrText>
      </w:r>
      <w:r>
        <w:fldChar w:fldCharType="separate"/>
      </w:r>
      <w:r>
        <w:t>36</w:t>
      </w:r>
      <w:r>
        <w:fldChar w:fldCharType="end"/>
      </w:r>
    </w:p>
    <w:p>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_Toc106719449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14 — If you need a litigation guardian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_Toc106719451 \h </w:instrText>
      </w:r>
      <w:r>
        <w:fldChar w:fldCharType="separate"/>
      </w:r>
      <w:r>
        <w:t>37</w:t>
      </w:r>
      <w:r>
        <w:fldChar w:fldCharType="end"/>
      </w:r>
    </w:p>
    <w:p>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_Toc106719452 \h </w:instrText>
      </w:r>
      <w:r>
        <w:fldChar w:fldCharType="separate"/>
      </w:r>
      <w:r>
        <w:t>37</w:t>
      </w:r>
      <w:r>
        <w:fldChar w:fldCharType="end"/>
      </w:r>
    </w:p>
    <w:p>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_Toc106719453 \h </w:instrText>
      </w:r>
      <w:r>
        <w:fldChar w:fldCharType="separate"/>
      </w:r>
      <w:r>
        <w:t>37</w:t>
      </w:r>
      <w:r>
        <w:fldChar w:fldCharType="end"/>
      </w:r>
    </w:p>
    <w:p>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_Toc106719454 \h </w:instrText>
      </w:r>
      <w:r>
        <w:fldChar w:fldCharType="separate"/>
      </w:r>
      <w:r>
        <w:t>38</w:t>
      </w:r>
      <w:r>
        <w:fldChar w:fldCharType="end"/>
      </w:r>
    </w:p>
    <w:p>
      <w:pPr>
        <w:pStyle w:val="TOC8"/>
        <w:rPr>
          <w:rFonts w:asciiTheme="minorHAnsi" w:eastAsiaTheme="minorEastAsia" w:hAnsiTheme="minorHAnsi" w:cstheme="minorBidi"/>
          <w:szCs w:val="22"/>
        </w:rPr>
      </w:pPr>
      <w:r>
        <w:t>73.</w:t>
      </w:r>
      <w:r>
        <w:tab/>
        <w:t>If you are a child</w:t>
      </w:r>
      <w:r>
        <w:tab/>
      </w:r>
      <w:r>
        <w:fldChar w:fldCharType="begin"/>
      </w:r>
      <w:r>
        <w:instrText xml:space="preserve"> PAGEREF _Toc106719455 \h </w:instrText>
      </w:r>
      <w:r>
        <w:fldChar w:fldCharType="separate"/>
      </w:r>
      <w:r>
        <w:t>39</w:t>
      </w:r>
      <w:r>
        <w:fldChar w:fldCharType="end"/>
      </w:r>
    </w:p>
    <w:p>
      <w:pPr>
        <w:pStyle w:val="TOC8"/>
        <w:rPr>
          <w:rFonts w:asciiTheme="minorHAnsi" w:eastAsiaTheme="minorEastAsia" w:hAnsiTheme="minorHAnsi" w:cstheme="minorBidi"/>
          <w:szCs w:val="22"/>
        </w:rPr>
      </w:pPr>
      <w:r>
        <w:lastRenderedPageBreak/>
        <w:t>74.</w:t>
      </w:r>
      <w:r>
        <w:tab/>
        <w:t>Affidavits your litigation guardian must lodge and serve if you are a child</w:t>
      </w:r>
      <w:r>
        <w:tab/>
      </w:r>
      <w:r>
        <w:fldChar w:fldCharType="begin"/>
      </w:r>
      <w:r>
        <w:instrText xml:space="preserve"> PAGEREF _Toc106719456 \h </w:instrText>
      </w:r>
      <w:r>
        <w:fldChar w:fldCharType="separate"/>
      </w:r>
      <w:r>
        <w:t>39</w:t>
      </w:r>
      <w:r>
        <w:fldChar w:fldCharType="end"/>
      </w:r>
    </w:p>
    <w:p>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_Toc106719457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76A.</w:t>
      </w:r>
      <w:r>
        <w:tab/>
        <w:t xml:space="preserve">If you are making an application under the </w:t>
      </w:r>
      <w:r>
        <w:rPr>
          <w:i/>
          <w:iCs/>
        </w:rPr>
        <w:t>Residential Tenancies Act 1987</w:t>
      </w:r>
      <w:r>
        <w:tab/>
      </w:r>
      <w:r>
        <w:fldChar w:fldCharType="begin"/>
      </w:r>
      <w:r>
        <w:instrText xml:space="preserve"> PAGEREF _Toc106719459 \h </w:instrText>
      </w:r>
      <w:r>
        <w:fldChar w:fldCharType="separate"/>
      </w:r>
      <w:r>
        <w:t>41</w:t>
      </w:r>
      <w:r>
        <w:fldChar w:fldCharType="end"/>
      </w:r>
    </w:p>
    <w:p>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_Toc106719460 \h </w:instrText>
      </w:r>
      <w:r>
        <w:fldChar w:fldCharType="separate"/>
      </w:r>
      <w:r>
        <w:t>41</w:t>
      </w:r>
      <w:r>
        <w:fldChar w:fldCharType="end"/>
      </w:r>
    </w:p>
    <w:p>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_Toc106719461 \h </w:instrText>
      </w:r>
      <w:r>
        <w:fldChar w:fldCharType="separate"/>
      </w:r>
      <w:r>
        <w:t>41</w:t>
      </w:r>
      <w:r>
        <w:fldChar w:fldCharType="end"/>
      </w:r>
    </w:p>
    <w:p>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_Toc106719462 \h </w:instrText>
      </w:r>
      <w:r>
        <w:fldChar w:fldCharType="separate"/>
      </w:r>
      <w:r>
        <w:t>42</w:t>
      </w:r>
      <w:r>
        <w:fldChar w:fldCharType="end"/>
      </w:r>
    </w:p>
    <w:p>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_Toc106719463 \h </w:instrText>
      </w:r>
      <w:r>
        <w:fldChar w:fldCharType="separate"/>
      </w:r>
      <w:r>
        <w:t>42</w:t>
      </w:r>
      <w:r>
        <w:fldChar w:fldCharType="end"/>
      </w:r>
    </w:p>
    <w:p>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_Toc106719464 \h </w:instrText>
      </w:r>
      <w:r>
        <w:fldChar w:fldCharType="separate"/>
      </w:r>
      <w:r>
        <w:t>42</w:t>
      </w:r>
      <w:r>
        <w:fldChar w:fldCharType="end"/>
      </w:r>
    </w:p>
    <w:p>
      <w:pPr>
        <w:pStyle w:val="TOC8"/>
        <w:rPr>
          <w:rFonts w:asciiTheme="minorHAnsi" w:eastAsiaTheme="minorEastAsia" w:hAnsiTheme="minorHAnsi" w:cstheme="minorBidi"/>
          <w:szCs w:val="22"/>
        </w:rPr>
      </w:pPr>
      <w:r>
        <w:t>79.</w:t>
      </w:r>
      <w:r>
        <w:tab/>
        <w:t>When you are required to do things personally and you are not an individual</w:t>
      </w:r>
      <w:r>
        <w:tab/>
      </w:r>
      <w:r>
        <w:fldChar w:fldCharType="begin"/>
      </w:r>
      <w:r>
        <w:instrText xml:space="preserve"> PAGEREF _Toc106719465 \h </w:instrText>
      </w:r>
      <w:r>
        <w:fldChar w:fldCharType="separate"/>
      </w:r>
      <w:r>
        <w:t>42</w:t>
      </w:r>
      <w:r>
        <w:fldChar w:fldCharType="end"/>
      </w:r>
    </w:p>
    <w:p>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_Toc106719466 \h </w:instrText>
      </w:r>
      <w:r>
        <w:fldChar w:fldCharType="separate"/>
      </w:r>
      <w:r>
        <w:t>43</w:t>
      </w:r>
      <w:r>
        <w:fldChar w:fldCharType="end"/>
      </w:r>
    </w:p>
    <w:p>
      <w:pPr>
        <w:pStyle w:val="TOC8"/>
        <w:rPr>
          <w:rFonts w:asciiTheme="minorHAnsi" w:eastAsiaTheme="minorEastAsia" w:hAnsiTheme="minorHAnsi" w:cstheme="minorBidi"/>
          <w:szCs w:val="22"/>
        </w:rPr>
      </w:pPr>
      <w:r>
        <w:t>81.</w:t>
      </w:r>
      <w:r>
        <w:tab/>
        <w:t xml:space="preserve">Registrar’s powers under the </w:t>
      </w:r>
      <w:r>
        <w:rPr>
          <w:i/>
          <w:iCs/>
        </w:rPr>
        <w:t>Civil Judgments Enforcement Act 2004</w:t>
      </w:r>
      <w:r>
        <w:tab/>
      </w:r>
      <w:r>
        <w:fldChar w:fldCharType="begin"/>
      </w:r>
      <w:r>
        <w:instrText xml:space="preserve"> PAGEREF _Toc106719467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16 — Transitional rules for the </w:t>
      </w:r>
      <w:r>
        <w:rPr>
          <w:i/>
        </w:rPr>
        <w:t>Magistrates Court Rules Amendment Rules 2020</w:t>
      </w:r>
    </w:p>
    <w:p>
      <w:pPr>
        <w:pStyle w:val="TOC8"/>
        <w:rPr>
          <w:rFonts w:asciiTheme="minorHAnsi" w:eastAsiaTheme="minorEastAsia" w:hAnsiTheme="minorHAnsi" w:cstheme="minorBidi"/>
          <w:szCs w:val="22"/>
        </w:rPr>
      </w:pPr>
      <w:r>
        <w:t>82.</w:t>
      </w:r>
      <w:r>
        <w:tab/>
        <w:t>Terms used in this Part</w:t>
      </w:r>
      <w:r>
        <w:tab/>
      </w:r>
      <w:r>
        <w:fldChar w:fldCharType="begin"/>
      </w:r>
      <w:r>
        <w:instrText xml:space="preserve"> PAGEREF _Toc106719469 \h </w:instrText>
      </w:r>
      <w:r>
        <w:fldChar w:fldCharType="separate"/>
      </w:r>
      <w:r>
        <w:t>45</w:t>
      </w:r>
      <w:r>
        <w:fldChar w:fldCharType="end"/>
      </w:r>
    </w:p>
    <w:p>
      <w:pPr>
        <w:pStyle w:val="TOC8"/>
        <w:rPr>
          <w:rFonts w:asciiTheme="minorHAnsi" w:eastAsiaTheme="minorEastAsia" w:hAnsiTheme="minorHAnsi" w:cstheme="minorBidi"/>
          <w:szCs w:val="22"/>
        </w:rPr>
      </w:pPr>
      <w:r>
        <w:t>83.</w:t>
      </w:r>
      <w:r>
        <w:tab/>
        <w:t>Application of amended Rules in relation to transitional cases</w:t>
      </w:r>
      <w:r>
        <w:tab/>
      </w:r>
      <w:r>
        <w:fldChar w:fldCharType="begin"/>
      </w:r>
      <w:r>
        <w:instrText xml:space="preserve"> PAGEREF _Toc106719470 \h </w:instrText>
      </w:r>
      <w:r>
        <w:fldChar w:fldCharType="separate"/>
      </w:r>
      <w:r>
        <w:t>45</w:t>
      </w:r>
      <w:r>
        <w:fldChar w:fldCharType="end"/>
      </w:r>
    </w:p>
    <w:p>
      <w:pPr>
        <w:pStyle w:val="TOC8"/>
        <w:rPr>
          <w:rFonts w:asciiTheme="minorHAnsi" w:eastAsiaTheme="minorEastAsia" w:hAnsiTheme="minorHAnsi" w:cstheme="minorBidi"/>
          <w:szCs w:val="22"/>
        </w:rPr>
      </w:pPr>
      <w:r>
        <w:t>84.</w:t>
      </w:r>
      <w:r>
        <w:tab/>
        <w:t>Application of former Rules in relation to certain transitional cases</w:t>
      </w:r>
      <w:r>
        <w:tab/>
      </w:r>
      <w:r>
        <w:fldChar w:fldCharType="begin"/>
      </w:r>
      <w:r>
        <w:instrText xml:space="preserve"> PAGEREF _Toc106719471 \h </w:instrText>
      </w:r>
      <w:r>
        <w:fldChar w:fldCharType="separate"/>
      </w:r>
      <w:r>
        <w:t>46</w:t>
      </w:r>
      <w:r>
        <w:fldChar w:fldCharType="end"/>
      </w:r>
    </w:p>
    <w:p>
      <w:pPr>
        <w:pStyle w:val="TOC8"/>
        <w:rPr>
          <w:rFonts w:asciiTheme="minorHAnsi" w:eastAsiaTheme="minorEastAsia" w:hAnsiTheme="minorHAnsi" w:cstheme="minorBidi"/>
          <w:szCs w:val="22"/>
        </w:rPr>
      </w:pPr>
      <w:r>
        <w:t>85.</w:t>
      </w:r>
      <w:r>
        <w:tab/>
        <w:t>Listing transitional cases for a status conference</w:t>
      </w:r>
      <w:r>
        <w:tab/>
      </w:r>
      <w:r>
        <w:fldChar w:fldCharType="begin"/>
      </w:r>
      <w:r>
        <w:instrText xml:space="preserve"> PAGEREF _Toc106719472 \h </w:instrText>
      </w:r>
      <w:r>
        <w:fldChar w:fldCharType="separate"/>
      </w:r>
      <w:r>
        <w:t>46</w:t>
      </w:r>
      <w:r>
        <w:fldChar w:fldCharType="end"/>
      </w:r>
    </w:p>
    <w:p>
      <w:pPr>
        <w:pStyle w:val="TOC8"/>
        <w:rPr>
          <w:rFonts w:asciiTheme="minorHAnsi" w:eastAsiaTheme="minorEastAsia" w:hAnsiTheme="minorHAnsi" w:cstheme="minorBidi"/>
          <w:szCs w:val="22"/>
        </w:rPr>
      </w:pPr>
      <w:r>
        <w:t>86.</w:t>
      </w:r>
      <w:r>
        <w:tab/>
        <w:t>Court or registrar may give directions in relation to transitional issues</w:t>
      </w:r>
      <w:r>
        <w:tab/>
      </w:r>
      <w:r>
        <w:fldChar w:fldCharType="begin"/>
      </w:r>
      <w:r>
        <w:instrText xml:space="preserve"> PAGEREF _Toc106719473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17 — Transitional rules for the Magistrates Court Rules Amendment Rules 2022</w:t>
      </w:r>
    </w:p>
    <w:p>
      <w:pPr>
        <w:pStyle w:val="TOC8"/>
        <w:rPr>
          <w:rFonts w:asciiTheme="minorHAnsi" w:eastAsiaTheme="minorEastAsia" w:hAnsiTheme="minorHAnsi" w:cstheme="minorBidi"/>
          <w:szCs w:val="22"/>
        </w:rPr>
      </w:pPr>
      <w:r>
        <w:t>87.</w:t>
      </w:r>
      <w:r>
        <w:tab/>
        <w:t>Consumer/trader claims</w:t>
      </w:r>
      <w:r>
        <w:tab/>
      </w:r>
      <w:r>
        <w:fldChar w:fldCharType="begin"/>
      </w:r>
      <w:r>
        <w:instrText xml:space="preserve"> PAGEREF _Toc106719475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_Toc106719477 \h </w:instrText>
      </w:r>
      <w:r>
        <w:fldChar w:fldCharType="separate"/>
      </w:r>
      <w:r>
        <w:t>49</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_Toc106719478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Magistrates Court (Civil Proceedings) Act 2004</w:t>
      </w:r>
    </w:p>
    <w:p>
      <w:pPr>
        <w:pStyle w:val="NameofActReg"/>
      </w:pPr>
      <w:r>
        <w:t>Magistrates Court (Minor Cases Procedure) Rules 2005</w:t>
      </w:r>
    </w:p>
    <w:p>
      <w:pPr>
        <w:pStyle w:val="Heading2"/>
        <w:pageBreakBefore w:val="0"/>
        <w:spacing w:before="240"/>
      </w:pPr>
      <w:bookmarkStart w:id="3" w:name="_Toc106717968"/>
      <w:bookmarkStart w:id="4" w:name="_Toc106718095"/>
      <w:bookmarkStart w:id="5" w:name="_Toc10671935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719353"/>
      <w:r>
        <w:rPr>
          <w:rStyle w:val="CharSectno"/>
        </w:rPr>
        <w:t>1</w:t>
      </w:r>
      <w:r>
        <w:t>.</w:t>
      </w:r>
      <w:r>
        <w:tab/>
        <w:t>Citation</w:t>
      </w:r>
      <w:bookmarkEnd w:id="6"/>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7" w:name="_Toc106719354"/>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8" w:name="_Toc106719355"/>
      <w:r>
        <w:rPr>
          <w:rStyle w:val="CharSectno"/>
        </w:rPr>
        <w:t>3</w:t>
      </w:r>
      <w:r>
        <w:t>.</w:t>
      </w:r>
      <w:r>
        <w:tab/>
        <w:t xml:space="preserve">These rules to be read with the </w:t>
      </w:r>
      <w:r>
        <w:rPr>
          <w:i/>
          <w:iCs/>
        </w:rPr>
        <w:t>Magistrates Court (General) Rules 2005</w:t>
      </w:r>
      <w:bookmarkEnd w:id="8"/>
    </w:p>
    <w:p>
      <w:pPr>
        <w:pStyle w:val="Subsection"/>
      </w:pPr>
      <w:r>
        <w:tab/>
      </w:r>
      <w:r>
        <w:tab/>
        <w:t xml:space="preserve">These rules are to be read with the </w:t>
      </w:r>
      <w:r>
        <w:rPr>
          <w:i/>
          <w:iCs/>
        </w:rPr>
        <w:t>Magistrates Court (General) Rules 2005</w:t>
      </w:r>
      <w:r>
        <w:t>.</w:t>
      </w:r>
    </w:p>
    <w:p>
      <w:pPr>
        <w:pStyle w:val="Heading5"/>
      </w:pPr>
      <w:bookmarkStart w:id="9" w:name="_Toc106719356"/>
      <w:r>
        <w:rPr>
          <w:rStyle w:val="CharSectno"/>
        </w:rPr>
        <w:t>4</w:t>
      </w:r>
      <w:r>
        <w:t>.</w:t>
      </w:r>
      <w:r>
        <w:tab/>
        <w:t>Terms used</w:t>
      </w:r>
      <w:bookmarkEnd w:id="9"/>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lastRenderedPageBreak/>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lastRenderedPageBreak/>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 SL 2021/25 r. 28.]</w:t>
      </w:r>
    </w:p>
    <w:p>
      <w:pPr>
        <w:pStyle w:val="Heading5"/>
      </w:pPr>
      <w:bookmarkStart w:id="10" w:name="_Toc106719357"/>
      <w:r>
        <w:rPr>
          <w:rStyle w:val="CharSectno"/>
        </w:rPr>
        <w:t>5</w:t>
      </w:r>
      <w:r>
        <w:t>.</w:t>
      </w:r>
      <w:r>
        <w:tab/>
        <w:t>When these rules apply</w:t>
      </w:r>
      <w:bookmarkEnd w:id="10"/>
    </w:p>
    <w:p>
      <w:pPr>
        <w:pStyle w:val="Subsection"/>
      </w:pPr>
      <w:r>
        <w:tab/>
      </w:r>
      <w:r>
        <w:tab/>
        <w:t>Unless the Court in a particular case orders otherwise, these rules apply in every minor case.</w:t>
      </w:r>
    </w:p>
    <w:p>
      <w:pPr>
        <w:pStyle w:val="Heading5"/>
      </w:pPr>
      <w:bookmarkStart w:id="11" w:name="_Toc106719358"/>
      <w:r>
        <w:rPr>
          <w:rStyle w:val="CharSectno"/>
        </w:rPr>
        <w:t>6A</w:t>
      </w:r>
      <w:r>
        <w:t>.</w:t>
      </w:r>
      <w:r>
        <w:tab/>
        <w:t>Exercise of Court’s powers in Part 3 of the Act</w:t>
      </w:r>
      <w:bookmarkEnd w:id="11"/>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12" w:name="_Toc106717975"/>
      <w:bookmarkStart w:id="13" w:name="_Toc106718102"/>
      <w:bookmarkStart w:id="14" w:name="_Toc106719359"/>
      <w:r>
        <w:rPr>
          <w:rStyle w:val="CharPartNo"/>
        </w:rPr>
        <w:lastRenderedPageBreak/>
        <w:t>Part 2</w:t>
      </w:r>
      <w:r>
        <w:t> — </w:t>
      </w:r>
      <w:r>
        <w:rPr>
          <w:rStyle w:val="CharPartText"/>
        </w:rPr>
        <w:t>How to make and defend a claim</w:t>
      </w:r>
      <w:bookmarkEnd w:id="12"/>
      <w:bookmarkEnd w:id="13"/>
      <w:bookmarkEnd w:id="14"/>
    </w:p>
    <w:p>
      <w:pPr>
        <w:pStyle w:val="Footnoteheading"/>
      </w:pPr>
      <w:r>
        <w:tab/>
        <w:t>[Heading amended: SL 2022/54 r. 9.]</w:t>
      </w:r>
    </w:p>
    <w:p>
      <w:pPr>
        <w:pStyle w:val="Ednotesection"/>
      </w:pPr>
      <w:r>
        <w:t>[</w:t>
      </w:r>
      <w:r>
        <w:rPr>
          <w:b/>
        </w:rPr>
        <w:t>6.</w:t>
      </w:r>
      <w:r>
        <w:tab/>
        <w:t>Deleted: SL 2022/54 r. 10.]</w:t>
      </w:r>
    </w:p>
    <w:p>
      <w:pPr>
        <w:pStyle w:val="Heading5"/>
      </w:pPr>
      <w:bookmarkStart w:id="15" w:name="_Toc106719360"/>
      <w:r>
        <w:rPr>
          <w:rStyle w:val="CharSectno"/>
          <w:rFonts w:ascii="Times" w:hAnsi="Times"/>
        </w:rPr>
        <w:t>7</w:t>
      </w:r>
      <w:r>
        <w:t>.</w:t>
      </w:r>
      <w:r>
        <w:tab/>
        <w:t>How to make a claim that starts a case</w:t>
      </w:r>
      <w:bookmarkEnd w:id="15"/>
    </w:p>
    <w:p>
      <w:pPr>
        <w:pStyle w:val="Subsection"/>
      </w:pPr>
      <w:r>
        <w:tab/>
        <w:t>(1)</w:t>
      </w:r>
      <w:r>
        <w:tab/>
        <w:t>If you want to make a claim that starts a case you must lodge the approved form.</w:t>
      </w:r>
    </w:p>
    <w:p>
      <w:pPr>
        <w:pStyle w:val="Ednotesubsection"/>
      </w:pPr>
      <w:r>
        <w:tab/>
        <w:t>[(2)</w:t>
      </w:r>
      <w:r>
        <w:tab/>
        <w:t>deleted]</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 SL 2020/67 r. 44.]</w:t>
      </w:r>
    </w:p>
    <w:p>
      <w:pPr>
        <w:pStyle w:val="Ednotesection"/>
      </w:pPr>
      <w:r>
        <w:t>[</w:t>
      </w:r>
      <w:r>
        <w:rPr>
          <w:b/>
        </w:rPr>
        <w:t>7A.</w:t>
      </w:r>
      <w:r>
        <w:tab/>
        <w:t>Deleted: SL 2020/67 r. 45.]</w:t>
      </w:r>
    </w:p>
    <w:p>
      <w:pPr>
        <w:pStyle w:val="Heading5"/>
      </w:pPr>
      <w:bookmarkStart w:id="16" w:name="_Toc106719361"/>
      <w:r>
        <w:rPr>
          <w:rStyle w:val="CharSectno"/>
          <w:rFonts w:ascii="Times" w:hAnsi="Times"/>
        </w:rPr>
        <w:t>8</w:t>
      </w:r>
      <w:r>
        <w:t>.</w:t>
      </w:r>
      <w:r>
        <w:tab/>
        <w:t>How to make a third party claim</w:t>
      </w:r>
      <w:bookmarkEnd w:id="16"/>
    </w:p>
    <w:p>
      <w:pPr>
        <w:pStyle w:val="Subsection"/>
      </w:pPr>
      <w:r>
        <w:tab/>
        <w:t>(1)</w:t>
      </w:r>
      <w:r>
        <w:tab/>
        <w:t>If you want to make a third party claim you must lodge the approved form.</w:t>
      </w:r>
    </w:p>
    <w:p>
      <w:pPr>
        <w:pStyle w:val="Ednotesubsection"/>
      </w:pPr>
      <w:r>
        <w:tab/>
        <w:t>[(2)</w:t>
      </w:r>
      <w:r>
        <w:noBreakHyphen/>
        <w:t>(3)</w:t>
      </w:r>
      <w:r>
        <w:tab/>
        <w:t>deleted]</w:t>
      </w:r>
    </w:p>
    <w:p>
      <w:pPr>
        <w:pStyle w:val="Subsection"/>
        <w:keepNext/>
      </w:pPr>
      <w:r>
        <w:tab/>
        <w:t>(4)</w:t>
      </w:r>
      <w:r>
        <w:tab/>
        <w:t>Unless these rules or an Act says otherwise, your third party claim must be served personally on the party you are claiming against.</w:t>
      </w:r>
    </w:p>
    <w:p>
      <w:pPr>
        <w:pStyle w:val="Footnotesection"/>
      </w:pPr>
      <w:r>
        <w:tab/>
        <w:t>[Rule 8 inserted: Gazette 3 Jun 2008 p. 2139</w:t>
      </w:r>
      <w:r>
        <w:noBreakHyphen/>
        <w:t>40; amended: Gazette 30 Sep 2016 p. 4175; SL 2020/67 r. 46.]</w:t>
      </w:r>
    </w:p>
    <w:p>
      <w:pPr>
        <w:pStyle w:val="Heading5"/>
      </w:pPr>
      <w:bookmarkStart w:id="17" w:name="_Toc106719362"/>
      <w:r>
        <w:rPr>
          <w:rStyle w:val="CharSectno"/>
          <w:rFonts w:ascii="Times" w:hAnsi="Times"/>
        </w:rPr>
        <w:t>9</w:t>
      </w:r>
      <w:r>
        <w:t>.</w:t>
      </w:r>
      <w:r>
        <w:tab/>
        <w:t>How to respond to a claim</w:t>
      </w:r>
      <w:bookmarkEnd w:id="17"/>
    </w:p>
    <w:p>
      <w:pPr>
        <w:pStyle w:val="Subsection"/>
      </w:pPr>
      <w:r>
        <w:tab/>
        <w:t>(1)</w:t>
      </w:r>
      <w:r>
        <w:tab/>
        <w:t>If a claim has been made against you, you must lodge a response to the claim in the approved form with the Court within 14 days after the claim was served.</w:t>
      </w:r>
    </w:p>
    <w:p>
      <w:pPr>
        <w:pStyle w:val="Ednotesubsection"/>
      </w:pPr>
      <w:r>
        <w:lastRenderedPageBreak/>
        <w:tab/>
        <w:t>[(2)</w:t>
      </w:r>
      <w:r>
        <w:tab/>
        <w:t>deleted]</w:t>
      </w:r>
    </w:p>
    <w:p>
      <w:pPr>
        <w:pStyle w:val="Subsection"/>
        <w:keepNext/>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 SL 2020/67 r. 47.]</w:t>
      </w:r>
    </w:p>
    <w:p>
      <w:pPr>
        <w:pStyle w:val="Ednotesection"/>
      </w:pPr>
      <w:r>
        <w:t>[</w:t>
      </w:r>
      <w:r>
        <w:rPr>
          <w:b/>
        </w:rPr>
        <w:t>9A.</w:t>
      </w:r>
      <w:r>
        <w:tab/>
        <w:t>Deleted: SL 2020/67 r. 48.]</w:t>
      </w:r>
    </w:p>
    <w:p>
      <w:pPr>
        <w:pStyle w:val="Heading5"/>
      </w:pPr>
      <w:bookmarkStart w:id="18" w:name="_Toc106719363"/>
      <w:r>
        <w:rPr>
          <w:rStyle w:val="CharSectno"/>
          <w:rFonts w:ascii="Times" w:hAnsi="Times"/>
        </w:rPr>
        <w:t>10A</w:t>
      </w:r>
      <w:r>
        <w:t>.</w:t>
      </w:r>
      <w:r>
        <w:tab/>
        <w:t>If you admit a claim</w:t>
      </w:r>
      <w:bookmarkEnd w:id="18"/>
    </w:p>
    <w:p>
      <w:pPr>
        <w:pStyle w:val="Subsection"/>
        <w:keepNext/>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19" w:name="_Toc106719364"/>
      <w:r>
        <w:rPr>
          <w:rStyle w:val="CharSectno"/>
          <w:rFonts w:ascii="Times" w:hAnsi="Times"/>
        </w:rPr>
        <w:t>10B</w:t>
      </w:r>
      <w:r>
        <w:t>.</w:t>
      </w:r>
      <w:r>
        <w:tab/>
        <w:t>If you admit part of a claim</w:t>
      </w:r>
      <w:bookmarkEnd w:id="19"/>
    </w:p>
    <w:p>
      <w:pPr>
        <w:pStyle w:val="Subsection"/>
        <w:keepNext/>
      </w:pPr>
      <w:r>
        <w:tab/>
        <w:t>(1)</w:t>
      </w:r>
      <w:r>
        <w:tab/>
        <w:t xml:space="preserve">If in a response you admit liability for part of a claim made against you but indicate that you want to defend the rest of the claim, in your response you — </w:t>
      </w:r>
    </w:p>
    <w:p>
      <w:pPr>
        <w:pStyle w:val="Indenta"/>
      </w:pPr>
      <w:r>
        <w:tab/>
        <w:t>(a)</w:t>
      </w:r>
      <w:r>
        <w:tab/>
        <w:t>must outline the basis upon which you admit part of the claim; and</w:t>
      </w:r>
    </w:p>
    <w:p>
      <w:pPr>
        <w:pStyle w:val="Indenta"/>
      </w:pPr>
      <w:r>
        <w:tab/>
        <w:t>(b)</w:t>
      </w:r>
      <w:r>
        <w:tab/>
        <w:t>may offer an amount as full satisfaction for the claim.</w:t>
      </w:r>
    </w:p>
    <w:p>
      <w:pPr>
        <w:pStyle w:val="Subsection"/>
      </w:pPr>
      <w:r>
        <w:tab/>
        <w:t>(2)</w:t>
      </w:r>
      <w:r>
        <w:tab/>
        <w:t>The other party may accept your offer by lodging and serving a notice of acceptance in an approved form within 14 days after receiving your response.</w:t>
      </w:r>
    </w:p>
    <w:p>
      <w:pPr>
        <w:pStyle w:val="Subsection"/>
        <w:keepNext/>
      </w:pPr>
      <w:r>
        <w:tab/>
        <w:t>(3)</w:t>
      </w:r>
      <w:r>
        <w:tab/>
        <w:t>If your offer is accepted, the registrar may give judgment against you in accordance with your admission and offer.</w:t>
      </w:r>
    </w:p>
    <w:p>
      <w:pPr>
        <w:pStyle w:val="Footnotesection"/>
      </w:pPr>
      <w:r>
        <w:tab/>
        <w:t>[Rule 10B inserted: Gazette 3 Jun 2008 p. 2140; amended: SL 2020/67 r. 49.]</w:t>
      </w:r>
    </w:p>
    <w:p>
      <w:pPr>
        <w:pStyle w:val="Heading5"/>
      </w:pPr>
      <w:bookmarkStart w:id="20" w:name="_Toc106719365"/>
      <w:r>
        <w:rPr>
          <w:rStyle w:val="CharSectno"/>
          <w:rFonts w:ascii="Times" w:hAnsi="Times"/>
        </w:rPr>
        <w:lastRenderedPageBreak/>
        <w:t>10C</w:t>
      </w:r>
      <w:r>
        <w:t>.</w:t>
      </w:r>
      <w:r>
        <w:tab/>
        <w:t>You may admit liability but dispute the amount claimed</w:t>
      </w:r>
      <w:bookmarkEnd w:id="20"/>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keepNext/>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Court must then list the case for a status conference and notify you and the other parties in writing.</w:t>
      </w:r>
    </w:p>
    <w:p>
      <w:pPr>
        <w:pStyle w:val="Subsection"/>
        <w:keepNext/>
      </w:pPr>
      <w:r>
        <w:tab/>
        <w:t>(3)</w:t>
      </w:r>
      <w:r>
        <w:tab/>
        <w:t xml:space="preserve">At a status conference a magistrate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keepNext/>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 SL 2020/67 r. 50.]</w:t>
      </w:r>
    </w:p>
    <w:p>
      <w:pPr>
        <w:pStyle w:val="Heading5"/>
      </w:pPr>
      <w:bookmarkStart w:id="21" w:name="_Toc106719366"/>
      <w:r>
        <w:rPr>
          <w:rStyle w:val="CharSectno"/>
          <w:rFonts w:ascii="Times" w:hAnsi="Times"/>
        </w:rPr>
        <w:t>10</w:t>
      </w:r>
      <w:r>
        <w:t>.</w:t>
      </w:r>
      <w:r>
        <w:tab/>
        <w:t>How to accept an offer of settlement</w:t>
      </w:r>
      <w:bookmarkEnd w:id="21"/>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a status conference or such other time as is ordered by the Court.</w:t>
      </w:r>
    </w:p>
    <w:p>
      <w:pPr>
        <w:pStyle w:val="Subsection"/>
        <w:keepNext/>
      </w:pPr>
      <w:r>
        <w:tab/>
        <w:t>(2)</w:t>
      </w:r>
      <w:r>
        <w:tab/>
        <w:t>The notice of acceptance must be in the approved form.</w:t>
      </w:r>
    </w:p>
    <w:p>
      <w:pPr>
        <w:pStyle w:val="Footnotesection"/>
      </w:pPr>
      <w:r>
        <w:tab/>
        <w:t>[Rule 10 inserted: Gazette 3 Jun 2008 p. 2141; amended: SL 2020/67 r. 51.]</w:t>
      </w:r>
    </w:p>
    <w:p>
      <w:pPr>
        <w:pStyle w:val="Ednotepart"/>
      </w:pPr>
      <w:r>
        <w:t>[Part 3 (r. 11</w:t>
      </w:r>
      <w:r>
        <w:noBreakHyphen/>
        <w:t>15) deleted: SL 2022/54 r. 11.]</w:t>
      </w:r>
    </w:p>
    <w:p>
      <w:pPr>
        <w:pStyle w:val="Heading2"/>
      </w:pPr>
      <w:bookmarkStart w:id="22" w:name="_Toc106717983"/>
      <w:bookmarkStart w:id="23" w:name="_Toc106718110"/>
      <w:bookmarkStart w:id="24" w:name="_Toc106719367"/>
      <w:r>
        <w:rPr>
          <w:rStyle w:val="CharPartNo"/>
        </w:rPr>
        <w:lastRenderedPageBreak/>
        <w:t>Part 4</w:t>
      </w:r>
      <w:r>
        <w:rPr>
          <w:rStyle w:val="CharDivNo"/>
        </w:rPr>
        <w:t> </w:t>
      </w:r>
      <w:r>
        <w:t>—</w:t>
      </w:r>
      <w:r>
        <w:rPr>
          <w:rStyle w:val="CharDivText"/>
        </w:rPr>
        <w:t> </w:t>
      </w:r>
      <w:r>
        <w:rPr>
          <w:rStyle w:val="CharPartText"/>
        </w:rPr>
        <w:t>If you or another party does not defend a claim</w:t>
      </w:r>
      <w:bookmarkEnd w:id="22"/>
      <w:bookmarkEnd w:id="23"/>
      <w:bookmarkEnd w:id="24"/>
    </w:p>
    <w:p>
      <w:pPr>
        <w:pStyle w:val="Heading5"/>
      </w:pPr>
      <w:bookmarkStart w:id="25" w:name="_Toc106719368"/>
      <w:r>
        <w:rPr>
          <w:rStyle w:val="CharSectno"/>
        </w:rPr>
        <w:t>16</w:t>
      </w:r>
      <w:r>
        <w:t>.</w:t>
      </w:r>
      <w:r>
        <w:tab/>
        <w:t>When this Part applies</w:t>
      </w:r>
      <w:bookmarkEnd w:id="25"/>
    </w:p>
    <w:p>
      <w:pPr>
        <w:pStyle w:val="Subsection"/>
      </w:pPr>
      <w:r>
        <w:tab/>
      </w:r>
      <w:r>
        <w:tab/>
        <w:t>This Part applies if an application for default judgment is made against you or another party for a failure to lodge and serve a response in accordance with rule 9(1).</w:t>
      </w:r>
    </w:p>
    <w:p>
      <w:pPr>
        <w:pStyle w:val="Footnotesection"/>
      </w:pPr>
      <w:r>
        <w:tab/>
        <w:t>[Rule 16 inserted: SL 2020/67 r. 56.]</w:t>
      </w:r>
    </w:p>
    <w:p>
      <w:pPr>
        <w:pStyle w:val="Heading5"/>
      </w:pPr>
      <w:bookmarkStart w:id="26" w:name="_Toc106719369"/>
      <w:r>
        <w:rPr>
          <w:rStyle w:val="CharSectno"/>
        </w:rPr>
        <w:t>17</w:t>
      </w:r>
      <w:r>
        <w:t>.</w:t>
      </w:r>
      <w:r>
        <w:tab/>
        <w:t>If the claim is for a liquidated amount</w:t>
      </w:r>
      <w:bookmarkEnd w:id="26"/>
    </w:p>
    <w:p>
      <w:pPr>
        <w:pStyle w:val="Subsection"/>
      </w:pPr>
      <w:r>
        <w:tab/>
      </w:r>
      <w:r>
        <w:tab/>
        <w:t xml:space="preserve">Unless rule 21 applies, if the claim is for a liquidated amount a registrar is to give default judgment for that amount. </w:t>
      </w:r>
    </w:p>
    <w:p>
      <w:pPr>
        <w:pStyle w:val="Footnotesection"/>
      </w:pPr>
      <w:r>
        <w:tab/>
        <w:t>[Rule 17 inserted: SL 2020/67 r. 56.]</w:t>
      </w:r>
    </w:p>
    <w:p>
      <w:pPr>
        <w:pStyle w:val="Heading5"/>
      </w:pPr>
      <w:bookmarkStart w:id="27" w:name="_Toc106719370"/>
      <w:r>
        <w:rPr>
          <w:rStyle w:val="CharSectno"/>
        </w:rPr>
        <w:t>18</w:t>
      </w:r>
      <w:r>
        <w:t>.</w:t>
      </w:r>
      <w:r>
        <w:tab/>
        <w:t>If the claim is for an unliquidated amount</w:t>
      </w:r>
      <w:bookmarkEnd w:id="27"/>
    </w:p>
    <w:p>
      <w:pPr>
        <w:pStyle w:val="Subsection"/>
      </w:pPr>
      <w:r>
        <w:tab/>
        <w:t>(1)</w:t>
      </w:r>
      <w:r>
        <w:tab/>
        <w:t>Unless rule 21 applies, if the claim is for an unliquidated amount a registrar is to give default judgment for an unliquidated amount.</w:t>
      </w:r>
    </w:p>
    <w:p>
      <w:pPr>
        <w:pStyle w:val="Subsection"/>
      </w:pPr>
      <w:r>
        <w:tab/>
        <w:t>(2)</w:t>
      </w:r>
      <w:r>
        <w:tab/>
        <w:t xml:space="preserve">When the registrar gives default judgment for an unliquidated amount, the registrar may do any or all of the following — </w:t>
      </w:r>
    </w:p>
    <w:p>
      <w:pPr>
        <w:pStyle w:val="Indenta"/>
      </w:pPr>
      <w:r>
        <w:tab/>
        <w:t>(a)</w:t>
      </w:r>
      <w:r>
        <w:tab/>
        <w:t>request that you or another party lodge additional supporting material in relation to the claim;</w:t>
      </w:r>
    </w:p>
    <w:p>
      <w:pPr>
        <w:pStyle w:val="Indenta"/>
      </w:pPr>
      <w:r>
        <w:tab/>
        <w:t>(b)</w:t>
      </w:r>
      <w:r>
        <w:tab/>
        <w:t>give default judgment against the defendant for a specified amount, if the registrar is able to assess the amount from any additional supporting material lodged;</w:t>
      </w:r>
    </w:p>
    <w:p>
      <w:pPr>
        <w:pStyle w:val="Indenta"/>
      </w:pPr>
      <w:r>
        <w:tab/>
        <w:t>(c)</w:t>
      </w:r>
      <w:r>
        <w:tab/>
        <w:t>list the application for a hearing at which the Court will assess the amount.</w:t>
      </w:r>
    </w:p>
    <w:p>
      <w:pPr>
        <w:pStyle w:val="Subsection"/>
      </w:pPr>
      <w:r>
        <w:tab/>
        <w:t>(3)</w:t>
      </w:r>
      <w:r>
        <w:tab/>
        <w:t>If the registrar lists the application for a hearing under subrule (2)(c) —</w:t>
      </w:r>
    </w:p>
    <w:p>
      <w:pPr>
        <w:pStyle w:val="Indenta"/>
      </w:pPr>
      <w:r>
        <w:tab/>
        <w:t>(a)</w:t>
      </w:r>
      <w:r>
        <w:tab/>
        <w:t>the registrar must notify you and the other parties in writing at least 28 days before the hearing; and</w:t>
      </w:r>
    </w:p>
    <w:p>
      <w:pPr>
        <w:pStyle w:val="Indenta"/>
      </w:pPr>
      <w:r>
        <w:lastRenderedPageBreak/>
        <w:tab/>
        <w:t>(b)</w:t>
      </w:r>
      <w:r>
        <w:tab/>
        <w:t>you must lodge and serve a supporting affidavit at least 14 days before the hearing.</w:t>
      </w:r>
    </w:p>
    <w:p>
      <w:pPr>
        <w:pStyle w:val="Subsection"/>
      </w:pPr>
      <w:r>
        <w:tab/>
        <w:t>(4)</w:t>
      </w:r>
      <w:r>
        <w:tab/>
        <w:t>An application for default judgment under this Part does not need to be supported by an affidavit unless a hearing is listed under subrule (2)(c).</w:t>
      </w:r>
    </w:p>
    <w:p>
      <w:pPr>
        <w:pStyle w:val="Footnotesection"/>
      </w:pPr>
      <w:r>
        <w:tab/>
        <w:t>[Rule 18 inserted: SL 2020/67 r. 56.]</w:t>
      </w:r>
    </w:p>
    <w:p>
      <w:pPr>
        <w:pStyle w:val="Heading5"/>
      </w:pPr>
      <w:bookmarkStart w:id="28" w:name="_Toc106719371"/>
      <w:r>
        <w:rPr>
          <w:rStyle w:val="CharSectno"/>
        </w:rPr>
        <w:t>19</w:t>
      </w:r>
      <w:r>
        <w:t>.</w:t>
      </w:r>
      <w:r>
        <w:tab/>
        <w:t>If the claim against you is to recover possession of personal property</w:t>
      </w:r>
      <w:bookmarkEnd w:id="28"/>
    </w:p>
    <w:p>
      <w:pPr>
        <w:pStyle w:val="Subsection"/>
      </w:pPr>
      <w:r>
        <w:tab/>
      </w:r>
      <w:r>
        <w:tab/>
        <w:t>Unless rule 21 applies, a registrar may give default judgment for a claim to recover possession of personal property.</w:t>
      </w:r>
    </w:p>
    <w:p>
      <w:pPr>
        <w:pStyle w:val="Footnotesection"/>
        <w:ind w:left="890" w:hanging="890"/>
      </w:pPr>
      <w:r>
        <w:tab/>
        <w:t>[Rule 19 amended: SL 2022/54 r. 12.]</w:t>
      </w:r>
    </w:p>
    <w:p>
      <w:pPr>
        <w:pStyle w:val="Heading5"/>
      </w:pPr>
      <w:bookmarkStart w:id="29" w:name="_Toc106719372"/>
      <w:r>
        <w:rPr>
          <w:rStyle w:val="CharSectno"/>
        </w:rPr>
        <w:t>20</w:t>
      </w:r>
      <w:r>
        <w:t>.</w:t>
      </w:r>
      <w:r>
        <w:tab/>
        <w:t>Registrar may give default judgment in absence of parties</w:t>
      </w:r>
      <w:bookmarkEnd w:id="29"/>
    </w:p>
    <w:p>
      <w:pPr>
        <w:pStyle w:val="Subsection"/>
      </w:pPr>
      <w:r>
        <w:tab/>
      </w:r>
      <w:r>
        <w:tab/>
        <w:t>A registrar may give default judgment under this Part in the absence of the parties.</w:t>
      </w:r>
    </w:p>
    <w:p>
      <w:pPr>
        <w:pStyle w:val="Heading5"/>
        <w:spacing w:before="180"/>
      </w:pPr>
      <w:bookmarkStart w:id="30" w:name="_Toc106719373"/>
      <w:r>
        <w:rPr>
          <w:rStyle w:val="CharSectno"/>
          <w:rFonts w:ascii="Times" w:hAnsi="Times"/>
        </w:rPr>
        <w:t>21</w:t>
      </w:r>
      <w:r>
        <w:t>.</w:t>
      </w:r>
      <w:r>
        <w:tab/>
        <w:t>Registrar not to give judgment in certain cases</w:t>
      </w:r>
      <w:bookmarkEnd w:id="30"/>
    </w:p>
    <w:p>
      <w:pPr>
        <w:pStyle w:val="Ednotesubsection"/>
      </w:pPr>
      <w:r>
        <w:tab/>
        <w:t>[(1)</w:t>
      </w:r>
      <w:r>
        <w:tab/>
        <w:t>deleted]</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 SL 2020/67 r. 57.]</w:t>
      </w:r>
    </w:p>
    <w:p>
      <w:pPr>
        <w:pStyle w:val="Heading5"/>
      </w:pPr>
      <w:bookmarkStart w:id="31" w:name="_Toc106719374"/>
      <w:r>
        <w:rPr>
          <w:rStyle w:val="CharSectno"/>
          <w:rFonts w:ascii="Times" w:hAnsi="Times"/>
        </w:rPr>
        <w:t>22A</w:t>
      </w:r>
      <w:r>
        <w:t>.</w:t>
      </w:r>
      <w:r>
        <w:tab/>
        <w:t>Default judgment one year or more after originating claim, referral to Magistrate</w:t>
      </w:r>
      <w:bookmarkEnd w:id="31"/>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keepNext/>
      </w:pPr>
      <w:r>
        <w:lastRenderedPageBreak/>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32" w:name="_Toc106719375"/>
      <w:r>
        <w:rPr>
          <w:rStyle w:val="CharSectno"/>
        </w:rPr>
        <w:t>22</w:t>
      </w:r>
      <w:r>
        <w:t>.</w:t>
      </w:r>
      <w:r>
        <w:tab/>
        <w:t>Application for default judgment to be dismissed if not granted</w:t>
      </w:r>
      <w:bookmarkEnd w:id="32"/>
    </w:p>
    <w:p>
      <w:pPr>
        <w:pStyle w:val="Subsection"/>
        <w:keepNext/>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33" w:name="_Toc106719376"/>
      <w:r>
        <w:rPr>
          <w:rStyle w:val="CharSectno"/>
        </w:rPr>
        <w:t>23A</w:t>
      </w:r>
      <w:r>
        <w:t>.</w:t>
      </w:r>
      <w:r>
        <w:tab/>
        <w:t>Registrar may order costs after giving judgment</w:t>
      </w:r>
      <w:bookmarkEnd w:id="33"/>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34" w:name="_Toc106717993"/>
      <w:bookmarkStart w:id="35" w:name="_Toc106718120"/>
      <w:bookmarkStart w:id="36" w:name="_Toc106719377"/>
      <w:r>
        <w:rPr>
          <w:rStyle w:val="CharPartNo"/>
        </w:rPr>
        <w:lastRenderedPageBreak/>
        <w:t>Part 5</w:t>
      </w:r>
      <w:r>
        <w:rPr>
          <w:rStyle w:val="CharDivNo"/>
        </w:rPr>
        <w:t> </w:t>
      </w:r>
      <w:r>
        <w:t>—</w:t>
      </w:r>
      <w:r>
        <w:rPr>
          <w:rStyle w:val="CharDivText"/>
        </w:rPr>
        <w:t> </w:t>
      </w:r>
      <w:r>
        <w:rPr>
          <w:rStyle w:val="CharPartText"/>
        </w:rPr>
        <w:t>Status conferences and pre</w:t>
      </w:r>
      <w:r>
        <w:rPr>
          <w:rStyle w:val="CharPartText"/>
        </w:rPr>
        <w:noBreakHyphen/>
        <w:t>trial conferences</w:t>
      </w:r>
      <w:bookmarkEnd w:id="34"/>
      <w:bookmarkEnd w:id="35"/>
      <w:bookmarkEnd w:id="36"/>
    </w:p>
    <w:p>
      <w:pPr>
        <w:pStyle w:val="Footnoteheading"/>
      </w:pPr>
      <w:r>
        <w:tab/>
        <w:t>[Heading inserted: SL 2020/67 r. 58.]</w:t>
      </w:r>
    </w:p>
    <w:p>
      <w:pPr>
        <w:pStyle w:val="Heading5"/>
      </w:pPr>
      <w:bookmarkStart w:id="37" w:name="_Toc106719378"/>
      <w:r>
        <w:rPr>
          <w:rStyle w:val="CharSectno"/>
          <w:rFonts w:ascii="Times" w:hAnsi="Times"/>
        </w:rPr>
        <w:t>23</w:t>
      </w:r>
      <w:r>
        <w:t>.</w:t>
      </w:r>
      <w:r>
        <w:tab/>
        <w:t>Listing case for a status conference</w:t>
      </w:r>
      <w:bookmarkEnd w:id="37"/>
    </w:p>
    <w:p>
      <w:pPr>
        <w:pStyle w:val="Subsection"/>
      </w:pPr>
      <w:r>
        <w:tab/>
        <w:t>(1)</w:t>
      </w:r>
      <w:r>
        <w:tab/>
        <w:t>If a defendant lodges a response, a registrar must, within 14 days, list the case for a status conference.</w:t>
      </w:r>
    </w:p>
    <w:p>
      <w:pPr>
        <w:pStyle w:val="Subsection"/>
      </w:pPr>
      <w:r>
        <w:tab/>
        <w:t>(2)</w:t>
      </w:r>
      <w:r>
        <w:tab/>
        <w:t>The registrar must notify you and the other parties in writing of the status conference.</w:t>
      </w:r>
    </w:p>
    <w:p>
      <w:pPr>
        <w:pStyle w:val="Footnotesection"/>
      </w:pPr>
      <w:r>
        <w:tab/>
        <w:t>[Rule 23 inserted: Gazette 3 Jun 2008 p. 2143; amended: Gazette 30 Sep 2016 p. 4176; SL 2020/67 r. 59.]</w:t>
      </w:r>
    </w:p>
    <w:p>
      <w:pPr>
        <w:pStyle w:val="Heading5"/>
      </w:pPr>
      <w:bookmarkStart w:id="38" w:name="_Toc106719379"/>
      <w:r>
        <w:rPr>
          <w:rStyle w:val="CharSectno"/>
        </w:rPr>
        <w:t>23AA</w:t>
      </w:r>
      <w:r>
        <w:t>.</w:t>
      </w:r>
      <w:r>
        <w:tab/>
        <w:t>What happens at a status conference</w:t>
      </w:r>
      <w:bookmarkEnd w:id="38"/>
    </w:p>
    <w:p>
      <w:pPr>
        <w:pStyle w:val="Subsection"/>
      </w:pPr>
      <w:r>
        <w:tab/>
        <w:t>(1)</w:t>
      </w:r>
      <w:r>
        <w:tab/>
        <w:t>The purpose of a status conference is to allow for the management of a case.</w:t>
      </w:r>
    </w:p>
    <w:p>
      <w:pPr>
        <w:pStyle w:val="Subsection"/>
      </w:pPr>
      <w:r>
        <w:tab/>
        <w:t>(2)</w:t>
      </w:r>
      <w:r>
        <w:tab/>
        <w:t xml:space="preserve">Specifically, at a status conference the Court may do any or all of the following — </w:t>
      </w:r>
    </w:p>
    <w:p>
      <w:pPr>
        <w:pStyle w:val="Indenta"/>
      </w:pPr>
      <w:r>
        <w:tab/>
        <w:t>(a)</w:t>
      </w:r>
      <w:r>
        <w:tab/>
        <w:t>refer the case to a pre</w:t>
      </w:r>
      <w:r>
        <w:noBreakHyphen/>
        <w:t>trial conference to be conducted by a registrar immediately;</w:t>
      </w:r>
    </w:p>
    <w:p>
      <w:pPr>
        <w:pStyle w:val="Indenta"/>
      </w:pPr>
      <w:r>
        <w:tab/>
        <w:t>(b)</w:t>
      </w:r>
      <w:r>
        <w:tab/>
        <w:t>determine what facts, if any, are agreed by the parties;</w:t>
      </w:r>
    </w:p>
    <w:p>
      <w:pPr>
        <w:pStyle w:val="Indenta"/>
      </w:pPr>
      <w:r>
        <w:tab/>
        <w:t>(c)</w:t>
      </w:r>
      <w:r>
        <w:tab/>
        <w:t xml:space="preserve">order the parties to — </w:t>
      </w:r>
    </w:p>
    <w:p>
      <w:pPr>
        <w:pStyle w:val="Indenti"/>
      </w:pPr>
      <w:r>
        <w:tab/>
        <w:t>(i)</w:t>
      </w:r>
      <w:r>
        <w:tab/>
        <w:t>lodge and serve lists of documents the parties might tender in evidence at the trial in support of their claims or defences; or</w:t>
      </w:r>
    </w:p>
    <w:p>
      <w:pPr>
        <w:pStyle w:val="Indenti"/>
      </w:pPr>
      <w:r>
        <w:tab/>
        <w:t>(ii)</w:t>
      </w:r>
      <w:r>
        <w:tab/>
        <w:t>exchange any other documents or information;</w:t>
      </w:r>
    </w:p>
    <w:p>
      <w:pPr>
        <w:pStyle w:val="Indenta"/>
      </w:pPr>
      <w:r>
        <w:tab/>
        <w:t>(d)</w:t>
      </w:r>
      <w:r>
        <w:tab/>
        <w:t>extend the time for making counterclaims or third party claims (even if the time for making those claims has passed);</w:t>
      </w:r>
    </w:p>
    <w:p>
      <w:pPr>
        <w:pStyle w:val="Indenta"/>
      </w:pPr>
      <w:r>
        <w:tab/>
        <w:t>(e)</w:t>
      </w:r>
      <w:r>
        <w:tab/>
        <w:t>list the case for a further status conference;</w:t>
      </w:r>
    </w:p>
    <w:p>
      <w:pPr>
        <w:pStyle w:val="Indenta"/>
      </w:pPr>
      <w:r>
        <w:tab/>
        <w:t>(f)</w:t>
      </w:r>
      <w:r>
        <w:tab/>
        <w:t>make any other orders necessary to facilitate settlement or ensure the case is ready for trial.</w:t>
      </w:r>
    </w:p>
    <w:p>
      <w:pPr>
        <w:pStyle w:val="Subsection"/>
      </w:pPr>
      <w:r>
        <w:lastRenderedPageBreak/>
        <w:tab/>
        <w:t>(3)</w:t>
      </w:r>
      <w:r>
        <w:tab/>
        <w:t xml:space="preserve">If the case involves a counterclaim that is not a minor case, then, at the status conference — </w:t>
      </w:r>
    </w:p>
    <w:p>
      <w:pPr>
        <w:pStyle w:val="Indenta"/>
      </w:pPr>
      <w:r>
        <w:tab/>
        <w:t>(a)</w:t>
      </w:r>
      <w:r>
        <w:tab/>
        <w:t>the Court will consider whether or not you and the other parties consent to the counterclaim being dealt with under these rules; and</w:t>
      </w:r>
    </w:p>
    <w:p>
      <w:pPr>
        <w:pStyle w:val="Indenta"/>
      </w:pPr>
      <w:r>
        <w:tab/>
        <w:t>(b)</w:t>
      </w:r>
      <w:r>
        <w:tab/>
        <w:t>if the parties do not consent to the counterclaim being dealt with under these rules, the court must —</w:t>
      </w:r>
    </w:p>
    <w:p>
      <w:pPr>
        <w:pStyle w:val="Indenti"/>
      </w:pPr>
      <w:r>
        <w:tab/>
        <w:t>(i)</w:t>
      </w:r>
      <w:r>
        <w:tab/>
        <w:t>list the case for a hearing before the Court for it to determine what part of the case, if any, is to be dealt with under these rules; and</w:t>
      </w:r>
    </w:p>
    <w:p>
      <w:pPr>
        <w:pStyle w:val="Indenti"/>
      </w:pPr>
      <w:r>
        <w:tab/>
        <w:t>(ii)</w:t>
      </w:r>
      <w:r>
        <w:tab/>
        <w:t>notify you and the other parties in writing of the hearing date.</w:t>
      </w:r>
    </w:p>
    <w:p>
      <w:pPr>
        <w:pStyle w:val="Subsection"/>
      </w:pPr>
      <w:r>
        <w:tab/>
        <w:t>(4)</w:t>
      </w:r>
      <w:r>
        <w:tab/>
        <w:t>If the Court determines at the hearing referred to in subrule (3) that part of the case is to be dealt with under these rules, it will list the case for a further status conference.</w:t>
      </w:r>
    </w:p>
    <w:p>
      <w:pPr>
        <w:pStyle w:val="Subsection"/>
      </w:pPr>
      <w:r>
        <w:tab/>
        <w:t>(5)</w:t>
      </w:r>
      <w:r>
        <w:tab/>
        <w:t>The court must notify you and the other parties in writing of the listing under subrule (4).</w:t>
      </w:r>
    </w:p>
    <w:p>
      <w:pPr>
        <w:pStyle w:val="Footnotesection"/>
      </w:pPr>
      <w:r>
        <w:tab/>
        <w:t>[Rule 23AA inserted: SL 2020/67 r. 60.]</w:t>
      </w:r>
    </w:p>
    <w:p>
      <w:pPr>
        <w:pStyle w:val="Heading5"/>
      </w:pPr>
      <w:bookmarkStart w:id="39" w:name="_Toc106719380"/>
      <w:r>
        <w:rPr>
          <w:rStyle w:val="CharSectno"/>
        </w:rPr>
        <w:t>24</w:t>
      </w:r>
      <w:r>
        <w:t>.</w:t>
      </w:r>
      <w:r>
        <w:tab/>
        <w:t>What happens at a pre</w:t>
      </w:r>
      <w:r>
        <w:noBreakHyphen/>
        <w:t>trial conference</w:t>
      </w:r>
      <w:bookmarkEnd w:id="39"/>
    </w:p>
    <w:p>
      <w:pPr>
        <w:pStyle w:val="Subsection"/>
      </w:pPr>
      <w:r>
        <w:tab/>
        <w:t>(1)</w:t>
      </w:r>
      <w:r>
        <w:tab/>
        <w:t>At a pre</w:t>
      </w:r>
      <w:r>
        <w:noBreakHyphen/>
        <w:t>trial conference the registrar may do any or all of the things that the Court may do at a status conference under rule 23AA(2)(b) to (f).</w:t>
      </w:r>
    </w:p>
    <w:p>
      <w:pPr>
        <w:pStyle w:val="Ednotesubsection"/>
      </w:pPr>
      <w:r>
        <w:tab/>
        <w:t>[(2)</w:t>
      </w:r>
      <w:r>
        <w:noBreakHyphen/>
        <w:t>(3)</w:t>
      </w:r>
      <w:r>
        <w:tab/>
        <w:t>deleted]</w:t>
      </w:r>
    </w:p>
    <w:p>
      <w:pPr>
        <w:pStyle w:val="Subsection"/>
      </w:pPr>
      <w:r>
        <w:tab/>
        <w:t>(4)</w:t>
      </w:r>
      <w:r>
        <w:tab/>
        <w:t>The registrar must notify you and the other parties in writing of any further status conference or pre</w:t>
      </w:r>
      <w:r>
        <w:noBreakHyphen/>
        <w:t>trial conference.</w:t>
      </w:r>
    </w:p>
    <w:p>
      <w:pPr>
        <w:pStyle w:val="Ednotesubsection"/>
      </w:pPr>
      <w:r>
        <w:tab/>
        <w:t>[(5)</w:t>
      </w:r>
      <w:r>
        <w:tab/>
        <w:t>deleted]</w:t>
      </w:r>
    </w:p>
    <w:p>
      <w:pPr>
        <w:pStyle w:val="Footnotesection"/>
      </w:pPr>
      <w:r>
        <w:tab/>
        <w:t>[Rule 24 amended: Gazette 3 Jun 2008 p. 2143</w:t>
      </w:r>
      <w:r>
        <w:noBreakHyphen/>
        <w:t>4; 30 Sep 2016 p. 4176; SL 2020/67 r. 61.]</w:t>
      </w:r>
    </w:p>
    <w:p>
      <w:pPr>
        <w:pStyle w:val="Ednotesection"/>
      </w:pPr>
      <w:r>
        <w:t>[</w:t>
      </w:r>
      <w:r>
        <w:rPr>
          <w:b/>
        </w:rPr>
        <w:t>25A, 25B.</w:t>
      </w:r>
      <w:r>
        <w:rPr>
          <w:b/>
        </w:rPr>
        <w:tab/>
      </w:r>
      <w:r>
        <w:t>Deleted: Gazette 30 Sep 2016 p. 4176.]</w:t>
      </w:r>
    </w:p>
    <w:p>
      <w:pPr>
        <w:pStyle w:val="Heading5"/>
      </w:pPr>
      <w:bookmarkStart w:id="40" w:name="_Toc106719381"/>
      <w:r>
        <w:rPr>
          <w:rStyle w:val="CharSectno"/>
        </w:rPr>
        <w:lastRenderedPageBreak/>
        <w:t>25C</w:t>
      </w:r>
      <w:r>
        <w:t>.</w:t>
      </w:r>
      <w:r>
        <w:tab/>
        <w:t>List of documents you might tender at trial</w:t>
      </w:r>
      <w:bookmarkEnd w:id="40"/>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Ednotesection"/>
      </w:pPr>
      <w:r>
        <w:t>[</w:t>
      </w:r>
      <w:r>
        <w:rPr>
          <w:b/>
        </w:rPr>
        <w:t>25.</w:t>
      </w:r>
      <w:r>
        <w:tab/>
        <w:t>Deleted: SL 2020/67 r. 62.]</w:t>
      </w:r>
    </w:p>
    <w:p>
      <w:pPr>
        <w:pStyle w:val="Heading5"/>
      </w:pPr>
      <w:bookmarkStart w:id="41" w:name="_Toc106719382"/>
      <w:r>
        <w:rPr>
          <w:rStyle w:val="CharSectno"/>
        </w:rPr>
        <w:t>26</w:t>
      </w:r>
      <w:r>
        <w:t>.</w:t>
      </w:r>
      <w:r>
        <w:tab/>
        <w:t>Your attendance at a status conference, pre</w:t>
      </w:r>
      <w:r>
        <w:noBreakHyphen/>
        <w:t>trial conference or hearing</w:t>
      </w:r>
      <w:bookmarkEnd w:id="41"/>
    </w:p>
    <w:p>
      <w:pPr>
        <w:pStyle w:val="Subsection"/>
      </w:pPr>
      <w:r>
        <w:tab/>
        <w:t>(1)</w:t>
      </w:r>
      <w:r>
        <w:tab/>
        <w:t>You must attend a status conference, pre</w:t>
      </w:r>
      <w:r>
        <w:noBreakHyphen/>
        <w:t>trial conference, or any hearing referred to in rule 23AA(3), in person.</w:t>
      </w:r>
    </w:p>
    <w:p>
      <w:pPr>
        <w:pStyle w:val="Subsection"/>
      </w:pPr>
      <w:r>
        <w:tab/>
        <w:t>(1A)</w:t>
      </w:r>
      <w:r>
        <w:tab/>
        <w:t>A subrogated insurer who is authorised in writing by you may, upon presentation of the written authorisation to the Court, represent or assist you at a status conference, a pre</w:t>
      </w:r>
      <w:r>
        <w:noBreakHyphen/>
        <w:t xml:space="preserve">trial conference or a hearing referred to in rule 23AA(3), but not at the trial of your case. </w:t>
      </w:r>
    </w:p>
    <w:p>
      <w:pPr>
        <w:pStyle w:val="Subsection"/>
        <w:keepLines/>
      </w:pPr>
      <w:r>
        <w:lastRenderedPageBreak/>
        <w:tab/>
        <w:t>(2)</w:t>
      </w:r>
      <w:r>
        <w:tab/>
        <w:t>If you do not attend a pre</w:t>
      </w:r>
      <w:r>
        <w:noBreakHyphen/>
        <w:t>trial conference, the registrar at the pre</w:t>
      </w:r>
      <w:r>
        <w:noBreakHyphen/>
        <w:t>trial conference may give default judgment against you.  In that case Part 4, except rule 21, applies with any necessary modifications in relation to the default judgment.</w:t>
      </w:r>
    </w:p>
    <w:p>
      <w:pPr>
        <w:pStyle w:val="Footnotesection"/>
      </w:pPr>
      <w:r>
        <w:tab/>
        <w:t>[Rule 26 amended: SL 2020/67 r. 63.]</w:t>
      </w:r>
    </w:p>
    <w:p>
      <w:pPr>
        <w:pStyle w:val="Heading5"/>
      </w:pPr>
      <w:bookmarkStart w:id="42" w:name="_Toc106719383"/>
      <w:r>
        <w:rPr>
          <w:rStyle w:val="CharSectno"/>
        </w:rPr>
        <w:t>27</w:t>
      </w:r>
      <w:r>
        <w:t>.</w:t>
      </w:r>
      <w:r>
        <w:tab/>
        <w:t>Listing the case for trial</w:t>
      </w:r>
      <w:bookmarkEnd w:id="42"/>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43" w:name="_Toc106719384"/>
      <w:r>
        <w:rPr>
          <w:rStyle w:val="CharSectno"/>
        </w:rPr>
        <w:t>28</w:t>
      </w:r>
      <w:r>
        <w:t>.</w:t>
      </w:r>
      <w:r>
        <w:tab/>
        <w:t>Status of things said or done at a status conference or a pre</w:t>
      </w:r>
      <w:r>
        <w:noBreakHyphen/>
        <w:t>trial conference</w:t>
      </w:r>
      <w:bookmarkEnd w:id="43"/>
    </w:p>
    <w:p>
      <w:pPr>
        <w:pStyle w:val="Subsection"/>
      </w:pPr>
      <w:r>
        <w:tab/>
        <w:t>(1A)</w:t>
      </w:r>
      <w:r>
        <w:tab/>
        <w:t>A status conference must be conducted before a magistrate.</w:t>
      </w:r>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status conference or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Footnotesection"/>
      </w:pPr>
      <w:r>
        <w:tab/>
        <w:t>[Rule 28 amended: SL 2020/67 r. 64.]</w:t>
      </w:r>
    </w:p>
    <w:p>
      <w:pPr>
        <w:pStyle w:val="Heading2"/>
      </w:pPr>
      <w:bookmarkStart w:id="44" w:name="_Toc106718001"/>
      <w:bookmarkStart w:id="45" w:name="_Toc106718128"/>
      <w:bookmarkStart w:id="46" w:name="_Toc106719385"/>
      <w:r>
        <w:rPr>
          <w:rStyle w:val="CharPartNo"/>
        </w:rPr>
        <w:lastRenderedPageBreak/>
        <w:t>Part 6</w:t>
      </w:r>
      <w:r>
        <w:rPr>
          <w:rStyle w:val="CharDivNo"/>
        </w:rPr>
        <w:t> </w:t>
      </w:r>
      <w:r>
        <w:t>—</w:t>
      </w:r>
      <w:r>
        <w:rPr>
          <w:rStyle w:val="CharDivText"/>
        </w:rPr>
        <w:t> </w:t>
      </w:r>
      <w:r>
        <w:rPr>
          <w:rStyle w:val="CharPartText"/>
        </w:rPr>
        <w:t>Mediation</w:t>
      </w:r>
      <w:bookmarkEnd w:id="44"/>
      <w:bookmarkEnd w:id="45"/>
      <w:bookmarkEnd w:id="46"/>
    </w:p>
    <w:p>
      <w:pPr>
        <w:pStyle w:val="Heading5"/>
      </w:pPr>
      <w:bookmarkStart w:id="47" w:name="_Toc106719386"/>
      <w:r>
        <w:rPr>
          <w:rStyle w:val="CharSectno"/>
        </w:rPr>
        <w:t>29</w:t>
      </w:r>
      <w:r>
        <w:t>.</w:t>
      </w:r>
      <w:r>
        <w:tab/>
        <w:t>Mediation conference</w:t>
      </w:r>
      <w:bookmarkEnd w:id="47"/>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48" w:name="_Toc106719387"/>
      <w:r>
        <w:rPr>
          <w:rStyle w:val="CharSectno"/>
        </w:rPr>
        <w:t>30</w:t>
      </w:r>
      <w:r>
        <w:t>.</w:t>
      </w:r>
      <w:r>
        <w:tab/>
        <w:t>Attendance of parties at mediation conferences</w:t>
      </w:r>
      <w:bookmarkEnd w:id="48"/>
    </w:p>
    <w:p>
      <w:pPr>
        <w:pStyle w:val="Subsection"/>
      </w:pPr>
      <w:r>
        <w:tab/>
      </w:r>
      <w:r>
        <w:tab/>
        <w:t>Unless the mediator otherwise approves, you must attend a mediation conference in person.</w:t>
      </w:r>
    </w:p>
    <w:p>
      <w:pPr>
        <w:pStyle w:val="Heading5"/>
      </w:pPr>
      <w:bookmarkStart w:id="49" w:name="_Toc106719388"/>
      <w:r>
        <w:rPr>
          <w:rStyle w:val="CharSectno"/>
        </w:rPr>
        <w:t>31</w:t>
      </w:r>
      <w:r>
        <w:t>.</w:t>
      </w:r>
      <w:r>
        <w:tab/>
        <w:t>Outcome of mediation</w:t>
      </w:r>
      <w:bookmarkEnd w:id="49"/>
    </w:p>
    <w:p>
      <w:pPr>
        <w:pStyle w:val="Subsection"/>
      </w:pPr>
      <w:r>
        <w:tab/>
      </w:r>
      <w:r>
        <w:tab/>
        <w:t>If you are the claimant you must, within 14 days after the mediation conference, lodge a notice of the outcome of the mediation in the approved form.</w:t>
      </w:r>
    </w:p>
    <w:p>
      <w:pPr>
        <w:pStyle w:val="Heading5"/>
      </w:pPr>
      <w:bookmarkStart w:id="50" w:name="_Toc106719389"/>
      <w:r>
        <w:rPr>
          <w:rStyle w:val="CharSectno"/>
        </w:rPr>
        <w:t>32</w:t>
      </w:r>
      <w:r>
        <w:t>.</w:t>
      </w:r>
      <w:r>
        <w:tab/>
        <w:t>Further pre</w:t>
      </w:r>
      <w:r>
        <w:noBreakHyphen/>
        <w:t>trial conference if case not settled</w:t>
      </w:r>
      <w:bookmarkEnd w:id="50"/>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51" w:name="_Toc106718006"/>
      <w:bookmarkStart w:id="52" w:name="_Toc106718133"/>
      <w:bookmarkStart w:id="53" w:name="_Toc106719390"/>
      <w:r>
        <w:rPr>
          <w:rStyle w:val="CharPartNo"/>
        </w:rPr>
        <w:lastRenderedPageBreak/>
        <w:t>Part 7</w:t>
      </w:r>
      <w:r>
        <w:rPr>
          <w:rStyle w:val="CharDivNo"/>
        </w:rPr>
        <w:t> </w:t>
      </w:r>
      <w:r>
        <w:t>—</w:t>
      </w:r>
      <w:r>
        <w:rPr>
          <w:rStyle w:val="CharDivText"/>
        </w:rPr>
        <w:t> </w:t>
      </w:r>
      <w:r>
        <w:rPr>
          <w:rStyle w:val="CharPartText"/>
        </w:rPr>
        <w:t>Consent orders and settlement</w:t>
      </w:r>
      <w:bookmarkEnd w:id="51"/>
      <w:bookmarkEnd w:id="52"/>
      <w:bookmarkEnd w:id="53"/>
    </w:p>
    <w:p>
      <w:pPr>
        <w:pStyle w:val="Heading5"/>
      </w:pPr>
      <w:bookmarkStart w:id="54" w:name="_Toc106719391"/>
      <w:r>
        <w:rPr>
          <w:rStyle w:val="CharSectno"/>
        </w:rPr>
        <w:t>33</w:t>
      </w:r>
      <w:r>
        <w:t>.</w:t>
      </w:r>
      <w:r>
        <w:tab/>
        <w:t>Memorandum of consent</w:t>
      </w:r>
      <w:bookmarkEnd w:id="54"/>
    </w:p>
    <w:p>
      <w:pPr>
        <w:pStyle w:val="Subsection"/>
      </w:pPr>
      <w:r>
        <w:tab/>
      </w:r>
      <w:r>
        <w:tab/>
        <w:t>If you want to settle a case or consent to any other order you may lodge a memorandum to that effect in the approved form, signed by you and every other party.</w:t>
      </w:r>
    </w:p>
    <w:p>
      <w:pPr>
        <w:pStyle w:val="Heading5"/>
      </w:pPr>
      <w:bookmarkStart w:id="55" w:name="_Toc106719392"/>
      <w:r>
        <w:rPr>
          <w:rStyle w:val="CharSectno"/>
        </w:rPr>
        <w:t>34</w:t>
      </w:r>
      <w:r>
        <w:t>.</w:t>
      </w:r>
      <w:r>
        <w:tab/>
        <w:t>Registrar may make consent orders or give judgment</w:t>
      </w:r>
      <w:bookmarkEnd w:id="55"/>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56" w:name="_Toc106719393"/>
      <w:r>
        <w:rPr>
          <w:rStyle w:val="CharSectno"/>
        </w:rPr>
        <w:t>35</w:t>
      </w:r>
      <w:r>
        <w:t>.</w:t>
      </w:r>
      <w:r>
        <w:tab/>
        <w:t>When the rules require your consent</w:t>
      </w:r>
      <w:bookmarkEnd w:id="56"/>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57" w:name="_Toc106719394"/>
      <w:r>
        <w:rPr>
          <w:rStyle w:val="CharSectno"/>
        </w:rPr>
        <w:t>36</w:t>
      </w:r>
      <w:r>
        <w:t>.</w:t>
      </w:r>
      <w:r>
        <w:tab/>
        <w:t>Settling claims involving a person under a legal disability</w:t>
      </w:r>
      <w:bookmarkEnd w:id="57"/>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lastRenderedPageBreak/>
        <w:tab/>
        <w:t>(3)</w:t>
      </w:r>
      <w:r>
        <w:tab/>
        <w:t>The settlement of a case in which there is a claim by or against a person under a legal disability has effect on and from the day the Court gives its approval to it.</w:t>
      </w:r>
    </w:p>
    <w:p>
      <w:pPr>
        <w:pStyle w:val="Footnotesection"/>
      </w:pPr>
      <w:r>
        <w:tab/>
        <w:t>[Rule 36 amended: Gazette 3 Jun 2008 p. 2145.]</w:t>
      </w:r>
    </w:p>
    <w:p>
      <w:pPr>
        <w:pStyle w:val="Heading2"/>
      </w:pPr>
      <w:bookmarkStart w:id="58" w:name="_Toc106718011"/>
      <w:bookmarkStart w:id="59" w:name="_Toc106718138"/>
      <w:bookmarkStart w:id="60" w:name="_Toc106719395"/>
      <w:r>
        <w:rPr>
          <w:rStyle w:val="CharPartNo"/>
        </w:rPr>
        <w:lastRenderedPageBreak/>
        <w:t>Part 8</w:t>
      </w:r>
      <w:r>
        <w:t> — </w:t>
      </w:r>
      <w:r>
        <w:rPr>
          <w:rStyle w:val="CharPartText"/>
        </w:rPr>
        <w:t>Trial</w:t>
      </w:r>
      <w:bookmarkEnd w:id="58"/>
      <w:bookmarkEnd w:id="59"/>
      <w:bookmarkEnd w:id="60"/>
    </w:p>
    <w:p>
      <w:pPr>
        <w:pStyle w:val="Heading5"/>
        <w:spacing w:before="180"/>
      </w:pPr>
      <w:bookmarkStart w:id="61" w:name="_Toc106719396"/>
      <w:r>
        <w:rPr>
          <w:rStyle w:val="CharSectno"/>
        </w:rPr>
        <w:t>37</w:t>
      </w:r>
      <w:r>
        <w:t>.</w:t>
      </w:r>
      <w:r>
        <w:tab/>
        <w:t>How the trial of your case is to be conducted</w:t>
      </w:r>
      <w:bookmarkEnd w:id="61"/>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62" w:name="_Toc106719397"/>
      <w:r>
        <w:rPr>
          <w:rStyle w:val="CharSectno"/>
        </w:rPr>
        <w:t>38</w:t>
      </w:r>
      <w:r>
        <w:t>.</w:t>
      </w:r>
      <w:r>
        <w:tab/>
        <w:t>Your attendance at trial</w:t>
      </w:r>
      <w:bookmarkEnd w:id="62"/>
    </w:p>
    <w:p>
      <w:pPr>
        <w:pStyle w:val="Subsection"/>
      </w:pPr>
      <w:r>
        <w:tab/>
      </w:r>
      <w:r>
        <w:tab/>
        <w:t>You must attend the trial of your case in person.</w:t>
      </w:r>
    </w:p>
    <w:p>
      <w:pPr>
        <w:pStyle w:val="Heading5"/>
        <w:spacing w:before="180"/>
      </w:pPr>
      <w:bookmarkStart w:id="63" w:name="_Toc106719398"/>
      <w:r>
        <w:rPr>
          <w:rStyle w:val="CharSectno"/>
        </w:rPr>
        <w:t>39</w:t>
      </w:r>
      <w:r>
        <w:t>.</w:t>
      </w:r>
      <w:r>
        <w:tab/>
        <w:t>How to call witnesses</w:t>
      </w:r>
      <w:bookmarkEnd w:id="63"/>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keepNext/>
      </w:pPr>
      <w:r>
        <w:lastRenderedPageBreak/>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 Gazette 21 Jul 2017 p. 4027.]</w:t>
      </w:r>
    </w:p>
    <w:p>
      <w:pPr>
        <w:pStyle w:val="Heading5"/>
      </w:pPr>
      <w:bookmarkStart w:id="64" w:name="_Toc106719399"/>
      <w:r>
        <w:rPr>
          <w:rStyle w:val="CharSectno"/>
        </w:rPr>
        <w:t>39A</w:t>
      </w:r>
      <w:r>
        <w:t>.</w:t>
      </w:r>
      <w:r>
        <w:tab/>
        <w:t>Compliance with witness summons</w:t>
      </w:r>
      <w:bookmarkEnd w:id="64"/>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(1A)</w:t>
      </w:r>
      <w:r>
        <w:tab/>
        <w:t>For the purposes of subrule (1), evidentiary material and a copy of the witness summons that are delivered or sent by using the ECMS are taken to have been delivered or sent to the Court at the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lastRenderedPageBreak/>
        <w:tab/>
        <w:t>(4)</w:t>
      </w:r>
      <w:r>
        <w:tab/>
        <w:t>The copy of a document may be —</w:t>
      </w:r>
    </w:p>
    <w:p>
      <w:pPr>
        <w:pStyle w:val="Indenta"/>
      </w:pPr>
      <w:r>
        <w:tab/>
        <w:t>(a)</w:t>
      </w:r>
      <w:r>
        <w:tab/>
        <w:t>a photocopy; or</w:t>
      </w:r>
    </w:p>
    <w:p>
      <w:pPr>
        <w:pStyle w:val="Indenta"/>
        <w:keepNext/>
      </w:pPr>
      <w:r>
        <w:tab/>
        <w:t>(b)</w:t>
      </w:r>
      <w:r>
        <w:tab/>
        <w:t>in PDF format on a CD</w:t>
      </w:r>
      <w:r>
        <w:noBreakHyphen/>
        <w:t>ROM.</w:t>
      </w:r>
    </w:p>
    <w:p>
      <w:pPr>
        <w:pStyle w:val="Footnotesection"/>
        <w:ind w:left="890" w:hanging="890"/>
      </w:pPr>
      <w:r>
        <w:tab/>
        <w:t>[Rule 39A inserted: Gazette 21 Jul 2017 p. 4027; amended: SL 2022/54 r. 13.]</w:t>
      </w:r>
    </w:p>
    <w:p>
      <w:pPr>
        <w:pStyle w:val="Heading5"/>
      </w:pPr>
      <w:bookmarkStart w:id="65" w:name="_Toc106719400"/>
      <w:r>
        <w:rPr>
          <w:rStyle w:val="CharSectno"/>
        </w:rPr>
        <w:t>40</w:t>
      </w:r>
      <w:r>
        <w:t>.</w:t>
      </w:r>
      <w:r>
        <w:tab/>
        <w:t>Return of things after trial</w:t>
      </w:r>
      <w:bookmarkEnd w:id="65"/>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r>
        <w:tab/>
        <w:t>[Rule 40 amended: Gazette 18 Sep 2018 p. 3516.]</w:t>
      </w:r>
    </w:p>
    <w:p>
      <w:pPr>
        <w:pStyle w:val="Heading2"/>
      </w:pPr>
      <w:bookmarkStart w:id="66" w:name="_Toc106718017"/>
      <w:bookmarkStart w:id="67" w:name="_Toc106718144"/>
      <w:bookmarkStart w:id="68" w:name="_Toc106719401"/>
      <w:r>
        <w:rPr>
          <w:rStyle w:val="CharPartNo"/>
        </w:rPr>
        <w:lastRenderedPageBreak/>
        <w:t>Part 9</w:t>
      </w:r>
      <w:r>
        <w:t> — </w:t>
      </w:r>
      <w:r>
        <w:rPr>
          <w:rStyle w:val="CharPartText"/>
        </w:rPr>
        <w:t>Orders and judgments</w:t>
      </w:r>
      <w:bookmarkEnd w:id="66"/>
      <w:bookmarkEnd w:id="67"/>
      <w:bookmarkEnd w:id="68"/>
    </w:p>
    <w:p>
      <w:pPr>
        <w:pStyle w:val="Heading5"/>
      </w:pPr>
      <w:bookmarkStart w:id="69" w:name="_Toc106719402"/>
      <w:r>
        <w:rPr>
          <w:rStyle w:val="CharSectno"/>
        </w:rPr>
        <w:t>41</w:t>
      </w:r>
      <w:r>
        <w:t>.</w:t>
      </w:r>
      <w:r>
        <w:tab/>
        <w:t>Money paid to you if you are a person under a legal disability</w:t>
      </w:r>
      <w:bookmarkEnd w:id="69"/>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70" w:name="_Toc106719403"/>
      <w:r>
        <w:rPr>
          <w:rStyle w:val="CharSectno"/>
        </w:rPr>
        <w:t>42</w:t>
      </w:r>
      <w:r>
        <w:t>.</w:t>
      </w:r>
      <w:r>
        <w:tab/>
        <w:t>Setting aside default judgment</w:t>
      </w:r>
      <w:bookmarkEnd w:id="70"/>
    </w:p>
    <w:p>
      <w:pPr>
        <w:pStyle w:val="Subsection"/>
      </w:pPr>
      <w:r>
        <w:tab/>
      </w:r>
      <w:r>
        <w:tab/>
        <w:t>If the Court gives default judgment against you and you want to apply for the judgment to be set aside you must apply within 21 days after the judgment was given or by such other date as the Court allows.</w:t>
      </w:r>
    </w:p>
    <w:p>
      <w:pPr>
        <w:pStyle w:val="Footnotesection"/>
      </w:pPr>
      <w:r>
        <w:tab/>
        <w:t>[Rule 42 amended: SL 2020/67 r. 65.]</w:t>
      </w:r>
    </w:p>
    <w:p>
      <w:pPr>
        <w:pStyle w:val="Heading5"/>
      </w:pPr>
      <w:bookmarkStart w:id="71" w:name="_Toc106719404"/>
      <w:r>
        <w:rPr>
          <w:rStyle w:val="CharSectno"/>
        </w:rPr>
        <w:t>43</w:t>
      </w:r>
      <w:r>
        <w:t>.</w:t>
      </w:r>
      <w:r>
        <w:tab/>
        <w:t>Decisions of registrars</w:t>
      </w:r>
      <w:bookmarkEnd w:id="71"/>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72" w:name="_Toc106719405"/>
      <w:r>
        <w:rPr>
          <w:rStyle w:val="CharSectno"/>
        </w:rPr>
        <w:t>44</w:t>
      </w:r>
      <w:r>
        <w:t>.</w:t>
      </w:r>
      <w:r>
        <w:tab/>
        <w:t>Requests for certificate of judgment</w:t>
      </w:r>
      <w:bookmarkEnd w:id="72"/>
    </w:p>
    <w:p>
      <w:pPr>
        <w:pStyle w:val="Subsection"/>
      </w:pPr>
      <w:r>
        <w:tab/>
      </w:r>
      <w:r>
        <w:tab/>
        <w:t>If you want a certificate of a judgment, you must lodge a request for the judgment in an approved form.</w:t>
      </w:r>
    </w:p>
    <w:p>
      <w:pPr>
        <w:pStyle w:val="Heading2"/>
      </w:pPr>
      <w:bookmarkStart w:id="73" w:name="_Toc106718022"/>
      <w:bookmarkStart w:id="74" w:name="_Toc106718149"/>
      <w:bookmarkStart w:id="75" w:name="_Toc106719406"/>
      <w:r>
        <w:rPr>
          <w:rStyle w:val="CharPartNo"/>
        </w:rPr>
        <w:lastRenderedPageBreak/>
        <w:t>Part 10A</w:t>
      </w:r>
      <w:r>
        <w:rPr>
          <w:rStyle w:val="CharDivNo"/>
        </w:rPr>
        <w:t> </w:t>
      </w:r>
      <w:r>
        <w:t>—</w:t>
      </w:r>
      <w:r>
        <w:rPr>
          <w:rStyle w:val="CharDivText"/>
        </w:rPr>
        <w:t> </w:t>
      </w:r>
      <w:r>
        <w:rPr>
          <w:rStyle w:val="CharPartText"/>
        </w:rPr>
        <w:t>Inactive cases</w:t>
      </w:r>
      <w:bookmarkEnd w:id="73"/>
      <w:bookmarkEnd w:id="74"/>
      <w:bookmarkEnd w:id="75"/>
    </w:p>
    <w:p>
      <w:pPr>
        <w:pStyle w:val="Footnoteheading"/>
      </w:pPr>
      <w:r>
        <w:tab/>
        <w:t>[Heading inserted: Gazette 5 Apr 2019 p. 1014.]</w:t>
      </w:r>
    </w:p>
    <w:p>
      <w:pPr>
        <w:pStyle w:val="Heading5"/>
      </w:pPr>
      <w:bookmarkStart w:id="76" w:name="_Toc106719407"/>
      <w:r>
        <w:rPr>
          <w:rStyle w:val="CharSectno"/>
        </w:rPr>
        <w:t>45A</w:t>
      </w:r>
      <w:r>
        <w:t>.</w:t>
      </w:r>
      <w:r>
        <w:tab/>
        <w:t>Term used: inactive case</w:t>
      </w:r>
      <w:bookmarkEnd w:id="76"/>
    </w:p>
    <w:p>
      <w:pPr>
        <w:pStyle w:val="Subsection"/>
      </w:pPr>
      <w:r>
        <w:tab/>
      </w:r>
      <w:r>
        <w:tab/>
        <w:t xml:space="preserve">In this Part — </w:t>
      </w:r>
    </w:p>
    <w:p>
      <w:pPr>
        <w:pStyle w:val="Defstart"/>
      </w:pPr>
      <w:r>
        <w:tab/>
      </w:r>
      <w:r>
        <w:rPr>
          <w:rStyle w:val="CharDefText"/>
        </w:rPr>
        <w:t>inactive case</w:t>
      </w:r>
      <w:r>
        <w:t xml:space="preserve"> means a case that has become inactive under rule 45B.</w:t>
      </w:r>
    </w:p>
    <w:p>
      <w:pPr>
        <w:pStyle w:val="Footnotesection"/>
      </w:pPr>
      <w:r>
        <w:tab/>
        <w:t>[Rule 45A inserted: Gazette 5 Apr 2019 p. 1015.]</w:t>
      </w:r>
    </w:p>
    <w:p>
      <w:pPr>
        <w:pStyle w:val="Heading5"/>
      </w:pPr>
      <w:bookmarkStart w:id="77" w:name="_Toc106719408"/>
      <w:r>
        <w:rPr>
          <w:rStyle w:val="CharSectno"/>
        </w:rPr>
        <w:t>45B</w:t>
      </w:r>
      <w:r>
        <w:t>.</w:t>
      </w:r>
      <w:r>
        <w:tab/>
        <w:t>When your case becomes inactive</w:t>
      </w:r>
      <w:bookmarkEnd w:id="77"/>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Ednotesubsection"/>
      </w:pPr>
      <w:r>
        <w:tab/>
        <w:t>[(4)</w:t>
      </w:r>
      <w:r>
        <w:tab/>
        <w:t>deleted]</w:t>
      </w:r>
    </w:p>
    <w:p>
      <w:pPr>
        <w:pStyle w:val="Footnotesection"/>
      </w:pPr>
      <w:r>
        <w:tab/>
        <w:t>[Rule 45B inserted: Gazette 31 Dec 2013 p. 6545-6; amended: Gazette 5 Apr 2019 p. 1015.]</w:t>
      </w:r>
    </w:p>
    <w:p>
      <w:pPr>
        <w:pStyle w:val="Heading5"/>
      </w:pPr>
      <w:bookmarkStart w:id="78" w:name="_Toc106719409"/>
      <w:r>
        <w:rPr>
          <w:rStyle w:val="CharSectno"/>
        </w:rPr>
        <w:t>45C</w:t>
      </w:r>
      <w:r>
        <w:t>.</w:t>
      </w:r>
      <w:r>
        <w:tab/>
        <w:t>Notification of inactive cases</w:t>
      </w:r>
      <w:bookmarkEnd w:id="78"/>
    </w:p>
    <w:p>
      <w:pPr>
        <w:pStyle w:val="Subsection"/>
      </w:pPr>
      <w:r>
        <w:tab/>
        <w:t>(1)</w:t>
      </w:r>
      <w:r>
        <w:tab/>
        <w:t xml:space="preserve">If your case becomes an inactive case, the Court is to give you and all the other parties to the case written notice of — </w:t>
      </w:r>
    </w:p>
    <w:p>
      <w:pPr>
        <w:pStyle w:val="Indenta"/>
      </w:pPr>
      <w:r>
        <w:tab/>
        <w:t>(a)</w:t>
      </w:r>
      <w:r>
        <w:tab/>
        <w:t>the fact that the case has become an inactive case and why; and</w:t>
      </w:r>
    </w:p>
    <w:p>
      <w:pPr>
        <w:pStyle w:val="Indenta"/>
      </w:pPr>
      <w:r>
        <w:tab/>
        <w:t>(b)</w:t>
      </w:r>
      <w:r>
        <w:tab/>
        <w:t>the effect of rule 45D.</w:t>
      </w:r>
    </w:p>
    <w:p>
      <w:pPr>
        <w:pStyle w:val="Subsection"/>
      </w:pPr>
      <w:r>
        <w:lastRenderedPageBreak/>
        <w:tab/>
        <w:t>(2)</w:t>
      </w:r>
      <w:r>
        <w:tab/>
        <w:t xml:space="preserve">If an agent representing a party to a case receives a notice under subrule (1), the agent is to notify the party as soon as practicable of — </w:t>
      </w:r>
    </w:p>
    <w:p>
      <w:pPr>
        <w:pStyle w:val="Indenta"/>
      </w:pPr>
      <w:r>
        <w:tab/>
        <w:t>(a)</w:t>
      </w:r>
      <w:r>
        <w:tab/>
        <w:t>the fact that the case has become an inactive case and why; and</w:t>
      </w:r>
    </w:p>
    <w:p>
      <w:pPr>
        <w:pStyle w:val="Indenta"/>
      </w:pPr>
      <w:r>
        <w:tab/>
        <w:t>(b)</w:t>
      </w:r>
      <w:r>
        <w:tab/>
        <w:t>the effect of rule 45D.</w:t>
      </w:r>
    </w:p>
    <w:p>
      <w:pPr>
        <w:pStyle w:val="Footnotesection"/>
      </w:pPr>
      <w:r>
        <w:tab/>
        <w:t>[Rule 45C inserted: Gazette 5 Apr 2019 p. 1015.]</w:t>
      </w:r>
    </w:p>
    <w:p>
      <w:pPr>
        <w:pStyle w:val="Heading5"/>
      </w:pPr>
      <w:bookmarkStart w:id="79" w:name="_Toc106719410"/>
      <w:r>
        <w:rPr>
          <w:rStyle w:val="CharSectno"/>
        </w:rPr>
        <w:t>45D</w:t>
      </w:r>
      <w:r>
        <w:t>.</w:t>
      </w:r>
      <w:r>
        <w:tab/>
        <w:t>Consequences of case becoming an inactive case</w:t>
      </w:r>
      <w:bookmarkEnd w:id="79"/>
    </w:p>
    <w:p>
      <w:pPr>
        <w:pStyle w:val="Subsection"/>
      </w:pPr>
      <w:r>
        <w:tab/>
      </w:r>
      <w:r>
        <w:tab/>
        <w:t xml:space="preserve">So long as your case is an inactive case,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6546; amended: Gazette 5 Apr 2019 p. 1015.]</w:t>
      </w:r>
    </w:p>
    <w:p>
      <w:pPr>
        <w:pStyle w:val="Heading5"/>
      </w:pPr>
      <w:bookmarkStart w:id="80" w:name="_Toc106719411"/>
      <w:r>
        <w:rPr>
          <w:rStyle w:val="CharSectno"/>
        </w:rPr>
        <w:t>45E</w:t>
      </w:r>
      <w:r>
        <w:t>.</w:t>
      </w:r>
      <w:r>
        <w:tab/>
        <w:t>Cases no longer taken to be inactive</w:t>
      </w:r>
      <w:bookmarkEnd w:id="80"/>
    </w:p>
    <w:p>
      <w:pPr>
        <w:pStyle w:val="Subsection"/>
      </w:pPr>
      <w:r>
        <w:tab/>
        <w:t>(1)</w:t>
      </w:r>
      <w:r>
        <w:tab/>
        <w:t>If your case is an inactive case, you may apply to the Court for an order that the case is no longer taken to be inactive.</w:t>
      </w:r>
    </w:p>
    <w:p>
      <w:pPr>
        <w:pStyle w:val="Subsection"/>
      </w:pPr>
      <w:r>
        <w:tab/>
        <w:t>(2)</w:t>
      </w:r>
      <w:r>
        <w:tab/>
        <w:t xml:space="preserve">The Court may order that an inactive case is no longer taken to be inactive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that your case is no longer taken to be inactive, it may make further orders for the conduct of the case in a timely way.</w:t>
      </w:r>
    </w:p>
    <w:p>
      <w:pPr>
        <w:pStyle w:val="Footnotesection"/>
      </w:pPr>
      <w:r>
        <w:tab/>
        <w:t>[Rule 45E inserted: Gazette 5 Apr 2019 p. 1016.]</w:t>
      </w:r>
    </w:p>
    <w:p>
      <w:pPr>
        <w:pStyle w:val="Heading5"/>
      </w:pPr>
      <w:bookmarkStart w:id="81" w:name="_Toc106719412"/>
      <w:r>
        <w:rPr>
          <w:rStyle w:val="CharSectno"/>
        </w:rPr>
        <w:lastRenderedPageBreak/>
        <w:t>45F</w:t>
      </w:r>
      <w:r>
        <w:t>.</w:t>
      </w:r>
      <w:r>
        <w:tab/>
        <w:t>Dismissal of inactive cases</w:t>
      </w:r>
      <w:bookmarkEnd w:id="81"/>
    </w:p>
    <w:p>
      <w:pPr>
        <w:pStyle w:val="Subsection"/>
      </w:pPr>
      <w:r>
        <w:tab/>
        <w:t>(1)</w:t>
      </w:r>
      <w:r>
        <w:tab/>
        <w:t>If your case remains an inactive case for 6 continuous months, it is taken to be dismissed.</w:t>
      </w:r>
    </w:p>
    <w:p>
      <w:pPr>
        <w:pStyle w:val="Subsection"/>
      </w:pPr>
      <w:r>
        <w:tab/>
        <w:t>(2)</w:t>
      </w:r>
      <w:r>
        <w:tab/>
        <w:t>If the Court orders that your case is no longer taken to be inactive and neither you nor any other party to the case takes any procedural step in the case in the 6 months after the date of the order, your case is taken to be dismissed.</w:t>
      </w:r>
    </w:p>
    <w:p>
      <w:pPr>
        <w:pStyle w:val="Subsection"/>
      </w:pPr>
      <w:r>
        <w:tab/>
        <w:t>(3)</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Subsection"/>
      </w:pPr>
      <w:r>
        <w:tab/>
        <w:t>(4)</w:t>
      </w:r>
      <w:r>
        <w:tab/>
        <w:t>The Court may, in exceptional circumstances and on such terms as it thinks just, set aside the dismissal of your case under this rule.</w:t>
      </w:r>
    </w:p>
    <w:p>
      <w:pPr>
        <w:pStyle w:val="Subsection"/>
      </w:pPr>
      <w:r>
        <w:tab/>
        <w:t>(5)</w:t>
      </w:r>
      <w:r>
        <w:tab/>
        <w:t>For the purposes of subrule (4), it does not matter that your case was taken to be dismissed before the commencement of that subrule.</w:t>
      </w:r>
    </w:p>
    <w:p>
      <w:pPr>
        <w:pStyle w:val="Footnotesection"/>
      </w:pPr>
      <w:r>
        <w:tab/>
        <w:t>[Rule 45F inserted: Gazette 5 Apr 2019 p. 1016.]</w:t>
      </w:r>
    </w:p>
    <w:p>
      <w:pPr>
        <w:pStyle w:val="Heading2"/>
      </w:pPr>
      <w:bookmarkStart w:id="82" w:name="_Toc106718029"/>
      <w:bookmarkStart w:id="83" w:name="_Toc106718156"/>
      <w:bookmarkStart w:id="84" w:name="_Toc106719413"/>
      <w:r>
        <w:rPr>
          <w:rStyle w:val="CharPartNo"/>
        </w:rPr>
        <w:lastRenderedPageBreak/>
        <w:t>Part 10</w:t>
      </w:r>
      <w:r>
        <w:rPr>
          <w:b w:val="0"/>
        </w:rPr>
        <w:t> </w:t>
      </w:r>
      <w:r>
        <w:t>—</w:t>
      </w:r>
      <w:r>
        <w:rPr>
          <w:b w:val="0"/>
        </w:rPr>
        <w:t> </w:t>
      </w:r>
      <w:r>
        <w:rPr>
          <w:rStyle w:val="CharPartText"/>
        </w:rPr>
        <w:t>How to lodge documents</w:t>
      </w:r>
      <w:bookmarkEnd w:id="82"/>
      <w:bookmarkEnd w:id="83"/>
      <w:bookmarkEnd w:id="84"/>
    </w:p>
    <w:p>
      <w:pPr>
        <w:pStyle w:val="Footnoteheading"/>
      </w:pPr>
      <w:r>
        <w:tab/>
        <w:t>[Heading inserted: SL 2021/25 r. 29.]</w:t>
      </w:r>
    </w:p>
    <w:p>
      <w:pPr>
        <w:pStyle w:val="Heading5"/>
      </w:pPr>
      <w:bookmarkStart w:id="85" w:name="_Toc106719414"/>
      <w:r>
        <w:rPr>
          <w:rStyle w:val="CharSectno"/>
        </w:rPr>
        <w:t>45</w:t>
      </w:r>
      <w:r>
        <w:t>.</w:t>
      </w:r>
      <w:r>
        <w:tab/>
        <w:t>How to lodge a document</w:t>
      </w:r>
      <w:bookmarkEnd w:id="85"/>
    </w:p>
    <w:p>
      <w:pPr>
        <w:pStyle w:val="Subsection"/>
      </w:pPr>
      <w:r>
        <w:tab/>
      </w:r>
      <w:r>
        <w:tab/>
        <w:t xml:space="preserve">To lodge a document you must present it to the Court following the rules in this Part together with — </w:t>
      </w:r>
    </w:p>
    <w:p>
      <w:pPr>
        <w:pStyle w:val="Indenta"/>
      </w:pPr>
      <w:r>
        <w:tab/>
        <w:t>(a)</w:t>
      </w:r>
      <w:r>
        <w:tab/>
        <w:t xml:space="preserve">the fee (if any) required to be paid under the </w:t>
      </w:r>
      <w:r>
        <w:rPr>
          <w:i/>
        </w:rPr>
        <w:t>Magistrates Court (Fees) Regulations 2005</w:t>
      </w:r>
      <w:r>
        <w:t>; or</w:t>
      </w:r>
    </w:p>
    <w:p>
      <w:pPr>
        <w:pStyle w:val="Indenta"/>
      </w:pPr>
      <w:r>
        <w:tab/>
        <w:t>(b)</w:t>
      </w:r>
      <w:r>
        <w:tab/>
        <w:t>any information the Court needs to enable the Court to be paid the fee.</w:t>
      </w:r>
    </w:p>
    <w:p>
      <w:pPr>
        <w:pStyle w:val="Footnotesection"/>
      </w:pPr>
      <w:r>
        <w:tab/>
        <w:t>[Rule 45 inserted: SL 2021/25 r. 29.]</w:t>
      </w:r>
    </w:p>
    <w:p>
      <w:pPr>
        <w:pStyle w:val="Heading5"/>
      </w:pPr>
      <w:bookmarkStart w:id="86" w:name="_Toc106719415"/>
      <w:r>
        <w:rPr>
          <w:rStyle w:val="CharSectno"/>
        </w:rPr>
        <w:t>46</w:t>
      </w:r>
      <w:r>
        <w:t>.</w:t>
      </w:r>
      <w:r>
        <w:tab/>
        <w:t>Where you may lodge a claim that starts a case</w:t>
      </w:r>
      <w:bookmarkEnd w:id="86"/>
    </w:p>
    <w:p>
      <w:pPr>
        <w:pStyle w:val="Subsection"/>
      </w:pPr>
      <w:r>
        <w:tab/>
      </w:r>
      <w:r>
        <w:tab/>
        <w:t xml:space="preserve">You may lodge a claim that starts a case at any registry of the Court except a registry of the Court where the only registrar is a member of the Police Force who is a deputy registrar under the </w:t>
      </w:r>
      <w:r>
        <w:rPr>
          <w:i/>
        </w:rPr>
        <w:t>Magistrates Court Act 2004</w:t>
      </w:r>
      <w:r>
        <w:t xml:space="preserve"> section 26(5).</w:t>
      </w:r>
    </w:p>
    <w:p>
      <w:pPr>
        <w:pStyle w:val="Footnotesection"/>
      </w:pPr>
      <w:r>
        <w:tab/>
        <w:t>[Rule 46 inserted: SL 2021/25 r. 29.]</w:t>
      </w:r>
    </w:p>
    <w:p>
      <w:pPr>
        <w:pStyle w:val="Heading5"/>
      </w:pPr>
      <w:bookmarkStart w:id="87" w:name="_Toc106719416"/>
      <w:r>
        <w:rPr>
          <w:rStyle w:val="CharSectno"/>
        </w:rPr>
        <w:t>47</w:t>
      </w:r>
      <w:r>
        <w:t>.</w:t>
      </w:r>
      <w:r>
        <w:tab/>
        <w:t>You must lodge a document by using the ECMS unless these rules permit you not to</w:t>
      </w:r>
      <w:bookmarkEnd w:id="87"/>
    </w:p>
    <w:p>
      <w:pPr>
        <w:pStyle w:val="Subsection"/>
      </w:pPr>
      <w:r>
        <w:tab/>
        <w:t>(1)</w:t>
      </w:r>
      <w:r>
        <w:tab/>
        <w:t xml:space="preserve">You must lodge a document by using the ECMS unless — </w:t>
      </w:r>
    </w:p>
    <w:p>
      <w:pPr>
        <w:pStyle w:val="Indenta"/>
      </w:pPr>
      <w:r>
        <w:tab/>
        <w:t>(a)</w:t>
      </w:r>
      <w:r>
        <w:tab/>
        <w:t>you are ECMS exempt in relation to the document; or</w:t>
      </w:r>
    </w:p>
    <w:p>
      <w:pPr>
        <w:pStyle w:val="Indenta"/>
      </w:pPr>
      <w:r>
        <w:tab/>
        <w:t>(b)</w:t>
      </w:r>
      <w:r>
        <w:tab/>
        <w:t xml:space="preserve">the ECMS — </w:t>
      </w:r>
    </w:p>
    <w:p>
      <w:pPr>
        <w:pStyle w:val="Indenti"/>
      </w:pPr>
      <w:r>
        <w:tab/>
        <w:t>(i)</w:t>
      </w:r>
      <w:r>
        <w:tab/>
        <w:t xml:space="preserve">has been declared unavailable for use under the </w:t>
      </w:r>
      <w:r>
        <w:rPr>
          <w:i/>
        </w:rPr>
        <w:t>Magistrates Court (Civil Proceedings) Rules 2005</w:t>
      </w:r>
      <w:r>
        <w:t xml:space="preserve"> rule 99; or</w:t>
      </w:r>
    </w:p>
    <w:p>
      <w:pPr>
        <w:pStyle w:val="Indenti"/>
      </w:pPr>
      <w:r>
        <w:tab/>
        <w:t>(ii)</w:t>
      </w:r>
      <w:r>
        <w:tab/>
        <w:t>is otherwise unavailable for use; or</w:t>
      </w:r>
    </w:p>
    <w:p>
      <w:pPr>
        <w:pStyle w:val="Indenti"/>
      </w:pPr>
      <w:r>
        <w:tab/>
        <w:t>(iii)</w:t>
      </w:r>
      <w:r>
        <w:tab/>
        <w:t>does not permit the document to be lodged.</w:t>
      </w:r>
    </w:p>
    <w:p>
      <w:pPr>
        <w:pStyle w:val="Subsection"/>
      </w:pPr>
      <w:r>
        <w:tab/>
        <w:t>(2)</w:t>
      </w:r>
      <w:r>
        <w:tab/>
        <w:t xml:space="preserve">If you are not required to lodge a document by using the ECMS, you may lodge it by — </w:t>
      </w:r>
    </w:p>
    <w:p>
      <w:pPr>
        <w:pStyle w:val="Indenta"/>
      </w:pPr>
      <w:r>
        <w:tab/>
        <w:t>(a)</w:t>
      </w:r>
      <w:r>
        <w:tab/>
        <w:t>delivering it by hand; or</w:t>
      </w:r>
    </w:p>
    <w:p>
      <w:pPr>
        <w:pStyle w:val="Indenta"/>
      </w:pPr>
      <w:r>
        <w:lastRenderedPageBreak/>
        <w:tab/>
        <w:t>(b)</w:t>
      </w:r>
      <w:r>
        <w:tab/>
        <w:t>emailing it (see rule 48); or</w:t>
      </w:r>
    </w:p>
    <w:p>
      <w:pPr>
        <w:pStyle w:val="Indenta"/>
      </w:pPr>
      <w:r>
        <w:tab/>
        <w:t>(c)</w:t>
      </w:r>
      <w:r>
        <w:tab/>
        <w:t>posting it (see rule 49C); or</w:t>
      </w:r>
    </w:p>
    <w:p>
      <w:pPr>
        <w:pStyle w:val="Indenta"/>
      </w:pPr>
      <w:r>
        <w:tab/>
        <w:t>(d)</w:t>
      </w:r>
      <w:r>
        <w:tab/>
        <w:t>faxing it (see rule 49C).</w:t>
      </w:r>
    </w:p>
    <w:p>
      <w:pPr>
        <w:pStyle w:val="Footnotesection"/>
      </w:pPr>
      <w:r>
        <w:tab/>
        <w:t>[Rule 47 inserted: SL 2021/25 r. 29.]</w:t>
      </w:r>
    </w:p>
    <w:p>
      <w:pPr>
        <w:pStyle w:val="Heading5"/>
      </w:pPr>
      <w:bookmarkStart w:id="88" w:name="_Toc106719417"/>
      <w:r>
        <w:rPr>
          <w:rStyle w:val="CharSectno"/>
        </w:rPr>
        <w:t>48</w:t>
      </w:r>
      <w:r>
        <w:t>.</w:t>
      </w:r>
      <w:r>
        <w:tab/>
        <w:t>Lodging documents by email</w:t>
      </w:r>
      <w:bookmarkEnd w:id="88"/>
    </w:p>
    <w:p>
      <w:pPr>
        <w:pStyle w:val="Subsection"/>
      </w:pPr>
      <w:r>
        <w:tab/>
      </w:r>
      <w:r>
        <w:tab/>
        <w:t xml:space="preserve">If you want to lodge a document by email and you are permitted to do so by these rules, you must comply with the lodgment requirements set out in the </w:t>
      </w:r>
      <w:r>
        <w:rPr>
          <w:i/>
        </w:rPr>
        <w:t>Magistrates Court (Civil Proceedings) Rules 2005</w:t>
      </w:r>
      <w:r>
        <w:t xml:space="preserve"> rule 98D.</w:t>
      </w:r>
    </w:p>
    <w:p>
      <w:pPr>
        <w:pStyle w:val="Footnotesection"/>
      </w:pPr>
      <w:r>
        <w:tab/>
        <w:t>[Rule 48 inserted: SL 2021/25 r. 29.]</w:t>
      </w:r>
    </w:p>
    <w:p>
      <w:pPr>
        <w:pStyle w:val="Heading5"/>
      </w:pPr>
      <w:bookmarkStart w:id="89" w:name="_Toc106719418"/>
      <w:r>
        <w:rPr>
          <w:rStyle w:val="CharSectno"/>
        </w:rPr>
        <w:t>49</w:t>
      </w:r>
      <w:r>
        <w:t>.</w:t>
      </w:r>
      <w:r>
        <w:tab/>
        <w:t>Form of documents lodged using ECMS or by email</w:t>
      </w:r>
      <w:bookmarkEnd w:id="89"/>
    </w:p>
    <w:p>
      <w:pPr>
        <w:pStyle w:val="Subsection"/>
      </w:pPr>
      <w:r>
        <w:tab/>
        <w:t>(1)</w:t>
      </w:r>
      <w:r>
        <w:tab/>
        <w:t>You must comply with this rule if you want to lodge a document by using the ECMS or by email.</w:t>
      </w:r>
    </w:p>
    <w:p>
      <w:pPr>
        <w:pStyle w:val="Subsection"/>
      </w:pPr>
      <w:r>
        <w:tab/>
        <w:t>(2)</w:t>
      </w:r>
      <w:r>
        <w:tab/>
        <w:t xml:space="preserve">If the document is an affidavit, a consent to the Court doing anything, or a document signed by someone who is not a party to your case, you must — </w:t>
      </w:r>
    </w:p>
    <w:p>
      <w:pPr>
        <w:pStyle w:val="Indenta"/>
      </w:pPr>
      <w:r>
        <w:tab/>
        <w:t>(a)</w:t>
      </w:r>
      <w:r>
        <w:tab/>
        <w:t>ensure that the document is signed; and</w:t>
      </w:r>
    </w:p>
    <w:p>
      <w:pPr>
        <w:pStyle w:val="Indenta"/>
      </w:pPr>
      <w:r>
        <w:tab/>
        <w:t>(b)</w:t>
      </w:r>
      <w:r>
        <w:tab/>
        <w:t>convert it to .pdf format; and</w:t>
      </w:r>
    </w:p>
    <w:p>
      <w:pPr>
        <w:pStyle w:val="Indenta"/>
      </w:pPr>
      <w:r>
        <w:tab/>
        <w:t>(c)</w:t>
      </w:r>
      <w:r>
        <w:tab/>
        <w:t>lodge the document; and</w:t>
      </w:r>
    </w:p>
    <w:p>
      <w:pPr>
        <w:pStyle w:val="Indenta"/>
      </w:pPr>
      <w:r>
        <w:tab/>
        <w:t>(d)</w:t>
      </w:r>
      <w:r>
        <w:tab/>
        <w:t>keep the signed copy and produce it if required to do so by the Court.</w:t>
      </w:r>
    </w:p>
    <w:p>
      <w:pPr>
        <w:pStyle w:val="Subsection"/>
      </w:pPr>
      <w:r>
        <w:tab/>
        <w:t>(3)</w:t>
      </w:r>
      <w:r>
        <w:tab/>
        <w:t xml:space="preserve">For any other document that must be signed under the </w:t>
      </w:r>
      <w:r>
        <w:rPr>
          <w:i/>
        </w:rPr>
        <w:t>Magistrates Court (General) Rules 2005</w:t>
      </w:r>
      <w:r>
        <w:t xml:space="preserve"> or the </w:t>
      </w:r>
      <w:r>
        <w:rPr>
          <w:i/>
        </w:rPr>
        <w:t>Magistrates Court (Civil Proceedings) Rules 2005</w:t>
      </w:r>
      <w:r>
        <w:t xml:space="preserve">, you must — </w:t>
      </w:r>
    </w:p>
    <w:p>
      <w:pPr>
        <w:pStyle w:val="Indenta"/>
      </w:pPr>
      <w:r>
        <w:tab/>
        <w:t>(a)</w:t>
      </w:r>
      <w:r>
        <w:tab/>
        <w:t>ensure that the document is signed; and</w:t>
      </w:r>
    </w:p>
    <w:p>
      <w:pPr>
        <w:pStyle w:val="Indenta"/>
      </w:pPr>
      <w:r>
        <w:tab/>
        <w:t>(b)</w:t>
      </w:r>
      <w:r>
        <w:tab/>
        <w:t>present a copy of the document, in .docx format, instead of the signed copy; and</w:t>
      </w:r>
    </w:p>
    <w:p>
      <w:pPr>
        <w:pStyle w:val="Indenta"/>
      </w:pPr>
      <w:r>
        <w:tab/>
        <w:t>(c)</w:t>
      </w:r>
      <w:r>
        <w:tab/>
        <w:t>in any place in the copy of the document in .docx format where a signature would otherwise be required, state the name of the person who is required to sign it; and</w:t>
      </w:r>
    </w:p>
    <w:p>
      <w:pPr>
        <w:pStyle w:val="Indenta"/>
      </w:pPr>
      <w:r>
        <w:lastRenderedPageBreak/>
        <w:tab/>
        <w:t>(d)</w:t>
      </w:r>
      <w:r>
        <w:tab/>
        <w:t>retain the signed copy and produce it if required to do so by the Court.</w:t>
      </w:r>
    </w:p>
    <w:p>
      <w:pPr>
        <w:pStyle w:val="Footnotesection"/>
      </w:pPr>
      <w:r>
        <w:tab/>
        <w:t>[Rule 49 inserted: SL 2021/25 r. 29.]</w:t>
      </w:r>
    </w:p>
    <w:p>
      <w:pPr>
        <w:pStyle w:val="Heading5"/>
      </w:pPr>
      <w:bookmarkStart w:id="90" w:name="_Toc106719419"/>
      <w:r>
        <w:rPr>
          <w:rStyle w:val="CharSectno"/>
        </w:rPr>
        <w:t>49A</w:t>
      </w:r>
      <w:r>
        <w:t>.</w:t>
      </w:r>
      <w:r>
        <w:tab/>
        <w:t>Time documents are lodged</w:t>
      </w:r>
      <w:bookmarkEnd w:id="90"/>
    </w:p>
    <w:p>
      <w:pPr>
        <w:pStyle w:val="Subsection"/>
      </w:pPr>
      <w:r>
        <w:tab/>
      </w:r>
      <w:r>
        <w:tab/>
        <w:t xml:space="preserve">Documents lodged by using the ECMS or by email or fax are taken to have been lodged — </w:t>
      </w:r>
    </w:p>
    <w:p>
      <w:pPr>
        <w:pStyle w:val="Indenta"/>
      </w:pPr>
      <w:r>
        <w:tab/>
        <w:t>(a)</w:t>
      </w:r>
      <w:r>
        <w:tab/>
        <w:t>in the case of lodging by using the ECMS — on the day and at the time when the ECMS records the lodgment; and</w:t>
      </w:r>
    </w:p>
    <w:p>
      <w:pPr>
        <w:pStyle w:val="Indenta"/>
      </w:pPr>
      <w:r>
        <w:tab/>
        <w:t>(b)</w:t>
      </w:r>
      <w:r>
        <w:tab/>
        <w:t>in the case of lodging by email — on the day and at the time when the Court receives the email; and</w:t>
      </w:r>
    </w:p>
    <w:p>
      <w:pPr>
        <w:pStyle w:val="Indenta"/>
      </w:pPr>
      <w:r>
        <w:tab/>
        <w:t>(c)</w:t>
      </w:r>
      <w:r>
        <w:tab/>
        <w:t>in the case of lodging by fax — on the day and at the time when the Court receives the fax.</w:t>
      </w:r>
    </w:p>
    <w:p>
      <w:pPr>
        <w:pStyle w:val="Footnotesection"/>
      </w:pPr>
      <w:r>
        <w:tab/>
        <w:t>[Rule 49A inserted: SL 2021/25 r. 29.]</w:t>
      </w:r>
    </w:p>
    <w:p>
      <w:pPr>
        <w:pStyle w:val="Heading5"/>
      </w:pPr>
      <w:bookmarkStart w:id="91" w:name="_Toc106719420"/>
      <w:r>
        <w:rPr>
          <w:rStyle w:val="CharSectno"/>
        </w:rPr>
        <w:t>49B</w:t>
      </w:r>
      <w:r>
        <w:t>.</w:t>
      </w:r>
      <w:r>
        <w:tab/>
        <w:t>General provisions as to lodgment</w:t>
      </w:r>
      <w:bookmarkEnd w:id="91"/>
    </w:p>
    <w:p>
      <w:pPr>
        <w:pStyle w:val="Subsection"/>
      </w:pPr>
      <w:r>
        <w:tab/>
        <w:t>(1)</w:t>
      </w:r>
      <w:r>
        <w:tab/>
        <w:t>You do not need to comply with a requirement by the Court to lodge 2 or more copies of a document if you lodge the document by using the ECMS or by email.</w:t>
      </w:r>
    </w:p>
    <w:p>
      <w:pPr>
        <w:pStyle w:val="Subsection"/>
      </w:pPr>
      <w:r>
        <w:tab/>
        <w:t>(2)</w:t>
      </w:r>
      <w:r>
        <w:tab/>
        <w:t xml:space="preserve">The Court or a registrar may reject a document that you present for lodgment if — </w:t>
      </w:r>
    </w:p>
    <w:p>
      <w:pPr>
        <w:pStyle w:val="Indenta"/>
      </w:pPr>
      <w:r>
        <w:tab/>
        <w:t>(a)</w:t>
      </w:r>
      <w:r>
        <w:tab/>
        <w:t>the form and content of the document do not comply with these rules and any Court order or direction; or</w:t>
      </w:r>
    </w:p>
    <w:p>
      <w:pPr>
        <w:pStyle w:val="Indenta"/>
      </w:pPr>
      <w:r>
        <w:tab/>
        <w:t>(b)</w:t>
      </w:r>
      <w:r>
        <w:tab/>
        <w:t>the document is not presented following the rules in this Part.</w:t>
      </w:r>
    </w:p>
    <w:p>
      <w:pPr>
        <w:pStyle w:val="Subsection"/>
      </w:pPr>
      <w:r>
        <w:tab/>
        <w:t>(3)</w:t>
      </w:r>
      <w:r>
        <w:tab/>
        <w:t>If the Court or a registrar rejects a document under subrule (2), a registrar must notify the person who presented the document for lodgment.</w:t>
      </w:r>
    </w:p>
    <w:p>
      <w:pPr>
        <w:pStyle w:val="Subsection"/>
        <w:keepNext/>
      </w:pPr>
      <w:r>
        <w:lastRenderedPageBreak/>
        <w:tab/>
        <w:t>(4)</w:t>
      </w:r>
      <w:r>
        <w:tab/>
        <w:t xml:space="preserve">If you present a document for lodgment by using the ECMS or by email, the Court or a registrar may order you to — </w:t>
      </w:r>
    </w:p>
    <w:p>
      <w:pPr>
        <w:pStyle w:val="Indenta"/>
      </w:pPr>
      <w:r>
        <w:tab/>
        <w:t>(a)</w:t>
      </w:r>
      <w:r>
        <w:tab/>
        <w:t>bring the original document to any conference or hearing in the case; or</w:t>
      </w:r>
    </w:p>
    <w:p>
      <w:pPr>
        <w:pStyle w:val="Indenta"/>
      </w:pPr>
      <w:r>
        <w:tab/>
        <w:t>(b)</w:t>
      </w:r>
      <w:r>
        <w:tab/>
        <w:t>lodge the original document.</w:t>
      </w:r>
    </w:p>
    <w:p>
      <w:pPr>
        <w:pStyle w:val="Footnotesection"/>
      </w:pPr>
      <w:r>
        <w:tab/>
        <w:t>[Rule 49B inserted: SL 2021/25 r. 29.]</w:t>
      </w:r>
    </w:p>
    <w:p>
      <w:pPr>
        <w:pStyle w:val="Heading5"/>
      </w:pPr>
      <w:bookmarkStart w:id="92" w:name="_Toc106719421"/>
      <w:r>
        <w:rPr>
          <w:rStyle w:val="CharSectno"/>
        </w:rPr>
        <w:t>49C</w:t>
      </w:r>
      <w:r>
        <w:t>.</w:t>
      </w:r>
      <w:r>
        <w:tab/>
        <w:t>Lodging documents by post or fax</w:t>
      </w:r>
      <w:bookmarkEnd w:id="92"/>
    </w:p>
    <w:p>
      <w:pPr>
        <w:pStyle w:val="Subsection"/>
      </w:pPr>
      <w:r>
        <w:tab/>
      </w:r>
      <w:r>
        <w:tab/>
        <w:t xml:space="preserve">If you want to lodge a document by post or fax and you are permitted to do so by these rules, you must comply with the lodgment requirements set out in the </w:t>
      </w:r>
      <w:r>
        <w:rPr>
          <w:i/>
        </w:rPr>
        <w:t>Magistrates Court (Civil Proceedings) Rules 2005</w:t>
      </w:r>
      <w:r>
        <w:t xml:space="preserve"> rule 98F or 98G.</w:t>
      </w:r>
    </w:p>
    <w:p>
      <w:pPr>
        <w:pStyle w:val="Footnotesection"/>
      </w:pPr>
      <w:r>
        <w:tab/>
        <w:t>[Rule 49C inserted: SL 2021/25 r. 29.]</w:t>
      </w:r>
    </w:p>
    <w:p>
      <w:pPr>
        <w:pStyle w:val="Heading5"/>
      </w:pPr>
      <w:bookmarkStart w:id="93" w:name="_Toc106719422"/>
      <w:r>
        <w:rPr>
          <w:rStyle w:val="CharSectno"/>
        </w:rPr>
        <w:t>49D</w:t>
      </w:r>
      <w:r>
        <w:t>.</w:t>
      </w:r>
      <w:r>
        <w:tab/>
        <w:t>The Court may convert paper documents to electronic form</w:t>
      </w:r>
      <w:bookmarkEnd w:id="93"/>
    </w:p>
    <w:p>
      <w:pPr>
        <w:pStyle w:val="Subsection"/>
      </w:pPr>
      <w:r>
        <w:tab/>
      </w:r>
      <w:r>
        <w:tab/>
        <w:t>The Court may convert the lodged paper copy of a document to an electronic format and record it in the ECMS as if it had been lodged by using the ECMS.</w:t>
      </w:r>
    </w:p>
    <w:p>
      <w:pPr>
        <w:pStyle w:val="Footnotesection"/>
      </w:pPr>
      <w:r>
        <w:tab/>
        <w:t>[Rule 49D inserted: SL 2021/25 r. 29.]</w:t>
      </w:r>
    </w:p>
    <w:p>
      <w:pPr>
        <w:pStyle w:val="Heading2"/>
      </w:pPr>
      <w:bookmarkStart w:id="94" w:name="_Toc106718039"/>
      <w:bookmarkStart w:id="95" w:name="_Toc106718166"/>
      <w:bookmarkStart w:id="96" w:name="_Toc106719423"/>
      <w:r>
        <w:rPr>
          <w:rStyle w:val="CharPartNo"/>
        </w:rPr>
        <w:lastRenderedPageBreak/>
        <w:t>Part 11</w:t>
      </w:r>
      <w:r>
        <w:t> — </w:t>
      </w:r>
      <w:r>
        <w:rPr>
          <w:rStyle w:val="CharPartText"/>
        </w:rPr>
        <w:t>How to serve documents</w:t>
      </w:r>
      <w:bookmarkEnd w:id="94"/>
      <w:bookmarkEnd w:id="95"/>
      <w:bookmarkEnd w:id="96"/>
    </w:p>
    <w:p>
      <w:pPr>
        <w:pStyle w:val="Heading3"/>
      </w:pPr>
      <w:bookmarkStart w:id="97" w:name="_Toc106718040"/>
      <w:bookmarkStart w:id="98" w:name="_Toc106718167"/>
      <w:bookmarkStart w:id="99" w:name="_Toc106719424"/>
      <w:r>
        <w:rPr>
          <w:rStyle w:val="CharDivNo"/>
        </w:rPr>
        <w:t>Division 1</w:t>
      </w:r>
      <w:r>
        <w:t> — </w:t>
      </w:r>
      <w:r>
        <w:rPr>
          <w:rStyle w:val="CharDivText"/>
        </w:rPr>
        <w:t>General</w:t>
      </w:r>
      <w:bookmarkEnd w:id="97"/>
      <w:bookmarkEnd w:id="98"/>
      <w:bookmarkEnd w:id="99"/>
    </w:p>
    <w:p>
      <w:pPr>
        <w:pStyle w:val="Heading5"/>
      </w:pPr>
      <w:bookmarkStart w:id="100" w:name="_Toc106719425"/>
      <w:r>
        <w:rPr>
          <w:rStyle w:val="CharSectno"/>
        </w:rPr>
        <w:t>50</w:t>
      </w:r>
      <w:r>
        <w:t>.</w:t>
      </w:r>
      <w:r>
        <w:tab/>
        <w:t>Meaning of serve</w:t>
      </w:r>
      <w:bookmarkEnd w:id="100"/>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101" w:name="_Toc106719426"/>
      <w:r>
        <w:rPr>
          <w:rStyle w:val="CharSectno"/>
        </w:rPr>
        <w:t>51</w:t>
      </w:r>
      <w:r>
        <w:t>.</w:t>
      </w:r>
      <w:r>
        <w:tab/>
        <w:t>How to serve a document</w:t>
      </w:r>
      <w:bookmarkEnd w:id="101"/>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102" w:name="_Toc106719427"/>
      <w:r>
        <w:rPr>
          <w:rStyle w:val="CharSectno"/>
        </w:rPr>
        <w:lastRenderedPageBreak/>
        <w:t>52</w:t>
      </w:r>
      <w:r>
        <w:t>.</w:t>
      </w:r>
      <w:r>
        <w:tab/>
        <w:t>An enforcement officer may serve documents for you</w:t>
      </w:r>
      <w:bookmarkEnd w:id="102"/>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103" w:name="_Toc106719428"/>
      <w:r>
        <w:rPr>
          <w:rStyle w:val="CharSectno"/>
        </w:rPr>
        <w:t>53</w:t>
      </w:r>
      <w:r>
        <w:t>.</w:t>
      </w:r>
      <w:r>
        <w:tab/>
        <w:t>You must lodge an affidavit after serving a document</w:t>
      </w:r>
      <w:bookmarkEnd w:id="103"/>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104" w:name="_Toc106718045"/>
      <w:bookmarkStart w:id="105" w:name="_Toc106718172"/>
      <w:bookmarkStart w:id="106" w:name="_Toc106719429"/>
      <w:r>
        <w:rPr>
          <w:rStyle w:val="CharDivNo"/>
        </w:rPr>
        <w:t>Division 2</w:t>
      </w:r>
      <w:r>
        <w:t> — </w:t>
      </w:r>
      <w:r>
        <w:rPr>
          <w:rStyle w:val="CharDivText"/>
        </w:rPr>
        <w:t>Service at a residential or business address</w:t>
      </w:r>
      <w:bookmarkEnd w:id="104"/>
      <w:bookmarkEnd w:id="105"/>
      <w:bookmarkEnd w:id="106"/>
    </w:p>
    <w:p>
      <w:pPr>
        <w:pStyle w:val="Footnoteheading"/>
      </w:pPr>
      <w:r>
        <w:tab/>
        <w:t>[Heading inserted: Gazette 20 May 2011 p. 1840.]</w:t>
      </w:r>
    </w:p>
    <w:p>
      <w:pPr>
        <w:pStyle w:val="Heading5"/>
      </w:pPr>
      <w:bookmarkStart w:id="107" w:name="_Toc106719430"/>
      <w:r>
        <w:rPr>
          <w:rStyle w:val="CharSectno"/>
        </w:rPr>
        <w:t>54</w:t>
      </w:r>
      <w:r>
        <w:t>.</w:t>
      </w:r>
      <w:r>
        <w:tab/>
        <w:t>Your address must be on each document</w:t>
      </w:r>
      <w:bookmarkEnd w:id="107"/>
    </w:p>
    <w:p>
      <w:pPr>
        <w:pStyle w:val="Subsection"/>
      </w:pPr>
      <w:r>
        <w:tab/>
        <w:t>(1)</w:t>
      </w:r>
      <w:r>
        <w:tab/>
        <w:t>If you lodge a document in relation to a case, the document must contain your residential or business address for service.</w:t>
      </w:r>
    </w:p>
    <w:p>
      <w:pPr>
        <w:pStyle w:val="Subsection"/>
      </w:pPr>
      <w:r>
        <w:lastRenderedPageBreak/>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108" w:name="_Toc106719431"/>
      <w:r>
        <w:rPr>
          <w:rStyle w:val="CharSectno"/>
        </w:rPr>
        <w:t>55</w:t>
      </w:r>
      <w:r>
        <w:t>.</w:t>
      </w:r>
      <w:r>
        <w:tab/>
        <w:t>If you are not represented</w:t>
      </w:r>
      <w:bookmarkEnd w:id="108"/>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109" w:name="_Toc106719432"/>
      <w:r>
        <w:rPr>
          <w:rStyle w:val="CharSectno"/>
        </w:rPr>
        <w:t>56</w:t>
      </w:r>
      <w:r>
        <w:t>.</w:t>
      </w:r>
      <w:r>
        <w:tab/>
        <w:t>If you are represented</w:t>
      </w:r>
      <w:bookmarkEnd w:id="109"/>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Gazette 3 Jun 2008 p. 2146.]</w:t>
      </w:r>
    </w:p>
    <w:p>
      <w:pPr>
        <w:pStyle w:val="Heading5"/>
      </w:pPr>
      <w:bookmarkStart w:id="110" w:name="_Toc106719433"/>
      <w:r>
        <w:rPr>
          <w:rStyle w:val="CharSectno"/>
        </w:rPr>
        <w:lastRenderedPageBreak/>
        <w:t>57</w:t>
      </w:r>
      <w:r>
        <w:t>.</w:t>
      </w:r>
      <w:r>
        <w:tab/>
        <w:t>If your address changes</w:t>
      </w:r>
      <w:bookmarkEnd w:id="110"/>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111" w:name="_Toc106718050"/>
      <w:bookmarkStart w:id="112" w:name="_Toc106718177"/>
      <w:bookmarkStart w:id="113" w:name="_Toc106719434"/>
      <w:r>
        <w:rPr>
          <w:rStyle w:val="CharDivNo"/>
        </w:rPr>
        <w:t>Division 3</w:t>
      </w:r>
      <w:r>
        <w:t> — </w:t>
      </w:r>
      <w:r>
        <w:rPr>
          <w:rStyle w:val="CharDivText"/>
        </w:rPr>
        <w:t>Personal service</w:t>
      </w:r>
      <w:bookmarkEnd w:id="111"/>
      <w:bookmarkEnd w:id="112"/>
      <w:bookmarkEnd w:id="113"/>
    </w:p>
    <w:p>
      <w:pPr>
        <w:pStyle w:val="Heading5"/>
      </w:pPr>
      <w:bookmarkStart w:id="114" w:name="_Toc106719435"/>
      <w:r>
        <w:rPr>
          <w:rStyle w:val="CharSectno"/>
        </w:rPr>
        <w:t>58</w:t>
      </w:r>
      <w:r>
        <w:t>.</w:t>
      </w:r>
      <w:r>
        <w:tab/>
        <w:t>Service on an individual personally</w:t>
      </w:r>
      <w:bookmarkEnd w:id="114"/>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115" w:name="_Toc106719436"/>
      <w:r>
        <w:rPr>
          <w:rStyle w:val="CharSectno"/>
        </w:rPr>
        <w:lastRenderedPageBreak/>
        <w:t>59</w:t>
      </w:r>
      <w:r>
        <w:t>.</w:t>
      </w:r>
      <w:r>
        <w:tab/>
        <w:t>Service on a partnership personally</w:t>
      </w:r>
      <w:bookmarkEnd w:id="115"/>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116" w:name="_Toc106719437"/>
      <w:r>
        <w:rPr>
          <w:rStyle w:val="CharSectno"/>
        </w:rPr>
        <w:t>60</w:t>
      </w:r>
      <w:r>
        <w:t>.</w:t>
      </w:r>
      <w:r>
        <w:tab/>
        <w:t>Service on a corporation personally</w:t>
      </w:r>
      <w:bookmarkEnd w:id="116"/>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Gazette 3 Jun 2008 p. 2146.]</w:t>
      </w:r>
    </w:p>
    <w:p>
      <w:pPr>
        <w:pStyle w:val="Heading5"/>
      </w:pPr>
      <w:bookmarkStart w:id="117" w:name="_Toc106719438"/>
      <w:r>
        <w:rPr>
          <w:rStyle w:val="CharSectno"/>
        </w:rPr>
        <w:t>61</w:t>
      </w:r>
      <w:r>
        <w:t>.</w:t>
      </w:r>
      <w:r>
        <w:tab/>
        <w:t>Service on a public authority personally</w:t>
      </w:r>
      <w:bookmarkEnd w:id="117"/>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lastRenderedPageBreak/>
        <w:tab/>
        <w:t>(b)</w:t>
      </w:r>
      <w:r>
        <w:tab/>
        <w:t>hand the document to a lawyer who is acting for the public authority.</w:t>
      </w:r>
    </w:p>
    <w:p>
      <w:pPr>
        <w:pStyle w:val="Heading3"/>
      </w:pPr>
      <w:bookmarkStart w:id="118" w:name="_Toc106718055"/>
      <w:bookmarkStart w:id="119" w:name="_Toc106718182"/>
      <w:bookmarkStart w:id="120" w:name="_Toc106719439"/>
      <w:r>
        <w:rPr>
          <w:rStyle w:val="CharDivNo"/>
        </w:rPr>
        <w:t>Division 4</w:t>
      </w:r>
      <w:r>
        <w:t> — </w:t>
      </w:r>
      <w:r>
        <w:rPr>
          <w:rStyle w:val="CharDivText"/>
        </w:rPr>
        <w:t>Miscellaneous</w:t>
      </w:r>
      <w:bookmarkEnd w:id="118"/>
      <w:bookmarkEnd w:id="119"/>
      <w:bookmarkEnd w:id="120"/>
    </w:p>
    <w:p>
      <w:pPr>
        <w:pStyle w:val="Footnoteheading"/>
      </w:pPr>
      <w:r>
        <w:tab/>
        <w:t>[Heading inserted: Gazette 3 Jun 2008 p. 2147.]</w:t>
      </w:r>
    </w:p>
    <w:p>
      <w:pPr>
        <w:pStyle w:val="Heading5"/>
      </w:pPr>
      <w:bookmarkStart w:id="121" w:name="_Toc106719440"/>
      <w:r>
        <w:rPr>
          <w:rStyle w:val="CharSectno"/>
        </w:rPr>
        <w:t>62A</w:t>
      </w:r>
      <w:r>
        <w:t>.</w:t>
      </w:r>
      <w:r>
        <w:tab/>
        <w:t>Applications for substituted service</w:t>
      </w:r>
      <w:bookmarkEnd w:id="121"/>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122" w:name="_Toc106718057"/>
      <w:bookmarkStart w:id="123" w:name="_Toc106718184"/>
      <w:bookmarkStart w:id="124" w:name="_Toc106719441"/>
      <w:r>
        <w:rPr>
          <w:rStyle w:val="CharPartNo"/>
        </w:rPr>
        <w:lastRenderedPageBreak/>
        <w:t>Part 12</w:t>
      </w:r>
      <w:r>
        <w:rPr>
          <w:rStyle w:val="CharDivNo"/>
        </w:rPr>
        <w:t> </w:t>
      </w:r>
      <w:r>
        <w:t>—</w:t>
      </w:r>
      <w:r>
        <w:rPr>
          <w:rStyle w:val="CharDivText"/>
        </w:rPr>
        <w:t> </w:t>
      </w:r>
      <w:r>
        <w:rPr>
          <w:rStyle w:val="CharPartText"/>
        </w:rPr>
        <w:t>How to make an application</w:t>
      </w:r>
      <w:bookmarkEnd w:id="122"/>
      <w:bookmarkEnd w:id="123"/>
      <w:bookmarkEnd w:id="124"/>
    </w:p>
    <w:p>
      <w:pPr>
        <w:pStyle w:val="Heading5"/>
      </w:pPr>
      <w:bookmarkStart w:id="125" w:name="_Toc106719442"/>
      <w:r>
        <w:rPr>
          <w:rStyle w:val="CharSectno"/>
        </w:rPr>
        <w:t>62</w:t>
      </w:r>
      <w:r>
        <w:t>.</w:t>
      </w:r>
      <w:r>
        <w:tab/>
        <w:t>How to make a written application</w:t>
      </w:r>
      <w:bookmarkEnd w:id="125"/>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126" w:name="_Toc106719443"/>
      <w:r>
        <w:rPr>
          <w:rStyle w:val="CharSectno"/>
        </w:rPr>
        <w:t>63</w:t>
      </w:r>
      <w:r>
        <w:t>.</w:t>
      </w:r>
      <w:r>
        <w:tab/>
        <w:t>Your supporting affidavit</w:t>
      </w:r>
      <w:bookmarkEnd w:id="126"/>
    </w:p>
    <w:p>
      <w:pPr>
        <w:pStyle w:val="Subsection"/>
      </w:pPr>
      <w:r>
        <w:tab/>
      </w:r>
      <w:r>
        <w:tab/>
        <w:t>Unless rule 18(3) applies, if you are making a written application it must be lodged together with a supporting affidavit.</w:t>
      </w:r>
    </w:p>
    <w:p>
      <w:pPr>
        <w:pStyle w:val="Heading5"/>
      </w:pPr>
      <w:bookmarkStart w:id="127" w:name="_Toc106719444"/>
      <w:r>
        <w:rPr>
          <w:rStyle w:val="CharSectno"/>
        </w:rPr>
        <w:t>64</w:t>
      </w:r>
      <w:r>
        <w:t>.</w:t>
      </w:r>
      <w:r>
        <w:tab/>
        <w:t>Application must be served</w:t>
      </w:r>
      <w:bookmarkEnd w:id="127"/>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lastRenderedPageBreak/>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128" w:name="_Toc106719445"/>
      <w:r>
        <w:rPr>
          <w:rStyle w:val="CharSectno"/>
        </w:rPr>
        <w:t>65</w:t>
      </w:r>
      <w:r>
        <w:t>.</w:t>
      </w:r>
      <w:r>
        <w:tab/>
        <w:t>Response to an application</w:t>
      </w:r>
      <w:bookmarkEnd w:id="128"/>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129" w:name="_Toc106719446"/>
      <w:r>
        <w:rPr>
          <w:rStyle w:val="CharSectno"/>
        </w:rPr>
        <w:t>66</w:t>
      </w:r>
      <w:r>
        <w:t>.</w:t>
      </w:r>
      <w:r>
        <w:tab/>
        <w:t>How the Court will deal with your application</w:t>
      </w:r>
      <w:bookmarkEnd w:id="129"/>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130" w:name="_Toc106718063"/>
      <w:bookmarkStart w:id="131" w:name="_Toc106718190"/>
      <w:bookmarkStart w:id="132" w:name="_Toc106719447"/>
      <w:r>
        <w:rPr>
          <w:rStyle w:val="CharPartNo"/>
        </w:rPr>
        <w:lastRenderedPageBreak/>
        <w:t>Part 13</w:t>
      </w:r>
      <w:r>
        <w:rPr>
          <w:rStyle w:val="CharDivNo"/>
        </w:rPr>
        <w:t> </w:t>
      </w:r>
      <w:r>
        <w:t>—</w:t>
      </w:r>
      <w:r>
        <w:rPr>
          <w:rStyle w:val="CharDivText"/>
        </w:rPr>
        <w:t> </w:t>
      </w:r>
      <w:r>
        <w:rPr>
          <w:rStyle w:val="CharPartText"/>
        </w:rPr>
        <w:t>Affidavits</w:t>
      </w:r>
      <w:bookmarkEnd w:id="130"/>
      <w:bookmarkEnd w:id="131"/>
      <w:bookmarkEnd w:id="132"/>
    </w:p>
    <w:p>
      <w:pPr>
        <w:pStyle w:val="Heading5"/>
      </w:pPr>
      <w:bookmarkStart w:id="133" w:name="_Toc106719448"/>
      <w:r>
        <w:rPr>
          <w:rStyle w:val="CharSectno"/>
        </w:rPr>
        <w:t>67</w:t>
      </w:r>
      <w:r>
        <w:t>.</w:t>
      </w:r>
      <w:r>
        <w:tab/>
        <w:t>Form of an affidavit</w:t>
      </w:r>
      <w:bookmarkEnd w:id="133"/>
    </w:p>
    <w:p>
      <w:pPr>
        <w:pStyle w:val="Subsection"/>
      </w:pPr>
      <w:r>
        <w:tab/>
      </w:r>
      <w:r>
        <w:tab/>
        <w:t>An affidavit lodged by you must be in the approved form.</w:t>
      </w:r>
    </w:p>
    <w:p>
      <w:pPr>
        <w:pStyle w:val="Heading5"/>
      </w:pPr>
      <w:bookmarkStart w:id="134" w:name="_Toc106719449"/>
      <w:r>
        <w:rPr>
          <w:rStyle w:val="CharSectno"/>
        </w:rPr>
        <w:t>68</w:t>
      </w:r>
      <w:r>
        <w:t>.</w:t>
      </w:r>
      <w:r>
        <w:tab/>
        <w:t>Content of an affidavit</w:t>
      </w:r>
      <w:bookmarkEnd w:id="134"/>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135" w:name="_Toc106718066"/>
      <w:bookmarkStart w:id="136" w:name="_Toc106718193"/>
      <w:bookmarkStart w:id="137" w:name="_Toc106719450"/>
      <w:r>
        <w:rPr>
          <w:rStyle w:val="CharPartNo"/>
        </w:rPr>
        <w:lastRenderedPageBreak/>
        <w:t>Part 14</w:t>
      </w:r>
      <w:r>
        <w:t> — </w:t>
      </w:r>
      <w:r>
        <w:rPr>
          <w:rStyle w:val="CharPartText"/>
        </w:rPr>
        <w:t>If you need a litigation guardian</w:t>
      </w:r>
      <w:bookmarkEnd w:id="135"/>
      <w:bookmarkEnd w:id="136"/>
      <w:bookmarkEnd w:id="137"/>
    </w:p>
    <w:p>
      <w:pPr>
        <w:pStyle w:val="Heading5"/>
      </w:pPr>
      <w:bookmarkStart w:id="138" w:name="_Toc106719451"/>
      <w:r>
        <w:rPr>
          <w:rStyle w:val="CharSectno"/>
        </w:rPr>
        <w:t>69</w:t>
      </w:r>
      <w:r>
        <w:t>.</w:t>
      </w:r>
      <w:r>
        <w:tab/>
        <w:t>Terms used</w:t>
      </w:r>
      <w:bookmarkEnd w:id="138"/>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139" w:name="_Toc106719452"/>
      <w:r>
        <w:rPr>
          <w:rStyle w:val="CharSectno"/>
        </w:rPr>
        <w:t>70</w:t>
      </w:r>
      <w:r>
        <w:t>.</w:t>
      </w:r>
      <w:r>
        <w:tab/>
        <w:t>When this Part applies</w:t>
      </w:r>
      <w:bookmarkEnd w:id="139"/>
    </w:p>
    <w:p>
      <w:pPr>
        <w:pStyle w:val="Subsection"/>
      </w:pPr>
      <w:r>
        <w:tab/>
      </w:r>
      <w:r>
        <w:tab/>
        <w:t>This Part applies if you are a person under a legal disability and you are, or intend to be, a party to a case.</w:t>
      </w:r>
    </w:p>
    <w:p>
      <w:pPr>
        <w:pStyle w:val="Heading5"/>
      </w:pPr>
      <w:bookmarkStart w:id="140" w:name="_Toc106719453"/>
      <w:r>
        <w:rPr>
          <w:rStyle w:val="CharSectno"/>
        </w:rPr>
        <w:t>71</w:t>
      </w:r>
      <w:r>
        <w:t>.</w:t>
      </w:r>
      <w:r>
        <w:tab/>
        <w:t>If you are a represented person</w:t>
      </w:r>
      <w:bookmarkEnd w:id="140"/>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lastRenderedPageBreak/>
        <w:tab/>
        <w:t>(5)</w:t>
      </w:r>
      <w:r>
        <w:tab/>
        <w:t>A person may act as your litigation guardian without being appointed by the Court to act in that capacity.</w:t>
      </w:r>
    </w:p>
    <w:p>
      <w:pPr>
        <w:pStyle w:val="Heading5"/>
      </w:pPr>
      <w:bookmarkStart w:id="141" w:name="_Toc106719454"/>
      <w:r>
        <w:rPr>
          <w:rStyle w:val="CharSectno"/>
        </w:rPr>
        <w:t>72</w:t>
      </w:r>
      <w:r>
        <w:t>.</w:t>
      </w:r>
      <w:r>
        <w:tab/>
        <w:t>Affidavit your litigation guardian must lodge and serve if you are a represented person</w:t>
      </w:r>
      <w:bookmarkEnd w:id="141"/>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lastRenderedPageBreak/>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142" w:name="_Toc106719455"/>
      <w:r>
        <w:rPr>
          <w:rStyle w:val="CharSectno"/>
        </w:rPr>
        <w:t>73</w:t>
      </w:r>
      <w:r>
        <w:t>.</w:t>
      </w:r>
      <w:r>
        <w:tab/>
        <w:t>If you are a child</w:t>
      </w:r>
      <w:bookmarkEnd w:id="142"/>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143" w:name="_Toc106719456"/>
      <w:r>
        <w:rPr>
          <w:rStyle w:val="CharSectno"/>
        </w:rPr>
        <w:t>74</w:t>
      </w:r>
      <w:r>
        <w:t>.</w:t>
      </w:r>
      <w:r>
        <w:tab/>
        <w:t>Affidavits your litigation guardian must lodge and serve if you are a child</w:t>
      </w:r>
      <w:bookmarkEnd w:id="143"/>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lastRenderedPageBreak/>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144" w:name="_Toc106719457"/>
      <w:r>
        <w:rPr>
          <w:rStyle w:val="CharSectno"/>
        </w:rPr>
        <w:t>75</w:t>
      </w:r>
      <w:r>
        <w:t>.</w:t>
      </w:r>
      <w:r>
        <w:tab/>
        <w:t>Person may apply to be appointed your litigation guardian</w:t>
      </w:r>
      <w:bookmarkEnd w:id="144"/>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145" w:name="_Toc106718074"/>
      <w:bookmarkStart w:id="146" w:name="_Toc106718201"/>
      <w:bookmarkStart w:id="147" w:name="_Toc106719458"/>
      <w:r>
        <w:rPr>
          <w:rStyle w:val="CharPartNo"/>
        </w:rPr>
        <w:lastRenderedPageBreak/>
        <w:t>Part 15</w:t>
      </w:r>
      <w:r>
        <w:rPr>
          <w:rStyle w:val="CharDivNo"/>
        </w:rPr>
        <w:t> </w:t>
      </w:r>
      <w:r>
        <w:t>—</w:t>
      </w:r>
      <w:r>
        <w:rPr>
          <w:rStyle w:val="CharDivText"/>
        </w:rPr>
        <w:t> </w:t>
      </w:r>
      <w:r>
        <w:rPr>
          <w:rStyle w:val="CharPartText"/>
        </w:rPr>
        <w:t>Miscellaneous</w:t>
      </w:r>
      <w:bookmarkEnd w:id="145"/>
      <w:bookmarkEnd w:id="146"/>
      <w:bookmarkEnd w:id="147"/>
    </w:p>
    <w:p>
      <w:pPr>
        <w:pStyle w:val="Heading5"/>
      </w:pPr>
      <w:bookmarkStart w:id="148" w:name="_Toc106719459"/>
      <w:r>
        <w:rPr>
          <w:rStyle w:val="CharSectno"/>
        </w:rPr>
        <w:t>76A</w:t>
      </w:r>
      <w:r>
        <w:t>.</w:t>
      </w:r>
      <w:r>
        <w:tab/>
        <w:t xml:space="preserve">If you are making an application under the </w:t>
      </w:r>
      <w:r>
        <w:rPr>
          <w:i/>
          <w:iCs/>
        </w:rPr>
        <w:t>Residential Tenancies Act 1987</w:t>
      </w:r>
      <w:bookmarkEnd w:id="148"/>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149" w:name="_Toc106719460"/>
      <w:r>
        <w:rPr>
          <w:rStyle w:val="CharSectno"/>
        </w:rPr>
        <w:t>76B</w:t>
      </w:r>
      <w:r>
        <w:t>.</w:t>
      </w:r>
      <w:r>
        <w:tab/>
        <w:t>If you want to change venues</w:t>
      </w:r>
      <w:bookmarkEnd w:id="149"/>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150" w:name="_Toc106719461"/>
      <w:r>
        <w:rPr>
          <w:rStyle w:val="CharSectno"/>
        </w:rPr>
        <w:t>76C</w:t>
      </w:r>
      <w:r>
        <w:t>.</w:t>
      </w:r>
      <w:r>
        <w:tab/>
        <w:t>If you want to correct typographical and other errors</w:t>
      </w:r>
      <w:bookmarkEnd w:id="150"/>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151" w:name="_Toc106719462"/>
      <w:r>
        <w:rPr>
          <w:rStyle w:val="CharSectno"/>
        </w:rPr>
        <w:lastRenderedPageBreak/>
        <w:t>76</w:t>
      </w:r>
      <w:r>
        <w:t>.</w:t>
      </w:r>
      <w:r>
        <w:tab/>
        <w:t>You may discontinue claim</w:t>
      </w:r>
      <w:bookmarkEnd w:id="151"/>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152" w:name="_Toc106719463"/>
      <w:r>
        <w:rPr>
          <w:rStyle w:val="CharSectno"/>
        </w:rPr>
        <w:t>77</w:t>
      </w:r>
      <w:r>
        <w:t>.</w:t>
      </w:r>
      <w:r>
        <w:tab/>
        <w:t>Availability of forms</w:t>
      </w:r>
      <w:bookmarkEnd w:id="152"/>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153" w:name="_Toc106719464"/>
      <w:r>
        <w:rPr>
          <w:rStyle w:val="CharSectno"/>
        </w:rPr>
        <w:t>78</w:t>
      </w:r>
      <w:r>
        <w:t>.</w:t>
      </w:r>
      <w:r>
        <w:tab/>
        <w:t>Partnership name may be used</w:t>
      </w:r>
      <w:bookmarkEnd w:id="153"/>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154" w:name="_Toc106719465"/>
      <w:r>
        <w:rPr>
          <w:rStyle w:val="CharSectno"/>
        </w:rPr>
        <w:t>79</w:t>
      </w:r>
      <w:r>
        <w:t>.</w:t>
      </w:r>
      <w:r>
        <w:tab/>
        <w:t>When you are required to do things personally and you are not an individual</w:t>
      </w:r>
      <w:bookmarkEnd w:id="154"/>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lastRenderedPageBreak/>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155" w:name="_Toc106719466"/>
      <w:r>
        <w:rPr>
          <w:rStyle w:val="CharSectno"/>
        </w:rPr>
        <w:t>80</w:t>
      </w:r>
      <w:r>
        <w:t>.</w:t>
      </w:r>
      <w:r>
        <w:tab/>
        <w:t>Payments into Court</w:t>
      </w:r>
      <w:bookmarkEnd w:id="155"/>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156" w:name="_Toc106719467"/>
      <w:r>
        <w:rPr>
          <w:rStyle w:val="CharSectno"/>
        </w:rPr>
        <w:t>81</w:t>
      </w:r>
      <w:r>
        <w:t>.</w:t>
      </w:r>
      <w:r>
        <w:tab/>
        <w:t xml:space="preserve">Registrar’s powers under the </w:t>
      </w:r>
      <w:r>
        <w:rPr>
          <w:rStyle w:val="CharPartText"/>
          <w:i/>
          <w:iCs/>
        </w:rPr>
        <w:t>Civil Judgments Enforcement Act 2004</w:t>
      </w:r>
      <w:bookmarkEnd w:id="156"/>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lastRenderedPageBreak/>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pStyle w:val="Heading2"/>
      </w:pPr>
      <w:bookmarkStart w:id="157" w:name="_Toc106718084"/>
      <w:bookmarkStart w:id="158" w:name="_Toc106718211"/>
      <w:bookmarkStart w:id="159" w:name="_Toc106719468"/>
      <w:r>
        <w:rPr>
          <w:rStyle w:val="CharPartNo"/>
        </w:rPr>
        <w:lastRenderedPageBreak/>
        <w:t>Part 16</w:t>
      </w:r>
      <w:r>
        <w:rPr>
          <w:rStyle w:val="CharDivNo"/>
        </w:rPr>
        <w:t> </w:t>
      </w:r>
      <w:r>
        <w:t>—</w:t>
      </w:r>
      <w:r>
        <w:rPr>
          <w:rStyle w:val="CharDivText"/>
        </w:rPr>
        <w:t> </w:t>
      </w:r>
      <w:r>
        <w:rPr>
          <w:rStyle w:val="CharPartText"/>
        </w:rPr>
        <w:t xml:space="preserve">Transitional rules for the </w:t>
      </w:r>
      <w:r>
        <w:rPr>
          <w:rStyle w:val="CharPartText"/>
          <w:i/>
        </w:rPr>
        <w:t>Magistrates Court Rules Amendment Rules 2020</w:t>
      </w:r>
      <w:bookmarkEnd w:id="157"/>
      <w:bookmarkEnd w:id="158"/>
      <w:bookmarkEnd w:id="159"/>
    </w:p>
    <w:p>
      <w:pPr>
        <w:pStyle w:val="Footnoteheading"/>
      </w:pPr>
      <w:r>
        <w:tab/>
        <w:t>[Heading inserted: SL 2020/67 r. 66.]</w:t>
      </w:r>
    </w:p>
    <w:p>
      <w:pPr>
        <w:pStyle w:val="Heading5"/>
      </w:pPr>
      <w:bookmarkStart w:id="160" w:name="_Toc106719469"/>
      <w:r>
        <w:rPr>
          <w:rStyle w:val="CharSectno"/>
        </w:rPr>
        <w:t>82</w:t>
      </w:r>
      <w:r>
        <w:t>.</w:t>
      </w:r>
      <w:r>
        <w:tab/>
        <w:t>Terms used in this Part</w:t>
      </w:r>
      <w:bookmarkEnd w:id="160"/>
    </w:p>
    <w:p>
      <w:pPr>
        <w:pStyle w:val="Subsection"/>
      </w:pPr>
      <w:r>
        <w:tab/>
      </w:r>
      <w:r>
        <w:tab/>
        <w:t xml:space="preserve">In this Part — </w:t>
      </w:r>
    </w:p>
    <w:p>
      <w:pPr>
        <w:pStyle w:val="Defstart"/>
      </w:pPr>
      <w:r>
        <w:tab/>
      </w:r>
      <w:r>
        <w:rPr>
          <w:rStyle w:val="CharDefText"/>
        </w:rPr>
        <w:t>amended Rules</w:t>
      </w:r>
      <w:r>
        <w:t xml:space="preserve"> means the </w:t>
      </w:r>
      <w:r>
        <w:rPr>
          <w:i/>
        </w:rPr>
        <w:t>Magistrates Court (Minor Cases Procedure) Rules 2005</w:t>
      </w:r>
      <w:r>
        <w:t xml:space="preserve"> as in force from time to time on and after commencement day;</w:t>
      </w:r>
    </w:p>
    <w:p>
      <w:pPr>
        <w:pStyle w:val="Defstart"/>
      </w:pPr>
      <w:r>
        <w:tab/>
      </w:r>
      <w:r>
        <w:rPr>
          <w:rStyle w:val="CharDefText"/>
        </w:rPr>
        <w:t>commencement day</w:t>
      </w:r>
      <w:r>
        <w:t xml:space="preserve"> means 1 June 2020;</w:t>
      </w:r>
    </w:p>
    <w:p>
      <w:pPr>
        <w:pStyle w:val="Defstart"/>
      </w:pPr>
      <w:r>
        <w:tab/>
      </w:r>
      <w:r>
        <w:rPr>
          <w:rStyle w:val="CharDefText"/>
        </w:rPr>
        <w:t>former Rules</w:t>
      </w:r>
      <w:r>
        <w:t xml:space="preserve"> means the </w:t>
      </w:r>
      <w:r>
        <w:rPr>
          <w:i/>
        </w:rPr>
        <w:t>Magistrates Court (Minor Cases Procedure) Rules 2005</w:t>
      </w:r>
      <w:r>
        <w:t xml:space="preserve"> as in force before commencement day;</w:t>
      </w:r>
    </w:p>
    <w:p>
      <w:pPr>
        <w:pStyle w:val="Defstart"/>
      </w:pPr>
      <w:r>
        <w:tab/>
      </w:r>
      <w:r>
        <w:rPr>
          <w:rStyle w:val="CharDefText"/>
        </w:rPr>
        <w:t>transitional case</w:t>
      </w:r>
      <w:r>
        <w:t xml:space="preserve"> means a case that, as of commencement day, has been commenced but not concluded.</w:t>
      </w:r>
    </w:p>
    <w:p>
      <w:pPr>
        <w:pStyle w:val="Footnotesection"/>
      </w:pPr>
      <w:r>
        <w:tab/>
        <w:t>[Rule 82 inserted: SL 2020/67 r. 66.]</w:t>
      </w:r>
    </w:p>
    <w:p>
      <w:pPr>
        <w:pStyle w:val="Heading5"/>
      </w:pPr>
      <w:bookmarkStart w:id="161" w:name="_Toc106719470"/>
      <w:r>
        <w:rPr>
          <w:rStyle w:val="CharSectno"/>
        </w:rPr>
        <w:t>83</w:t>
      </w:r>
      <w:r>
        <w:t>.</w:t>
      </w:r>
      <w:r>
        <w:tab/>
        <w:t>Application of amended Rules in relation to transitional cases</w:t>
      </w:r>
      <w:bookmarkEnd w:id="161"/>
    </w:p>
    <w:p>
      <w:pPr>
        <w:pStyle w:val="Subsection"/>
      </w:pPr>
      <w:r>
        <w:tab/>
        <w:t>(1)</w:t>
      </w:r>
      <w:r>
        <w:tab/>
        <w:t>Subject to rule 84, on and from commencement day the amended Rules apply in relation to a transitional case.</w:t>
      </w:r>
    </w:p>
    <w:p>
      <w:pPr>
        <w:pStyle w:val="Subsection"/>
      </w:pPr>
      <w:r>
        <w:tab/>
        <w:t>(2)</w:t>
      </w:r>
      <w:r>
        <w:tab/>
        <w:t xml:space="preserve">If the amended Rules apply in relation to a transitional case, then, unless otherwise directed under rule 86 — </w:t>
      </w:r>
    </w:p>
    <w:p>
      <w:pPr>
        <w:pStyle w:val="Indenta"/>
      </w:pPr>
      <w:r>
        <w:tab/>
        <w:t>(a)</w:t>
      </w:r>
      <w:r>
        <w:tab/>
        <w:t>everything lodged or served in relation to the case under a provision of the former Rules is taken to have been lodged or served under the corresponding provision of the amended Rules; and</w:t>
      </w:r>
    </w:p>
    <w:p>
      <w:pPr>
        <w:pStyle w:val="Indenta"/>
      </w:pPr>
      <w:r>
        <w:tab/>
        <w:t>(b)</w:t>
      </w:r>
      <w:r>
        <w:tab/>
        <w:t>every order made, direction given or other thing done in relation to the case by the Court or by a registrar under a provision of the former Rules is taken to have been made, given or done under the corresponding provision of the amended Rules.</w:t>
      </w:r>
    </w:p>
    <w:p>
      <w:pPr>
        <w:pStyle w:val="Footnotesection"/>
      </w:pPr>
      <w:r>
        <w:tab/>
        <w:t>[Rule 83 inserted: SL 2020/67 r. 66.]</w:t>
      </w:r>
    </w:p>
    <w:p>
      <w:pPr>
        <w:pStyle w:val="Heading5"/>
      </w:pPr>
      <w:bookmarkStart w:id="162" w:name="_Toc106719471"/>
      <w:r>
        <w:rPr>
          <w:rStyle w:val="CharSectno"/>
        </w:rPr>
        <w:lastRenderedPageBreak/>
        <w:t>84</w:t>
      </w:r>
      <w:r>
        <w:t>.</w:t>
      </w:r>
      <w:r>
        <w:tab/>
        <w:t>Application of former Rules in relation to certain transitional cases</w:t>
      </w:r>
      <w:bookmarkEnd w:id="162"/>
    </w:p>
    <w:p>
      <w:pPr>
        <w:pStyle w:val="Subsection"/>
      </w:pPr>
      <w:r>
        <w:tab/>
        <w:t>(1)</w:t>
      </w:r>
      <w:r>
        <w:tab/>
        <w:t xml:space="preserve">This rule applies to a transitional case if — </w:t>
      </w:r>
    </w:p>
    <w:p>
      <w:pPr>
        <w:pStyle w:val="Indenta"/>
      </w:pPr>
      <w:r>
        <w:tab/>
        <w:t>(a)</w:t>
      </w:r>
      <w:r>
        <w:tab/>
        <w:t xml:space="preserve">under the former Rules Parts 2 and 3, a party to the case is required to lodge and serve any of the following documents on a day falling on or after commencement day — </w:t>
      </w:r>
    </w:p>
    <w:p>
      <w:pPr>
        <w:pStyle w:val="Indenti"/>
      </w:pPr>
      <w:r>
        <w:tab/>
        <w:t>(i)</w:t>
      </w:r>
      <w:r>
        <w:tab/>
        <w:t>a statement of claim;</w:t>
      </w:r>
    </w:p>
    <w:p>
      <w:pPr>
        <w:pStyle w:val="Indenti"/>
      </w:pPr>
      <w:r>
        <w:tab/>
        <w:t>(ii)</w:t>
      </w:r>
      <w:r>
        <w:tab/>
        <w:t>a counterclaim;</w:t>
      </w:r>
    </w:p>
    <w:p>
      <w:pPr>
        <w:pStyle w:val="Indenti"/>
      </w:pPr>
      <w:r>
        <w:tab/>
        <w:t>(iii)</w:t>
      </w:r>
      <w:r>
        <w:tab/>
        <w:t>a third party claim;</w:t>
      </w:r>
    </w:p>
    <w:p>
      <w:pPr>
        <w:pStyle w:val="Indenti"/>
      </w:pPr>
      <w:r>
        <w:tab/>
        <w:t>(iv)</w:t>
      </w:r>
      <w:r>
        <w:tab/>
        <w:t>a response to a claim;</w:t>
      </w:r>
    </w:p>
    <w:p>
      <w:pPr>
        <w:pStyle w:val="Indenti"/>
      </w:pPr>
      <w:r>
        <w:tab/>
        <w:t>(v)</w:t>
      </w:r>
      <w:r>
        <w:tab/>
        <w:t>a statement of defence;</w:t>
      </w:r>
    </w:p>
    <w:p>
      <w:pPr>
        <w:pStyle w:val="Indenta"/>
      </w:pPr>
      <w:r>
        <w:tab/>
      </w:r>
      <w:r>
        <w:tab/>
        <w:t>or</w:t>
      </w:r>
    </w:p>
    <w:p>
      <w:pPr>
        <w:pStyle w:val="Indenta"/>
      </w:pPr>
      <w:r>
        <w:tab/>
        <w:t>(b)</w:t>
      </w:r>
      <w:r>
        <w:tab/>
        <w:t>a pre</w:t>
      </w:r>
      <w:r>
        <w:noBreakHyphen/>
        <w:t>trial conference, listing conference or trial for which the case was listed before commencement day is held on or after commencement day.</w:t>
      </w:r>
    </w:p>
    <w:p>
      <w:pPr>
        <w:pStyle w:val="Subsection"/>
      </w:pPr>
      <w:r>
        <w:tab/>
        <w:t>(2)</w:t>
      </w:r>
      <w:r>
        <w:tab/>
        <w:t xml:space="preserve">On and from commencement day, the former Rules continue to apply in relation to a transitional case to which this rule applies until — </w:t>
      </w:r>
    </w:p>
    <w:p>
      <w:pPr>
        <w:pStyle w:val="Indenta"/>
      </w:pPr>
      <w:r>
        <w:tab/>
        <w:t>(a)</w:t>
      </w:r>
      <w:r>
        <w:tab/>
        <w:t>the Court or a registrar directs otherwise under rule 86; or</w:t>
      </w:r>
    </w:p>
    <w:p>
      <w:pPr>
        <w:pStyle w:val="Indenta"/>
      </w:pPr>
      <w:r>
        <w:tab/>
        <w:t>(b)</w:t>
      </w:r>
      <w:r>
        <w:tab/>
        <w:t>the case is concluded.</w:t>
      </w:r>
    </w:p>
    <w:p>
      <w:pPr>
        <w:pStyle w:val="Footnotesection"/>
      </w:pPr>
      <w:r>
        <w:tab/>
        <w:t>[Rule 84 inserted: SL 2020/67 r. 66.]</w:t>
      </w:r>
    </w:p>
    <w:p>
      <w:pPr>
        <w:pStyle w:val="Heading5"/>
      </w:pPr>
      <w:bookmarkStart w:id="163" w:name="_Toc106719472"/>
      <w:r>
        <w:rPr>
          <w:rStyle w:val="CharSectno"/>
        </w:rPr>
        <w:t>85</w:t>
      </w:r>
      <w:r>
        <w:t>.</w:t>
      </w:r>
      <w:r>
        <w:tab/>
        <w:t>Listing transitional cases for a status conference</w:t>
      </w:r>
      <w:bookmarkEnd w:id="163"/>
    </w:p>
    <w:p>
      <w:pPr>
        <w:pStyle w:val="Subsection"/>
      </w:pPr>
      <w:r>
        <w:tab/>
        <w:t>(1)</w:t>
      </w:r>
      <w:r>
        <w:tab/>
        <w:t>The Court may, of its own motion, list a transitional case for a status conference.</w:t>
      </w:r>
    </w:p>
    <w:p>
      <w:pPr>
        <w:pStyle w:val="Subsection"/>
      </w:pPr>
      <w:r>
        <w:tab/>
        <w:t>(2)</w:t>
      </w:r>
      <w:r>
        <w:tab/>
        <w:t>The Court must list a transitional case for a status conference if a party to a transitional case applies to the Court in the approved form to have the case listed.</w:t>
      </w:r>
    </w:p>
    <w:p>
      <w:pPr>
        <w:pStyle w:val="Subsection"/>
      </w:pPr>
      <w:r>
        <w:lastRenderedPageBreak/>
        <w:tab/>
        <w:t>(3)</w:t>
      </w:r>
      <w:r>
        <w:tab/>
        <w:t>The court must give the parties to the case 7 days written notice of a status conference for which the case is listed under this rule.</w:t>
      </w:r>
    </w:p>
    <w:p>
      <w:pPr>
        <w:pStyle w:val="Subsection"/>
      </w:pPr>
      <w:r>
        <w:tab/>
        <w:t>(4)</w:t>
      </w:r>
      <w:r>
        <w:tab/>
        <w:t>The Court must conduct a status conference for which a case is listed under this rule in open court.</w:t>
      </w:r>
    </w:p>
    <w:p>
      <w:pPr>
        <w:pStyle w:val="Footnotesection"/>
      </w:pPr>
      <w:r>
        <w:tab/>
        <w:t>[Rule 85 inserted: SL 2020/67 r. 66.]</w:t>
      </w:r>
    </w:p>
    <w:p>
      <w:pPr>
        <w:pStyle w:val="Heading5"/>
      </w:pPr>
      <w:bookmarkStart w:id="164" w:name="_Toc106719473"/>
      <w:r>
        <w:rPr>
          <w:rStyle w:val="CharSectno"/>
        </w:rPr>
        <w:t>86</w:t>
      </w:r>
      <w:r>
        <w:t>.</w:t>
      </w:r>
      <w:r>
        <w:tab/>
        <w:t>Court or registrar may give directions in relation to transitional issues</w:t>
      </w:r>
      <w:bookmarkEnd w:id="164"/>
    </w:p>
    <w:p>
      <w:pPr>
        <w:pStyle w:val="Subsection"/>
      </w:pPr>
      <w:r>
        <w:tab/>
      </w:r>
      <w:r>
        <w:tab/>
        <w:t>At a status conference, pre</w:t>
      </w:r>
      <w:r>
        <w:noBreakHyphen/>
        <w:t xml:space="preserve">trial conference, listing conference or trial held in relation to a transitional case, the Court or a registrar may make any or all of the following directions — </w:t>
      </w:r>
    </w:p>
    <w:p>
      <w:pPr>
        <w:pStyle w:val="Indenta"/>
      </w:pPr>
      <w:r>
        <w:tab/>
        <w:t>(a)</w:t>
      </w:r>
      <w:r>
        <w:tab/>
        <w:t>if the amended Rules do not apply in relation to the case, a direction that they are to apply in relation to the case on and from a specified date;</w:t>
      </w:r>
    </w:p>
    <w:p>
      <w:pPr>
        <w:pStyle w:val="Indenta"/>
      </w:pPr>
      <w:r>
        <w:tab/>
        <w:t>(b)</w:t>
      </w:r>
      <w:r>
        <w:tab/>
        <w:t>a direction modifying the application of the amended Rules in relation to the case;</w:t>
      </w:r>
    </w:p>
    <w:p>
      <w:pPr>
        <w:pStyle w:val="Indenta"/>
      </w:pPr>
      <w:r>
        <w:tab/>
        <w:t>(c)</w:t>
      </w:r>
      <w:r>
        <w:tab/>
        <w:t>any other direction necessary or convenient in connection with the application of the amended Rules in relation to the case.</w:t>
      </w:r>
    </w:p>
    <w:p>
      <w:pPr>
        <w:pStyle w:val="Footnotesection"/>
      </w:pPr>
      <w:r>
        <w:tab/>
        <w:t>[Rule 86 inserted: SL 2020/67 r. 66; amended: SL 2021/25 r. 30.]</w:t>
      </w:r>
    </w:p>
    <w:p>
      <w:pPr>
        <w:pStyle w:val="Heading2"/>
      </w:pPr>
      <w:bookmarkStart w:id="165" w:name="_Toc106718090"/>
      <w:bookmarkStart w:id="166" w:name="_Toc106718217"/>
      <w:bookmarkStart w:id="167" w:name="_Toc106719474"/>
      <w:r>
        <w:rPr>
          <w:rStyle w:val="CharPartNo"/>
        </w:rPr>
        <w:lastRenderedPageBreak/>
        <w:t>Part 17</w:t>
      </w:r>
      <w:r>
        <w:t> — </w:t>
      </w:r>
      <w:r>
        <w:rPr>
          <w:rStyle w:val="CharPartText"/>
        </w:rPr>
        <w:t>Transitional rules for the Magistrates Court Rules Amendment Rules 2022</w:t>
      </w:r>
      <w:bookmarkEnd w:id="165"/>
      <w:bookmarkEnd w:id="166"/>
      <w:bookmarkEnd w:id="167"/>
    </w:p>
    <w:p>
      <w:pPr>
        <w:pStyle w:val="Footnoteheading"/>
      </w:pPr>
      <w:r>
        <w:tab/>
        <w:t>[Heading inserted: SL 2022/54 r. 14.]</w:t>
      </w:r>
    </w:p>
    <w:p>
      <w:pPr>
        <w:pStyle w:val="Heading5"/>
      </w:pPr>
      <w:bookmarkStart w:id="168" w:name="_Toc106719475"/>
      <w:r>
        <w:rPr>
          <w:rStyle w:val="CharSectno"/>
        </w:rPr>
        <w:t>87</w:t>
      </w:r>
      <w:r>
        <w:t>.</w:t>
      </w:r>
      <w:r>
        <w:tab/>
        <w:t>Consumer/trader claims</w:t>
      </w:r>
      <w:bookmarkEnd w:id="168"/>
    </w:p>
    <w:p>
      <w:pPr>
        <w:pStyle w:val="Subsection"/>
      </w:pPr>
      <w:r>
        <w:tab/>
        <w:t>(1)</w:t>
      </w:r>
      <w:r>
        <w:tab/>
        <w:t>In this rule —</w:t>
      </w:r>
    </w:p>
    <w:p>
      <w:pPr>
        <w:pStyle w:val="Defstart"/>
      </w:pPr>
      <w:r>
        <w:tab/>
      </w:r>
      <w:r>
        <w:rPr>
          <w:rStyle w:val="CharDefText"/>
        </w:rPr>
        <w:t>commencement day</w:t>
      </w:r>
      <w:r>
        <w:t xml:space="preserve"> means the day on which the </w:t>
      </w:r>
      <w:r>
        <w:rPr>
          <w:i/>
        </w:rPr>
        <w:t>Magistrates Court Rules Amendment Rules 2022</w:t>
      </w:r>
      <w:r>
        <w:t xml:space="preserve"> Part 4 comes into operation.</w:t>
      </w:r>
    </w:p>
    <w:p>
      <w:pPr>
        <w:pStyle w:val="Subsection"/>
      </w:pPr>
      <w:r>
        <w:tab/>
        <w:t>(2)</w:t>
      </w:r>
      <w:r>
        <w:tab/>
        <w:t>On and from commencement day, Part 3 as in force immediately before commencement day continues to apply in relation to a case that —</w:t>
      </w:r>
    </w:p>
    <w:p>
      <w:pPr>
        <w:pStyle w:val="Indenta"/>
      </w:pPr>
      <w:r>
        <w:tab/>
        <w:t>(a)</w:t>
      </w:r>
      <w:r>
        <w:tab/>
        <w:t>was started by a consumer/trader claim before commencement day; and</w:t>
      </w:r>
    </w:p>
    <w:p>
      <w:pPr>
        <w:pStyle w:val="Indenta"/>
      </w:pPr>
      <w:r>
        <w:tab/>
        <w:t>(b)</w:t>
      </w:r>
      <w:r>
        <w:tab/>
        <w:t>as of commencement day, has not been concluded.</w:t>
      </w:r>
    </w:p>
    <w:p>
      <w:pPr>
        <w:pStyle w:val="Footnotesection"/>
      </w:pPr>
      <w:r>
        <w:tab/>
        <w:t>[Rule 87 inserted: SL 2022/54 r. 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69" w:name="_Toc106718092"/>
      <w:bookmarkStart w:id="170" w:name="_Toc106718219"/>
      <w:bookmarkStart w:id="171" w:name="_Toc106719476"/>
      <w:r>
        <w:lastRenderedPageBreak/>
        <w:t>Notes</w:t>
      </w:r>
      <w:bookmarkEnd w:id="169"/>
      <w:bookmarkEnd w:id="170"/>
      <w:bookmarkEnd w:id="171"/>
    </w:p>
    <w:p>
      <w:pPr>
        <w:pStyle w:val="nStatement"/>
      </w:pPr>
      <w:r>
        <w:t xml:space="preserve">This is a compilation of the </w:t>
      </w:r>
      <w:r>
        <w:rPr>
          <w:i/>
          <w:noProof/>
        </w:rPr>
        <w:t>Magistrates Court (Minor Cases Procedure) Rules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2" w:name="_Toc106719477"/>
      <w:r>
        <w:t>Compilation table</w:t>
      </w:r>
      <w:bookmarkEnd w:id="1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Magistrates Court (Minor Cases Procedure) Rules 2005</w:t>
            </w:r>
            <w:r>
              <w:rPr>
                <w:b/>
                <w:bCs/>
                <w:snapToGrid w:val="0"/>
              </w:rPr>
              <w:t xml:space="preserve"> as at 14 Nov 2008 </w:t>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bCs/>
                <w:snapToGrid w:val="0"/>
                <w:spacing w:val="-2"/>
              </w:rPr>
              <w:t>r. 1 and 2: 3 May 2016 (see r. 2(a));</w:t>
            </w:r>
            <w:r>
              <w:rPr>
                <w:bCs/>
                <w:snapToGrid w:val="0"/>
                <w:spacing w:val="-2"/>
              </w:rPr>
              <w:br/>
              <w:t>Rules other than r. 1 and 2: 4 May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bCs/>
                <w:snapToGrid w:val="0"/>
                <w:spacing w:val="-2"/>
              </w:rPr>
            </w:pPr>
            <w:r>
              <w:rPr>
                <w:bCs/>
                <w:snapToGrid w:val="0"/>
                <w:spacing w:val="-2"/>
              </w:rPr>
              <w:t>r. 1 and 2: 30 Sep 2016 (see r. 2(a));</w:t>
            </w:r>
            <w:r>
              <w:rPr>
                <w:bCs/>
                <w:snapToGrid w:val="0"/>
                <w:spacing w:val="-2"/>
              </w:rPr>
              <w:br/>
              <w:t>Rules other than r. 1 and 2: 1 Oct 2016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bCs/>
                <w:snapToGrid w:val="0"/>
                <w:spacing w:val="-2"/>
              </w:rPr>
            </w:pPr>
            <w:r>
              <w:rPr>
                <w:b/>
                <w:bCs/>
                <w:snapToGrid w:val="0"/>
                <w:spacing w:val="-2"/>
              </w:rPr>
              <w:t xml:space="preserve">Reprint 2: The </w:t>
            </w:r>
            <w:r>
              <w:rPr>
                <w:b/>
                <w:bCs/>
                <w:i/>
                <w:noProof/>
                <w:snapToGrid w:val="0"/>
                <w:spacing w:val="-2"/>
              </w:rPr>
              <w:t>Magistrates Court (Minor Cases Procedure) Rules 2005</w:t>
            </w:r>
            <w:r>
              <w:rPr>
                <w:b/>
                <w:bCs/>
                <w:snapToGrid w:val="0"/>
                <w:spacing w:val="-2"/>
              </w:rPr>
              <w:t xml:space="preserve"> as at 12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bCs/>
                <w:snapToGrid w:val="0"/>
                <w:spacing w:val="-2"/>
              </w:rPr>
            </w:pPr>
            <w:r>
              <w:rPr>
                <w:bCs/>
                <w:snapToGrid w:val="0"/>
                <w:spacing w:val="-2"/>
              </w:rPr>
              <w:t>22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Rules Amendment Rules 2018</w:t>
            </w:r>
            <w:r>
              <w:t xml:space="preserve"> Pt. 3</w:t>
            </w:r>
          </w:p>
        </w:tc>
        <w:tc>
          <w:tcPr>
            <w:tcW w:w="1276" w:type="dxa"/>
          </w:tcPr>
          <w:p>
            <w:pPr>
              <w:pStyle w:val="nTable"/>
              <w:keepNext/>
              <w:spacing w:after="40"/>
            </w:pPr>
            <w:r>
              <w:t>18 Sep 2018 p. 3515</w:t>
            </w:r>
            <w:r>
              <w:noBreakHyphen/>
              <w:t>16</w:t>
            </w:r>
          </w:p>
        </w:tc>
        <w:tc>
          <w:tcPr>
            <w:tcW w:w="2693" w:type="dxa"/>
          </w:tcPr>
          <w:p>
            <w:pPr>
              <w:pStyle w:val="nTable"/>
              <w:keepNext/>
              <w:spacing w:after="40"/>
              <w:rPr>
                <w:bCs/>
                <w:snapToGrid w:val="0"/>
                <w:spacing w:val="-2"/>
              </w:rPr>
            </w:pPr>
            <w:r>
              <w:rPr>
                <w:bCs/>
                <w:snapToGrid w:val="0"/>
                <w:spacing w:val="-2"/>
              </w:rPr>
              <w:t>19 Sep 2018 (see r. 2(b))</w:t>
            </w:r>
          </w:p>
        </w:tc>
      </w:tr>
      <w:tr>
        <w:tc>
          <w:tcPr>
            <w:tcW w:w="3118" w:type="dxa"/>
            <w:tcBorders>
              <w:top w:val="nil"/>
              <w:bottom w:val="nil"/>
            </w:tcBorders>
          </w:tcPr>
          <w:p>
            <w:pPr>
              <w:pStyle w:val="nTable"/>
              <w:spacing w:after="40"/>
              <w:rPr>
                <w:i/>
              </w:rPr>
            </w:pPr>
            <w:r>
              <w:rPr>
                <w:i/>
              </w:rPr>
              <w:t>Magistrates Court Rules Amendment (Inactive Cases) Rules 2019</w:t>
            </w:r>
            <w:r>
              <w:t xml:space="preserve"> Pt. 3</w:t>
            </w:r>
          </w:p>
        </w:tc>
        <w:tc>
          <w:tcPr>
            <w:tcW w:w="1276" w:type="dxa"/>
            <w:tcBorders>
              <w:top w:val="nil"/>
              <w:bottom w:val="nil"/>
            </w:tcBorders>
          </w:tcPr>
          <w:p>
            <w:pPr>
              <w:pStyle w:val="nTable"/>
              <w:keepNext/>
              <w:spacing w:after="40"/>
            </w:pPr>
            <w:r>
              <w:t>5 Apr 2019 p. 1012</w:t>
            </w:r>
            <w:r>
              <w:noBreakHyphen/>
              <w:t>16</w:t>
            </w:r>
          </w:p>
        </w:tc>
        <w:tc>
          <w:tcPr>
            <w:tcW w:w="2693" w:type="dxa"/>
            <w:tcBorders>
              <w:top w:val="nil"/>
              <w:bottom w:val="nil"/>
            </w:tcBorders>
          </w:tcPr>
          <w:p>
            <w:pPr>
              <w:pStyle w:val="nTable"/>
              <w:keepNext/>
              <w:spacing w:after="40"/>
              <w:rPr>
                <w:bCs/>
                <w:snapToGrid w:val="0"/>
                <w:spacing w:val="-2"/>
              </w:rPr>
            </w:pPr>
            <w:r>
              <w:rPr>
                <w:bCs/>
                <w:snapToGrid w:val="0"/>
                <w:spacing w:val="-2"/>
              </w:rPr>
              <w:t>6 Apr 2019 (see r. 2(b))</w:t>
            </w:r>
          </w:p>
        </w:tc>
      </w:tr>
      <w:tr>
        <w:tc>
          <w:tcPr>
            <w:tcW w:w="3118" w:type="dxa"/>
            <w:tcBorders>
              <w:top w:val="nil"/>
              <w:bottom w:val="nil"/>
            </w:tcBorders>
          </w:tcPr>
          <w:p>
            <w:pPr>
              <w:pStyle w:val="nTable"/>
              <w:spacing w:after="40"/>
              <w:rPr>
                <w:i/>
              </w:rPr>
            </w:pPr>
            <w:r>
              <w:rPr>
                <w:i/>
              </w:rPr>
              <w:t>Magistrates Court Rules Amendment Rules 2020</w:t>
            </w:r>
            <w:r>
              <w:t xml:space="preserve"> Pt. 3</w:t>
            </w:r>
          </w:p>
        </w:tc>
        <w:tc>
          <w:tcPr>
            <w:tcW w:w="1276" w:type="dxa"/>
            <w:tcBorders>
              <w:top w:val="nil"/>
              <w:bottom w:val="nil"/>
            </w:tcBorders>
          </w:tcPr>
          <w:p>
            <w:pPr>
              <w:pStyle w:val="nTable"/>
              <w:keepNext/>
              <w:spacing w:after="40"/>
            </w:pPr>
            <w:r>
              <w:t>SL 2020/67 28 May 2020</w:t>
            </w:r>
          </w:p>
        </w:tc>
        <w:tc>
          <w:tcPr>
            <w:tcW w:w="2693" w:type="dxa"/>
            <w:tcBorders>
              <w:top w:val="nil"/>
              <w:bottom w:val="nil"/>
            </w:tcBorders>
          </w:tcPr>
          <w:p>
            <w:pPr>
              <w:pStyle w:val="nTable"/>
              <w:keepNext/>
              <w:spacing w:after="40"/>
              <w:rPr>
                <w:bCs/>
                <w:snapToGrid w:val="0"/>
                <w:spacing w:val="-2"/>
              </w:rPr>
            </w:pPr>
            <w:r>
              <w:rPr>
                <w:bCs/>
                <w:snapToGrid w:val="0"/>
                <w:spacing w:val="-2"/>
              </w:rPr>
              <w:t>1 Jun 2020 (see r. 2(b))</w:t>
            </w:r>
          </w:p>
        </w:tc>
      </w:tr>
      <w:tr>
        <w:tc>
          <w:tcPr>
            <w:tcW w:w="3118" w:type="dxa"/>
            <w:tcBorders>
              <w:top w:val="nil"/>
              <w:bottom w:val="nil"/>
            </w:tcBorders>
          </w:tcPr>
          <w:p>
            <w:pPr>
              <w:pStyle w:val="nTable"/>
              <w:spacing w:after="40"/>
            </w:pPr>
            <w:r>
              <w:rPr>
                <w:i/>
              </w:rPr>
              <w:t>Magistrates Court Rules Amendment Rules 2021</w:t>
            </w:r>
            <w:r>
              <w:t xml:space="preserve"> Pt. 4</w:t>
            </w:r>
          </w:p>
        </w:tc>
        <w:tc>
          <w:tcPr>
            <w:tcW w:w="1276" w:type="dxa"/>
            <w:tcBorders>
              <w:top w:val="nil"/>
              <w:bottom w:val="nil"/>
            </w:tcBorders>
          </w:tcPr>
          <w:p>
            <w:pPr>
              <w:pStyle w:val="nTable"/>
              <w:keepNext/>
              <w:spacing w:after="40"/>
            </w:pPr>
            <w:r>
              <w:t>SL 2021/25 26 Feb 2021</w:t>
            </w:r>
          </w:p>
        </w:tc>
        <w:tc>
          <w:tcPr>
            <w:tcW w:w="2693" w:type="dxa"/>
            <w:tcBorders>
              <w:top w:val="nil"/>
              <w:bottom w:val="nil"/>
            </w:tcBorders>
          </w:tcPr>
          <w:p>
            <w:pPr>
              <w:pStyle w:val="nTable"/>
              <w:keepNext/>
              <w:spacing w:after="40"/>
              <w:rPr>
                <w:bCs/>
                <w:snapToGrid w:val="0"/>
                <w:spacing w:val="-2"/>
              </w:rPr>
            </w:pPr>
            <w:r>
              <w:rPr>
                <w:bCs/>
                <w:snapToGrid w:val="0"/>
                <w:spacing w:val="-2"/>
              </w:rPr>
              <w:t>27 Feb 2021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pPr>
            <w:r>
              <w:rPr>
                <w:i/>
              </w:rPr>
              <w:t>Magistrates Court Rules Amendment Rules 2022</w:t>
            </w:r>
            <w:r>
              <w:t xml:space="preserve"> Pt. 4</w:t>
            </w:r>
          </w:p>
        </w:tc>
        <w:tc>
          <w:tcPr>
            <w:tcW w:w="1276" w:type="dxa"/>
            <w:tcBorders>
              <w:bottom w:val="single" w:sz="4" w:space="0" w:color="auto"/>
            </w:tcBorders>
          </w:tcPr>
          <w:p>
            <w:pPr>
              <w:pStyle w:val="nTable"/>
              <w:keepNext/>
              <w:spacing w:after="40"/>
            </w:pPr>
            <w:r>
              <w:t>SL 2022/54 13 May 2022</w:t>
            </w:r>
          </w:p>
        </w:tc>
        <w:tc>
          <w:tcPr>
            <w:tcW w:w="2693" w:type="dxa"/>
            <w:tcBorders>
              <w:bottom w:val="single" w:sz="4" w:space="0" w:color="auto"/>
            </w:tcBorders>
          </w:tcPr>
          <w:p>
            <w:pPr>
              <w:pStyle w:val="nTable"/>
              <w:keepNext/>
              <w:spacing w:after="40"/>
              <w:rPr>
                <w:bCs/>
                <w:snapToGrid w:val="0"/>
                <w:spacing w:val="-2"/>
              </w:rPr>
            </w:pPr>
            <w:r>
              <w:rPr>
                <w:bCs/>
                <w:snapToGrid w:val="0"/>
                <w:spacing w:val="-2"/>
              </w:rPr>
              <w:t>14 May 2022 (see r. 2(b))</w:t>
            </w:r>
          </w:p>
        </w:tc>
      </w:tr>
    </w:tbl>
    <w:p>
      <w:pPr>
        <w:pStyle w:val="nHeading3"/>
      </w:pPr>
      <w:bookmarkStart w:id="173" w:name="_Toc106719478"/>
      <w:r>
        <w:t>Uncommenced provisions table</w:t>
      </w:r>
      <w:bookmarkEnd w:id="17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Magistrates Court Rules Amendment (Legal Profession) Rules 2022</w:t>
            </w:r>
            <w:r>
              <w:t xml:space="preserve"> Pt. 4</w:t>
            </w:r>
          </w:p>
        </w:tc>
        <w:tc>
          <w:tcPr>
            <w:tcW w:w="1276" w:type="dxa"/>
          </w:tcPr>
          <w:p>
            <w:pPr>
              <w:pStyle w:val="nTable"/>
              <w:spacing w:after="40"/>
            </w:pPr>
            <w:r>
              <w:t>SL 2022/106 24 Jun 2022</w:t>
            </w:r>
          </w:p>
        </w:tc>
        <w:tc>
          <w:tcPr>
            <w:tcW w:w="2693" w:type="dxa"/>
          </w:tcPr>
          <w:p>
            <w:pPr>
              <w:pStyle w:val="nTable"/>
              <w:spacing w:after="40"/>
            </w:pPr>
            <w:r>
              <w:t xml:space="preserve">Operative on commencement of </w:t>
            </w:r>
            <w:r>
              <w:rPr>
                <w:i/>
              </w:rPr>
              <w:t>Legal Profession Uniform Law Application Act 2022</w:t>
            </w:r>
            <w:r>
              <w:t xml:space="preserve"> s. 6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75" w:name="_Toc106718094"/>
      <w:bookmarkStart w:id="176" w:name="_Toc106718222"/>
      <w:bookmarkStart w:id="177" w:name="_Toc106719479"/>
      <w:r>
        <w:rPr>
          <w:sz w:val="28"/>
        </w:rPr>
        <w:lastRenderedPageBreak/>
        <w:t>Defined terms</w:t>
      </w:r>
      <w:bookmarkEnd w:id="175"/>
      <w:bookmarkEnd w:id="176"/>
      <w:bookmarkEnd w:id="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4</w:t>
      </w:r>
    </w:p>
    <w:p>
      <w:pPr>
        <w:pStyle w:val="DefinedTerms"/>
      </w:pPr>
      <w:r>
        <w:t>administrative staff member</w:t>
      </w:r>
      <w:r>
        <w:tab/>
        <w:t>4</w:t>
      </w:r>
    </w:p>
    <w:p>
      <w:pPr>
        <w:pStyle w:val="DefinedTerms"/>
      </w:pPr>
      <w:r>
        <w:t>agent</w:t>
      </w:r>
      <w:r>
        <w:tab/>
        <w:t>4</w:t>
      </w:r>
    </w:p>
    <w:p>
      <w:pPr>
        <w:pStyle w:val="DefinedTerms"/>
      </w:pPr>
      <w:r>
        <w:t>amended Rules</w:t>
      </w:r>
      <w:r>
        <w:tab/>
        <w:t>82</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commencement day</w:t>
      </w:r>
      <w:r>
        <w:tab/>
        <w:t>82, 87(1)</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departmental officer</w:t>
      </w:r>
      <w:r>
        <w:tab/>
        <w:t>4</w:t>
      </w:r>
    </w:p>
    <w:p>
      <w:pPr>
        <w:pStyle w:val="DefinedTerms"/>
      </w:pPr>
      <w:r>
        <w:t>ECMS</w:t>
      </w:r>
      <w:r>
        <w:tab/>
        <w:t>4</w:t>
      </w:r>
    </w:p>
    <w:p>
      <w:pPr>
        <w:pStyle w:val="DefinedTerms"/>
      </w:pPr>
      <w:r>
        <w:t>ECMS exempt</w:t>
      </w:r>
      <w:r>
        <w:tab/>
        <w:t>4</w:t>
      </w:r>
    </w:p>
    <w:p>
      <w:pPr>
        <w:pStyle w:val="DefinedTerms"/>
      </w:pPr>
      <w:r>
        <w:t>enforcement officer</w:t>
      </w:r>
      <w:r>
        <w:tab/>
        <w:t>4</w:t>
      </w:r>
    </w:p>
    <w:p>
      <w:pPr>
        <w:pStyle w:val="DefinedTerms"/>
      </w:pPr>
      <w:r>
        <w:t>former Rules</w:t>
      </w:r>
      <w:r>
        <w:tab/>
        <w:t>82</w:t>
      </w:r>
    </w:p>
    <w:p>
      <w:pPr>
        <w:pStyle w:val="DefinedTerms"/>
      </w:pPr>
      <w:r>
        <w:t>inactive case</w:t>
      </w:r>
      <w:r>
        <w:tab/>
        <w:t>45A</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third party</w:t>
      </w:r>
      <w:r>
        <w:tab/>
        <w:t>4</w:t>
      </w:r>
    </w:p>
    <w:p>
      <w:pPr>
        <w:pStyle w:val="DefinedTerms"/>
      </w:pPr>
      <w:r>
        <w:t>third party claim</w:t>
      </w:r>
      <w:r>
        <w:tab/>
        <w:t>4</w:t>
      </w:r>
    </w:p>
    <w:p>
      <w:pPr>
        <w:pStyle w:val="DefinedTerms"/>
      </w:pPr>
      <w:r>
        <w:t>transitional case</w:t>
      </w:r>
      <w:r>
        <w:tab/>
        <w:t>82</w:t>
      </w:r>
    </w:p>
    <w:p>
      <w:pPr>
        <w:pStyle w:val="DefinedTerms"/>
      </w:pPr>
      <w:r>
        <w:t>working day</w:t>
      </w:r>
      <w:r>
        <w:tab/>
        <w:t>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8" w:name="DefinedTerms"/>
    <w:bookmarkEnd w:id="1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1151717"/>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 w:name="WAFER_20200527161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7161548_GUID" w:val="20b7a835-2c86-42a1-aae2-2debc61de5c5"/>
    <w:docVar w:name="WAFER_20210223121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37_GUID" w:val="502282b4-7d90-4c61-8af1-ad730b0c3f92"/>
    <w:docVar w:name="WAFER_20220509123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3545_GUID" w:val="7ce2b937-7575-4aa3-a20e-23937be91df9"/>
    <w:docVar w:name="WAFER_202206211517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17_GUID" w:val="f536146e-c4d0-45c3-b46a-878f3c29e2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70927772-E97C-4088-9780-B63A453B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E613A-5989-4517-918C-2A466949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12830</Words>
  <Characters>58124</Characters>
  <Application>Microsoft Office Word</Application>
  <DocSecurity>0</DocSecurity>
  <Lines>1709</Lines>
  <Paragraphs>1144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2005 - 02-h0-00</dc:title>
  <dc:subject/>
  <dc:creator/>
  <cp:keywords/>
  <dc:description/>
  <cp:lastModifiedBy>Master Repository Process</cp:lastModifiedBy>
  <cp:revision>4</cp:revision>
  <cp:lastPrinted>2017-05-02T07:15:00Z</cp:lastPrinted>
  <dcterms:created xsi:type="dcterms:W3CDTF">2022-06-23T07:22:00Z</dcterms:created>
  <dcterms:modified xsi:type="dcterms:W3CDTF">2022-06-23T07:22:00Z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24 Jun 2022</vt:lpwstr>
  </property>
  <property fmtid="{D5CDD505-2E9C-101B-9397-08002B2CF9AE}" pid="8" name="Suffix">
    <vt:lpwstr>02-h0-00</vt:lpwstr>
  </property>
  <property fmtid="{D5CDD505-2E9C-101B-9397-08002B2CF9AE}" pid="9" name="CommencementDate">
    <vt:lpwstr>20220624</vt:lpwstr>
  </property>
</Properties>
</file>