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_Toc106982269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_Toc106982270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_Toc106982271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_Toc106982272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_Toc106982274 \h </w:instrText>
      </w:r>
      <w:r>
        <w:fldChar w:fldCharType="separate"/>
      </w:r>
      <w:r>
        <w:t>5</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_Toc106982275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_Toc106982276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_Toc106982277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_Toc106982279 \h </w:instrText>
      </w:r>
      <w:r>
        <w:fldChar w:fldCharType="separate"/>
      </w:r>
      <w:r>
        <w:t>7</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_Toc106982280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_Toc106982281 \h </w:instrText>
      </w:r>
      <w:r>
        <w:fldChar w:fldCharType="separate"/>
      </w:r>
      <w:r>
        <w:t>11</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_Toc106982282 \h </w:instrText>
      </w:r>
      <w:r>
        <w:fldChar w:fldCharType="separate"/>
      </w:r>
      <w:r>
        <w:t>11</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_Toc106982283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_Toc106982286 \h </w:instrText>
      </w:r>
      <w:r>
        <w:fldChar w:fldCharType="separate"/>
      </w:r>
      <w:r>
        <w:t>14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_Toc106982287 \h </w:instrText>
      </w:r>
      <w:r>
        <w:fldChar w:fldCharType="separate"/>
      </w:r>
      <w:r>
        <w:t>15</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_Toc106982288 \h </w:instrText>
      </w:r>
      <w:r>
        <w:fldChar w:fldCharType="separate"/>
      </w:r>
      <w:r>
        <w:t>16</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_Toc106982289 \h </w:instrText>
      </w:r>
      <w:r>
        <w:fldChar w:fldCharType="separate"/>
      </w:r>
      <w:r>
        <w:t>16</w:t>
      </w:r>
      <w:r>
        <w:fldChar w:fldCharType="end"/>
      </w:r>
    </w:p>
    <w:p>
      <w:pPr>
        <w:pStyle w:val="TOC8"/>
        <w:rPr>
          <w:rFonts w:asciiTheme="minorHAnsi" w:eastAsiaTheme="minorEastAsia" w:hAnsiTheme="minorHAnsi" w:cstheme="minorBidi"/>
          <w:szCs w:val="22"/>
        </w:rPr>
      </w:pPr>
      <w:r>
        <w:t>18.</w:t>
      </w:r>
      <w:r>
        <w:tab/>
        <w:t>Notice of financial difficulty</w:t>
      </w:r>
      <w:r>
        <w:tab/>
      </w:r>
      <w:r>
        <w:fldChar w:fldCharType="begin"/>
      </w:r>
      <w:r>
        <w:instrText xml:space="preserve"> PAGEREF _Toc106982290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tab/>
        <w:t>Half</w:t>
      </w:r>
      <w:r>
        <w:noBreakHyphen/>
        <w:t>yearly reports</w:t>
      </w:r>
      <w:r>
        <w:tab/>
      </w:r>
      <w:r>
        <w:fldChar w:fldCharType="begin"/>
      </w:r>
      <w:r>
        <w:instrText xml:space="preserve"> PAGEREF _Toc106982291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_Toc106982294 \h </w:instrText>
      </w:r>
      <w:r>
        <w:fldChar w:fldCharType="separate"/>
      </w:r>
      <w:r>
        <w:t>18</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_Toc106982295 \h </w:instrText>
      </w:r>
      <w:r>
        <w:fldChar w:fldCharType="separate"/>
      </w:r>
      <w:r>
        <w:t>19</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_Toc106982296 \h </w:instrText>
      </w:r>
      <w:r>
        <w:fldChar w:fldCharType="separate"/>
      </w:r>
      <w:r>
        <w:t>19</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_Toc106982297 \h </w:instrText>
      </w:r>
      <w:r>
        <w:fldChar w:fldCharType="separate"/>
      </w:r>
      <w:r>
        <w:t>19</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_Toc106982298 \h </w:instrText>
      </w:r>
      <w:r>
        <w:fldChar w:fldCharType="separate"/>
      </w:r>
      <w:r>
        <w:t>20</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_Toc106982299 \h </w:instrText>
      </w:r>
      <w:r>
        <w:fldChar w:fldCharType="separate"/>
      </w:r>
      <w:r>
        <w:t>20</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_Toc106982300 \h </w:instrText>
      </w:r>
      <w:r>
        <w:fldChar w:fldCharType="separate"/>
      </w:r>
      <w:r>
        <w:t>21</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_Toc106982301 \h </w:instrText>
      </w:r>
      <w:r>
        <w:fldChar w:fldCharType="separate"/>
      </w:r>
      <w:r>
        <w:t>21</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_Toc106982302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_Toc106982304 \h </w:instrText>
      </w:r>
      <w:r>
        <w:fldChar w:fldCharType="separate"/>
      </w:r>
      <w:r>
        <w:t>22</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_Toc106982305 \h </w:instrText>
      </w:r>
      <w:r>
        <w:fldChar w:fldCharType="separate"/>
      </w:r>
      <w:r>
        <w:t>22</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_Toc106982306 \h </w:instrText>
      </w:r>
      <w:r>
        <w:fldChar w:fldCharType="separate"/>
      </w:r>
      <w:r>
        <w:t>22</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_Toc106982307 \h </w:instrText>
      </w:r>
      <w:r>
        <w:fldChar w:fldCharType="separate"/>
      </w:r>
      <w:r>
        <w:t>24</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_Toc106982308 \h </w:instrText>
      </w:r>
      <w:r>
        <w:fldChar w:fldCharType="separate"/>
      </w:r>
      <w:r>
        <w:t>24</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_Toc106982309 \h </w:instrText>
      </w:r>
      <w:r>
        <w:fldChar w:fldCharType="separate"/>
      </w:r>
      <w:r>
        <w:t>25</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_Toc106982310 \h </w:instrText>
      </w:r>
      <w:r>
        <w:fldChar w:fldCharType="separate"/>
      </w:r>
      <w:r>
        <w:t>25</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_Toc106982311 \h </w:instrText>
      </w:r>
      <w:r>
        <w:fldChar w:fldCharType="separate"/>
      </w:r>
      <w:r>
        <w:t>26</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_Toc106982312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_Toc106982314 \h </w:instrText>
      </w:r>
      <w:r>
        <w:fldChar w:fldCharType="separate"/>
      </w:r>
      <w:r>
        <w:t>27</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_Toc106982315 \h </w:instrText>
      </w:r>
      <w:r>
        <w:fldChar w:fldCharType="separate"/>
      </w:r>
      <w:r>
        <w:t>27</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_Toc106982316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_Toc106982318 \h </w:instrText>
      </w:r>
      <w:r>
        <w:fldChar w:fldCharType="separate"/>
      </w:r>
      <w:r>
        <w:t>29</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_Toc106982319 \h </w:instrText>
      </w:r>
      <w:r>
        <w:fldChar w:fldCharType="separate"/>
      </w:r>
      <w:r>
        <w:t>29</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_Toc106982320 \h </w:instrText>
      </w:r>
      <w:r>
        <w:fldChar w:fldCharType="separate"/>
      </w:r>
      <w:r>
        <w:t>30</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_Toc106982321 \h </w:instrText>
      </w:r>
      <w:r>
        <w:fldChar w:fldCharType="separate"/>
      </w:r>
      <w:r>
        <w:t>31</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_Toc106982322 \h </w:instrText>
      </w:r>
      <w:r>
        <w:fldChar w:fldCharType="separate"/>
      </w:r>
      <w:r>
        <w:t>32</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_Toc106982323 \h </w:instrText>
      </w:r>
      <w:r>
        <w:fldChar w:fldCharType="separate"/>
      </w:r>
      <w:r>
        <w:t>32</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_Toc106982324 \h </w:instrText>
      </w:r>
      <w:r>
        <w:fldChar w:fldCharType="separate"/>
      </w:r>
      <w:r>
        <w:t>33</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_Toc106982325 \h </w:instrText>
      </w:r>
      <w:r>
        <w:fldChar w:fldCharType="separate"/>
      </w:r>
      <w:r>
        <w:t>33</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_Toc106982326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_Toc106982327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_Toc106982329 \h </w:instrText>
      </w:r>
      <w:r>
        <w:fldChar w:fldCharType="separate"/>
      </w:r>
      <w:r>
        <w:t>35</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_Toc106982330 \h </w:instrText>
      </w:r>
      <w:r>
        <w:fldChar w:fldCharType="separate"/>
      </w:r>
      <w:r>
        <w:t>35</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_Toc106982331 \h </w:instrText>
      </w:r>
      <w:r>
        <w:fldChar w:fldCharType="separate"/>
      </w:r>
      <w:r>
        <w:t>36</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_Toc106982332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_Toc106982334 \h </w:instrText>
      </w:r>
      <w:r>
        <w:fldChar w:fldCharType="separate"/>
      </w:r>
      <w:r>
        <w:t>38</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_Toc106982335 \h </w:instrText>
      </w:r>
      <w:r>
        <w:fldChar w:fldCharType="separate"/>
      </w:r>
      <w:r>
        <w:t>39</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_Toc106982336 \h </w:instrText>
      </w:r>
      <w:r>
        <w:fldChar w:fldCharType="separate"/>
      </w:r>
      <w:r>
        <w:t>39</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_Toc106982337 \h </w:instrText>
      </w:r>
      <w:r>
        <w:fldChar w:fldCharType="separate"/>
      </w:r>
      <w:r>
        <w:t>40</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_Toc106982338 \h </w:instrText>
      </w:r>
      <w:r>
        <w:fldChar w:fldCharType="separate"/>
      </w:r>
      <w:r>
        <w:t>40</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_Toc106982339 \h </w:instrText>
      </w:r>
      <w:r>
        <w:fldChar w:fldCharType="separate"/>
      </w:r>
      <w:r>
        <w:t>42</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_Toc106982340 \h </w:instrText>
      </w:r>
      <w:r>
        <w:fldChar w:fldCharType="separate"/>
      </w:r>
      <w:r>
        <w:t>43</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_Toc106982341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_Toc106982343 \h </w:instrText>
      </w:r>
      <w:r>
        <w:fldChar w:fldCharType="separate"/>
      </w:r>
      <w:r>
        <w:t>46</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_Toc106982344 \h </w:instrText>
      </w:r>
      <w:r>
        <w:fldChar w:fldCharType="separate"/>
      </w:r>
      <w:r>
        <w:t>46</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_Toc106982345 \h </w:instrText>
      </w:r>
      <w:r>
        <w:fldChar w:fldCharType="separate"/>
      </w:r>
      <w:r>
        <w:t>47</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_Toc106982346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_Toc106982348 \h </w:instrText>
      </w:r>
      <w:r>
        <w:fldChar w:fldCharType="separate"/>
      </w:r>
      <w:r>
        <w:t>48</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_Toc106982349 \h </w:instrText>
      </w:r>
      <w:r>
        <w:fldChar w:fldCharType="separate"/>
      </w:r>
      <w:r>
        <w:t>49</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_Toc106982350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_Toc106982351 \h </w:instrText>
      </w:r>
      <w:r>
        <w:fldChar w:fldCharType="separate"/>
      </w:r>
      <w:r>
        <w:t>50</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_Toc106982352 \h </w:instrText>
      </w:r>
      <w:r>
        <w:fldChar w:fldCharType="separate"/>
      </w:r>
      <w:r>
        <w:t>51</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_Toc106982353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_Toc106982356 \h </w:instrText>
      </w:r>
      <w:r>
        <w:fldChar w:fldCharType="separate"/>
      </w:r>
      <w:r>
        <w:t>54</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_Toc106982357 \h </w:instrText>
      </w:r>
      <w:r>
        <w:fldChar w:fldCharType="separate"/>
      </w:r>
      <w:r>
        <w:t>54</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_Toc106982358 \h </w:instrText>
      </w:r>
      <w:r>
        <w:fldChar w:fldCharType="separate"/>
      </w:r>
      <w:r>
        <w:t>54</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_Toc106982359 \h </w:instrText>
      </w:r>
      <w:r>
        <w:fldChar w:fldCharType="separate"/>
      </w:r>
      <w:r>
        <w:t>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_Toc106982360 \h </w:instrText>
      </w:r>
      <w:r>
        <w:fldChar w:fldCharType="separate"/>
      </w:r>
      <w:r>
        <w:t>55</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_Toc106982361 \h </w:instrText>
      </w:r>
      <w:r>
        <w:fldChar w:fldCharType="separate"/>
      </w:r>
      <w:r>
        <w:t>55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_Toc106982362 \h </w:instrText>
      </w:r>
      <w:r>
        <w:fldChar w:fldCharType="separate"/>
      </w:r>
      <w:r>
        <w:t>56</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_Toc106982363 \h </w:instrText>
      </w:r>
      <w:r>
        <w:fldChar w:fldCharType="separate"/>
      </w:r>
      <w:r>
        <w:t>56</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_Toc106982364 \h </w:instrText>
      </w:r>
      <w:r>
        <w:fldChar w:fldCharType="separate"/>
      </w:r>
      <w:r>
        <w:t>56</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_Toc106982365 \h </w:instrText>
      </w:r>
      <w:r>
        <w:fldChar w:fldCharType="separate"/>
      </w:r>
      <w:r>
        <w:t>56</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_Toc106982366 \h </w:instrText>
      </w:r>
      <w:r>
        <w:fldChar w:fldCharType="separate"/>
      </w:r>
      <w:r>
        <w:t>56</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_Toc106982367 \h </w:instrText>
      </w:r>
      <w:r>
        <w:fldChar w:fldCharType="separate"/>
      </w:r>
      <w:r>
        <w:t>57</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_Toc106982368 \h </w:instrText>
      </w:r>
      <w:r>
        <w:fldChar w:fldCharType="separate"/>
      </w:r>
      <w:r>
        <w:t>57</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_Toc106982369 \h </w:instrText>
      </w:r>
      <w:r>
        <w:fldChar w:fldCharType="separate"/>
      </w:r>
      <w:r>
        <w:t>57</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_Toc106982370 \h </w:instrText>
      </w:r>
      <w:r>
        <w:fldChar w:fldCharType="separate"/>
      </w:r>
      <w:r>
        <w:t>57</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_Toc106982371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_Toc106982373 \h </w:instrText>
      </w:r>
      <w:r>
        <w:fldChar w:fldCharType="separate"/>
      </w:r>
      <w:r>
        <w:t>58</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_Toc106982374 \h </w:instrText>
      </w:r>
      <w:r>
        <w:fldChar w:fldCharType="separate"/>
      </w:r>
      <w:r>
        <w:t>58</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_Toc106982375 \h </w:instrText>
      </w:r>
      <w:r>
        <w:fldChar w:fldCharType="separate"/>
      </w:r>
      <w:r>
        <w:t>58</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_Toc106982376 \h </w:instrText>
      </w:r>
      <w:r>
        <w:fldChar w:fldCharType="separate"/>
      </w:r>
      <w:r>
        <w:t>58</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_Toc106982377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_Toc106982379 \h </w:instrText>
      </w:r>
      <w:r>
        <w:fldChar w:fldCharType="separate"/>
      </w:r>
      <w:r>
        <w:t>60</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_Toc106982380 \h </w:instrText>
      </w:r>
      <w:r>
        <w:fldChar w:fldCharType="separate"/>
      </w:r>
      <w:r>
        <w:t>60</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_Toc106982381 \h </w:instrText>
      </w:r>
      <w:r>
        <w:fldChar w:fldCharType="separate"/>
      </w:r>
      <w:r>
        <w:t>60</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_Toc106982382 \h </w:instrText>
      </w:r>
      <w:r>
        <w:fldChar w:fldCharType="separate"/>
      </w:r>
      <w:r>
        <w:t>60</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_Toc106982383 \h </w:instrText>
      </w:r>
      <w:r>
        <w:fldChar w:fldCharType="separate"/>
      </w:r>
      <w:r>
        <w:t>61</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_Toc106982384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_Toc106982386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_Toc106982387 \h </w:instrText>
      </w:r>
      <w:r>
        <w:fldChar w:fldCharType="separate"/>
      </w:r>
      <w:r>
        <w:t>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_Toc106982388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450313330"/>
      <w:bookmarkStart w:id="4" w:name="_Toc462407809"/>
      <w:bookmarkStart w:id="5" w:name="_Toc531775578"/>
      <w:bookmarkStart w:id="6" w:name="_Toc106980830"/>
      <w:bookmarkStart w:id="7" w:name="_Toc106981682"/>
      <w:bookmarkStart w:id="8" w:name="_Toc106981804"/>
      <w:bookmarkStart w:id="9" w:name="_Toc106981926"/>
      <w:bookmarkStart w:id="10" w:name="_Toc10698226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106982269"/>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12" w:name="_Toc106982270"/>
      <w:r>
        <w:rPr>
          <w:rStyle w:val="CharSectno"/>
        </w:rPr>
        <w:t>2</w:t>
      </w:r>
      <w:r>
        <w:rPr>
          <w:snapToGrid w:val="0"/>
        </w:rPr>
        <w:t>.</w:t>
      </w:r>
      <w:r>
        <w:rPr>
          <w:snapToGrid w:val="0"/>
        </w:rPr>
        <w:tab/>
        <w:t>Commencement</w:t>
      </w:r>
      <w:bookmarkEnd w:id="12"/>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13" w:name="_Toc106982271"/>
      <w:r>
        <w:rPr>
          <w:rStyle w:val="CharSectno"/>
        </w:rPr>
        <w:t>3</w:t>
      </w:r>
      <w:r>
        <w:rPr>
          <w:snapToGrid w:val="0"/>
        </w:rPr>
        <w:t>.</w:t>
      </w:r>
      <w:r>
        <w:rPr>
          <w:snapToGrid w:val="0"/>
        </w:rPr>
        <w:tab/>
        <w:t>Terms used</w:t>
      </w:r>
      <w:bookmarkEnd w:id="13"/>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lastRenderedPageBreak/>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No. 28 of 2006 s. 14; No. 28 of 2015 s. 75(2) and (3).]</w:t>
      </w:r>
    </w:p>
    <w:p>
      <w:pPr>
        <w:pStyle w:val="Heading5"/>
      </w:pPr>
      <w:bookmarkStart w:id="14" w:name="_Toc106982272"/>
      <w:r>
        <w:rPr>
          <w:rStyle w:val="CharSectno"/>
        </w:rPr>
        <w:t>4</w:t>
      </w:r>
      <w:r>
        <w:t>.</w:t>
      </w:r>
      <w:r>
        <w:tab/>
        <w:t>Term used: forest products</w:t>
      </w:r>
      <w:bookmarkEnd w:id="14"/>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5" w:name="_Toc450313335"/>
      <w:bookmarkStart w:id="16" w:name="_Toc462407814"/>
      <w:bookmarkStart w:id="17" w:name="_Toc531775583"/>
      <w:bookmarkStart w:id="18" w:name="_Toc106980835"/>
      <w:bookmarkStart w:id="19" w:name="_Toc106981687"/>
      <w:bookmarkStart w:id="20" w:name="_Toc106981809"/>
      <w:bookmarkStart w:id="21" w:name="_Toc106981931"/>
      <w:bookmarkStart w:id="22" w:name="_Toc106982273"/>
      <w:r>
        <w:rPr>
          <w:rStyle w:val="CharPartNo"/>
        </w:rPr>
        <w:lastRenderedPageBreak/>
        <w:t>Part 2</w:t>
      </w:r>
      <w:r>
        <w:rPr>
          <w:rStyle w:val="CharDivNo"/>
        </w:rPr>
        <w:t xml:space="preserve"> </w:t>
      </w:r>
      <w:r>
        <w:t>—</w:t>
      </w:r>
      <w:r>
        <w:rPr>
          <w:rStyle w:val="CharDivText"/>
        </w:rPr>
        <w:t xml:space="preserve"> </w:t>
      </w:r>
      <w:r>
        <w:rPr>
          <w:rStyle w:val="CharPartText"/>
        </w:rPr>
        <w:t>Forest Products Commission</w:t>
      </w:r>
      <w:bookmarkEnd w:id="15"/>
      <w:bookmarkEnd w:id="16"/>
      <w:bookmarkEnd w:id="17"/>
      <w:bookmarkEnd w:id="18"/>
      <w:bookmarkEnd w:id="19"/>
      <w:bookmarkEnd w:id="20"/>
      <w:bookmarkEnd w:id="21"/>
      <w:bookmarkEnd w:id="22"/>
    </w:p>
    <w:p>
      <w:pPr>
        <w:pStyle w:val="Heading5"/>
      </w:pPr>
      <w:bookmarkStart w:id="23" w:name="_Toc106982274"/>
      <w:r>
        <w:rPr>
          <w:rStyle w:val="CharSectno"/>
        </w:rPr>
        <w:t>5</w:t>
      </w:r>
      <w:r>
        <w:t>.</w:t>
      </w:r>
      <w:r>
        <w:tab/>
        <w:t>Forest Products Commission established</w:t>
      </w:r>
      <w:bookmarkEnd w:id="23"/>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24" w:name="_Toc106982275"/>
      <w:r>
        <w:rPr>
          <w:rStyle w:val="CharSectno"/>
        </w:rPr>
        <w:t>6</w:t>
      </w:r>
      <w:r>
        <w:t>.</w:t>
      </w:r>
      <w:r>
        <w:tab/>
        <w:t>Commissioners</w:t>
      </w:r>
      <w:bookmarkEnd w:id="24"/>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lastRenderedPageBreak/>
        <w:tab/>
        <w:t>(5)</w:t>
      </w:r>
      <w:r>
        <w:tab/>
        <w:t>The commissioners, in the name of the Commission, are to perform the functions, determine the policies and control the affairs of the Commission.</w:t>
      </w:r>
    </w:p>
    <w:p>
      <w:pPr>
        <w:pStyle w:val="Footnotesection"/>
      </w:pPr>
      <w:r>
        <w:tab/>
        <w:t>[Section 6 amended: No. 28 of 2006 s. 15 and 20; No. 28 of 2015 s. 75(4).]</w:t>
      </w:r>
    </w:p>
    <w:p>
      <w:pPr>
        <w:pStyle w:val="Heading5"/>
      </w:pPr>
      <w:bookmarkStart w:id="25" w:name="_Toc106982276"/>
      <w:r>
        <w:rPr>
          <w:rStyle w:val="CharSectno"/>
        </w:rPr>
        <w:t>7</w:t>
      </w:r>
      <w:r>
        <w:t>.</w:t>
      </w:r>
      <w:r>
        <w:tab/>
        <w:t>Constitution, proceedings etc.</w:t>
      </w:r>
      <w:bookmarkEnd w:id="25"/>
    </w:p>
    <w:p>
      <w:pPr>
        <w:pStyle w:val="Subsection"/>
      </w:pPr>
      <w:r>
        <w:tab/>
      </w:r>
      <w:r>
        <w:tab/>
        <w:t>Schedule 1 has effect with respect to commissioners and meetings and proceedings of the commissioners.</w:t>
      </w:r>
    </w:p>
    <w:p>
      <w:pPr>
        <w:pStyle w:val="Heading5"/>
      </w:pPr>
      <w:bookmarkStart w:id="26" w:name="_Toc106982277"/>
      <w:r>
        <w:rPr>
          <w:rStyle w:val="CharSectno"/>
        </w:rPr>
        <w:t>8</w:t>
      </w:r>
      <w:r>
        <w:t>.</w:t>
      </w:r>
      <w:r>
        <w:tab/>
        <w:t>Remuneration of commissioners</w:t>
      </w:r>
      <w:bookmarkEnd w:id="26"/>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No. 39 of 2010 s. 89.]</w:t>
      </w:r>
    </w:p>
    <w:p>
      <w:pPr>
        <w:pStyle w:val="Heading2"/>
        <w:rPr>
          <w:sz w:val="24"/>
        </w:rPr>
      </w:pPr>
      <w:bookmarkStart w:id="27" w:name="_Toc450313340"/>
      <w:bookmarkStart w:id="28" w:name="_Toc462407819"/>
      <w:bookmarkStart w:id="29" w:name="_Toc531775588"/>
      <w:bookmarkStart w:id="30" w:name="_Toc106980840"/>
      <w:bookmarkStart w:id="31" w:name="_Toc106981692"/>
      <w:bookmarkStart w:id="32" w:name="_Toc106981814"/>
      <w:bookmarkStart w:id="33" w:name="_Toc106981936"/>
      <w:bookmarkStart w:id="34" w:name="_Toc106982278"/>
      <w:r>
        <w:rPr>
          <w:rStyle w:val="CharPartNo"/>
        </w:rPr>
        <w:lastRenderedPageBreak/>
        <w:t>Part 3</w:t>
      </w:r>
      <w:r>
        <w:rPr>
          <w:rStyle w:val="CharDivNo"/>
        </w:rPr>
        <w:t xml:space="preserve"> </w:t>
      </w:r>
      <w:r>
        <w:t>—</w:t>
      </w:r>
      <w:r>
        <w:rPr>
          <w:rStyle w:val="CharDivText"/>
        </w:rPr>
        <w:t xml:space="preserve"> </w:t>
      </w:r>
      <w:r>
        <w:rPr>
          <w:rStyle w:val="CharPartText"/>
        </w:rPr>
        <w:t>Functions of Commission</w:t>
      </w:r>
      <w:bookmarkEnd w:id="27"/>
      <w:bookmarkEnd w:id="28"/>
      <w:bookmarkEnd w:id="29"/>
      <w:bookmarkEnd w:id="30"/>
      <w:bookmarkEnd w:id="31"/>
      <w:bookmarkEnd w:id="32"/>
      <w:bookmarkEnd w:id="33"/>
      <w:bookmarkEnd w:id="34"/>
    </w:p>
    <w:p>
      <w:pPr>
        <w:pStyle w:val="Heading5"/>
      </w:pPr>
      <w:bookmarkStart w:id="35" w:name="_Toc106982279"/>
      <w:r>
        <w:rPr>
          <w:rStyle w:val="CharSectno"/>
        </w:rPr>
        <w:t>9</w:t>
      </w:r>
      <w:r>
        <w:t>.</w:t>
      </w:r>
      <w:r>
        <w:tab/>
        <w:t>Compliance with written laws</w:t>
      </w:r>
      <w:bookmarkEnd w:id="35"/>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36" w:name="_Toc106982280"/>
      <w:r>
        <w:rPr>
          <w:rStyle w:val="CharSectno"/>
        </w:rPr>
        <w:t>10</w:t>
      </w:r>
      <w:r>
        <w:t>.</w:t>
      </w:r>
      <w:r>
        <w:tab/>
        <w:t>Functions of Commission</w:t>
      </w:r>
      <w:bookmarkEnd w:id="36"/>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lastRenderedPageBreak/>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lastRenderedPageBreak/>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 xml:space="preserve">to provide services relating to the establishment, maintenance, management, harvesting and marketing of </w:t>
      </w:r>
      <w:r>
        <w:lastRenderedPageBreak/>
        <w:t>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lastRenderedPageBreak/>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iCs/>
        </w:rPr>
        <w:t xml:space="preserve">Biodiversity Conservation Act 2016 </w:t>
      </w:r>
      <w:r>
        <w:t>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No. 50 of 2004 s. 4; No. 28 of 2006 s. 16 and 20; No. 24 of 2016 s. 317.]</w:t>
      </w:r>
    </w:p>
    <w:p>
      <w:pPr>
        <w:pStyle w:val="Heading5"/>
      </w:pPr>
      <w:bookmarkStart w:id="37" w:name="_Toc106982281"/>
      <w:r>
        <w:rPr>
          <w:rStyle w:val="CharSectno"/>
        </w:rPr>
        <w:t>11</w:t>
      </w:r>
      <w:r>
        <w:t>.</w:t>
      </w:r>
      <w:r>
        <w:tab/>
        <w:t>Duty to act in accordance with policy instruments</w:t>
      </w:r>
      <w:bookmarkEnd w:id="37"/>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38" w:name="_Toc106982282"/>
      <w:r>
        <w:rPr>
          <w:rStyle w:val="CharSectno"/>
        </w:rPr>
        <w:t>12</w:t>
      </w:r>
      <w:r>
        <w:t>.</w:t>
      </w:r>
      <w:r>
        <w:tab/>
        <w:t>Principles on which Commission is to act</w:t>
      </w:r>
      <w:bookmarkEnd w:id="38"/>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lastRenderedPageBreak/>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39" w:name="_Toc106982283"/>
      <w:r>
        <w:rPr>
          <w:rStyle w:val="CharSectno"/>
        </w:rPr>
        <w:lastRenderedPageBreak/>
        <w:t>13</w:t>
      </w:r>
      <w:r>
        <w:t>.</w:t>
      </w:r>
      <w:r>
        <w:tab/>
        <w:t>Delegation</w:t>
      </w:r>
      <w:bookmarkEnd w:id="39"/>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40" w:name="_Toc450313346"/>
      <w:bookmarkStart w:id="41" w:name="_Toc462407825"/>
      <w:bookmarkStart w:id="42" w:name="_Toc531775594"/>
      <w:bookmarkStart w:id="43" w:name="_Toc106980846"/>
      <w:bookmarkStart w:id="44" w:name="_Toc106981698"/>
      <w:bookmarkStart w:id="45" w:name="_Toc106981820"/>
      <w:bookmarkStart w:id="46" w:name="_Toc106981942"/>
      <w:bookmarkStart w:id="47" w:name="_Toc106982284"/>
      <w:r>
        <w:rPr>
          <w:rStyle w:val="CharPartNo"/>
        </w:rPr>
        <w:lastRenderedPageBreak/>
        <w:t>Part 4</w:t>
      </w:r>
      <w:r>
        <w:t xml:space="preserve"> — </w:t>
      </w:r>
      <w:r>
        <w:rPr>
          <w:rStyle w:val="CharPartText"/>
        </w:rPr>
        <w:t>Accountability</w:t>
      </w:r>
      <w:bookmarkEnd w:id="40"/>
      <w:bookmarkEnd w:id="41"/>
      <w:bookmarkEnd w:id="42"/>
      <w:bookmarkEnd w:id="43"/>
      <w:bookmarkEnd w:id="44"/>
      <w:bookmarkEnd w:id="45"/>
      <w:bookmarkEnd w:id="46"/>
      <w:bookmarkEnd w:id="47"/>
    </w:p>
    <w:p>
      <w:pPr>
        <w:pStyle w:val="Heading3"/>
      </w:pPr>
      <w:bookmarkStart w:id="48" w:name="_Toc450313347"/>
      <w:bookmarkStart w:id="49" w:name="_Toc462407826"/>
      <w:bookmarkStart w:id="50" w:name="_Toc531775595"/>
      <w:bookmarkStart w:id="51" w:name="_Toc106980847"/>
      <w:bookmarkStart w:id="52" w:name="_Toc106981699"/>
      <w:bookmarkStart w:id="53" w:name="_Toc106981821"/>
      <w:bookmarkStart w:id="54" w:name="_Toc106981943"/>
      <w:bookmarkStart w:id="55" w:name="_Toc106982285"/>
      <w:r>
        <w:rPr>
          <w:rStyle w:val="CharDivNo"/>
        </w:rPr>
        <w:t>Division 1</w:t>
      </w:r>
      <w:r>
        <w:t xml:space="preserve"> — </w:t>
      </w:r>
      <w:r>
        <w:rPr>
          <w:rStyle w:val="CharDivText"/>
        </w:rPr>
        <w:t>Ministerial directions and provision of information</w:t>
      </w:r>
      <w:bookmarkEnd w:id="48"/>
      <w:bookmarkEnd w:id="49"/>
      <w:bookmarkEnd w:id="50"/>
      <w:bookmarkEnd w:id="51"/>
      <w:bookmarkEnd w:id="52"/>
      <w:bookmarkEnd w:id="53"/>
      <w:bookmarkEnd w:id="54"/>
      <w:bookmarkEnd w:id="55"/>
    </w:p>
    <w:p>
      <w:pPr>
        <w:pStyle w:val="Heading5"/>
      </w:pPr>
      <w:bookmarkStart w:id="56" w:name="_Toc106982286"/>
      <w:r>
        <w:rPr>
          <w:rStyle w:val="CharSectno"/>
        </w:rPr>
        <w:t>14</w:t>
      </w:r>
      <w:r>
        <w:t>.</w:t>
      </w:r>
      <w:r>
        <w:tab/>
        <w:t>Minister may give directions</w:t>
      </w:r>
      <w:bookmarkEnd w:id="56"/>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lastRenderedPageBreak/>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No. 77 of 2006 Sch. 1 cl. 70(1).]</w:t>
      </w:r>
    </w:p>
    <w:p>
      <w:pPr>
        <w:pStyle w:val="Heading5"/>
      </w:pPr>
      <w:bookmarkStart w:id="57" w:name="_Toc106982287"/>
      <w:r>
        <w:rPr>
          <w:rStyle w:val="CharSectno"/>
        </w:rPr>
        <w:t>15</w:t>
      </w:r>
      <w:r>
        <w:t>.</w:t>
      </w:r>
      <w:r>
        <w:tab/>
        <w:t>Minister to have access to information</w:t>
      </w:r>
      <w:bookmarkEnd w:id="57"/>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lastRenderedPageBreak/>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58" w:name="_Toc106982288"/>
      <w:r>
        <w:rPr>
          <w:rStyle w:val="CharSectno"/>
        </w:rPr>
        <w:t>16</w:t>
      </w:r>
      <w:r>
        <w:t>.</w:t>
      </w:r>
      <w:r>
        <w:tab/>
        <w:t>Consultation</w:t>
      </w:r>
      <w:bookmarkEnd w:id="58"/>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59" w:name="_Toc106982289"/>
      <w:r>
        <w:rPr>
          <w:rStyle w:val="CharSectno"/>
        </w:rPr>
        <w:t>17</w:t>
      </w:r>
      <w:r>
        <w:t>.</w:t>
      </w:r>
      <w:r>
        <w:tab/>
        <w:t>Minister to be kept informed</w:t>
      </w:r>
      <w:bookmarkEnd w:id="59"/>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lastRenderedPageBreak/>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60" w:name="_Toc106982290"/>
      <w:r>
        <w:rPr>
          <w:rStyle w:val="CharSectno"/>
        </w:rPr>
        <w:t>18</w:t>
      </w:r>
      <w:r>
        <w:t>.</w:t>
      </w:r>
      <w:r>
        <w:tab/>
        <w:t>Notice of financial difficulty</w:t>
      </w:r>
      <w:bookmarkEnd w:id="60"/>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61" w:name="_Toc106982291"/>
      <w:r>
        <w:rPr>
          <w:rStyle w:val="CharSectno"/>
        </w:rPr>
        <w:t>19</w:t>
      </w:r>
      <w:r>
        <w:t>.</w:t>
      </w:r>
      <w:r>
        <w:tab/>
        <w:t>Half</w:t>
      </w:r>
      <w:r>
        <w:noBreakHyphen/>
        <w:t>yearly reports</w:t>
      </w:r>
      <w:bookmarkEnd w:id="6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lastRenderedPageBreak/>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62" w:name="_Toc450313354"/>
      <w:bookmarkStart w:id="63" w:name="_Toc462407833"/>
      <w:bookmarkStart w:id="64" w:name="_Toc531775602"/>
      <w:bookmarkStart w:id="65" w:name="_Toc106980854"/>
      <w:bookmarkStart w:id="66" w:name="_Toc106981706"/>
      <w:bookmarkStart w:id="67" w:name="_Toc106981828"/>
      <w:bookmarkStart w:id="68" w:name="_Toc106981950"/>
      <w:bookmarkStart w:id="69" w:name="_Toc106982292"/>
      <w:r>
        <w:rPr>
          <w:rStyle w:val="CharDivNo"/>
        </w:rPr>
        <w:t>Division 2</w:t>
      </w:r>
      <w:r>
        <w:t xml:space="preserve"> — </w:t>
      </w:r>
      <w:r>
        <w:rPr>
          <w:rStyle w:val="CharDivText"/>
        </w:rPr>
        <w:t>Strategic development plans and statements of corporate intent</w:t>
      </w:r>
      <w:bookmarkEnd w:id="62"/>
      <w:bookmarkEnd w:id="63"/>
      <w:bookmarkEnd w:id="64"/>
      <w:bookmarkEnd w:id="65"/>
      <w:bookmarkEnd w:id="66"/>
      <w:bookmarkEnd w:id="67"/>
      <w:bookmarkEnd w:id="68"/>
      <w:bookmarkEnd w:id="69"/>
    </w:p>
    <w:p>
      <w:pPr>
        <w:pStyle w:val="Heading4"/>
      </w:pPr>
      <w:bookmarkStart w:id="70" w:name="_Toc450313355"/>
      <w:bookmarkStart w:id="71" w:name="_Toc462407834"/>
      <w:bookmarkStart w:id="72" w:name="_Toc531775603"/>
      <w:bookmarkStart w:id="73" w:name="_Toc106980855"/>
      <w:bookmarkStart w:id="74" w:name="_Toc106981707"/>
      <w:bookmarkStart w:id="75" w:name="_Toc106981829"/>
      <w:bookmarkStart w:id="76" w:name="_Toc106981951"/>
      <w:bookmarkStart w:id="77" w:name="_Toc106982293"/>
      <w:r>
        <w:t>Subdivision 1 — Strategic development plans</w:t>
      </w:r>
      <w:bookmarkEnd w:id="70"/>
      <w:bookmarkEnd w:id="71"/>
      <w:bookmarkEnd w:id="72"/>
      <w:bookmarkEnd w:id="73"/>
      <w:bookmarkEnd w:id="74"/>
      <w:bookmarkEnd w:id="75"/>
      <w:bookmarkEnd w:id="76"/>
      <w:bookmarkEnd w:id="77"/>
    </w:p>
    <w:p>
      <w:pPr>
        <w:pStyle w:val="Heading5"/>
      </w:pPr>
      <w:bookmarkStart w:id="78" w:name="_Toc106982294"/>
      <w:r>
        <w:rPr>
          <w:rStyle w:val="CharSectno"/>
        </w:rPr>
        <w:t>20</w:t>
      </w:r>
      <w:r>
        <w:t>.</w:t>
      </w:r>
      <w:r>
        <w:tab/>
        <w:t>Draft strategic development plan to be submitted to Minister</w:t>
      </w:r>
      <w:bookmarkEnd w:id="78"/>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No. 77 of 2006 s. 10.]</w:t>
      </w:r>
    </w:p>
    <w:p>
      <w:pPr>
        <w:pStyle w:val="Heading5"/>
        <w:spacing w:before="280"/>
      </w:pPr>
      <w:bookmarkStart w:id="79" w:name="_Toc106982295"/>
      <w:r>
        <w:rPr>
          <w:rStyle w:val="CharSectno"/>
        </w:rPr>
        <w:lastRenderedPageBreak/>
        <w:t>21</w:t>
      </w:r>
      <w:r>
        <w:t>.</w:t>
      </w:r>
      <w:r>
        <w:tab/>
        <w:t>Period to which strategic development plan relates</w:t>
      </w:r>
      <w:bookmarkEnd w:id="79"/>
    </w:p>
    <w:p>
      <w:pPr>
        <w:pStyle w:val="Subsection"/>
      </w:pPr>
      <w:r>
        <w:tab/>
      </w:r>
      <w:r>
        <w:tab/>
        <w:t>A strategic development plan is to cover a forecast period of 5 years or a lesser period agreed with the Minister.</w:t>
      </w:r>
    </w:p>
    <w:p>
      <w:pPr>
        <w:pStyle w:val="Heading5"/>
        <w:spacing w:before="280"/>
      </w:pPr>
      <w:bookmarkStart w:id="80" w:name="_Toc106982296"/>
      <w:r>
        <w:rPr>
          <w:rStyle w:val="CharSectno"/>
        </w:rPr>
        <w:t>22</w:t>
      </w:r>
      <w:r>
        <w:t>.</w:t>
      </w:r>
      <w:r>
        <w:tab/>
        <w:t>Matters to be included in strategic development plan</w:t>
      </w:r>
      <w:bookmarkEnd w:id="80"/>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81" w:name="_Toc106982297"/>
      <w:r>
        <w:rPr>
          <w:rStyle w:val="CharSectno"/>
        </w:rPr>
        <w:t>23</w:t>
      </w:r>
      <w:r>
        <w:t>.</w:t>
      </w:r>
      <w:r>
        <w:tab/>
        <w:t>Strategic development plan to be agreed if possible</w:t>
      </w:r>
      <w:bookmarkEnd w:id="8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82" w:name="_Toc106982298"/>
      <w:r>
        <w:rPr>
          <w:rStyle w:val="CharSectno"/>
        </w:rPr>
        <w:lastRenderedPageBreak/>
        <w:t>24</w:t>
      </w:r>
      <w:r>
        <w:t>.</w:t>
      </w:r>
      <w:r>
        <w:tab/>
        <w:t>Minister’s powers in relation to draft strategic development plan</w:t>
      </w:r>
      <w:bookmarkEnd w:id="82"/>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83" w:name="_Toc106982299"/>
      <w:r>
        <w:rPr>
          <w:rStyle w:val="CharSectno"/>
        </w:rPr>
        <w:t>25</w:t>
      </w:r>
      <w:r>
        <w:t>.</w:t>
      </w:r>
      <w:r>
        <w:tab/>
        <w:t>Strategic development plan pending agreement</w:t>
      </w:r>
      <w:bookmarkEnd w:id="83"/>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w:t>
      </w:r>
      <w:r>
        <w:lastRenderedPageBreak/>
        <w:t>modifications made by the commissioners, whether before or after that time, at the direction of the Minister.</w:t>
      </w:r>
    </w:p>
    <w:p>
      <w:pPr>
        <w:pStyle w:val="Heading5"/>
      </w:pPr>
      <w:bookmarkStart w:id="84" w:name="_Toc106982300"/>
      <w:r>
        <w:rPr>
          <w:rStyle w:val="CharSectno"/>
        </w:rPr>
        <w:t>26</w:t>
      </w:r>
      <w:r>
        <w:t>.</w:t>
      </w:r>
      <w:r>
        <w:tab/>
        <w:t>Minister’s agreement to draft strategic development plan</w:t>
      </w:r>
      <w:bookmarkEnd w:id="84"/>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85" w:name="_Toc106982301"/>
      <w:r>
        <w:rPr>
          <w:rStyle w:val="CharSectno"/>
        </w:rPr>
        <w:t>27</w:t>
      </w:r>
      <w:r>
        <w:t>.</w:t>
      </w:r>
      <w:r>
        <w:tab/>
        <w:t>Modifications of strategic development plan</w:t>
      </w:r>
      <w:bookmarkEnd w:id="85"/>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86" w:name="_Toc106982302"/>
      <w:r>
        <w:rPr>
          <w:rStyle w:val="CharSectno"/>
        </w:rPr>
        <w:t>28</w:t>
      </w:r>
      <w:r>
        <w:t>.</w:t>
      </w:r>
      <w:r>
        <w:tab/>
        <w:t>Concurrence of Treasurer</w:t>
      </w:r>
      <w:bookmarkEnd w:id="86"/>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87" w:name="_Toc450313365"/>
      <w:bookmarkStart w:id="88" w:name="_Toc462407844"/>
      <w:bookmarkStart w:id="89" w:name="_Toc531775613"/>
      <w:bookmarkStart w:id="90" w:name="_Toc106980865"/>
      <w:bookmarkStart w:id="91" w:name="_Toc106981717"/>
      <w:bookmarkStart w:id="92" w:name="_Toc106981839"/>
      <w:bookmarkStart w:id="93" w:name="_Toc106981961"/>
      <w:bookmarkStart w:id="94" w:name="_Toc106982303"/>
      <w:r>
        <w:lastRenderedPageBreak/>
        <w:t>Subdivision 2 — Statement of corporate intent</w:t>
      </w:r>
      <w:bookmarkEnd w:id="87"/>
      <w:bookmarkEnd w:id="88"/>
      <w:bookmarkEnd w:id="89"/>
      <w:bookmarkEnd w:id="90"/>
      <w:bookmarkEnd w:id="91"/>
      <w:bookmarkEnd w:id="92"/>
      <w:bookmarkEnd w:id="93"/>
      <w:bookmarkEnd w:id="94"/>
      <w:r>
        <w:t xml:space="preserve"> </w:t>
      </w:r>
    </w:p>
    <w:p>
      <w:pPr>
        <w:pStyle w:val="Heading5"/>
      </w:pPr>
      <w:bookmarkStart w:id="95" w:name="_Toc106982304"/>
      <w:r>
        <w:rPr>
          <w:rStyle w:val="CharSectno"/>
        </w:rPr>
        <w:t>29</w:t>
      </w:r>
      <w:r>
        <w:t>.</w:t>
      </w:r>
      <w:r>
        <w:tab/>
        <w:t>Draft statement of corporate intent to be submitted to Minister</w:t>
      </w:r>
      <w:bookmarkEnd w:id="95"/>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No. 77 of 2006 s. 10.]</w:t>
      </w:r>
    </w:p>
    <w:p>
      <w:pPr>
        <w:pStyle w:val="Heading5"/>
      </w:pPr>
      <w:bookmarkStart w:id="96" w:name="_Toc106982305"/>
      <w:r>
        <w:rPr>
          <w:rStyle w:val="CharSectno"/>
        </w:rPr>
        <w:t>30</w:t>
      </w:r>
      <w:r>
        <w:t>.</w:t>
      </w:r>
      <w:r>
        <w:tab/>
        <w:t>Period to which statement of corporate intent relates</w:t>
      </w:r>
      <w:bookmarkEnd w:id="96"/>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97" w:name="_Toc106982306"/>
      <w:r>
        <w:rPr>
          <w:rStyle w:val="CharSectno"/>
        </w:rPr>
        <w:t>31</w:t>
      </w:r>
      <w:r>
        <w:t>.</w:t>
      </w:r>
      <w:r>
        <w:tab/>
        <w:t>Matters to be included in statement of corporate intent</w:t>
      </w:r>
      <w:bookmarkEnd w:id="97"/>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lastRenderedPageBreak/>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lastRenderedPageBreak/>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98" w:name="_Toc106982307"/>
      <w:r>
        <w:rPr>
          <w:rStyle w:val="CharSectno"/>
        </w:rPr>
        <w:t>32</w:t>
      </w:r>
      <w:r>
        <w:t>.</w:t>
      </w:r>
      <w:r>
        <w:tab/>
        <w:t>Statement of corporate intent to be agreed if possible</w:t>
      </w:r>
      <w:bookmarkEnd w:id="98"/>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99" w:name="_Toc106982308"/>
      <w:r>
        <w:rPr>
          <w:rStyle w:val="CharSectno"/>
        </w:rPr>
        <w:t>33</w:t>
      </w:r>
      <w:r>
        <w:t>.</w:t>
      </w:r>
      <w:r>
        <w:tab/>
        <w:t>Minister’s powers in relation to draft statement of corporate intent</w:t>
      </w:r>
      <w:bookmarkEnd w:id="99"/>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lastRenderedPageBreak/>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100" w:name="_Toc106982309"/>
      <w:r>
        <w:rPr>
          <w:rStyle w:val="CharSectno"/>
        </w:rPr>
        <w:t>34</w:t>
      </w:r>
      <w:r>
        <w:t>.</w:t>
      </w:r>
      <w:r>
        <w:tab/>
        <w:t>Statement of corporate intent pending agreement</w:t>
      </w:r>
      <w:bookmarkEnd w:id="100"/>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01" w:name="_Toc106982310"/>
      <w:r>
        <w:rPr>
          <w:rStyle w:val="CharSectno"/>
        </w:rPr>
        <w:t>35</w:t>
      </w:r>
      <w:r>
        <w:t>.</w:t>
      </w:r>
      <w:r>
        <w:tab/>
        <w:t>Minister’s agreement to draft statement of corporate intent</w:t>
      </w:r>
      <w:bookmarkEnd w:id="101"/>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lastRenderedPageBreak/>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02" w:name="_Toc106982311"/>
      <w:r>
        <w:rPr>
          <w:rStyle w:val="CharSectno"/>
        </w:rPr>
        <w:t>36</w:t>
      </w:r>
      <w:r>
        <w:t>.</w:t>
      </w:r>
      <w:r>
        <w:tab/>
        <w:t>Modifications of statement of corporate intent</w:t>
      </w:r>
      <w:bookmarkEnd w:id="102"/>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03" w:name="_Toc106982312"/>
      <w:r>
        <w:rPr>
          <w:rStyle w:val="CharSectno"/>
        </w:rPr>
        <w:t>37</w:t>
      </w:r>
      <w:r>
        <w:t>.</w:t>
      </w:r>
      <w:r>
        <w:tab/>
        <w:t>Concurrence of Treasurer</w:t>
      </w:r>
      <w:bookmarkEnd w:id="103"/>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104" w:name="_Toc450313375"/>
      <w:bookmarkStart w:id="105" w:name="_Toc462407854"/>
      <w:bookmarkStart w:id="106" w:name="_Toc531775623"/>
      <w:bookmarkStart w:id="107" w:name="_Toc106980875"/>
      <w:bookmarkStart w:id="108" w:name="_Toc106981727"/>
      <w:bookmarkStart w:id="109" w:name="_Toc106981849"/>
      <w:bookmarkStart w:id="110" w:name="_Toc106981971"/>
      <w:bookmarkStart w:id="111" w:name="_Toc106982313"/>
      <w:r>
        <w:rPr>
          <w:rStyle w:val="CharPartNo"/>
        </w:rPr>
        <w:lastRenderedPageBreak/>
        <w:t>Part 5</w:t>
      </w:r>
      <w:r>
        <w:rPr>
          <w:rStyle w:val="CharDivNo"/>
        </w:rPr>
        <w:t xml:space="preserve"> </w:t>
      </w:r>
      <w:r>
        <w:t>—</w:t>
      </w:r>
      <w:r>
        <w:rPr>
          <w:rStyle w:val="CharDivText"/>
        </w:rPr>
        <w:t xml:space="preserve"> </w:t>
      </w:r>
      <w:r>
        <w:rPr>
          <w:rStyle w:val="CharPartText"/>
        </w:rPr>
        <w:t>Staff</w:t>
      </w:r>
      <w:bookmarkEnd w:id="104"/>
      <w:bookmarkEnd w:id="105"/>
      <w:bookmarkEnd w:id="106"/>
      <w:bookmarkEnd w:id="107"/>
      <w:bookmarkEnd w:id="108"/>
      <w:bookmarkEnd w:id="109"/>
      <w:bookmarkEnd w:id="110"/>
      <w:bookmarkEnd w:id="111"/>
    </w:p>
    <w:p>
      <w:pPr>
        <w:pStyle w:val="Heading5"/>
      </w:pPr>
      <w:bookmarkStart w:id="112" w:name="_Toc106982314"/>
      <w:r>
        <w:rPr>
          <w:rStyle w:val="CharSectno"/>
        </w:rPr>
        <w:t>38</w:t>
      </w:r>
      <w:r>
        <w:t>.</w:t>
      </w:r>
      <w:r>
        <w:tab/>
        <w:t>General Manager</w:t>
      </w:r>
      <w:bookmarkEnd w:id="112"/>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113" w:name="_Toc106982315"/>
      <w:r>
        <w:rPr>
          <w:rStyle w:val="CharSectno"/>
        </w:rPr>
        <w:t>39</w:t>
      </w:r>
      <w:r>
        <w:t>.</w:t>
      </w:r>
      <w:r>
        <w:tab/>
        <w:t>Other staff</w:t>
      </w:r>
      <w:bookmarkEnd w:id="113"/>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No. 20 of 2002 s. 18; amended: Gazette 15 Aug 2003 p. 3692.]</w:t>
      </w:r>
    </w:p>
    <w:p>
      <w:pPr>
        <w:pStyle w:val="Heading5"/>
      </w:pPr>
      <w:bookmarkStart w:id="114" w:name="_Toc106982316"/>
      <w:r>
        <w:rPr>
          <w:rStyle w:val="CharSectno"/>
        </w:rPr>
        <w:lastRenderedPageBreak/>
        <w:t>40</w:t>
      </w:r>
      <w:r>
        <w:t>.</w:t>
      </w:r>
      <w:r>
        <w:tab/>
        <w:t>Use of other government staff etc.</w:t>
      </w:r>
      <w:bookmarkEnd w:id="114"/>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15" w:name="_Toc450313379"/>
      <w:bookmarkStart w:id="116" w:name="_Toc462407858"/>
      <w:bookmarkStart w:id="117" w:name="_Toc531775627"/>
      <w:bookmarkStart w:id="118" w:name="_Toc106980879"/>
      <w:bookmarkStart w:id="119" w:name="_Toc106981731"/>
      <w:bookmarkStart w:id="120" w:name="_Toc106981853"/>
      <w:bookmarkStart w:id="121" w:name="_Toc106981975"/>
      <w:bookmarkStart w:id="122" w:name="_Toc106982317"/>
      <w:r>
        <w:rPr>
          <w:rStyle w:val="CharPartNo"/>
        </w:rPr>
        <w:lastRenderedPageBreak/>
        <w:t>Part 6</w:t>
      </w:r>
      <w:r>
        <w:rPr>
          <w:rStyle w:val="CharDivNo"/>
        </w:rPr>
        <w:t xml:space="preserve"> </w:t>
      </w:r>
      <w:r>
        <w:t>—</w:t>
      </w:r>
      <w:r>
        <w:rPr>
          <w:rStyle w:val="CharDivText"/>
        </w:rPr>
        <w:t xml:space="preserve"> </w:t>
      </w:r>
      <w:r>
        <w:rPr>
          <w:rStyle w:val="CharPartText"/>
        </w:rPr>
        <w:t>Financial provisions</w:t>
      </w:r>
      <w:bookmarkEnd w:id="115"/>
      <w:bookmarkEnd w:id="116"/>
      <w:bookmarkEnd w:id="117"/>
      <w:bookmarkEnd w:id="118"/>
      <w:bookmarkEnd w:id="119"/>
      <w:bookmarkEnd w:id="120"/>
      <w:bookmarkEnd w:id="121"/>
      <w:bookmarkEnd w:id="122"/>
    </w:p>
    <w:p>
      <w:pPr>
        <w:pStyle w:val="Heading5"/>
      </w:pPr>
      <w:bookmarkStart w:id="123" w:name="_Toc106982318"/>
      <w:r>
        <w:rPr>
          <w:rStyle w:val="CharSectno"/>
        </w:rPr>
        <w:t>41</w:t>
      </w:r>
      <w:r>
        <w:t>.</w:t>
      </w:r>
      <w:r>
        <w:tab/>
        <w:t>Funds of Commission</w:t>
      </w:r>
      <w:bookmarkEnd w:id="12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24" w:name="_Toc106982319"/>
      <w:r>
        <w:rPr>
          <w:rStyle w:val="CharSectno"/>
        </w:rPr>
        <w:t>42</w:t>
      </w:r>
      <w:r>
        <w:t>.</w:t>
      </w:r>
      <w:r>
        <w:tab/>
        <w:t>Forest Products Account</w:t>
      </w:r>
      <w:bookmarkEnd w:id="124"/>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lastRenderedPageBreak/>
        <w:tab/>
        <w:t>(e)</w:t>
      </w:r>
      <w:r>
        <w:tab/>
        <w:t>all other expenditure lawfully incurred by the Commission in the performance of its functions.</w:t>
      </w:r>
    </w:p>
    <w:p>
      <w:pPr>
        <w:pStyle w:val="Footnotesection"/>
      </w:pPr>
      <w:r>
        <w:tab/>
        <w:t>[Section 42 amended: No. 28 of 2006 s. 17; No. 77 of 2006 Sch. 1 cl. 70(2).]</w:t>
      </w:r>
    </w:p>
    <w:p>
      <w:pPr>
        <w:pStyle w:val="Heading5"/>
      </w:pPr>
      <w:bookmarkStart w:id="125" w:name="_Toc106982320"/>
      <w:r>
        <w:rPr>
          <w:rStyle w:val="CharSectno"/>
        </w:rPr>
        <w:t>43</w:t>
      </w:r>
      <w:r>
        <w:t>.</w:t>
      </w:r>
      <w:r>
        <w:tab/>
        <w:t>Liability of Commission for duties, taxes, rates etc.</w:t>
      </w:r>
      <w:bookmarkEnd w:id="125"/>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lastRenderedPageBreak/>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26" w:name="_Toc106982321"/>
      <w:r>
        <w:rPr>
          <w:rStyle w:val="CharSectno"/>
        </w:rPr>
        <w:t>44</w:t>
      </w:r>
      <w:r>
        <w:t>.</w:t>
      </w:r>
      <w:r>
        <w:tab/>
        <w:t>Dividends</w:t>
      </w:r>
      <w:bookmarkEnd w:id="126"/>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lastRenderedPageBreak/>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No. 77 of 2006 s. 4.]</w:t>
      </w:r>
    </w:p>
    <w:p>
      <w:pPr>
        <w:pStyle w:val="Heading5"/>
      </w:pPr>
      <w:bookmarkStart w:id="127" w:name="_Toc106982322"/>
      <w:r>
        <w:rPr>
          <w:rStyle w:val="CharSectno"/>
        </w:rPr>
        <w:t>45</w:t>
      </w:r>
      <w:r>
        <w:t>.</w:t>
      </w:r>
      <w:r>
        <w:tab/>
        <w:t>Borrowing from Treasurer</w:t>
      </w:r>
      <w:bookmarkEnd w:id="127"/>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28" w:name="_Toc106982323"/>
      <w:r>
        <w:rPr>
          <w:rStyle w:val="CharSectno"/>
        </w:rPr>
        <w:t>46</w:t>
      </w:r>
      <w:r>
        <w:t>.</w:t>
      </w:r>
      <w:r>
        <w:tab/>
        <w:t>Other borrowing</w:t>
      </w:r>
      <w:bookmarkEnd w:id="12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lastRenderedPageBreak/>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29" w:name="_Toc106982324"/>
      <w:r>
        <w:rPr>
          <w:rStyle w:val="CharSectno"/>
        </w:rPr>
        <w:t>47</w:t>
      </w:r>
      <w:r>
        <w:t>.</w:t>
      </w:r>
      <w:r>
        <w:tab/>
        <w:t>Guarantee by Treasurer</w:t>
      </w:r>
      <w:bookmarkEnd w:id="129"/>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30" w:name="_Toc106982325"/>
      <w:r>
        <w:rPr>
          <w:rStyle w:val="CharSectno"/>
        </w:rPr>
        <w:t>48</w:t>
      </w:r>
      <w:r>
        <w:t>.</w:t>
      </w:r>
      <w:r>
        <w:tab/>
        <w:t>Effect of guarantee</w:t>
      </w:r>
      <w:bookmarkEnd w:id="130"/>
    </w:p>
    <w:p>
      <w:pPr>
        <w:pStyle w:val="Subsection"/>
      </w:pPr>
      <w:r>
        <w:tab/>
        <w:t>(1)</w:t>
      </w:r>
      <w:r>
        <w:tab/>
        <w:t>The due payment of moneys payable by the Treasurer under a guarantee under section 47 is guaranteed by the State.</w:t>
      </w:r>
    </w:p>
    <w:p>
      <w:pPr>
        <w:pStyle w:val="Subsection"/>
      </w:pPr>
      <w:r>
        <w:lastRenderedPageBreak/>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No. 77 of 2006 s. 4 and 5(1).]</w:t>
      </w:r>
    </w:p>
    <w:p>
      <w:pPr>
        <w:pStyle w:val="Heading5"/>
      </w:pPr>
      <w:bookmarkStart w:id="131" w:name="_Toc106982326"/>
      <w:r>
        <w:rPr>
          <w:rStyle w:val="CharSectno"/>
        </w:rPr>
        <w:t>49</w:t>
      </w:r>
      <w:r>
        <w:t>.</w:t>
      </w:r>
      <w:r>
        <w:tab/>
        <w:t>Charges for guarantees</w:t>
      </w:r>
      <w:bookmarkEnd w:id="131"/>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No. 77 of 2006 s. 4.]</w:t>
      </w:r>
    </w:p>
    <w:p>
      <w:pPr>
        <w:pStyle w:val="Heading5"/>
        <w:rPr>
          <w:i/>
        </w:rPr>
      </w:pPr>
      <w:bookmarkStart w:id="132" w:name="_Toc106982327"/>
      <w:r>
        <w:rPr>
          <w:rStyle w:val="CharSectno"/>
        </w:rPr>
        <w:t>50</w:t>
      </w:r>
      <w:r>
        <w:t>.</w:t>
      </w:r>
      <w:r>
        <w:tab/>
        <w:t xml:space="preserve">Application of </w:t>
      </w:r>
      <w:r>
        <w:rPr>
          <w:i/>
          <w:iCs/>
        </w:rPr>
        <w:t>Financial Management Act 2006</w:t>
      </w:r>
      <w:r>
        <w:t xml:space="preserve"> and </w:t>
      </w:r>
      <w:r>
        <w:rPr>
          <w:i/>
          <w:iCs/>
        </w:rPr>
        <w:t>Auditor General Act 2006</w:t>
      </w:r>
      <w:bookmarkEnd w:id="13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No. 77 of 2006 Sch. 1 cl. 70(3).]</w:t>
      </w:r>
    </w:p>
    <w:p>
      <w:pPr>
        <w:pStyle w:val="Heading2"/>
      </w:pPr>
      <w:bookmarkStart w:id="133" w:name="_Toc450313390"/>
      <w:bookmarkStart w:id="134" w:name="_Toc462407869"/>
      <w:bookmarkStart w:id="135" w:name="_Toc531775638"/>
      <w:bookmarkStart w:id="136" w:name="_Toc106980890"/>
      <w:bookmarkStart w:id="137" w:name="_Toc106981742"/>
      <w:bookmarkStart w:id="138" w:name="_Toc106981864"/>
      <w:bookmarkStart w:id="139" w:name="_Toc106981986"/>
      <w:bookmarkStart w:id="140" w:name="_Toc106982328"/>
      <w:r>
        <w:rPr>
          <w:rStyle w:val="CharPartNo"/>
        </w:rPr>
        <w:lastRenderedPageBreak/>
        <w:t>Part 7</w:t>
      </w:r>
      <w:r>
        <w:rPr>
          <w:rStyle w:val="CharDivNo"/>
        </w:rPr>
        <w:t xml:space="preserve"> </w:t>
      </w:r>
      <w:r>
        <w:t>—</w:t>
      </w:r>
      <w:r>
        <w:rPr>
          <w:rStyle w:val="CharDivText"/>
        </w:rPr>
        <w:t xml:space="preserve"> </w:t>
      </w:r>
      <w:r>
        <w:rPr>
          <w:rStyle w:val="CharPartText"/>
        </w:rPr>
        <w:t>Timber sharefarming agreements</w:t>
      </w:r>
      <w:bookmarkEnd w:id="133"/>
      <w:bookmarkEnd w:id="134"/>
      <w:bookmarkEnd w:id="135"/>
      <w:bookmarkEnd w:id="136"/>
      <w:bookmarkEnd w:id="137"/>
      <w:bookmarkEnd w:id="138"/>
      <w:bookmarkEnd w:id="139"/>
      <w:bookmarkEnd w:id="140"/>
    </w:p>
    <w:p>
      <w:pPr>
        <w:pStyle w:val="Heading5"/>
      </w:pPr>
      <w:bookmarkStart w:id="141" w:name="_Toc106982329"/>
      <w:r>
        <w:rPr>
          <w:rStyle w:val="CharSectno"/>
        </w:rPr>
        <w:t>51</w:t>
      </w:r>
      <w:r>
        <w:t>.</w:t>
      </w:r>
      <w:r>
        <w:tab/>
        <w:t>Term used: owner</w:t>
      </w:r>
      <w:bookmarkEnd w:id="141"/>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42" w:name="_Toc106982330"/>
      <w:r>
        <w:rPr>
          <w:rStyle w:val="CharSectno"/>
        </w:rPr>
        <w:t>52</w:t>
      </w:r>
      <w:r>
        <w:t>.</w:t>
      </w:r>
      <w:r>
        <w:tab/>
        <w:t>Entry into timber sharefarming agreements</w:t>
      </w:r>
      <w:bookmarkEnd w:id="142"/>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lastRenderedPageBreak/>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43" w:name="_Toc106982331"/>
      <w:r>
        <w:rPr>
          <w:rStyle w:val="CharSectno"/>
        </w:rPr>
        <w:t>53</w:t>
      </w:r>
      <w:r>
        <w:t>.</w:t>
      </w:r>
      <w:r>
        <w:tab/>
        <w:t>Consent of owner and occupier required</w:t>
      </w:r>
      <w:bookmarkEnd w:id="143"/>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44" w:name="_Toc106982332"/>
      <w:r>
        <w:rPr>
          <w:rStyle w:val="CharSectno"/>
        </w:rPr>
        <w:t>54</w:t>
      </w:r>
      <w:r>
        <w:t>.</w:t>
      </w:r>
      <w:r>
        <w:tab/>
        <w:t>Na</w:t>
      </w:r>
      <w:r>
        <w:rPr>
          <w:b w:val="0"/>
        </w:rPr>
        <w:t>t</w:t>
      </w:r>
      <w:r>
        <w:t>ure of rights created</w:t>
      </w:r>
      <w:bookmarkEnd w:id="144"/>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lastRenderedPageBreak/>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No. 38 of 2005 Sch. 2 cl. 24.]</w:t>
      </w:r>
    </w:p>
    <w:p>
      <w:pPr>
        <w:pStyle w:val="Heading2"/>
      </w:pPr>
      <w:bookmarkStart w:id="145" w:name="_Toc450313395"/>
      <w:bookmarkStart w:id="146" w:name="_Toc462407874"/>
      <w:bookmarkStart w:id="147" w:name="_Toc531775643"/>
      <w:bookmarkStart w:id="148" w:name="_Toc106980895"/>
      <w:bookmarkStart w:id="149" w:name="_Toc106981747"/>
      <w:bookmarkStart w:id="150" w:name="_Toc106981869"/>
      <w:bookmarkStart w:id="151" w:name="_Toc106981991"/>
      <w:bookmarkStart w:id="152" w:name="_Toc106982333"/>
      <w:r>
        <w:rPr>
          <w:rStyle w:val="CharPartNo"/>
        </w:rPr>
        <w:lastRenderedPageBreak/>
        <w:t>Part 8</w:t>
      </w:r>
      <w:r>
        <w:rPr>
          <w:rStyle w:val="CharDivNo"/>
        </w:rPr>
        <w:t xml:space="preserve"> </w:t>
      </w:r>
      <w:r>
        <w:t>—</w:t>
      </w:r>
      <w:r>
        <w:rPr>
          <w:rStyle w:val="CharDivText"/>
        </w:rPr>
        <w:t xml:space="preserve"> </w:t>
      </w:r>
      <w:r>
        <w:rPr>
          <w:rStyle w:val="CharPartText"/>
        </w:rPr>
        <w:t>Contracts for the management, harvesting or sale of forest products</w:t>
      </w:r>
      <w:bookmarkEnd w:id="145"/>
      <w:bookmarkEnd w:id="146"/>
      <w:bookmarkEnd w:id="147"/>
      <w:bookmarkEnd w:id="148"/>
      <w:bookmarkEnd w:id="149"/>
      <w:bookmarkEnd w:id="150"/>
      <w:bookmarkEnd w:id="151"/>
      <w:bookmarkEnd w:id="152"/>
    </w:p>
    <w:p>
      <w:pPr>
        <w:pStyle w:val="Heading5"/>
      </w:pPr>
      <w:bookmarkStart w:id="153" w:name="_Toc106982334"/>
      <w:r>
        <w:rPr>
          <w:rStyle w:val="CharSectno"/>
        </w:rPr>
        <w:t>55</w:t>
      </w:r>
      <w:r>
        <w:t>.</w:t>
      </w:r>
      <w:r>
        <w:tab/>
        <w:t>Terms used</w:t>
      </w:r>
      <w:bookmarkEnd w:id="153"/>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lastRenderedPageBreak/>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No. 50 of 2004 s. 5.]</w:t>
      </w:r>
    </w:p>
    <w:p>
      <w:pPr>
        <w:pStyle w:val="Heading5"/>
      </w:pPr>
      <w:bookmarkStart w:id="154" w:name="_Toc106982335"/>
      <w:r>
        <w:rPr>
          <w:rStyle w:val="CharSectno"/>
        </w:rPr>
        <w:t>56</w:t>
      </w:r>
      <w:r>
        <w:t>.</w:t>
      </w:r>
      <w:r>
        <w:tab/>
        <w:t>Contracts generally</w:t>
      </w:r>
      <w:bookmarkEnd w:id="154"/>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155" w:name="_Toc106982336"/>
      <w:r>
        <w:rPr>
          <w:rStyle w:val="CharSectno"/>
        </w:rPr>
        <w:t>57</w:t>
      </w:r>
      <w:r>
        <w:t>.</w:t>
      </w:r>
      <w:r>
        <w:tab/>
        <w:t>Harvesting contracts and related arrangements</w:t>
      </w:r>
      <w:bookmarkEnd w:id="155"/>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 xml:space="preserve">the access of the contractor and the contractor’s employees and agents to that land for the </w:t>
      </w:r>
      <w:r>
        <w:lastRenderedPageBreak/>
        <w:t>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No. 28 of 2006 s. 18 and 20.]</w:t>
      </w:r>
    </w:p>
    <w:p>
      <w:pPr>
        <w:pStyle w:val="Heading5"/>
      </w:pPr>
      <w:bookmarkStart w:id="156" w:name="_Toc106982337"/>
      <w:r>
        <w:rPr>
          <w:rStyle w:val="CharSectno"/>
        </w:rPr>
        <w:t>58</w:t>
      </w:r>
      <w:r>
        <w:t>.</w:t>
      </w:r>
      <w:r>
        <w:tab/>
        <w:t>Production contracts subject to relevant management plan</w:t>
      </w:r>
      <w:bookmarkEnd w:id="156"/>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No. 50 of 2004 s. 6.]</w:t>
      </w:r>
    </w:p>
    <w:p>
      <w:pPr>
        <w:pStyle w:val="Heading5"/>
      </w:pPr>
      <w:bookmarkStart w:id="157" w:name="_Toc106982338"/>
      <w:r>
        <w:rPr>
          <w:rStyle w:val="CharSectno"/>
        </w:rPr>
        <w:t>58A</w:t>
      </w:r>
      <w:r>
        <w:t>.</w:t>
      </w:r>
      <w:r>
        <w:tab/>
        <w:t>Plantation product contracts</w:t>
      </w:r>
      <w:bookmarkEnd w:id="157"/>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lastRenderedPageBreak/>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lastRenderedPageBreak/>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No. 50 of 2004 s. 7.]</w:t>
      </w:r>
    </w:p>
    <w:p>
      <w:pPr>
        <w:pStyle w:val="Heading5"/>
      </w:pPr>
      <w:bookmarkStart w:id="158" w:name="_Toc106982339"/>
      <w:r>
        <w:rPr>
          <w:rStyle w:val="CharSectno"/>
        </w:rPr>
        <w:t>59</w:t>
      </w:r>
      <w:r>
        <w:t>.</w:t>
      </w:r>
      <w:r>
        <w:tab/>
        <w:t>Components of contract price</w:t>
      </w:r>
      <w:bookmarkEnd w:id="158"/>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lastRenderedPageBreak/>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No. 28 of 2006 s. 19 and 20.]</w:t>
      </w:r>
    </w:p>
    <w:p>
      <w:pPr>
        <w:pStyle w:val="Heading5"/>
      </w:pPr>
      <w:bookmarkStart w:id="159" w:name="_Toc106982340"/>
      <w:r>
        <w:rPr>
          <w:rStyle w:val="CharSectno"/>
        </w:rPr>
        <w:t>60</w:t>
      </w:r>
      <w:r>
        <w:t>.</w:t>
      </w:r>
      <w:r>
        <w:tab/>
        <w:t>Contractors’ access to forest products on leases or other tenements</w:t>
      </w:r>
      <w:bookmarkEnd w:id="159"/>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lastRenderedPageBreak/>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160" w:name="_Toc106982341"/>
      <w:r>
        <w:rPr>
          <w:rStyle w:val="CharSectno"/>
        </w:rPr>
        <w:t>61</w:t>
      </w:r>
      <w:r>
        <w:t>.</w:t>
      </w:r>
      <w:r>
        <w:tab/>
        <w:t>Contracts subject to this Act and the CALM Act</w:t>
      </w:r>
      <w:bookmarkEnd w:id="160"/>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 xml:space="preserve">relating to departmental land on which plantation products that are to be managed, harvested or </w:t>
      </w:r>
      <w:r>
        <w:lastRenderedPageBreak/>
        <w:t>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No. 50 of 2004 s. 8.]</w:t>
      </w:r>
    </w:p>
    <w:p>
      <w:pPr>
        <w:pStyle w:val="Heading2"/>
      </w:pPr>
      <w:bookmarkStart w:id="161" w:name="_Toc450313404"/>
      <w:bookmarkStart w:id="162" w:name="_Toc462407883"/>
      <w:bookmarkStart w:id="163" w:name="_Toc531775652"/>
      <w:bookmarkStart w:id="164" w:name="_Toc106980904"/>
      <w:bookmarkStart w:id="165" w:name="_Toc106981756"/>
      <w:bookmarkStart w:id="166" w:name="_Toc106981878"/>
      <w:bookmarkStart w:id="167" w:name="_Toc106982000"/>
      <w:bookmarkStart w:id="168" w:name="_Toc106982342"/>
      <w:r>
        <w:rPr>
          <w:rStyle w:val="CharPartNo"/>
        </w:rPr>
        <w:lastRenderedPageBreak/>
        <w:t>Part 9</w:t>
      </w:r>
      <w:r>
        <w:rPr>
          <w:rStyle w:val="CharDivNo"/>
        </w:rPr>
        <w:t xml:space="preserve"> </w:t>
      </w:r>
      <w:r>
        <w:t>—</w:t>
      </w:r>
      <w:r>
        <w:rPr>
          <w:rStyle w:val="CharDivText"/>
        </w:rPr>
        <w:t xml:space="preserve"> </w:t>
      </w:r>
      <w:r>
        <w:rPr>
          <w:rStyle w:val="CharPartText"/>
        </w:rPr>
        <w:t>Enforcement powers</w:t>
      </w:r>
      <w:bookmarkEnd w:id="161"/>
      <w:bookmarkEnd w:id="162"/>
      <w:bookmarkEnd w:id="163"/>
      <w:bookmarkEnd w:id="164"/>
      <w:bookmarkEnd w:id="165"/>
      <w:bookmarkEnd w:id="166"/>
      <w:bookmarkEnd w:id="167"/>
      <w:bookmarkEnd w:id="168"/>
    </w:p>
    <w:p>
      <w:pPr>
        <w:pStyle w:val="Heading5"/>
      </w:pPr>
      <w:bookmarkStart w:id="169" w:name="_Toc106982343"/>
      <w:r>
        <w:rPr>
          <w:rStyle w:val="CharSectno"/>
        </w:rPr>
        <w:t>62</w:t>
      </w:r>
      <w:r>
        <w:t>.</w:t>
      </w:r>
      <w:r>
        <w:tab/>
        <w:t>Terms used</w:t>
      </w:r>
      <w:bookmarkEnd w:id="169"/>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No. 74 of 2003 s. 21(3).]</w:t>
      </w:r>
    </w:p>
    <w:p>
      <w:pPr>
        <w:pStyle w:val="Heading5"/>
      </w:pPr>
      <w:bookmarkStart w:id="170" w:name="_Toc106982344"/>
      <w:r>
        <w:rPr>
          <w:rStyle w:val="CharSectno"/>
        </w:rPr>
        <w:t>63</w:t>
      </w:r>
      <w:r>
        <w:t>.</w:t>
      </w:r>
      <w:r>
        <w:tab/>
        <w:t>Entry and seizure powers in relation to contracts</w:t>
      </w:r>
      <w:bookmarkEnd w:id="170"/>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lastRenderedPageBreak/>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No. 84 of 2004 s. 80.] </w:t>
      </w:r>
    </w:p>
    <w:p>
      <w:pPr>
        <w:pStyle w:val="Heading5"/>
      </w:pPr>
      <w:bookmarkStart w:id="171" w:name="_Toc106982345"/>
      <w:r>
        <w:rPr>
          <w:rStyle w:val="CharSectno"/>
        </w:rPr>
        <w:t>64</w:t>
      </w:r>
      <w:r>
        <w:t>.</w:t>
      </w:r>
      <w:r>
        <w:tab/>
        <w:t>Entry to sawmills</w:t>
      </w:r>
      <w:bookmarkEnd w:id="171"/>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172" w:name="_Toc106982346"/>
      <w:r>
        <w:rPr>
          <w:rStyle w:val="CharSectno"/>
        </w:rPr>
        <w:t>65</w:t>
      </w:r>
      <w:r>
        <w:t>.</w:t>
      </w:r>
      <w:r>
        <w:tab/>
        <w:t>Seizure powers in relation to offences</w:t>
      </w:r>
      <w:bookmarkEnd w:id="172"/>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173" w:name="_Toc450313409"/>
      <w:bookmarkStart w:id="174" w:name="_Toc462407888"/>
      <w:bookmarkStart w:id="175" w:name="_Toc531775657"/>
      <w:bookmarkStart w:id="176" w:name="_Toc106980909"/>
      <w:bookmarkStart w:id="177" w:name="_Toc106981761"/>
      <w:bookmarkStart w:id="178" w:name="_Toc106981883"/>
      <w:bookmarkStart w:id="179" w:name="_Toc106982005"/>
      <w:bookmarkStart w:id="180" w:name="_Toc106982347"/>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173"/>
      <w:bookmarkEnd w:id="174"/>
      <w:bookmarkEnd w:id="175"/>
      <w:bookmarkEnd w:id="176"/>
      <w:bookmarkEnd w:id="177"/>
      <w:bookmarkEnd w:id="178"/>
      <w:bookmarkEnd w:id="179"/>
      <w:bookmarkEnd w:id="180"/>
    </w:p>
    <w:p>
      <w:pPr>
        <w:pStyle w:val="Heading5"/>
      </w:pPr>
      <w:bookmarkStart w:id="181" w:name="_Toc106982348"/>
      <w:r>
        <w:rPr>
          <w:rStyle w:val="CharSectno"/>
        </w:rPr>
        <w:t>66</w:t>
      </w:r>
      <w:r>
        <w:t>.</w:t>
      </w:r>
      <w:r>
        <w:tab/>
        <w:t>Advisory committees</w:t>
      </w:r>
      <w:bookmarkEnd w:id="181"/>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lastRenderedPageBreak/>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No. 39 of 2010 s. 89.]</w:t>
      </w:r>
    </w:p>
    <w:p>
      <w:pPr>
        <w:pStyle w:val="Heading5"/>
      </w:pPr>
      <w:bookmarkStart w:id="182" w:name="_Toc106982349"/>
      <w:r>
        <w:rPr>
          <w:rStyle w:val="CharSectno"/>
        </w:rPr>
        <w:t>67</w:t>
      </w:r>
      <w:r>
        <w:t>.</w:t>
      </w:r>
      <w:r>
        <w:tab/>
        <w:t>Protection from liability for wrongdoing</w:t>
      </w:r>
      <w:bookmarkEnd w:id="182"/>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183" w:name="_Toc106982350"/>
      <w:r>
        <w:rPr>
          <w:rStyle w:val="CharSectno"/>
        </w:rPr>
        <w:t>68</w:t>
      </w:r>
      <w:r>
        <w:t>.</w:t>
      </w:r>
      <w:r>
        <w:tab/>
        <w:t>Execution of documents by Commission</w:t>
      </w:r>
      <w:bookmarkEnd w:id="183"/>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lastRenderedPageBreak/>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84" w:name="_Toc106982351"/>
      <w:r>
        <w:rPr>
          <w:rStyle w:val="CharSectno"/>
        </w:rPr>
        <w:t>69</w:t>
      </w:r>
      <w:r>
        <w:rPr>
          <w:snapToGrid w:val="0"/>
        </w:rPr>
        <w:t>.</w:t>
      </w:r>
      <w:r>
        <w:rPr>
          <w:snapToGrid w:val="0"/>
        </w:rPr>
        <w:tab/>
        <w:t>Supplementary provision about laying documents before Parliament</w:t>
      </w:r>
      <w:bookmarkEnd w:id="18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No. 50 of 2004 s. 9; No. 8 of 2009 s. 62(2) and (3).]</w:t>
      </w:r>
    </w:p>
    <w:p>
      <w:pPr>
        <w:pStyle w:val="Heading5"/>
      </w:pPr>
      <w:bookmarkStart w:id="185" w:name="_Toc106982352"/>
      <w:r>
        <w:rPr>
          <w:rStyle w:val="CharSectno"/>
        </w:rPr>
        <w:t>70</w:t>
      </w:r>
      <w:r>
        <w:t>.</w:t>
      </w:r>
      <w:r>
        <w:tab/>
        <w:t>Regulations</w:t>
      </w:r>
      <w:bookmarkEnd w:id="185"/>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 xml:space="preserve">the identification, measurement or weighing of forest products or the use of any other method to determine the </w:t>
      </w:r>
      <w:r>
        <w:lastRenderedPageBreak/>
        <w:t>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186" w:name="_Toc106982353"/>
      <w:r>
        <w:rPr>
          <w:rStyle w:val="CharSectno"/>
        </w:rPr>
        <w:t>71</w:t>
      </w:r>
      <w:r>
        <w:t>.</w:t>
      </w:r>
      <w:r>
        <w:tab/>
        <w:t>Review of Act</w:t>
      </w:r>
      <w:bookmarkEnd w:id="186"/>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lastRenderedPageBreak/>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87" w:name="_Toc450313416"/>
      <w:bookmarkStart w:id="188" w:name="_Toc462407895"/>
      <w:bookmarkStart w:id="189" w:name="_Toc531775664"/>
      <w:bookmarkStart w:id="190" w:name="_Toc106980916"/>
      <w:bookmarkStart w:id="191" w:name="_Toc106981768"/>
      <w:bookmarkStart w:id="192" w:name="_Toc106981890"/>
      <w:bookmarkStart w:id="193" w:name="_Toc106982012"/>
      <w:bookmarkStart w:id="194" w:name="_Toc106982354"/>
      <w:r>
        <w:rPr>
          <w:rStyle w:val="CharSchNo"/>
        </w:rPr>
        <w:lastRenderedPageBreak/>
        <w:t>Schedule 1</w:t>
      </w:r>
      <w:r>
        <w:t xml:space="preserve"> — </w:t>
      </w:r>
      <w:r>
        <w:rPr>
          <w:rStyle w:val="CharSchText"/>
        </w:rPr>
        <w:t>Commissioners</w:t>
      </w:r>
      <w:bookmarkEnd w:id="187"/>
      <w:bookmarkEnd w:id="188"/>
      <w:bookmarkEnd w:id="189"/>
      <w:bookmarkEnd w:id="190"/>
      <w:bookmarkEnd w:id="191"/>
      <w:bookmarkEnd w:id="192"/>
      <w:bookmarkEnd w:id="193"/>
      <w:bookmarkEnd w:id="194"/>
    </w:p>
    <w:p>
      <w:pPr>
        <w:pStyle w:val="yShoulderClause"/>
      </w:pPr>
      <w:r>
        <w:t>[s. 7]</w:t>
      </w:r>
    </w:p>
    <w:p>
      <w:pPr>
        <w:pStyle w:val="yHeading3"/>
        <w:outlineLvl w:val="9"/>
      </w:pPr>
      <w:bookmarkStart w:id="195" w:name="_Toc450313417"/>
      <w:bookmarkStart w:id="196" w:name="_Toc462407896"/>
      <w:bookmarkStart w:id="197" w:name="_Toc531775665"/>
      <w:bookmarkStart w:id="198" w:name="_Toc106980917"/>
      <w:bookmarkStart w:id="199" w:name="_Toc106981769"/>
      <w:bookmarkStart w:id="200" w:name="_Toc106981891"/>
      <w:bookmarkStart w:id="201" w:name="_Toc106982013"/>
      <w:bookmarkStart w:id="202" w:name="_Toc106982355"/>
      <w:r>
        <w:rPr>
          <w:rStyle w:val="CharSDivNo"/>
        </w:rPr>
        <w:t>Division 1</w:t>
      </w:r>
      <w:r>
        <w:t xml:space="preserve"> — </w:t>
      </w:r>
      <w:r>
        <w:rPr>
          <w:rStyle w:val="CharSDivText"/>
        </w:rPr>
        <w:t>Tenure, conditions and proceedings of the commissioners</w:t>
      </w:r>
      <w:bookmarkEnd w:id="195"/>
      <w:bookmarkEnd w:id="196"/>
      <w:bookmarkEnd w:id="197"/>
      <w:bookmarkEnd w:id="198"/>
      <w:bookmarkEnd w:id="199"/>
      <w:bookmarkEnd w:id="200"/>
      <w:bookmarkEnd w:id="201"/>
      <w:bookmarkEnd w:id="202"/>
    </w:p>
    <w:p>
      <w:pPr>
        <w:pStyle w:val="yHeading5"/>
        <w:outlineLvl w:val="9"/>
      </w:pPr>
      <w:bookmarkStart w:id="203" w:name="_Toc106982356"/>
      <w:r>
        <w:rPr>
          <w:rStyle w:val="CharSClsNo"/>
        </w:rPr>
        <w:t>1</w:t>
      </w:r>
      <w:r>
        <w:t>.</w:t>
      </w:r>
      <w:r>
        <w:tab/>
        <w:t>Term used: meeting</w:t>
      </w:r>
      <w:bookmarkEnd w:id="203"/>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204" w:name="_Toc106982357"/>
      <w:r>
        <w:rPr>
          <w:rStyle w:val="CharSClsNo"/>
        </w:rPr>
        <w:t>2</w:t>
      </w:r>
      <w:r>
        <w:t>.</w:t>
      </w:r>
      <w:r>
        <w:tab/>
        <w:t>Presiding member</w:t>
      </w:r>
      <w:bookmarkEnd w:id="20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205" w:name="_Toc106982358"/>
      <w:r>
        <w:rPr>
          <w:rStyle w:val="CharSClsNo"/>
        </w:rPr>
        <w:t>3</w:t>
      </w:r>
      <w:r>
        <w:t>.</w:t>
      </w:r>
      <w:r>
        <w:tab/>
        <w:t>Term of office</w:t>
      </w:r>
      <w:bookmarkEnd w:id="205"/>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206" w:name="_Toc106982359"/>
      <w:r>
        <w:rPr>
          <w:rStyle w:val="CharSClsNo"/>
        </w:rPr>
        <w:t>4</w:t>
      </w:r>
      <w:r>
        <w:t>.</w:t>
      </w:r>
      <w:r>
        <w:tab/>
        <w:t>Resignation, removal etc.</w:t>
      </w:r>
      <w:bookmarkEnd w:id="206"/>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lastRenderedPageBreak/>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No. 10 of 2001 s. 220.]</w:t>
      </w:r>
    </w:p>
    <w:p>
      <w:pPr>
        <w:pStyle w:val="yHeading5"/>
        <w:outlineLvl w:val="9"/>
      </w:pPr>
      <w:bookmarkStart w:id="207" w:name="_Toc106982360"/>
      <w:r>
        <w:rPr>
          <w:rStyle w:val="CharSClsNo"/>
        </w:rPr>
        <w:t>5</w:t>
      </w:r>
      <w:r>
        <w:t>.</w:t>
      </w:r>
      <w:r>
        <w:tab/>
        <w:t>Leave of absence</w:t>
      </w:r>
      <w:bookmarkEnd w:id="207"/>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No. 8 of 2009 s. 62(4).]</w:t>
      </w:r>
    </w:p>
    <w:p>
      <w:pPr>
        <w:pStyle w:val="yHeading5"/>
        <w:outlineLvl w:val="9"/>
      </w:pPr>
      <w:bookmarkStart w:id="208" w:name="_Toc106982361"/>
      <w:r>
        <w:rPr>
          <w:rStyle w:val="CharSClsNo"/>
        </w:rPr>
        <w:t>6</w:t>
      </w:r>
      <w:r>
        <w:t>.</w:t>
      </w:r>
      <w:r>
        <w:tab/>
        <w:t>Commissioner unable to act</w:t>
      </w:r>
      <w:bookmarkEnd w:id="208"/>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209" w:name="_Toc106982362"/>
      <w:r>
        <w:rPr>
          <w:rStyle w:val="CharSClsNo"/>
        </w:rPr>
        <w:lastRenderedPageBreak/>
        <w:t>7</w:t>
      </w:r>
      <w:r>
        <w:t>.</w:t>
      </w:r>
      <w:r>
        <w:tab/>
        <w:t>Saving</w:t>
      </w:r>
      <w:bookmarkEnd w:id="20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210" w:name="_Toc106982363"/>
      <w:r>
        <w:rPr>
          <w:rStyle w:val="CharSClsNo"/>
        </w:rPr>
        <w:t>8</w:t>
      </w:r>
      <w:r>
        <w:t>.</w:t>
      </w:r>
      <w:r>
        <w:tab/>
        <w:t>Commissioner not a public service officer by virtue of appointment as commissioner</w:t>
      </w:r>
      <w:bookmarkEnd w:id="210"/>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211" w:name="_Toc106982364"/>
      <w:r>
        <w:rPr>
          <w:rStyle w:val="CharSClsNo"/>
        </w:rPr>
        <w:t>9</w:t>
      </w:r>
      <w:r>
        <w:t>.</w:t>
      </w:r>
      <w:r>
        <w:tab/>
        <w:t>Co</w:t>
      </w:r>
      <w:r>
        <w:noBreakHyphen/>
        <w:t xml:space="preserve">opted </w:t>
      </w:r>
      <w:r>
        <w:rPr>
          <w:spacing w:val="-2"/>
        </w:rPr>
        <w:t>commissioners and participation of General Manager</w:t>
      </w:r>
      <w:bookmarkEnd w:id="21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212" w:name="_Toc106982365"/>
      <w:r>
        <w:rPr>
          <w:rStyle w:val="CharSClsNo"/>
        </w:rPr>
        <w:t>10</w:t>
      </w:r>
      <w:r>
        <w:t>.</w:t>
      </w:r>
      <w:r>
        <w:tab/>
        <w:t>General procedure</w:t>
      </w:r>
      <w:bookmarkEnd w:id="212"/>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213" w:name="_Toc106982366"/>
      <w:r>
        <w:rPr>
          <w:rStyle w:val="CharSClsNo"/>
        </w:rPr>
        <w:t>11</w:t>
      </w:r>
      <w:r>
        <w:t>.</w:t>
      </w:r>
      <w:r>
        <w:tab/>
        <w:t>Quorum</w:t>
      </w:r>
      <w:bookmarkEnd w:id="213"/>
    </w:p>
    <w:p>
      <w:pPr>
        <w:pStyle w:val="ySubsection"/>
        <w:rPr>
          <w:spacing w:val="-2"/>
        </w:rPr>
      </w:pPr>
      <w:r>
        <w:rPr>
          <w:spacing w:val="-2"/>
        </w:rPr>
        <w:tab/>
      </w:r>
      <w:r>
        <w:rPr>
          <w:spacing w:val="-2"/>
        </w:rPr>
        <w:tab/>
        <w:t>The quorum for a meeting is a majority of the commissioners.</w:t>
      </w:r>
    </w:p>
    <w:p>
      <w:pPr>
        <w:pStyle w:val="yHeading5"/>
        <w:outlineLvl w:val="9"/>
      </w:pPr>
      <w:bookmarkStart w:id="214" w:name="_Toc106982367"/>
      <w:r>
        <w:rPr>
          <w:rStyle w:val="CharSClsNo"/>
        </w:rPr>
        <w:lastRenderedPageBreak/>
        <w:t>12</w:t>
      </w:r>
      <w:r>
        <w:t>.</w:t>
      </w:r>
      <w:r>
        <w:tab/>
        <w:t>Voting</w:t>
      </w:r>
      <w:bookmarkEnd w:id="21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215" w:name="_Toc106982368"/>
      <w:r>
        <w:rPr>
          <w:rStyle w:val="CharSClsNo"/>
        </w:rPr>
        <w:t>13</w:t>
      </w:r>
      <w:r>
        <w:t>.</w:t>
      </w:r>
      <w:r>
        <w:tab/>
        <w:t>Minutes</w:t>
      </w:r>
      <w:bookmarkEnd w:id="215"/>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216" w:name="_Toc106982369"/>
      <w:r>
        <w:rPr>
          <w:rStyle w:val="CharSClsNo"/>
        </w:rPr>
        <w:t>14</w:t>
      </w:r>
      <w:r>
        <w:t>.</w:t>
      </w:r>
      <w:r>
        <w:tab/>
        <w:t>Decisions may be made without meeting</w:t>
      </w:r>
      <w:bookmarkEnd w:id="216"/>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217" w:name="_Toc106982370"/>
      <w:r>
        <w:rPr>
          <w:rStyle w:val="CharSClsNo"/>
        </w:rPr>
        <w:t>15</w:t>
      </w:r>
      <w:r>
        <w:t>.</w:t>
      </w:r>
      <w:r>
        <w:tab/>
        <w:t>Telephone or video meetings</w:t>
      </w:r>
      <w:bookmarkEnd w:id="217"/>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218" w:name="_Toc106982371"/>
      <w:r>
        <w:rPr>
          <w:rStyle w:val="CharSClsNo"/>
        </w:rPr>
        <w:t>16</w:t>
      </w:r>
      <w:r>
        <w:t>.</w:t>
      </w:r>
      <w:r>
        <w:tab/>
        <w:t>Committees</w:t>
      </w:r>
      <w:bookmarkEnd w:id="218"/>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219" w:name="_Toc450313434"/>
      <w:bookmarkStart w:id="220" w:name="_Toc462407913"/>
      <w:bookmarkStart w:id="221" w:name="_Toc531775682"/>
      <w:bookmarkStart w:id="222" w:name="_Toc106980934"/>
      <w:bookmarkStart w:id="223" w:name="_Toc106981786"/>
      <w:bookmarkStart w:id="224" w:name="_Toc106981908"/>
      <w:bookmarkStart w:id="225" w:name="_Toc106982030"/>
      <w:bookmarkStart w:id="226" w:name="_Toc106982372"/>
      <w:r>
        <w:rPr>
          <w:rStyle w:val="CharSDivNo"/>
        </w:rPr>
        <w:lastRenderedPageBreak/>
        <w:t>Division 2</w:t>
      </w:r>
      <w:r>
        <w:t xml:space="preserve"> — </w:t>
      </w:r>
      <w:r>
        <w:rPr>
          <w:rStyle w:val="CharSDivText"/>
        </w:rPr>
        <w:t>Disclosure of interests, etc.</w:t>
      </w:r>
      <w:bookmarkEnd w:id="219"/>
      <w:bookmarkEnd w:id="220"/>
      <w:bookmarkEnd w:id="221"/>
      <w:bookmarkEnd w:id="222"/>
      <w:bookmarkEnd w:id="223"/>
      <w:bookmarkEnd w:id="224"/>
      <w:bookmarkEnd w:id="225"/>
      <w:bookmarkEnd w:id="226"/>
    </w:p>
    <w:p>
      <w:pPr>
        <w:pStyle w:val="yHeading5"/>
        <w:outlineLvl w:val="9"/>
      </w:pPr>
      <w:bookmarkStart w:id="227" w:name="_Toc106982373"/>
      <w:r>
        <w:rPr>
          <w:rStyle w:val="CharSClsNo"/>
        </w:rPr>
        <w:t>17</w:t>
      </w:r>
      <w:r>
        <w:t>.</w:t>
      </w:r>
      <w:r>
        <w:tab/>
        <w:t>Disclosure of interests</w:t>
      </w:r>
      <w:bookmarkEnd w:id="227"/>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228" w:name="_Toc106982374"/>
      <w:r>
        <w:rPr>
          <w:rStyle w:val="CharSClsNo"/>
        </w:rPr>
        <w:t>18</w:t>
      </w:r>
      <w:r>
        <w:t>.</w:t>
      </w:r>
      <w:r>
        <w:tab/>
        <w:t xml:space="preserve">Voting by interested </w:t>
      </w:r>
      <w:r>
        <w:rPr>
          <w:spacing w:val="-2"/>
        </w:rPr>
        <w:t>commissioners</w:t>
      </w:r>
      <w:bookmarkEnd w:id="228"/>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229" w:name="_Toc106982375"/>
      <w:r>
        <w:rPr>
          <w:rStyle w:val="CharSClsNo"/>
        </w:rPr>
        <w:t>19</w:t>
      </w:r>
      <w:r>
        <w:t>.</w:t>
      </w:r>
      <w:r>
        <w:tab/>
        <w:t>Quorum where clause 18 applies</w:t>
      </w:r>
      <w:bookmarkEnd w:id="229"/>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230" w:name="_Toc106982376"/>
      <w:r>
        <w:rPr>
          <w:rStyle w:val="CharSClsNo"/>
        </w:rPr>
        <w:t>20</w:t>
      </w:r>
      <w:r>
        <w:t>.</w:t>
      </w:r>
      <w:r>
        <w:tab/>
        <w:t xml:space="preserve">Minister may declare </w:t>
      </w:r>
      <w:r>
        <w:rPr>
          <w:spacing w:val="-2"/>
        </w:rPr>
        <w:t>c</w:t>
      </w:r>
      <w:r>
        <w:t>lauses 18 and 19 inapplicable</w:t>
      </w:r>
      <w:bookmarkEnd w:id="230"/>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231" w:name="_Toc106982377"/>
      <w:r>
        <w:rPr>
          <w:rStyle w:val="CharSClsNo"/>
        </w:rPr>
        <w:lastRenderedPageBreak/>
        <w:t>21</w:t>
      </w:r>
      <w:r>
        <w:t>.</w:t>
      </w:r>
      <w:r>
        <w:tab/>
        <w:t>Ineligibility provisions not affected</w:t>
      </w:r>
      <w:bookmarkEnd w:id="231"/>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232" w:name="_Toc450313440"/>
      <w:bookmarkStart w:id="233" w:name="_Toc462407919"/>
      <w:bookmarkStart w:id="234" w:name="_Toc531775688"/>
      <w:bookmarkStart w:id="235" w:name="_Toc106980940"/>
      <w:bookmarkStart w:id="236" w:name="_Toc106981792"/>
      <w:bookmarkStart w:id="237" w:name="_Toc106981914"/>
      <w:bookmarkStart w:id="238" w:name="_Toc106982036"/>
      <w:bookmarkStart w:id="239" w:name="_Toc106982378"/>
      <w:r>
        <w:rPr>
          <w:rStyle w:val="CharSchNo"/>
        </w:rPr>
        <w:lastRenderedPageBreak/>
        <w:t>Schedule 2</w:t>
      </w:r>
      <w:r>
        <w:rPr>
          <w:rStyle w:val="CharSDivNo"/>
        </w:rPr>
        <w:t xml:space="preserve"> </w:t>
      </w:r>
      <w:r>
        <w:t>—</w:t>
      </w:r>
      <w:r>
        <w:rPr>
          <w:rStyle w:val="CharSDivText"/>
        </w:rPr>
        <w:t xml:space="preserve"> </w:t>
      </w:r>
      <w:r>
        <w:rPr>
          <w:rStyle w:val="CharSchText"/>
        </w:rPr>
        <w:t>General Manager</w:t>
      </w:r>
      <w:bookmarkEnd w:id="232"/>
      <w:bookmarkEnd w:id="233"/>
      <w:bookmarkEnd w:id="234"/>
      <w:bookmarkEnd w:id="235"/>
      <w:bookmarkEnd w:id="236"/>
      <w:bookmarkEnd w:id="237"/>
      <w:bookmarkEnd w:id="238"/>
      <w:bookmarkEnd w:id="239"/>
    </w:p>
    <w:p>
      <w:pPr>
        <w:pStyle w:val="yShoulderClause"/>
      </w:pPr>
      <w:r>
        <w:t>[s. 38(2)]</w:t>
      </w:r>
    </w:p>
    <w:p>
      <w:pPr>
        <w:pStyle w:val="yHeading5"/>
        <w:outlineLvl w:val="9"/>
      </w:pPr>
      <w:bookmarkStart w:id="240" w:name="_Toc106982379"/>
      <w:r>
        <w:rPr>
          <w:rStyle w:val="CharSClsNo"/>
        </w:rPr>
        <w:t>1</w:t>
      </w:r>
      <w:r>
        <w:t>.</w:t>
      </w:r>
      <w:r>
        <w:tab/>
        <w:t>Appointment</w:t>
      </w:r>
      <w:bookmarkEnd w:id="240"/>
    </w:p>
    <w:p>
      <w:pPr>
        <w:pStyle w:val="ySubsection"/>
      </w:pPr>
      <w:r>
        <w:tab/>
      </w:r>
      <w:r>
        <w:tab/>
        <w:t>The General Manager is to be appointed by the commissioners in consultation with the Minister.</w:t>
      </w:r>
    </w:p>
    <w:p>
      <w:pPr>
        <w:pStyle w:val="yHeading5"/>
        <w:outlineLvl w:val="9"/>
      </w:pPr>
      <w:bookmarkStart w:id="241" w:name="_Toc106982380"/>
      <w:r>
        <w:rPr>
          <w:rStyle w:val="CharSClsNo"/>
        </w:rPr>
        <w:t>2</w:t>
      </w:r>
      <w:r>
        <w:t>.</w:t>
      </w:r>
      <w:r>
        <w:tab/>
        <w:t>Tenure of office</w:t>
      </w:r>
      <w:bookmarkEnd w:id="241"/>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242" w:name="_Toc106982381"/>
      <w:r>
        <w:rPr>
          <w:rStyle w:val="CharSClsNo"/>
        </w:rPr>
        <w:t>3</w:t>
      </w:r>
      <w:r>
        <w:t>.</w:t>
      </w:r>
      <w:r>
        <w:tab/>
        <w:t>Salary, conditions of appointment</w:t>
      </w:r>
      <w:bookmarkEnd w:id="242"/>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243" w:name="_Toc106982382"/>
      <w:r>
        <w:rPr>
          <w:rStyle w:val="CharSClsNo"/>
        </w:rPr>
        <w:t>4</w:t>
      </w:r>
      <w:r>
        <w:t>.</w:t>
      </w:r>
      <w:r>
        <w:tab/>
        <w:t>Removal from office</w:t>
      </w:r>
      <w:bookmarkEnd w:id="243"/>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No. 10 of 2001 s. 220.]</w:t>
      </w:r>
    </w:p>
    <w:p>
      <w:pPr>
        <w:pStyle w:val="yHeading5"/>
        <w:outlineLvl w:val="9"/>
      </w:pPr>
      <w:bookmarkStart w:id="244" w:name="_Toc106982383"/>
      <w:r>
        <w:rPr>
          <w:rStyle w:val="CharSClsNo"/>
        </w:rPr>
        <w:lastRenderedPageBreak/>
        <w:t>5</w:t>
      </w:r>
      <w:r>
        <w:t>.</w:t>
      </w:r>
      <w:r>
        <w:tab/>
        <w:t>Superannuation</w:t>
      </w:r>
      <w:bookmarkEnd w:id="244"/>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245" w:name="_Toc106982384"/>
      <w:r>
        <w:rPr>
          <w:rStyle w:val="CharSClsNo"/>
        </w:rPr>
        <w:t>6</w:t>
      </w:r>
      <w:r>
        <w:t>.</w:t>
      </w:r>
      <w:r>
        <w:tab/>
        <w:t>Portability of entitlements of General Manager</w:t>
      </w:r>
      <w:bookmarkEnd w:id="245"/>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7" w:name="_Toc106981799"/>
      <w:bookmarkStart w:id="248" w:name="_Toc106981921"/>
      <w:bookmarkStart w:id="249" w:name="_Toc106982043"/>
      <w:bookmarkStart w:id="250" w:name="_Toc106982385"/>
      <w:bookmarkStart w:id="251" w:name="_Toc450313449"/>
      <w:bookmarkStart w:id="252" w:name="_Toc462407929"/>
      <w:bookmarkStart w:id="253" w:name="_Toc531775697"/>
      <w:bookmarkStart w:id="254" w:name="_Toc106980951"/>
      <w:r>
        <w:lastRenderedPageBreak/>
        <w:t>Notes</w:t>
      </w:r>
      <w:bookmarkEnd w:id="247"/>
      <w:bookmarkEnd w:id="248"/>
      <w:bookmarkEnd w:id="249"/>
      <w:bookmarkEnd w:id="250"/>
    </w:p>
    <w:p>
      <w:pPr>
        <w:pStyle w:val="nStatement"/>
      </w:pPr>
      <w:r>
        <w:t xml:space="preserve">This is a compilation of the </w:t>
      </w:r>
      <w:r>
        <w:rPr>
          <w:i/>
          <w:noProof/>
        </w:rPr>
        <w:t>Forest Products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5" w:name="_Toc106982386"/>
      <w:r>
        <w:t>Compilation table</w:t>
      </w:r>
      <w:bookmarkEnd w:id="255"/>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rPr>
                <w:rFonts w:ascii="Times New Roman" w:hAnsi="Times New Roman"/>
              </w:rPr>
            </w:pPr>
            <w:r>
              <w:rPr>
                <w:rFonts w:ascii="Times New Roman" w:hAnsi="Times New Roman"/>
                <w:i/>
              </w:rPr>
              <w:t>Forest Products Act 2000</w:t>
            </w:r>
          </w:p>
        </w:tc>
        <w:tc>
          <w:tcPr>
            <w:tcW w:w="1134" w:type="dxa"/>
            <w:tcBorders>
              <w:bottom w:val="nil"/>
            </w:tcBorders>
          </w:tcPr>
          <w:p>
            <w:pPr>
              <w:pStyle w:val="nTable"/>
              <w:spacing w:after="40"/>
              <w:rPr>
                <w:rFonts w:ascii="Times New Roman" w:hAnsi="Times New Roman"/>
              </w:rPr>
            </w:pPr>
            <w:r>
              <w:rPr>
                <w:rFonts w:ascii="Times New Roman" w:hAnsi="Times New Roman"/>
              </w:rPr>
              <w:t>34 of 2000</w:t>
            </w:r>
          </w:p>
        </w:tc>
        <w:tc>
          <w:tcPr>
            <w:tcW w:w="1134" w:type="dxa"/>
            <w:tcBorders>
              <w:bottom w:val="nil"/>
            </w:tcBorders>
          </w:tcPr>
          <w:p>
            <w:pPr>
              <w:pStyle w:val="nTable"/>
              <w:spacing w:after="40"/>
              <w:rPr>
                <w:rFonts w:ascii="Times New Roman" w:hAnsi="Times New Roman"/>
              </w:rPr>
            </w:pPr>
            <w:r>
              <w:rPr>
                <w:rFonts w:ascii="Times New Roman" w:hAnsi="Times New Roman"/>
              </w:rPr>
              <w:t>10 Oct 2000</w:t>
            </w:r>
          </w:p>
        </w:tc>
        <w:tc>
          <w:tcPr>
            <w:tcW w:w="2552" w:type="dxa"/>
            <w:tcBorders>
              <w:bottom w:val="nil"/>
            </w:tcBorders>
          </w:tcPr>
          <w:p>
            <w:pPr>
              <w:pStyle w:val="nTable"/>
              <w:spacing w:after="40"/>
              <w:rPr>
                <w:rFonts w:ascii="Times New Roman" w:hAnsi="Times New Roman"/>
              </w:rPr>
            </w:pPr>
            <w:r>
              <w:rPr>
                <w:rFonts w:ascii="Times New Roman" w:hAnsi="Times New Roman"/>
              </w:rPr>
              <w:t>s. 1 and 2: 10 Oct 2000;</w:t>
            </w:r>
            <w:r>
              <w:rPr>
                <w:rFonts w:ascii="Times New Roman" w:hAnsi="Times New Roman"/>
              </w:rPr>
              <w:br/>
              <w:t xml:space="preserve">Act other than s. 1 and 2: 16 Nov 2000 (see s. 2 and </w:t>
            </w:r>
            <w:r>
              <w:rPr>
                <w:rFonts w:ascii="Times New Roman" w:hAnsi="Times New Roman"/>
                <w:i/>
              </w:rPr>
              <w:t>Gazette</w:t>
            </w:r>
            <w:r>
              <w:rPr>
                <w:rFonts w:ascii="Times New Roman" w:hAnsi="Times New Roman"/>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2"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18</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2"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20 published by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2" w:type="dxa"/>
          </w:tcPr>
          <w:p>
            <w:pPr>
              <w:pStyle w:val="nTable"/>
              <w:spacing w:after="40"/>
              <w:rPr>
                <w:rFonts w:ascii="Times New Roman" w:hAnsi="Times New Roman"/>
              </w:rPr>
            </w:pPr>
            <w:r>
              <w:rPr>
                <w:rFonts w:ascii="Times New Roman" w:hAnsi="Times New Roman"/>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Statutes (Repeals and Minor Amendments) Act 2003</w:t>
            </w:r>
            <w:r>
              <w:rPr>
                <w:rFonts w:ascii="Times New Roman" w:hAnsi="Times New Roman"/>
              </w:rPr>
              <w:t xml:space="preserve"> s. 21(3)</w:t>
            </w:r>
          </w:p>
        </w:tc>
        <w:tc>
          <w:tcPr>
            <w:tcW w:w="1134" w:type="dxa"/>
          </w:tcPr>
          <w:p>
            <w:pPr>
              <w:pStyle w:val="nTable"/>
              <w:spacing w:after="40"/>
              <w:rPr>
                <w:rFonts w:ascii="Times New Roman" w:hAnsi="Times New Roman"/>
              </w:rPr>
            </w:pPr>
            <w:r>
              <w:rPr>
                <w:rFonts w:ascii="Times New Roman" w:hAnsi="Times New Roman"/>
              </w:rPr>
              <w:t>74 of 2003</w:t>
            </w:r>
          </w:p>
        </w:tc>
        <w:tc>
          <w:tcPr>
            <w:tcW w:w="1134" w:type="dxa"/>
          </w:tcPr>
          <w:p>
            <w:pPr>
              <w:pStyle w:val="nTable"/>
              <w:spacing w:after="40"/>
              <w:rPr>
                <w:rFonts w:ascii="Times New Roman" w:hAnsi="Times New Roman"/>
              </w:rPr>
            </w:pPr>
            <w:r>
              <w:rPr>
                <w:rFonts w:ascii="Times New Roman" w:hAnsi="Times New Roman"/>
              </w:rPr>
              <w:t>15 Dec 2003</w:t>
            </w:r>
          </w:p>
        </w:tc>
        <w:tc>
          <w:tcPr>
            <w:tcW w:w="2552" w:type="dxa"/>
          </w:tcPr>
          <w:p>
            <w:pPr>
              <w:pStyle w:val="nTable"/>
              <w:spacing w:after="40"/>
              <w:rPr>
                <w:rFonts w:ascii="Times New Roman" w:hAnsi="Times New Roman"/>
              </w:rPr>
            </w:pPr>
            <w:r>
              <w:rPr>
                <w:rFonts w:ascii="Times New Roman" w:hAnsi="Times New Roman"/>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rPr>
              <w:t>Forest Products Amendment Act 2004</w:t>
            </w:r>
          </w:p>
        </w:tc>
        <w:tc>
          <w:tcPr>
            <w:tcW w:w="1134" w:type="dxa"/>
          </w:tcPr>
          <w:p>
            <w:pPr>
              <w:pStyle w:val="nTable"/>
              <w:spacing w:after="40"/>
              <w:rPr>
                <w:rFonts w:ascii="Times New Roman" w:hAnsi="Times New Roman"/>
              </w:rPr>
            </w:pPr>
            <w:r>
              <w:rPr>
                <w:rFonts w:ascii="Times New Roman" w:hAnsi="Times New Roman"/>
              </w:rPr>
              <w:t>50 of 2004</w:t>
            </w:r>
          </w:p>
        </w:tc>
        <w:tc>
          <w:tcPr>
            <w:tcW w:w="1134" w:type="dxa"/>
          </w:tcPr>
          <w:p>
            <w:pPr>
              <w:pStyle w:val="nTable"/>
              <w:spacing w:after="40"/>
              <w:rPr>
                <w:rFonts w:ascii="Times New Roman" w:hAnsi="Times New Roman"/>
              </w:rPr>
            </w:pPr>
            <w:r>
              <w:rPr>
                <w:rFonts w:ascii="Times New Roman" w:hAnsi="Times New Roman"/>
              </w:rPr>
              <w:t>12 Nov 2004</w:t>
            </w:r>
          </w:p>
        </w:tc>
        <w:tc>
          <w:tcPr>
            <w:tcW w:w="2552" w:type="dxa"/>
          </w:tcPr>
          <w:p>
            <w:pPr>
              <w:pStyle w:val="nTable"/>
              <w:spacing w:after="40"/>
              <w:rPr>
                <w:rFonts w:ascii="Times New Roman" w:hAnsi="Times New Roman"/>
                <w:spacing w:val="-2"/>
              </w:rPr>
            </w:pPr>
            <w:r>
              <w:rPr>
                <w:rFonts w:ascii="Times New Roman" w:hAnsi="Times New Roman"/>
                <w:spacing w:val="-2"/>
              </w:rPr>
              <w:t>12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by </w:t>
            </w:r>
            <w:r>
              <w:rPr>
                <w:rFonts w:ascii="Times New Roman" w:hAnsi="Times New Roman"/>
                <w:i/>
                <w:iCs/>
                <w:snapToGrid w:val="0"/>
              </w:rPr>
              <w:t>Gazette</w:t>
            </w:r>
            <w:r>
              <w:rPr>
                <w:rFonts w:ascii="Times New Roman" w:hAnsi="Times New Roman"/>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Forest Products Act 2000</w:t>
            </w:r>
            <w:r>
              <w:rPr>
                <w:rFonts w:ascii="Times New Roman" w:hAnsi="Times New Roman"/>
                <w:b/>
                <w:bCs/>
                <w:snapToGrid w:val="0"/>
              </w:rPr>
              <w:t xml:space="preserve"> as at 15 Jul 2005</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iCs/>
                <w:snapToGrid w:val="0"/>
              </w:rPr>
              <w:t>Planning and Development (Consequential and Transitional Provisions) Act 2005</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spacing w:val="-2"/>
              </w:rPr>
            </w:pPr>
            <w:r>
              <w:rPr>
                <w:rFonts w:ascii="Times New Roman" w:hAnsi="Times New Roman"/>
                <w:snapToGrid w:val="0"/>
              </w:rPr>
              <w:t xml:space="preserve">9 Apr 2006 (see s. 2 and </w:t>
            </w:r>
            <w:r>
              <w:rPr>
                <w:rFonts w:ascii="Times New Roman" w:hAnsi="Times New Roman"/>
                <w:i/>
                <w:iCs/>
                <w:snapToGrid w:val="0"/>
              </w:rPr>
              <w:t>Gazette</w:t>
            </w:r>
            <w:r>
              <w:rPr>
                <w:rFonts w:ascii="Times New Roman" w:hAnsi="Times New Roman"/>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Machinery of Government (Miscellaneous Amendments) Act 2006 </w:t>
            </w:r>
            <w:r>
              <w:rPr>
                <w:rFonts w:ascii="Times New Roman" w:hAnsi="Times New Roman"/>
                <w:snapToGrid w:val="0"/>
              </w:rPr>
              <w:t>Pt. 2 Div. 4</w:t>
            </w:r>
            <w:r>
              <w:rPr>
                <w:rFonts w:ascii="Times New Roman" w:hAnsi="Times New Roman"/>
                <w:snapToGrid w:val="0"/>
                <w:vertAlign w:val="superscript"/>
              </w:rPr>
              <w:t> </w:t>
            </w:r>
          </w:p>
        </w:tc>
        <w:tc>
          <w:tcPr>
            <w:tcW w:w="1134" w:type="dxa"/>
          </w:tcPr>
          <w:p>
            <w:pPr>
              <w:pStyle w:val="nTable"/>
              <w:spacing w:after="40"/>
              <w:rPr>
                <w:rFonts w:ascii="Times New Roman" w:hAnsi="Times New Roman"/>
                <w:snapToGrid w:val="0"/>
              </w:rPr>
            </w:pPr>
            <w:r>
              <w:rPr>
                <w:rFonts w:ascii="Times New Roman" w:hAnsi="Times New Roman"/>
                <w:snapToGrid w:val="0"/>
              </w:rPr>
              <w:t>28 of 2006</w:t>
            </w:r>
          </w:p>
        </w:tc>
        <w:tc>
          <w:tcPr>
            <w:tcW w:w="1134" w:type="dxa"/>
          </w:tcPr>
          <w:p>
            <w:pPr>
              <w:pStyle w:val="nTable"/>
              <w:spacing w:after="40"/>
              <w:rPr>
                <w:rFonts w:ascii="Times New Roman" w:hAnsi="Times New Roman"/>
              </w:rPr>
            </w:pPr>
            <w:r>
              <w:rPr>
                <w:rFonts w:ascii="Times New Roman" w:hAnsi="Times New Roman"/>
              </w:rPr>
              <w:t>26 Jun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2006 (see s. 2 and </w:t>
            </w:r>
            <w:r>
              <w:rPr>
                <w:rFonts w:ascii="Times New Roman" w:hAnsi="Times New Roman"/>
                <w:i/>
                <w:iCs/>
                <w:snapToGrid w:val="0"/>
              </w:rPr>
              <w:t>Gazette</w:t>
            </w:r>
            <w:r>
              <w:rPr>
                <w:rFonts w:ascii="Times New Roman" w:hAnsi="Times New Roman"/>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iCs/>
                <w:snapToGrid w:val="0"/>
              </w:rPr>
            </w:pPr>
            <w:r>
              <w:rPr>
                <w:rFonts w:ascii="Times New Roman" w:hAnsi="Times New Roman"/>
                <w:i/>
                <w:snapToGrid w:val="0"/>
              </w:rPr>
              <w:lastRenderedPageBreak/>
              <w:t xml:space="preserve">Financial Legislation Amendment and Repeal Act 2006 </w:t>
            </w:r>
            <w:r>
              <w:rPr>
                <w:rFonts w:ascii="Times New Roman" w:hAnsi="Times New Roman"/>
                <w:iCs/>
                <w:snapToGrid w:val="0"/>
              </w:rPr>
              <w:t xml:space="preserve">s. 4, 5(1), 10 and </w:t>
            </w:r>
            <w:r>
              <w:rPr>
                <w:rFonts w:ascii="Times New Roman" w:hAnsi="Times New Roman"/>
                <w:color w:val="000000"/>
              </w:rPr>
              <w:t>Sch. 1 cl. 70</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keepNext/>
              <w:keepLines/>
              <w:spacing w:after="40"/>
              <w:rPr>
                <w:rFonts w:ascii="Times New Roman" w:hAnsi="Times New Roman"/>
              </w:rPr>
            </w:pPr>
            <w:r>
              <w:rPr>
                <w:rFonts w:ascii="Times New Roman" w:hAnsi="Times New Roman"/>
                <w:snapToGrid w:val="0"/>
              </w:rPr>
              <w:t>21 Dec 2006</w:t>
            </w:r>
          </w:p>
        </w:tc>
        <w:tc>
          <w:tcPr>
            <w:tcW w:w="2552" w:type="dxa"/>
          </w:tcPr>
          <w:p>
            <w:pPr>
              <w:pStyle w:val="nTable"/>
              <w:keepNext/>
              <w:keepLines/>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62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2" w:type="dxa"/>
          </w:tcPr>
          <w:p>
            <w:pPr>
              <w:pStyle w:val="nTable"/>
              <w:spacing w:after="40"/>
              <w:rPr>
                <w:rFonts w:ascii="Times New Roman" w:hAnsi="Times New Roman"/>
              </w:rPr>
            </w:pPr>
            <w:r>
              <w:rPr>
                <w:rFonts w:ascii="Times New Roman" w:hAnsi="Times New Roman"/>
              </w:rP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rFonts w:ascii="Times New Roman" w:hAnsi="Times New Roman"/>
              </w:rPr>
            </w:pPr>
            <w:r>
              <w:rPr>
                <w:rFonts w:ascii="Times New Roman" w:hAnsi="Times New Roman"/>
                <w:b/>
                <w:bCs/>
                <w:snapToGrid w:val="0"/>
              </w:rPr>
              <w:t xml:space="preserve">Reprint 2: The </w:t>
            </w:r>
            <w:r>
              <w:rPr>
                <w:rFonts w:ascii="Times New Roman" w:hAnsi="Times New Roman"/>
                <w:b/>
                <w:bCs/>
                <w:i/>
              </w:rPr>
              <w:t>Forest Products Act 2000</w:t>
            </w:r>
            <w:r>
              <w:rPr>
                <w:rFonts w:ascii="Times New Roman" w:hAnsi="Times New Roman"/>
                <w:b/>
                <w:bCs/>
                <w:snapToGrid w:val="0"/>
              </w:rPr>
              <w:t xml:space="preserve"> as at 13 Nov 2009</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2"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
                <w:iCs/>
                <w:snapToGrid w:val="0"/>
              </w:rPr>
            </w:pPr>
            <w:r>
              <w:rPr>
                <w:rFonts w:ascii="Times New Roman" w:hAnsi="Times New Roman"/>
                <w:i/>
                <w:szCs w:val="19"/>
              </w:rPr>
              <w:t>Conservation and Land Management Amendment Act 2015</w:t>
            </w:r>
            <w:r>
              <w:rPr>
                <w:rFonts w:ascii="Times New Roman" w:hAnsi="Times New Roman"/>
                <w:szCs w:val="19"/>
              </w:rPr>
              <w:t xml:space="preserve"> s. 75</w:t>
            </w:r>
          </w:p>
        </w:tc>
        <w:tc>
          <w:tcPr>
            <w:tcW w:w="1134" w:type="dxa"/>
          </w:tcPr>
          <w:p>
            <w:pPr>
              <w:pStyle w:val="nTable"/>
              <w:spacing w:after="40"/>
              <w:rPr>
                <w:rFonts w:ascii="Times New Roman" w:hAnsi="Times New Roman"/>
                <w:snapToGrid w:val="0"/>
              </w:rPr>
            </w:pPr>
            <w:r>
              <w:rPr>
                <w:rFonts w:ascii="Times New Roman" w:hAnsi="Times New Roman"/>
                <w:snapToGrid w:val="0"/>
              </w:rPr>
              <w:t>28 of 2015</w:t>
            </w:r>
          </w:p>
        </w:tc>
        <w:tc>
          <w:tcPr>
            <w:tcW w:w="1134" w:type="dxa"/>
          </w:tcPr>
          <w:p>
            <w:pPr>
              <w:pStyle w:val="nTable"/>
              <w:spacing w:after="40"/>
              <w:rPr>
                <w:rFonts w:ascii="Times New Roman" w:hAnsi="Times New Roman"/>
              </w:rPr>
            </w:pPr>
            <w:r>
              <w:rPr>
                <w:rFonts w:ascii="Times New Roman" w:hAnsi="Times New Roman"/>
              </w:rPr>
              <w:t>19 Oct 2015</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7 May 2016 (see s. 2(b) and </w:t>
            </w:r>
            <w:r>
              <w:rPr>
                <w:rFonts w:ascii="Times New Roman" w:hAnsi="Times New Roman"/>
                <w:i/>
                <w:snapToGrid w:val="0"/>
              </w:rPr>
              <w:t>Gazette</w:t>
            </w:r>
            <w:r>
              <w:rPr>
                <w:rFonts w:ascii="Times New Roman" w:hAnsi="Times New Roman"/>
                <w:snapToGrid w:val="0"/>
              </w:rPr>
              <w:t xml:space="preserve">  6 May 2016 p. 1379</w:t>
            </w:r>
            <w:r>
              <w:rPr>
                <w:rFonts w:ascii="Times New Roman" w:hAnsi="Times New Roman"/>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rFonts w:ascii="Times New Roman" w:hAnsi="Times New Roman"/>
                <w:i/>
                <w:szCs w:val="19"/>
              </w:rPr>
            </w:pPr>
            <w:r>
              <w:rPr>
                <w:rFonts w:ascii="Times New Roman" w:hAnsi="Times New Roman"/>
                <w:i/>
                <w:snapToGrid w:val="0"/>
              </w:rPr>
              <w:t>Biodiversity Conservation Act 2016</w:t>
            </w:r>
            <w:r>
              <w:rPr>
                <w:rFonts w:ascii="Times New Roman" w:hAnsi="Times New Roman"/>
                <w:snapToGrid w:val="0"/>
              </w:rPr>
              <w:t xml:space="preserve"> s. 317</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24 of 2016</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bottom w:val="single" w:sz="4" w:space="0" w:color="auto"/>
            </w:tcBorders>
          </w:tcPr>
          <w:p>
            <w:pPr>
              <w:pStyle w:val="nTable"/>
              <w:spacing w:after="40"/>
              <w:rPr>
                <w:rFonts w:ascii="Times New Roman" w:hAnsi="Times New Roman"/>
                <w:snapToGrid w:val="0"/>
              </w:rPr>
            </w:pPr>
            <w:r>
              <w:t xml:space="preserve">1 Jan 2019 (see s. 2(b) and </w:t>
            </w:r>
            <w:r>
              <w:rPr>
                <w:i/>
              </w:rPr>
              <w:t>Gazette</w:t>
            </w:r>
            <w:r>
              <w:t xml:space="preserve"> 14 Sep 2018 p. 3305)</w:t>
            </w:r>
          </w:p>
        </w:tc>
      </w:tr>
    </w:tbl>
    <w:p>
      <w:pPr>
        <w:pStyle w:val="nHeading3"/>
      </w:pPr>
      <w:bookmarkStart w:id="256" w:name="_Toc106982387"/>
      <w:r>
        <w:t>Uncommenced provisions table</w:t>
      </w:r>
      <w:bookmarkEnd w:id="25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right w:val="nil"/>
            </w:tcBorders>
          </w:tcPr>
          <w:p>
            <w:pPr>
              <w:pStyle w:val="nTable"/>
              <w:spacing w:after="40"/>
              <w:rPr>
                <w:i/>
              </w:rPr>
            </w:pPr>
            <w:r>
              <w:rPr>
                <w:i/>
              </w:rPr>
              <w:t>Forest Products Amendment Act 2022</w:t>
            </w:r>
          </w:p>
        </w:tc>
        <w:tc>
          <w:tcPr>
            <w:tcW w:w="1134" w:type="dxa"/>
            <w:tcBorders>
              <w:top w:val="single" w:sz="4" w:space="0" w:color="auto"/>
              <w:left w:val="nil"/>
              <w:bottom w:val="single" w:sz="4" w:space="0" w:color="auto"/>
              <w:right w:val="nil"/>
            </w:tcBorders>
          </w:tcPr>
          <w:p>
            <w:pPr>
              <w:pStyle w:val="nTable"/>
              <w:spacing w:after="40"/>
            </w:pPr>
            <w:r>
              <w:t>20 of 2022</w:t>
            </w:r>
          </w:p>
        </w:tc>
        <w:tc>
          <w:tcPr>
            <w:tcW w:w="1134" w:type="dxa"/>
            <w:tcBorders>
              <w:top w:val="single" w:sz="4" w:space="0" w:color="auto"/>
              <w:left w:val="nil"/>
              <w:bottom w:val="single" w:sz="4" w:space="0" w:color="auto"/>
              <w:right w:val="nil"/>
            </w:tcBorders>
          </w:tcPr>
          <w:p>
            <w:pPr>
              <w:pStyle w:val="nTable"/>
              <w:spacing w:after="40"/>
            </w:pPr>
            <w:r>
              <w:t>24 Jun 2022</w:t>
            </w:r>
          </w:p>
        </w:tc>
        <w:tc>
          <w:tcPr>
            <w:tcW w:w="2552" w:type="dxa"/>
            <w:tcBorders>
              <w:top w:val="single" w:sz="4" w:space="0" w:color="auto"/>
              <w:left w:val="nil"/>
              <w:bottom w:val="single" w:sz="4" w:space="0" w:color="auto"/>
            </w:tcBorders>
          </w:tcPr>
          <w:p>
            <w:pPr>
              <w:pStyle w:val="nTable"/>
              <w:spacing w:after="40"/>
            </w:pPr>
            <w:r>
              <w:t>To be proclaimed (see s. 2(b))</w:t>
            </w:r>
          </w:p>
        </w:tc>
      </w:tr>
    </w:tbl>
    <w:p>
      <w:pPr>
        <w:pStyle w:val="nHeading3"/>
      </w:pPr>
      <w:bookmarkStart w:id="257" w:name="_Toc106982388"/>
      <w:r>
        <w:t>Other notes</w:t>
      </w:r>
      <w:bookmarkEnd w:id="257"/>
    </w:p>
    <w:p>
      <w:pPr>
        <w:pStyle w:val="nSubsection"/>
        <w:spacing w:before="160"/>
      </w:pPr>
      <w:r>
        <w:rPr>
          <w:iCs/>
          <w:snapToGrid w:val="0"/>
          <w:vertAlign w:val="superscript"/>
        </w:rPr>
        <w:t>2</w:t>
      </w:r>
      <w:r>
        <w:rPr>
          <w:iCs/>
          <w:snapToGrid w:val="0"/>
        </w:rPr>
        <w:tab/>
        <w:t xml:space="preserve">The </w:t>
      </w:r>
      <w:r>
        <w:rPr>
          <w:i/>
          <w:iCs/>
          <w:snapToGrid w:val="0"/>
        </w:rPr>
        <w:t>Superannuation and Family Benefits Act 1938</w:t>
      </w:r>
      <w:r>
        <w:rPr>
          <w:iCs/>
          <w:snapToGrid w:val="0"/>
        </w:rPr>
        <w:t xml:space="preserve"> was repealed by the </w:t>
      </w:r>
      <w:r>
        <w:rPr>
          <w:i/>
          <w:iCs/>
          <w:snapToGrid w:val="0"/>
        </w:rPr>
        <w:t>State Superannuation Act 2000</w:t>
      </w:r>
      <w:r>
        <w:rPr>
          <w:iCs/>
          <w:snapToGrid w:val="0"/>
        </w:rPr>
        <w:t xml:space="preserve"> s. 39, but its provisions continue to </w:t>
      </w:r>
      <w:r>
        <w:rPr>
          <w:snapToGrid w:val="0"/>
        </w:rPr>
        <w:t>apply</w:t>
      </w:r>
      <w:r>
        <w:rPr>
          <w:iCs/>
          <w:snapToGrid w:val="0"/>
        </w:rPr>
        <w:t xml:space="preserve"> to and in relation to certain schemes because of the </w:t>
      </w:r>
      <w:r>
        <w:rPr>
          <w:i/>
          <w:iCs/>
          <w:snapToGrid w:val="0"/>
        </w:rPr>
        <w:t>State Superannuation (Transitional and Consequential Provisions) Act 2000</w:t>
      </w:r>
      <w:r>
        <w:rPr>
          <w:iCs/>
          <w:snapToGrid w:val="0"/>
        </w:rPr>
        <w:t xml:space="preserve"> s. 26.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59" w:name="_Toc106981803"/>
      <w:bookmarkStart w:id="260" w:name="_Toc106981925"/>
      <w:bookmarkStart w:id="261" w:name="_Toc106982047"/>
      <w:bookmarkStart w:id="262" w:name="_Toc106982389"/>
      <w:r>
        <w:rPr>
          <w:sz w:val="28"/>
        </w:rPr>
        <w:lastRenderedPageBreak/>
        <w:t>Defined terms</w:t>
      </w:r>
      <w:bookmarkEnd w:id="251"/>
      <w:bookmarkEnd w:id="252"/>
      <w:bookmarkEnd w:id="253"/>
      <w:bookmarkEnd w:id="254"/>
      <w:bookmarkEnd w:id="259"/>
      <w:bookmarkEnd w:id="260"/>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and Parks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lastRenderedPageBreak/>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6" w:name="Schedule"/>
    <w:bookmarkEnd w:id="2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3" w:name="DefinedTerms"/>
    <w:bookmarkEnd w:id="2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6AB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E3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00A1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70A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EF5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CB417430-A42D-405A-9205-0CC60C70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15701</Words>
  <Characters>77408</Characters>
  <Application>Microsoft Office Word</Application>
  <DocSecurity>0</DocSecurity>
  <Lines>2150</Lines>
  <Paragraphs>1293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91816</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2000 - 02-i0-00</dc:title>
  <dc:subject/>
  <dc:creator/>
  <cp:keywords/>
  <dc:description/>
  <cp:lastModifiedBy>Master Repository Process</cp:lastModifiedBy>
  <cp:revision>4</cp:revision>
  <cp:lastPrinted>2009-11-11T03:11:00Z</cp:lastPrinted>
  <dcterms:created xsi:type="dcterms:W3CDTF">2022-06-24T09:01:00Z</dcterms:created>
  <dcterms:modified xsi:type="dcterms:W3CDTF">2022-06-24T09:01:00Z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AsAtDate">
    <vt:lpwstr>24 Jun 2022</vt:lpwstr>
  </property>
  <property fmtid="{D5CDD505-2E9C-101B-9397-08002B2CF9AE}" pid="7" name="Suffix">
    <vt:lpwstr>02-i0-00</vt:lpwstr>
  </property>
  <property fmtid="{D5CDD505-2E9C-101B-9397-08002B2CF9AE}" pid="8" name="CommencementDate">
    <vt:lpwstr>20220624</vt:lpwstr>
  </property>
</Properties>
</file>