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_Toc106888209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_Toc106888210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_Toc106888211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_Toc106888213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_Toc106888214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_Toc106888215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_Toc106888216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_Toc106888217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_Toc106888219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_Toc106888220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_Toc106888221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_Toc106888223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_Toc106888224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_Toc106888225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_Toc106888226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_Toc106888227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_Toc106888228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_Toc106888229 \h </w:instrText>
      </w:r>
      <w:r>
        <w:fldChar w:fldCharType="separate"/>
      </w:r>
      <w:r>
        <w:t>12</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_Toc106888230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_Toc106888231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_Toc106888232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_Toc106888233 \h </w:instrText>
      </w:r>
      <w:r>
        <w:fldChar w:fldCharType="separate"/>
      </w:r>
      <w:r>
        <w:t>13</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_Toc106888234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_Toc106888235 \h </w:instrText>
      </w:r>
      <w:r>
        <w:fldChar w:fldCharType="separate"/>
      </w:r>
      <w:r>
        <w:t>14</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_Toc106888236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_Toc106888237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_Toc106888238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Procedures for disclosure of relevant information</w:t>
      </w:r>
    </w:p>
    <w:p>
      <w:pPr>
        <w:pStyle w:val="TOC8"/>
        <w:rPr>
          <w:rFonts w:asciiTheme="minorHAnsi" w:eastAsiaTheme="minorEastAsia" w:hAnsiTheme="minorHAnsi" w:cstheme="minorBidi"/>
          <w:szCs w:val="22"/>
        </w:rPr>
      </w:pPr>
      <w:r>
        <w:t>29.</w:t>
      </w:r>
      <w:r>
        <w:tab/>
        <w:t>Application of this Part</w:t>
      </w:r>
      <w:r>
        <w:tab/>
      </w:r>
      <w:r>
        <w:fldChar w:fldCharType="begin"/>
      </w:r>
      <w:r>
        <w:instrText xml:space="preserve"> PAGEREF _Toc106888240 \h </w:instrText>
      </w:r>
      <w:r>
        <w:fldChar w:fldCharType="separate"/>
      </w:r>
      <w:r>
        <w:t>18</w:t>
      </w:r>
      <w:r>
        <w:fldChar w:fldCharType="end"/>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_Toc106888241 \h </w:instrText>
      </w:r>
      <w:r>
        <w:fldChar w:fldCharType="separate"/>
      </w:r>
      <w:r>
        <w:t>18</w:t>
      </w:r>
      <w:r>
        <w:fldChar w:fldCharType="end"/>
      </w:r>
    </w:p>
    <w:p>
      <w:pPr>
        <w:pStyle w:val="TOC8"/>
        <w:rPr>
          <w:rFonts w:asciiTheme="minorHAnsi" w:eastAsiaTheme="minorEastAsia" w:hAnsiTheme="minorHAnsi" w:cstheme="minorBidi"/>
          <w:szCs w:val="22"/>
        </w:rPr>
      </w:pPr>
      <w:r>
        <w:t>31.</w:t>
      </w:r>
      <w:r>
        <w:tab/>
        <w:t>Form of request</w:t>
      </w:r>
      <w:r>
        <w:tab/>
      </w:r>
      <w:r>
        <w:fldChar w:fldCharType="begin"/>
      </w:r>
      <w:r>
        <w:instrText xml:space="preserve"> PAGEREF _Toc106888242 \h </w:instrText>
      </w:r>
      <w:r>
        <w:fldChar w:fldCharType="separate"/>
      </w:r>
      <w:r>
        <w:t>18</w:t>
      </w:r>
      <w:r>
        <w:fldChar w:fldCharType="end"/>
      </w:r>
    </w:p>
    <w:p>
      <w:pPr>
        <w:pStyle w:val="TOC8"/>
        <w:rPr>
          <w:rFonts w:asciiTheme="minorHAnsi" w:eastAsiaTheme="minorEastAsia" w:hAnsiTheme="minorHAnsi" w:cstheme="minorBidi"/>
          <w:szCs w:val="22"/>
        </w:rPr>
      </w:pPr>
      <w:r>
        <w:t>32.</w:t>
      </w:r>
      <w:r>
        <w:tab/>
        <w:t>Committee of Board to assist with non</w:t>
      </w:r>
      <w:r>
        <w:noBreakHyphen/>
        <w:t>government requests</w:t>
      </w:r>
      <w:r>
        <w:tab/>
      </w:r>
      <w:r>
        <w:fldChar w:fldCharType="begin"/>
      </w:r>
      <w:r>
        <w:instrText xml:space="preserve"> PAGEREF _Toc106888243 \h </w:instrText>
      </w:r>
      <w:r>
        <w:fldChar w:fldCharType="separate"/>
      </w:r>
      <w:r>
        <w:t>19</w:t>
      </w:r>
      <w:r>
        <w:fldChar w:fldCharType="end"/>
      </w:r>
    </w:p>
    <w:p>
      <w:pPr>
        <w:pStyle w:val="TOC8"/>
        <w:rPr>
          <w:rFonts w:asciiTheme="minorHAnsi" w:eastAsiaTheme="minorEastAsia" w:hAnsiTheme="minorHAnsi" w:cstheme="minorBidi"/>
          <w:szCs w:val="22"/>
        </w:rPr>
      </w:pPr>
      <w:r>
        <w:t>33.</w:t>
      </w:r>
      <w:r>
        <w:tab/>
        <w:t>Register of requests</w:t>
      </w:r>
      <w:r>
        <w:tab/>
      </w:r>
      <w:r>
        <w:fldChar w:fldCharType="begin"/>
      </w:r>
      <w:r>
        <w:instrText xml:space="preserve"> PAGEREF _Toc106888244 \h </w:instrText>
      </w:r>
      <w:r>
        <w:fldChar w:fldCharType="separate"/>
      </w:r>
      <w:r>
        <w:t>20</w:t>
      </w:r>
      <w:r>
        <w:fldChar w:fldCharType="end"/>
      </w:r>
    </w:p>
    <w:p>
      <w:pPr>
        <w:pStyle w:val="TOC8"/>
        <w:rPr>
          <w:rFonts w:asciiTheme="minorHAnsi" w:eastAsiaTheme="minorEastAsia" w:hAnsiTheme="minorHAnsi" w:cstheme="minorBidi"/>
          <w:szCs w:val="22"/>
        </w:rPr>
      </w:pPr>
      <w:r>
        <w:t>34.</w:t>
      </w:r>
      <w:r>
        <w:tab/>
        <w:t>Refusal of requests</w:t>
      </w:r>
      <w:r>
        <w:tab/>
      </w:r>
      <w:r>
        <w:fldChar w:fldCharType="begin"/>
      </w:r>
      <w:r>
        <w:instrText xml:space="preserve"> PAGEREF _Toc106888245 \h </w:instrText>
      </w:r>
      <w:r>
        <w:fldChar w:fldCharType="separate"/>
      </w:r>
      <w:r>
        <w:t>22</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_Toc106888246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_Toc106888249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_Toc106888250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3" w:name="_Toc106885411"/>
      <w:bookmarkStart w:id="4" w:name="_Toc106885711"/>
      <w:bookmarkStart w:id="5" w:name="_Toc106887871"/>
      <w:bookmarkStart w:id="6" w:name="_Toc1068882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7 Dec 2012 p. 5984.]</w:t>
      </w:r>
    </w:p>
    <w:p>
      <w:pPr>
        <w:pStyle w:val="Heading5"/>
      </w:pPr>
      <w:bookmarkStart w:id="7" w:name="_Toc106888209"/>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8" w:name="_Toc106888210"/>
      <w:r>
        <w:rPr>
          <w:rStyle w:val="CharSectno"/>
        </w:rPr>
        <w:t>2</w:t>
      </w:r>
      <w:r>
        <w:rPr>
          <w:spacing w:val="-2"/>
        </w:rPr>
        <w:t>.</w:t>
      </w:r>
      <w:r>
        <w:rPr>
          <w:spacing w:val="-2"/>
        </w:rPr>
        <w:tab/>
        <w:t>Commencement</w:t>
      </w:r>
      <w:bookmarkEnd w:id="8"/>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9" w:name="_Toc106888211"/>
      <w:r>
        <w:rPr>
          <w:rStyle w:val="CharSectno"/>
        </w:rPr>
        <w:t>3</w:t>
      </w:r>
      <w:r>
        <w:t>.</w:t>
      </w:r>
      <w:r>
        <w:tab/>
        <w:t>Terms used</w:t>
      </w:r>
      <w:bookmarkEnd w:id="9"/>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0" w:name="_Toc106885415"/>
      <w:bookmarkStart w:id="11" w:name="_Toc106885715"/>
      <w:bookmarkStart w:id="12" w:name="_Toc106887875"/>
      <w:bookmarkStart w:id="13" w:name="_Toc106888212"/>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bookmarkEnd w:id="13"/>
    </w:p>
    <w:p>
      <w:pPr>
        <w:pStyle w:val="Footnoteheading"/>
      </w:pPr>
      <w:r>
        <w:tab/>
        <w:t>[Heading inserted: Gazette 7 Dec 2012 p. 5984.]</w:t>
      </w:r>
    </w:p>
    <w:p>
      <w:pPr>
        <w:pStyle w:val="Heading5"/>
      </w:pPr>
      <w:bookmarkStart w:id="14" w:name="_Toc106888213"/>
      <w:r>
        <w:rPr>
          <w:rStyle w:val="CharSectno"/>
        </w:rPr>
        <w:t>4</w:t>
      </w:r>
      <w:r>
        <w:t>.</w:t>
      </w:r>
      <w:r>
        <w:tab/>
        <w:t>Student records, unique reference number for each student and information prescribed (Act s. 19E)</w:t>
      </w:r>
      <w:bookmarkEnd w:id="14"/>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15" w:name="_Toc106888214"/>
      <w:r>
        <w:rPr>
          <w:rStyle w:val="CharSectno"/>
        </w:rPr>
        <w:t>5</w:t>
      </w:r>
      <w:r>
        <w:t>.</w:t>
      </w:r>
      <w:r>
        <w:tab/>
        <w:t>Information prescribed to be given by school (Act s. 19G)</w:t>
      </w:r>
      <w:bookmarkEnd w:id="15"/>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16" w:name="_Toc106888215"/>
      <w:r>
        <w:rPr>
          <w:rStyle w:val="CharSectno"/>
        </w:rPr>
        <w:lastRenderedPageBreak/>
        <w:t>6</w:t>
      </w:r>
      <w:r>
        <w:t>.</w:t>
      </w:r>
      <w:r>
        <w:tab/>
        <w:t>Information prescribed to be given by provider other than school (Act s. 19G)</w:t>
      </w:r>
      <w:bookmarkEnd w:id="16"/>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17" w:name="_Toc106888216"/>
      <w:r>
        <w:rPr>
          <w:rStyle w:val="CharSectno"/>
        </w:rPr>
        <w:t>7</w:t>
      </w:r>
      <w:r>
        <w:t>.</w:t>
      </w:r>
      <w:r>
        <w:tab/>
        <w:t>When student record to be opened (Act s. 19C); when information to be given to Authority for Act Part 3A</w:t>
      </w:r>
      <w:bookmarkEnd w:id="17"/>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 xml:space="preserve">If a provider, in relation to a student in any school year from the first year of the relevant education period to the final year of the </w:t>
      </w:r>
      <w:r>
        <w:lastRenderedPageBreak/>
        <w:t>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18" w:name="_Toc106888217"/>
      <w:r>
        <w:rPr>
          <w:rStyle w:val="CharSectno"/>
        </w:rPr>
        <w:t>9</w:t>
      </w:r>
      <w:r>
        <w:t>.</w:t>
      </w:r>
      <w:r>
        <w:tab/>
        <w:t>Information and times for giving it prescribed (Act s. 19P)</w:t>
      </w:r>
      <w:bookmarkEnd w:id="18"/>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lastRenderedPageBreak/>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lastRenderedPageBreak/>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19" w:name="_Toc106885421"/>
      <w:bookmarkStart w:id="20" w:name="_Toc106885721"/>
      <w:bookmarkStart w:id="21" w:name="_Toc106887881"/>
      <w:bookmarkStart w:id="22" w:name="_Toc106888218"/>
      <w:r>
        <w:rPr>
          <w:rStyle w:val="CharPartNo"/>
        </w:rPr>
        <w:lastRenderedPageBreak/>
        <w:t>Part 3</w:t>
      </w:r>
      <w:r>
        <w:rPr>
          <w:rStyle w:val="CharSDivNo"/>
        </w:rPr>
        <w:t> </w:t>
      </w:r>
      <w:r>
        <w:t>—</w:t>
      </w:r>
      <w:r>
        <w:rPr>
          <w:rStyle w:val="CharDivText"/>
        </w:rPr>
        <w:t> </w:t>
      </w:r>
      <w:r>
        <w:rPr>
          <w:rStyle w:val="CharPartText"/>
        </w:rPr>
        <w:t>Fees and charges</w:t>
      </w:r>
      <w:bookmarkEnd w:id="19"/>
      <w:bookmarkEnd w:id="20"/>
      <w:bookmarkEnd w:id="21"/>
      <w:bookmarkEnd w:id="22"/>
    </w:p>
    <w:p>
      <w:pPr>
        <w:pStyle w:val="Footnoteheading"/>
      </w:pPr>
      <w:r>
        <w:tab/>
        <w:t>[Heading inserted: Gazette 7 Dec 2012 p. 5986.]</w:t>
      </w:r>
    </w:p>
    <w:p>
      <w:pPr>
        <w:pStyle w:val="Heading5"/>
      </w:pPr>
      <w:bookmarkStart w:id="23" w:name="_Toc106888219"/>
      <w:r>
        <w:rPr>
          <w:rStyle w:val="CharSectno"/>
        </w:rPr>
        <w:t>10</w:t>
      </w:r>
      <w:r>
        <w:t>.</w:t>
      </w:r>
      <w:r>
        <w:tab/>
        <w:t>Certification, assessment and examination fees and charges for students who are Australian residents (Sch. 1)</w:t>
      </w:r>
      <w:bookmarkEnd w:id="23"/>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24" w:name="_Toc106888220"/>
      <w:r>
        <w:rPr>
          <w:rStyle w:val="CharSectno"/>
        </w:rPr>
        <w:t>11</w:t>
      </w:r>
      <w:r>
        <w:t>.</w:t>
      </w:r>
      <w:r>
        <w:tab/>
        <w:t>Certification, assessment and examination fees and charges for students who are not Australian residents</w:t>
      </w:r>
      <w:bookmarkEnd w:id="24"/>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lastRenderedPageBreak/>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25" w:name="_Toc106888221"/>
      <w:r>
        <w:rPr>
          <w:rStyle w:val="CharSectno"/>
        </w:rPr>
        <w:t>12</w:t>
      </w:r>
      <w:r>
        <w:t>.</w:t>
      </w:r>
      <w:r>
        <w:tab/>
        <w:t>Publications supplied by Authority, charges for</w:t>
      </w:r>
      <w:bookmarkEnd w:id="25"/>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26" w:name="_Toc106885425"/>
      <w:bookmarkStart w:id="27" w:name="_Toc106885725"/>
      <w:bookmarkStart w:id="28" w:name="_Toc106887885"/>
      <w:bookmarkStart w:id="29" w:name="_Toc106888222"/>
      <w:r>
        <w:rPr>
          <w:rStyle w:val="CharPartNo"/>
        </w:rPr>
        <w:lastRenderedPageBreak/>
        <w:t>Part 4</w:t>
      </w:r>
      <w:r>
        <w:rPr>
          <w:rStyle w:val="CharDivNo"/>
        </w:rPr>
        <w:t> </w:t>
      </w:r>
      <w:r>
        <w:t>—</w:t>
      </w:r>
      <w:r>
        <w:rPr>
          <w:rStyle w:val="CharDivText"/>
        </w:rPr>
        <w:t> </w:t>
      </w:r>
      <w:r>
        <w:rPr>
          <w:rStyle w:val="CharPartText"/>
        </w:rPr>
        <w:t>Examinations</w:t>
      </w:r>
      <w:bookmarkEnd w:id="26"/>
      <w:bookmarkEnd w:id="27"/>
      <w:bookmarkEnd w:id="28"/>
      <w:bookmarkEnd w:id="29"/>
    </w:p>
    <w:p>
      <w:pPr>
        <w:pStyle w:val="Footnoteheading"/>
      </w:pPr>
      <w:r>
        <w:tab/>
        <w:t>[Heading inserted: Gazette 7 Dec 2012 p. 5986.]</w:t>
      </w:r>
    </w:p>
    <w:p>
      <w:pPr>
        <w:pStyle w:val="Heading5"/>
      </w:pPr>
      <w:bookmarkStart w:id="30" w:name="_Toc106888223"/>
      <w:r>
        <w:rPr>
          <w:rStyle w:val="CharSectno"/>
        </w:rPr>
        <w:t>13</w:t>
      </w:r>
      <w:r>
        <w:t>.</w:t>
      </w:r>
      <w:r>
        <w:tab/>
        <w:t>Terms used</w:t>
      </w:r>
      <w:bookmarkEnd w:id="30"/>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31" w:name="_Toc106888224"/>
      <w:r>
        <w:rPr>
          <w:rStyle w:val="CharSectno"/>
        </w:rPr>
        <w:t>14</w:t>
      </w:r>
      <w:r>
        <w:t>.</w:t>
      </w:r>
      <w:r>
        <w:tab/>
        <w:t>Prerequisites for taking, and who must take, examinations</w:t>
      </w:r>
      <w:bookmarkEnd w:id="31"/>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lastRenderedPageBreak/>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32" w:name="_Toc106888225"/>
      <w:r>
        <w:rPr>
          <w:rStyle w:val="CharSectno"/>
        </w:rPr>
        <w:t>15</w:t>
      </w:r>
      <w:r>
        <w:t>.</w:t>
      </w:r>
      <w:r>
        <w:tab/>
        <w:t>Examinations, candidates for to be notified of time and place of</w:t>
      </w:r>
      <w:bookmarkEnd w:id="32"/>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33" w:name="_Toc106888226"/>
      <w:r>
        <w:rPr>
          <w:rStyle w:val="CharSectno"/>
        </w:rPr>
        <w:t>16</w:t>
      </w:r>
      <w:r>
        <w:t>.</w:t>
      </w:r>
      <w:r>
        <w:tab/>
        <w:t>Identification documents for candidates, issue of etc.</w:t>
      </w:r>
      <w:bookmarkEnd w:id="33"/>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34" w:name="_Toc106888227"/>
      <w:r>
        <w:rPr>
          <w:rStyle w:val="CharSectno"/>
        </w:rPr>
        <w:lastRenderedPageBreak/>
        <w:t>17</w:t>
      </w:r>
      <w:r>
        <w:t>.</w:t>
      </w:r>
      <w:r>
        <w:tab/>
        <w:t>Supervisors, appointment of; security of examination papers etc.</w:t>
      </w:r>
      <w:bookmarkEnd w:id="34"/>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35" w:name="_Toc106888228"/>
      <w:r>
        <w:rPr>
          <w:rStyle w:val="CharSectno"/>
        </w:rPr>
        <w:t>18</w:t>
      </w:r>
      <w:r>
        <w:t>.</w:t>
      </w:r>
      <w:r>
        <w:tab/>
        <w:t>Conduct of examinations</w:t>
      </w:r>
      <w:bookmarkEnd w:id="35"/>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36" w:name="_Toc106888229"/>
      <w:r>
        <w:rPr>
          <w:rStyle w:val="CharSectno"/>
        </w:rPr>
        <w:t>19</w:t>
      </w:r>
      <w:r>
        <w:t>.</w:t>
      </w:r>
      <w:r>
        <w:tab/>
        <w:t>Examination answers to be in English</w:t>
      </w:r>
      <w:bookmarkEnd w:id="36"/>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37" w:name="_Toc106888230"/>
      <w:r>
        <w:rPr>
          <w:rStyle w:val="CharSectno"/>
        </w:rPr>
        <w:lastRenderedPageBreak/>
        <w:t>20</w:t>
      </w:r>
      <w:r>
        <w:t>.</w:t>
      </w:r>
      <w:r>
        <w:tab/>
        <w:t>Consumption of food and drink</w:t>
      </w:r>
      <w:bookmarkEnd w:id="3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38" w:name="_Toc106888231"/>
      <w:r>
        <w:rPr>
          <w:rStyle w:val="CharSectno"/>
        </w:rPr>
        <w:t>21</w:t>
      </w:r>
      <w:r>
        <w:t>.</w:t>
      </w:r>
      <w:r>
        <w:tab/>
        <w:t>Communicating with other candidates etc.</w:t>
      </w:r>
      <w:bookmarkEnd w:id="38"/>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39" w:name="_Toc106888232"/>
      <w:r>
        <w:rPr>
          <w:rStyle w:val="CharSectno"/>
        </w:rPr>
        <w:t>22</w:t>
      </w:r>
      <w:r>
        <w:t>.</w:t>
      </w:r>
      <w:r>
        <w:tab/>
        <w:t>Examination materials not to be taken from examination centre</w:t>
      </w:r>
      <w:bookmarkEnd w:id="39"/>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40" w:name="_Toc106888233"/>
      <w:r>
        <w:rPr>
          <w:rStyle w:val="CharSectno"/>
        </w:rPr>
        <w:t>23</w:t>
      </w:r>
      <w:r>
        <w:t>.</w:t>
      </w:r>
      <w:r>
        <w:tab/>
        <w:t>Leaving examination centre during an examination</w:t>
      </w:r>
      <w:bookmarkEnd w:id="40"/>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41" w:name="_Toc106888234"/>
      <w:r>
        <w:rPr>
          <w:rStyle w:val="CharSectno"/>
        </w:rPr>
        <w:lastRenderedPageBreak/>
        <w:t>24</w:t>
      </w:r>
      <w:r>
        <w:t>.</w:t>
      </w:r>
      <w:r>
        <w:tab/>
        <w:t>Practical examinations</w:t>
      </w:r>
      <w:bookmarkEnd w:id="41"/>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42" w:name="_Toc106888235"/>
      <w:r>
        <w:rPr>
          <w:rStyle w:val="CharSectno"/>
        </w:rPr>
        <w:t>25</w:t>
      </w:r>
      <w:r>
        <w:t>.</w:t>
      </w:r>
      <w:r>
        <w:tab/>
        <w:t>Disabled etc. candidates, special arrangements etc. for</w:t>
      </w:r>
      <w:bookmarkEnd w:id="42"/>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lastRenderedPageBreak/>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43" w:name="_Toc106888236"/>
      <w:r>
        <w:rPr>
          <w:rStyle w:val="CharSectno"/>
        </w:rPr>
        <w:t>26</w:t>
      </w:r>
      <w:r>
        <w:t>.</w:t>
      </w:r>
      <w:r>
        <w:tab/>
        <w:t>Fraud, collusion and other misconduct</w:t>
      </w:r>
      <w:bookmarkEnd w:id="43"/>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lastRenderedPageBreak/>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44" w:name="_Toc106888237"/>
      <w:r>
        <w:rPr>
          <w:rStyle w:val="CharSectno"/>
        </w:rPr>
        <w:t>27</w:t>
      </w:r>
      <w:r>
        <w:t>.</w:t>
      </w:r>
      <w:r>
        <w:tab/>
        <w:t>Appeals committee</w:t>
      </w:r>
      <w:bookmarkEnd w:id="44"/>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lastRenderedPageBreak/>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45" w:name="_Toc106888238"/>
      <w:r>
        <w:rPr>
          <w:rStyle w:val="CharSectno"/>
        </w:rPr>
        <w:t>28</w:t>
      </w:r>
      <w:r>
        <w:t>.</w:t>
      </w:r>
      <w:r>
        <w:tab/>
        <w:t>Committee procedures</w:t>
      </w:r>
      <w:bookmarkEnd w:id="45"/>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46" w:name="_Toc106885442"/>
      <w:bookmarkStart w:id="47" w:name="_Toc106885742"/>
      <w:bookmarkStart w:id="48" w:name="_Toc106887902"/>
      <w:bookmarkStart w:id="49" w:name="_Toc106888239"/>
      <w:r>
        <w:rPr>
          <w:rStyle w:val="CharPartNo"/>
        </w:rPr>
        <w:lastRenderedPageBreak/>
        <w:t>Part 5</w:t>
      </w:r>
      <w:r>
        <w:rPr>
          <w:rStyle w:val="CharDivNo"/>
        </w:rPr>
        <w:t> </w:t>
      </w:r>
      <w:r>
        <w:t>—</w:t>
      </w:r>
      <w:r>
        <w:rPr>
          <w:rStyle w:val="CharDivText"/>
        </w:rPr>
        <w:t> </w:t>
      </w:r>
      <w:r>
        <w:rPr>
          <w:rStyle w:val="CharPartText"/>
        </w:rPr>
        <w:t>Procedures for disclosure of relevant information</w:t>
      </w:r>
      <w:bookmarkEnd w:id="46"/>
      <w:bookmarkEnd w:id="47"/>
      <w:bookmarkEnd w:id="48"/>
      <w:bookmarkEnd w:id="49"/>
    </w:p>
    <w:p>
      <w:pPr>
        <w:pStyle w:val="Footnoteheading"/>
      </w:pPr>
      <w:r>
        <w:tab/>
        <w:t>[Heading inserted: SL 2020/233 r. 4.]</w:t>
      </w:r>
    </w:p>
    <w:p>
      <w:pPr>
        <w:pStyle w:val="Heading5"/>
      </w:pPr>
      <w:bookmarkStart w:id="50" w:name="_Toc106888240"/>
      <w:r>
        <w:rPr>
          <w:rStyle w:val="CharSectno"/>
        </w:rPr>
        <w:t>29</w:t>
      </w:r>
      <w:r>
        <w:t>.</w:t>
      </w:r>
      <w:r>
        <w:tab/>
        <w:t>Application of this Part</w:t>
      </w:r>
      <w:bookmarkEnd w:id="50"/>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51" w:name="_Toc106888241"/>
      <w:r>
        <w:rPr>
          <w:rStyle w:val="CharSectno"/>
        </w:rPr>
        <w:t>30</w:t>
      </w:r>
      <w:r>
        <w:t>.</w:t>
      </w:r>
      <w:r>
        <w:tab/>
        <w:t>Terms used</w:t>
      </w:r>
      <w:bookmarkEnd w:id="51"/>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52" w:name="_Toc106888242"/>
      <w:r>
        <w:rPr>
          <w:rStyle w:val="CharSectno"/>
        </w:rPr>
        <w:t>31</w:t>
      </w:r>
      <w:r>
        <w:t>.</w:t>
      </w:r>
      <w:r>
        <w:tab/>
        <w:t>Form of request</w:t>
      </w:r>
      <w:bookmarkEnd w:id="52"/>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lastRenderedPageBreak/>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53" w:name="_Toc106888243"/>
      <w:r>
        <w:rPr>
          <w:rStyle w:val="CharSectno"/>
        </w:rPr>
        <w:t>32</w:t>
      </w:r>
      <w:r>
        <w:t>.</w:t>
      </w:r>
      <w:r>
        <w:tab/>
        <w:t>Committee of Board to assist with non</w:t>
      </w:r>
      <w:r>
        <w:noBreakHyphen/>
        <w:t>government requests</w:t>
      </w:r>
      <w:bookmarkEnd w:id="53"/>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lastRenderedPageBreak/>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54" w:name="_Toc106888244"/>
      <w:r>
        <w:rPr>
          <w:rStyle w:val="CharSectno"/>
        </w:rPr>
        <w:t>33</w:t>
      </w:r>
      <w:r>
        <w:t>.</w:t>
      </w:r>
      <w:r>
        <w:tab/>
        <w:t>Register of requests</w:t>
      </w:r>
      <w:bookmarkEnd w:id="54"/>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lastRenderedPageBreak/>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55" w:name="_Toc106888245"/>
      <w:r>
        <w:rPr>
          <w:rStyle w:val="CharSectno"/>
        </w:rPr>
        <w:lastRenderedPageBreak/>
        <w:t>34</w:t>
      </w:r>
      <w:r>
        <w:t>.</w:t>
      </w:r>
      <w:r>
        <w:tab/>
        <w:t>Refusal of requests</w:t>
      </w:r>
      <w:bookmarkEnd w:id="55"/>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56" w:name="_Toc106888246"/>
      <w:r>
        <w:rPr>
          <w:rStyle w:val="CharSectno"/>
        </w:rPr>
        <w:t>35</w:t>
      </w:r>
      <w:r>
        <w:t>.</w:t>
      </w:r>
      <w:r>
        <w:tab/>
        <w:t>Annual report</w:t>
      </w:r>
      <w:bookmarkEnd w:id="56"/>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102986791"/>
      <w:bookmarkStart w:id="58" w:name="_Toc102988070"/>
      <w:bookmarkStart w:id="59" w:name="_Toc102989215"/>
      <w:bookmarkStart w:id="60" w:name="_Toc102989324"/>
      <w:bookmarkStart w:id="61" w:name="_Toc104889017"/>
      <w:bookmarkStart w:id="62" w:name="_Toc106885750"/>
      <w:bookmarkStart w:id="63" w:name="_Toc106887910"/>
      <w:bookmarkStart w:id="64" w:name="_Toc106888247"/>
      <w:bookmarkStart w:id="65" w:name="_Toc106885450"/>
      <w:r>
        <w:rPr>
          <w:rStyle w:val="CharSchNo"/>
        </w:rPr>
        <w:lastRenderedPageBreak/>
        <w:t>Schedule 1</w:t>
      </w:r>
      <w:r>
        <w:t> — </w:t>
      </w:r>
      <w:r>
        <w:rPr>
          <w:rStyle w:val="CharSchText"/>
        </w:rPr>
        <w:t>Fees and charges for certification, assessment and examination</w:t>
      </w:r>
      <w:bookmarkEnd w:id="57"/>
      <w:bookmarkEnd w:id="58"/>
      <w:bookmarkEnd w:id="59"/>
      <w:bookmarkEnd w:id="60"/>
      <w:bookmarkEnd w:id="61"/>
      <w:bookmarkEnd w:id="62"/>
      <w:bookmarkEnd w:id="63"/>
      <w:bookmarkEnd w:id="64"/>
    </w:p>
    <w:p>
      <w:pPr>
        <w:pStyle w:val="yShoulderClause"/>
      </w:pPr>
      <w:r>
        <w:t>[r. 10]</w:t>
      </w:r>
    </w:p>
    <w:p>
      <w:pPr>
        <w:pStyle w:val="yFootnoteheading"/>
        <w:spacing w:after="60"/>
      </w:pPr>
      <w:r>
        <w:tab/>
        <w:t>[Heading inserted: SL 2022/61 r. 6.]</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 xml:space="preserve">$49.00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r>
              <w:t>$58.00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r>
              <w:tab/>
            </w:r>
          </w:p>
        </w:tc>
        <w:tc>
          <w:tcPr>
            <w:tcW w:w="1985" w:type="dxa"/>
            <w:noWrap/>
            <w:vAlign w:val="bottom"/>
          </w:tcPr>
          <w:p>
            <w:pPr>
              <w:pStyle w:val="yTableNAm"/>
            </w:pPr>
            <w:r>
              <w:t>$50.00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 xml:space="preserve">$114.00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 xml:space="preserve">$27.00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 xml:space="preserve">$58.00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 xml:space="preserve">$114.00 </w:t>
            </w:r>
            <w:r>
              <w:br/>
              <w:t>(for each examination)</w:t>
            </w:r>
          </w:p>
        </w:tc>
      </w:tr>
      <w:tr>
        <w:trPr>
          <w:cantSplit/>
        </w:trPr>
        <w:tc>
          <w:tcPr>
            <w:tcW w:w="708" w:type="dxa"/>
            <w:noWrap/>
          </w:tcPr>
          <w:p>
            <w:pPr>
              <w:pStyle w:val="yTableNAm"/>
            </w:pPr>
            <w:r>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lastRenderedPageBreak/>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 xml:space="preserve">$173.00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 xml:space="preserve">$83.00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 xml:space="preserve">$329.00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 xml:space="preserve">$49.00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 xml:space="preserve">$17.00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 xml:space="preserve">$33.00 </w:t>
            </w:r>
            <w:r>
              <w:br/>
              <w:t>(for each script)</w:t>
            </w:r>
          </w:p>
        </w:tc>
      </w:tr>
    </w:tbl>
    <w:p>
      <w:pPr>
        <w:pStyle w:val="yFootnotesection"/>
      </w:pPr>
      <w:r>
        <w:tab/>
        <w:t>[Schedule 1 inserted: SL 2022/61 r. 6.]</w:t>
      </w:r>
    </w:p>
    <w:bookmarkEnd w:id="65"/>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7" w:name="_Toc106885451"/>
      <w:bookmarkStart w:id="68" w:name="_Toc106885751"/>
      <w:bookmarkStart w:id="69" w:name="_Toc106887911"/>
      <w:bookmarkStart w:id="70" w:name="_Toc106888248"/>
      <w:r>
        <w:lastRenderedPageBreak/>
        <w:t>Notes</w:t>
      </w:r>
      <w:bookmarkEnd w:id="67"/>
      <w:bookmarkEnd w:id="68"/>
      <w:bookmarkEnd w:id="69"/>
      <w:bookmarkEnd w:id="70"/>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p>
    <w:p>
      <w:pPr>
        <w:pStyle w:val="nHeading3"/>
      </w:pPr>
      <w:bookmarkStart w:id="71" w:name="_Toc106888249"/>
      <w:r>
        <w:t>Compilation table</w:t>
      </w:r>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lastRenderedPageBreak/>
              <w:t>School Curriculum and Standards Authority Amendment Regulations 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bottom w:val="single" w:sz="4" w:space="0" w:color="auto"/>
            </w:tcBorders>
            <w:shd w:val="clear" w:color="auto" w:fill="auto"/>
          </w:tcPr>
          <w:p>
            <w:pPr>
              <w:pStyle w:val="nTable"/>
              <w:keepNext/>
              <w:spacing w:after="40"/>
            </w:pPr>
            <w:r>
              <w:t>SL 2022/61 3 Jun 2022</w:t>
            </w:r>
          </w:p>
        </w:tc>
        <w:tc>
          <w:tcPr>
            <w:tcW w:w="2693" w:type="dxa"/>
            <w:tcBorders>
              <w:bottom w:val="single" w:sz="4" w:space="0" w:color="auto"/>
            </w:tcBorders>
            <w:shd w:val="clear" w:color="auto" w:fill="auto"/>
          </w:tcPr>
          <w:p>
            <w:pPr>
              <w:pStyle w:val="nTable"/>
              <w:keepNext/>
              <w:spacing w:after="40"/>
            </w:pPr>
            <w:r>
              <w:t>1 Jul 2022 (see r. 2(b))</w:t>
            </w:r>
          </w:p>
        </w:tc>
      </w:tr>
    </w:tbl>
    <w:p>
      <w:pPr>
        <w:pStyle w:val="nHeading3"/>
      </w:pPr>
      <w:bookmarkStart w:id="72" w:name="_Toc106888250"/>
      <w:r>
        <w:t>Other notes</w:t>
      </w:r>
      <w:bookmarkEnd w:id="72"/>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4" w:name="_Toc106885455"/>
      <w:bookmarkStart w:id="75" w:name="_Toc106885754"/>
      <w:bookmarkStart w:id="76" w:name="_Toc106887914"/>
      <w:bookmarkStart w:id="77" w:name="_Toc106888251"/>
      <w:r>
        <w:rPr>
          <w:sz w:val="28"/>
        </w:rPr>
        <w:lastRenderedPageBreak/>
        <w:t>Defined terms</w:t>
      </w:r>
      <w:bookmarkEnd w:id="74"/>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applicant</w:t>
      </w:r>
      <w:r>
        <w:tab/>
        <w:t>30</w:t>
      </w:r>
    </w:p>
    <w:p>
      <w:pPr>
        <w:pStyle w:val="DefinedTerms"/>
      </w:pPr>
      <w:r>
        <w:t>Australian resident</w:t>
      </w:r>
      <w:r>
        <w:tab/>
        <w:t>3</w:t>
      </w:r>
    </w:p>
    <w:p>
      <w:pPr>
        <w:pStyle w:val="DefinedTerms"/>
      </w:pPr>
      <w:r>
        <w:t>candidate</w:t>
      </w:r>
      <w:r>
        <w:tab/>
        <w:t>13</w:t>
      </w:r>
    </w:p>
    <w:p>
      <w:pPr>
        <w:pStyle w:val="DefinedTerms"/>
      </w:pPr>
      <w:r>
        <w:t>committee</w:t>
      </w:r>
      <w:r>
        <w:tab/>
        <w:t>32(1)</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human research ethics committee</w:t>
      </w:r>
      <w:r>
        <w:tab/>
        <w:t>30</w:t>
      </w:r>
    </w:p>
    <w:p>
      <w:pPr>
        <w:pStyle w:val="DefinedTerms"/>
      </w:pPr>
      <w:r>
        <w:t>misconduct</w:t>
      </w:r>
      <w:r>
        <w:tab/>
        <w:t>26(1)</w:t>
      </w:r>
    </w:p>
    <w:p>
      <w:pPr>
        <w:pStyle w:val="DefinedTerms"/>
      </w:pPr>
      <w:r>
        <w:t>National Ethical Statement</w:t>
      </w:r>
      <w:r>
        <w:tab/>
        <w:t>30</w:t>
      </w:r>
    </w:p>
    <w:p>
      <w:pPr>
        <w:pStyle w:val="DefinedTerms"/>
      </w:pPr>
      <w:r>
        <w:t>non</w:t>
      </w:r>
      <w:r>
        <w:noBreakHyphen/>
        <w:t>government request</w:t>
      </w:r>
      <w:r>
        <w:tab/>
        <w:t>32(1)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request</w:t>
      </w:r>
      <w:r>
        <w:tab/>
        <w:t>30</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34914"/>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71CD5-38E0-4563-A3DA-E17728D3D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5859</Words>
  <Characters>29357</Characters>
  <Application>Microsoft Office Word</Application>
  <DocSecurity>0</DocSecurity>
  <Lines>947</Lines>
  <Paragraphs>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2005 - 02-h0-00</dc:title>
  <dc:subject/>
  <dc:creator/>
  <cp:keywords/>
  <dc:description/>
  <cp:lastModifiedBy>Master Repository Process</cp:lastModifiedBy>
  <cp:revision>4</cp:revision>
  <cp:lastPrinted>2013-03-13T06:31:00Z</cp:lastPrinted>
  <dcterms:created xsi:type="dcterms:W3CDTF">2022-06-29T07:51:00Z</dcterms:created>
  <dcterms:modified xsi:type="dcterms:W3CDTF">2022-06-29T07:51:00Z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AsAtDate">
    <vt:lpwstr>01 Jul 2022</vt:lpwstr>
  </property>
  <property fmtid="{D5CDD505-2E9C-101B-9397-08002B2CF9AE}" pid="8" name="Suffix">
    <vt:lpwstr>02-h0-00</vt:lpwstr>
  </property>
  <property fmtid="{D5CDD505-2E9C-101B-9397-08002B2CF9AE}" pid="9" name="CommencementDate">
    <vt:lpwstr>20220701</vt:lpwstr>
  </property>
</Properties>
</file>