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_Toc107298210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_Toc107298211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_Toc107298212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_Toc107298213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_Toc107298214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_Toc107298215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_Toc107298216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_Toc107298217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_Toc107298218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_Toc107298219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_Toc107298220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_Toc107298221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_Toc107298222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_Toc107298223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_Toc107298224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_Toc107298225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_Toc107298226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_Toc107298227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_Toc107298228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_Toc107298229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_Toc107298230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_Toc107298231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_Toc107298232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_Toc107298233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_Toc107298234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_Toc107298235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28.</w:t>
      </w:r>
      <w:r>
        <w:tab/>
        <w:t>Limitation period for offences</w:t>
      </w:r>
      <w:r>
        <w:tab/>
      </w:r>
      <w:r>
        <w:fldChar w:fldCharType="begin"/>
      </w:r>
      <w:r>
        <w:instrText xml:space="preserve"> PAGEREF _Toc107298236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_Toc107298237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_Toc107298238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_Toc107298239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_Toc107298240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_Toc107298241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_Toc107298242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_Toc107298243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_Toc107298244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_Toc107298245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_Toc107298246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_Toc107298247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_Toc107298248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_Toc107298249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_Toc107298250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_Toc107298251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_Toc107298252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_Toc107298253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_Toc107298254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_Toc107298255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_Toc107298256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_Toc107298257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_Toc107298258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_Toc107298259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_Toc107298260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_Toc107298261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_Toc107298262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_Toc107298264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_Toc107298265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107298210"/>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0729821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5" w:name="_Toc107298212"/>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lastRenderedPageBreak/>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6" w:name="_Toc107298213"/>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lastRenderedPageBreak/>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107298214"/>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107298215"/>
      <w:r>
        <w:rPr>
          <w:rStyle w:val="CharSectno"/>
        </w:rPr>
        <w:lastRenderedPageBreak/>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107298216"/>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107298217"/>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1" w:name="_Toc107298218"/>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lastRenderedPageBreak/>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12" w:name="_Toc107298219"/>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lastRenderedPageBreak/>
        <w:t>[</w:t>
      </w:r>
      <w:r>
        <w:rPr>
          <w:b/>
          <w:bCs/>
        </w:rPr>
        <w:t>11.</w:t>
      </w:r>
      <w:r>
        <w:tab/>
        <w:t>Deleted: No. 55 of 2004 s. 278.]</w:t>
      </w:r>
    </w:p>
    <w:p>
      <w:pPr>
        <w:pStyle w:val="Heading5"/>
        <w:rPr>
          <w:snapToGrid w:val="0"/>
        </w:rPr>
      </w:pPr>
      <w:bookmarkStart w:id="13" w:name="_Toc107298220"/>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14" w:name="_Toc107298221"/>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15" w:name="_Toc107298222"/>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lastRenderedPageBreak/>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107298223"/>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lastRenderedPageBreak/>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17" w:name="_Toc107298224"/>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lastRenderedPageBreak/>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107298225"/>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19" w:name="_Toc107298226"/>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lastRenderedPageBreak/>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20" w:name="_Toc107298227"/>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21" w:name="_Toc107298228"/>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lastRenderedPageBreak/>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22" w:name="_Toc107298229"/>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lastRenderedPageBreak/>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23" w:name="_Toc107298230"/>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 xml:space="preserve">desires to object to the grant or renewal of a licence he shall lodge with the Commissioner and serve on the applicant or his authorised representative a notice </w:t>
      </w:r>
      <w:r>
        <w:rPr>
          <w:snapToGrid w:val="0"/>
        </w:rPr>
        <w:lastRenderedPageBreak/>
        <w:t>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24" w:name="_Toc107298231"/>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25" w:name="_Toc107298232"/>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lastRenderedPageBreak/>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26" w:name="_Toc107298233"/>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 or</w:t>
      </w:r>
    </w:p>
    <w:p>
      <w:pPr>
        <w:pStyle w:val="Indenta"/>
      </w:pPr>
      <w:r>
        <w:tab/>
        <w:t>(c)</w:t>
      </w:r>
      <w:r>
        <w:tab/>
        <w:t>has been negligent or incompetent in connection with carrying on the business of an employment agent; or</w:t>
      </w:r>
    </w:p>
    <w:p>
      <w:pPr>
        <w:pStyle w:val="Indenta"/>
      </w:pPr>
      <w:r>
        <w:lastRenderedPageBreak/>
        <w:tab/>
        <w:t>(d)</w:t>
      </w:r>
      <w:r>
        <w:tab/>
        <w:t>has failed to ensure the proper management and supervision of a person carrying on the business of an employment agent on their behalf.</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w:t>
      </w:r>
      <w:r>
        <w:t>they are not eligible, for the period of that disqualification, to apply for or hold</w:t>
      </w:r>
      <w:r>
        <w:rPr>
          <w:snapToGrid w:val="0"/>
        </w:rPr>
        <w:t xml:space="preserve"> any further or other licence under this Act.</w:t>
      </w:r>
    </w:p>
    <w:p>
      <w:pPr>
        <w:pStyle w:val="Footnotesection"/>
      </w:pPr>
      <w:r>
        <w:tab/>
        <w:t>[Section 25 amended: No. 55 of 2004 s. 285; No. 8 of 2009 s. 51(2); No. 7 of 2022 s. 23.]</w:t>
      </w:r>
    </w:p>
    <w:p>
      <w:pPr>
        <w:pStyle w:val="Heading5"/>
        <w:rPr>
          <w:snapToGrid w:val="0"/>
        </w:rPr>
      </w:pPr>
      <w:bookmarkStart w:id="27" w:name="_Toc107298234"/>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lastRenderedPageBreak/>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28" w:name="_Toc107298235"/>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29" w:name="_Toc107298236"/>
      <w:r>
        <w:rPr>
          <w:rStyle w:val="CharSectno"/>
        </w:rPr>
        <w:lastRenderedPageBreak/>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30" w:name="_Toc107298237"/>
      <w:r>
        <w:rPr>
          <w:rStyle w:val="CharSectno"/>
        </w:rPr>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keepLines/>
        <w:rPr>
          <w:snapToGrid w:val="0"/>
        </w:rPr>
      </w:pPr>
      <w:r>
        <w:rPr>
          <w:snapToGrid w:val="0"/>
        </w:rPr>
        <w:lastRenderedPageBreak/>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107298238"/>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lastRenderedPageBreak/>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32" w:name="_Toc107298239"/>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keepNext/>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w:t>
      </w:r>
      <w:r>
        <w:rPr>
          <w:snapToGrid w:val="0"/>
        </w:rPr>
        <w:lastRenderedPageBreak/>
        <w:t>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33" w:name="_Toc107298240"/>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keepNext/>
        <w:spacing w:before="120"/>
        <w:rPr>
          <w:snapToGrid w:val="0"/>
        </w:rPr>
      </w:pPr>
      <w:r>
        <w:rPr>
          <w:snapToGrid w:val="0"/>
        </w:rPr>
        <w:tab/>
      </w:r>
      <w:r>
        <w:rPr>
          <w:snapToGrid w:val="0"/>
        </w:rPr>
        <w:tab/>
        <w:t xml:space="preserve">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w:t>
      </w:r>
      <w:r>
        <w:rPr>
          <w:snapToGrid w:val="0"/>
        </w:rPr>
        <w:lastRenderedPageBreak/>
        <w:t>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107298241"/>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107298242"/>
      <w:r>
        <w:rPr>
          <w:rStyle w:val="CharSectno"/>
        </w:rPr>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107298243"/>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107298244"/>
      <w:r>
        <w:rPr>
          <w:rStyle w:val="CharSectno"/>
        </w:rPr>
        <w:lastRenderedPageBreak/>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107298245"/>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lastRenderedPageBreak/>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9" w:name="_Toc107298246"/>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lastRenderedPageBreak/>
        <w:tab/>
        <w:t>(c)</w:t>
      </w:r>
      <w:r>
        <w:rPr>
          <w:snapToGrid w:val="0"/>
        </w:rPr>
        <w:tab/>
        <w:t>if different rates are to be chargeable for different classes of person, place, employment, or other circumstance, the rates applicable to each; and</w:t>
      </w:r>
    </w:p>
    <w:p>
      <w:pPr>
        <w:pStyle w:val="Indenta"/>
        <w:keepNext/>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40" w:name="_Toc107298247"/>
      <w:r>
        <w:rPr>
          <w:rStyle w:val="CharSectno"/>
        </w:rPr>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107298248"/>
      <w:r>
        <w:rPr>
          <w:rStyle w:val="CharSectno"/>
        </w:rPr>
        <w:t>40</w:t>
      </w:r>
      <w:r>
        <w:rPr>
          <w:snapToGrid w:val="0"/>
        </w:rPr>
        <w:t>.</w:t>
      </w:r>
      <w:r>
        <w:rPr>
          <w:snapToGrid w:val="0"/>
        </w:rPr>
        <w:tab/>
        <w:t>Statements of account</w:t>
      </w:r>
      <w:bookmarkEnd w:id="41"/>
      <w:r>
        <w:rPr>
          <w:snapToGrid w:val="0"/>
        </w:rPr>
        <w:t xml:space="preserve"> </w:t>
      </w:r>
    </w:p>
    <w:p>
      <w:pPr>
        <w:pStyle w:val="Subsection"/>
        <w:keepNext/>
        <w:spacing w:before="180"/>
        <w:rPr>
          <w:snapToGrid w:val="0"/>
        </w:rPr>
      </w:pPr>
      <w:r>
        <w:rPr>
          <w:snapToGrid w:val="0"/>
        </w:rPr>
        <w:tab/>
      </w:r>
      <w:r>
        <w:rPr>
          <w:snapToGrid w:val="0"/>
        </w:rPr>
        <w:tab/>
        <w:t xml:space="preserve">Where an employment agent acts for an employee, with the employees written consent, in relation to an engagement which requires the employer to pay to the employment agent the whole </w:t>
      </w:r>
      <w:r>
        <w:rPr>
          <w:snapToGrid w:val="0"/>
        </w:rPr>
        <w:lastRenderedPageBreak/>
        <w:t>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42" w:name="_Toc107298249"/>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keepNext/>
        <w:rPr>
          <w:snapToGrid w:val="0"/>
        </w:rPr>
      </w:pPr>
      <w:r>
        <w:rPr>
          <w:snapToGrid w:val="0"/>
        </w:rPr>
        <w:lastRenderedPageBreak/>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107298250"/>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lastRenderedPageBreak/>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keepLines/>
        <w:rPr>
          <w:snapToGrid w:val="0"/>
        </w:rPr>
      </w:pPr>
      <w:r>
        <w:rPr>
          <w:snapToGrid w:val="0"/>
        </w:rPr>
        <w:lastRenderedPageBreak/>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44" w:name="_Toc107298251"/>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45" w:name="_Toc107298252"/>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107298253"/>
      <w:r>
        <w:rPr>
          <w:rStyle w:val="CharSectno"/>
        </w:rPr>
        <w:lastRenderedPageBreak/>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47" w:name="_Toc107298254"/>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w:t>
      </w:r>
      <w:r>
        <w:rPr>
          <w:i/>
          <w:iCs/>
        </w:rPr>
        <w:lastRenderedPageBreak/>
        <w:t>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48" w:name="_Toc107298255"/>
      <w:r>
        <w:rPr>
          <w:rStyle w:val="CharSectno"/>
        </w:rPr>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keepNext/>
        <w:rPr>
          <w:snapToGrid w:val="0"/>
        </w:rPr>
      </w:pPr>
      <w:r>
        <w:rPr>
          <w:snapToGrid w:val="0"/>
        </w:rPr>
        <w:lastRenderedPageBreak/>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49" w:name="_Toc107298256"/>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lastRenderedPageBreak/>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50" w:name="_Toc107298257"/>
      <w:r>
        <w:rPr>
          <w:rStyle w:val="CharSectno"/>
        </w:rPr>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51" w:name="_Toc107298258"/>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 xml:space="preserve">No liability shall attach to the Commissioner, or any other person for any act or omission by him in good faith and in the exercise or purported exercise of his powers or functions, or in </w:t>
      </w:r>
      <w:r>
        <w:rPr>
          <w:snapToGrid w:val="0"/>
        </w:rPr>
        <w:lastRenderedPageBreak/>
        <w:t>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52" w:name="_Toc107298259"/>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53" w:name="_Toc107298260"/>
      <w:r>
        <w:rPr>
          <w:rStyle w:val="CharSectno"/>
        </w:rPr>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107298261"/>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107298262"/>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lastRenderedPageBreak/>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56" w:name="_Toc106006712"/>
      <w:bookmarkStart w:id="57" w:name="_Toc106006790"/>
      <w:bookmarkStart w:id="58" w:name="_Toc106096623"/>
      <w:bookmarkStart w:id="59" w:name="_Toc107153454"/>
      <w:bookmarkStart w:id="60" w:name="_Toc107298263"/>
      <w:r>
        <w:lastRenderedPageBreak/>
        <w:t>Notes</w:t>
      </w:r>
      <w:bookmarkEnd w:id="56"/>
      <w:bookmarkEnd w:id="57"/>
      <w:bookmarkEnd w:id="58"/>
      <w:bookmarkEnd w:id="59"/>
      <w:bookmarkEnd w:id="60"/>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 </w:t>
      </w:r>
    </w:p>
    <w:p>
      <w:pPr>
        <w:pStyle w:val="nHeading3"/>
      </w:pPr>
      <w:bookmarkStart w:id="61" w:name="_Toc107298264"/>
      <w:r>
        <w:t>Compilation table</w:t>
      </w:r>
      <w:bookmarkEnd w:id="61"/>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43"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7"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7"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7"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7"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1</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7"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7" w:type="dxa"/>
            <w:gridSpan w:val="2"/>
            <w:tcBorders>
              <w:top w:val="nil"/>
              <w:bottom w:val="nil"/>
            </w:tcBorders>
          </w:tcPr>
          <w:p>
            <w:pPr>
              <w:pStyle w:val="nTable"/>
              <w:spacing w:after="40"/>
            </w:pPr>
            <w:r>
              <w:t>15 Dec 1997 (see s. 2(1))</w:t>
            </w:r>
          </w:p>
        </w:tc>
      </w:tr>
      <w:tr>
        <w:trPr>
          <w:cantSplit/>
        </w:trPr>
        <w:tc>
          <w:tcPr>
            <w:tcW w:w="7103"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7"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3</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7"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7"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lastRenderedPageBreak/>
              <w:t>Machinery of Government (Miscellaneous Amendments) Act 2006</w:t>
            </w:r>
            <w:r>
              <w:rPr>
                <w:bCs/>
                <w:i/>
                <w:iCs/>
                <w:snapToGrid w:val="0"/>
              </w:rPr>
              <w:t xml:space="preserve"> </w:t>
            </w:r>
            <w:r>
              <w:rPr>
                <w:bCs/>
                <w:snapToGrid w:val="0"/>
              </w:rPr>
              <w:t>Pt. 4 Div. 11</w:t>
            </w:r>
            <w:r>
              <w:rPr>
                <w:bCs/>
                <w:snapToGrid w:val="0"/>
                <w:vertAlign w:val="superscript"/>
              </w:rPr>
              <w:t xml:space="preserve"> 4</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7"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103"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7"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7"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7"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7"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103"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nil"/>
            </w:tcBorders>
            <w:shd w:val="clear" w:color="auto" w:fill="auto"/>
          </w:tcPr>
          <w:p>
            <w:pPr>
              <w:pStyle w:val="nTable"/>
              <w:spacing w:after="40"/>
              <w:rPr>
                <w:snapToGrid w:val="0"/>
              </w:rPr>
            </w:pPr>
            <w:r>
              <w:rPr>
                <w:snapToGrid w:val="0"/>
              </w:rPr>
              <w:t>34 of 2020</w:t>
            </w:r>
          </w:p>
        </w:tc>
        <w:tc>
          <w:tcPr>
            <w:tcW w:w="1134" w:type="dxa"/>
            <w:tcBorders>
              <w:top w:val="nil"/>
              <w:bottom w:val="nil"/>
            </w:tcBorders>
            <w:shd w:val="clear" w:color="auto" w:fill="auto"/>
          </w:tcPr>
          <w:p>
            <w:pPr>
              <w:pStyle w:val="nTable"/>
              <w:spacing w:after="40"/>
              <w:rPr>
                <w:snapToGrid w:val="0"/>
              </w:rPr>
            </w:pPr>
            <w:r>
              <w:rPr>
                <w:snapToGrid w:val="0"/>
              </w:rPr>
              <w:t>11 Sep 2020</w:t>
            </w:r>
          </w:p>
        </w:tc>
        <w:tc>
          <w:tcPr>
            <w:tcW w:w="2567" w:type="dxa"/>
            <w:gridSpan w:val="2"/>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single" w:sz="8" w:space="0" w:color="auto"/>
            </w:tcBorders>
            <w:shd w:val="clear" w:color="auto" w:fill="auto"/>
          </w:tcPr>
          <w:p>
            <w:pPr>
              <w:pStyle w:val="nTable"/>
              <w:spacing w:after="40"/>
              <w:rPr>
                <w:i/>
              </w:rPr>
            </w:pPr>
            <w:r>
              <w:rPr>
                <w:i/>
              </w:rPr>
              <w:t>Mutual Recognition (Western Australia) Amendment Act 2022</w:t>
            </w:r>
            <w:r>
              <w:t xml:space="preserve"> Pt. 3 Div. 5</w:t>
            </w:r>
          </w:p>
        </w:tc>
        <w:tc>
          <w:tcPr>
            <w:tcW w:w="1134" w:type="dxa"/>
            <w:tcBorders>
              <w:top w:val="nil"/>
              <w:bottom w:val="single" w:sz="8" w:space="0" w:color="auto"/>
            </w:tcBorders>
            <w:shd w:val="clear" w:color="auto" w:fill="auto"/>
          </w:tcPr>
          <w:p>
            <w:pPr>
              <w:pStyle w:val="nTable"/>
              <w:spacing w:after="40"/>
              <w:rPr>
                <w:snapToGrid w:val="0"/>
              </w:rPr>
            </w:pPr>
            <w:r>
              <w:t>7 of 2022</w:t>
            </w:r>
          </w:p>
        </w:tc>
        <w:tc>
          <w:tcPr>
            <w:tcW w:w="1134" w:type="dxa"/>
            <w:tcBorders>
              <w:top w:val="nil"/>
              <w:bottom w:val="single" w:sz="8" w:space="0" w:color="auto"/>
            </w:tcBorders>
            <w:shd w:val="clear" w:color="auto" w:fill="auto"/>
          </w:tcPr>
          <w:p>
            <w:pPr>
              <w:pStyle w:val="nTable"/>
              <w:spacing w:after="40"/>
              <w:rPr>
                <w:snapToGrid w:val="0"/>
              </w:rPr>
            </w:pPr>
            <w:r>
              <w:t>29 Mar 2022</w:t>
            </w:r>
          </w:p>
        </w:tc>
        <w:tc>
          <w:tcPr>
            <w:tcW w:w="2567" w:type="dxa"/>
            <w:gridSpan w:val="2"/>
            <w:tcBorders>
              <w:top w:val="nil"/>
              <w:bottom w:val="single" w:sz="8" w:space="0" w:color="auto"/>
            </w:tcBorders>
            <w:shd w:val="clear" w:color="auto" w:fill="auto"/>
          </w:tcPr>
          <w:p>
            <w:pPr>
              <w:pStyle w:val="nTable"/>
              <w:spacing w:after="40"/>
              <w:rPr>
                <w:snapToGrid w:val="0"/>
              </w:rPr>
            </w:pPr>
            <w:r>
              <w:t>1 Jul 2022 (see s. 2(b) and SL 2022/80 cl. 2)</w:t>
            </w:r>
          </w:p>
        </w:tc>
      </w:tr>
    </w:tbl>
    <w:p>
      <w:pPr>
        <w:pStyle w:val="nHeading3"/>
      </w:pPr>
      <w:bookmarkStart w:id="62" w:name="_Toc107298265"/>
      <w:r>
        <w:t>Other notes</w:t>
      </w:r>
      <w:bookmarkEnd w:id="62"/>
    </w:p>
    <w:p>
      <w:pPr>
        <w:pStyle w:val="nNote"/>
      </w:pPr>
      <w:r>
        <w:rPr>
          <w:snapToGrid w:val="0"/>
          <w:vertAlign w:val="superscript"/>
        </w:rPr>
        <w:t>1</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lastRenderedPageBreak/>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64" w:name="_Toc106006716"/>
      <w:bookmarkStart w:id="65" w:name="_Toc106006794"/>
      <w:bookmarkStart w:id="66" w:name="_Toc106096627"/>
      <w:bookmarkStart w:id="67" w:name="_Toc107153457"/>
      <w:bookmarkStart w:id="68" w:name="_Toc107298266"/>
      <w:r>
        <w:rPr>
          <w:sz w:val="28"/>
        </w:rPr>
        <w:lastRenderedPageBreak/>
        <w:t>Defined terms</w:t>
      </w:r>
      <w:bookmarkEnd w:id="64"/>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10270</Words>
  <Characters>48067</Characters>
  <Application>Microsoft Office Word</Application>
  <DocSecurity>0</DocSecurity>
  <Lines>1335</Lines>
  <Paragraphs>711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1976 - 03-d0-00</dc:title>
  <dc:subject/>
  <dc:creator/>
  <cp:keywords/>
  <dc:description/>
  <cp:lastModifiedBy>Master Repository Process</cp:lastModifiedBy>
  <cp:revision>4</cp:revision>
  <cp:lastPrinted>2016-02-16T03:41:00Z</cp:lastPrinted>
  <dcterms:created xsi:type="dcterms:W3CDTF">2022-06-29T08:14:00Z</dcterms:created>
  <dcterms:modified xsi:type="dcterms:W3CDTF">2022-06-29T08:14:00Z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03-d0-00</vt:lpwstr>
  </property>
  <property fmtid="{D5CDD505-2E9C-101B-9397-08002B2CF9AE}" pid="9" name="CommencementDate">
    <vt:lpwstr>20220701</vt:lpwstr>
  </property>
</Properties>
</file>