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_Toc107232136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_Toc107232137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_Toc107232138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_Toc107232140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_Toc107232141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_Toc107232143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_Toc107232144 \h </w:instrText>
      </w:r>
      <w:r>
        <w:fldChar w:fldCharType="separate"/>
      </w:r>
      <w:r>
        <w:t>5</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_Toc107232145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_Toc107232146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_Toc107232148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_Toc107232149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_Toc107232150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_Toc107232151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_Toc107232152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_Toc107232155 \h </w:instrText>
      </w:r>
      <w:r>
        <w:fldChar w:fldCharType="separate"/>
      </w:r>
      <w:r>
        <w:t>11</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_Toc107232156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_Toc107232158 \h </w:instrText>
      </w:r>
      <w:r>
        <w:fldChar w:fldCharType="separate"/>
      </w:r>
      <w:r>
        <w:t>19</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_Toc107232159 \h </w:instrText>
      </w:r>
      <w:r>
        <w:fldChar w:fldCharType="separate"/>
      </w:r>
      <w:r>
        <w:t>19</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_Toc107232160 \h </w:instrText>
      </w:r>
      <w:r>
        <w:fldChar w:fldCharType="separate"/>
      </w:r>
      <w:r>
        <w:t>20</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_Toc107232161 \h </w:instrText>
      </w:r>
      <w:r>
        <w:fldChar w:fldCharType="separate"/>
      </w:r>
      <w:r>
        <w:t>21</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_Toc107232162 \h </w:instrText>
      </w:r>
      <w:r>
        <w:fldChar w:fldCharType="separate"/>
      </w:r>
      <w:r>
        <w:t>21</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_Toc107232163 \h </w:instrText>
      </w:r>
      <w:r>
        <w:fldChar w:fldCharType="separate"/>
      </w:r>
      <w:r>
        <w:t>23</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_Toc107232164 \h </w:instrText>
      </w:r>
      <w:r>
        <w:fldChar w:fldCharType="separate"/>
      </w:r>
      <w:r>
        <w:t>25</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_Toc107232165 \h </w:instrText>
      </w:r>
      <w:r>
        <w:fldChar w:fldCharType="separate"/>
      </w:r>
      <w:r>
        <w:t>25</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_Toc107232166 \h </w:instrText>
      </w:r>
      <w:r>
        <w:fldChar w:fldCharType="separate"/>
      </w:r>
      <w:r>
        <w:t>26</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_Toc107232167 \h </w:instrText>
      </w:r>
      <w:r>
        <w:fldChar w:fldCharType="separate"/>
      </w:r>
      <w:r>
        <w:t>26</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_Toc107232168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_Toc107232169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_Toc107232171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_Toc107232172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_Toc107232173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_Toc107232174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_Toc107232175 \h </w:instrText>
      </w:r>
      <w:r>
        <w:fldChar w:fldCharType="separate"/>
      </w:r>
      <w:r>
        <w:t>34</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_Toc107232176 \h </w:instrText>
      </w:r>
      <w:r>
        <w:fldChar w:fldCharType="separate"/>
      </w:r>
      <w:r>
        <w:t>35</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_Toc107232177 \h </w:instrText>
      </w:r>
      <w:r>
        <w:fldChar w:fldCharType="separate"/>
      </w:r>
      <w:r>
        <w:t>37</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_Toc107232178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_Toc107232180 \h </w:instrText>
      </w:r>
      <w:r>
        <w:fldChar w:fldCharType="separate"/>
      </w:r>
      <w:r>
        <w:t>39</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_Toc107232181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_Toc107232182 \h </w:instrText>
      </w:r>
      <w:r>
        <w:fldChar w:fldCharType="separate"/>
      </w:r>
      <w:r>
        <w:t>40</w:t>
      </w:r>
      <w:r>
        <w:fldChar w:fldCharType="end"/>
      </w:r>
    </w:p>
    <w:p>
      <w:pPr>
        <w:pStyle w:val="TOC8"/>
        <w:rPr>
          <w:rFonts w:asciiTheme="minorHAnsi" w:eastAsiaTheme="minorEastAsia" w:hAnsiTheme="minorHAnsi" w:cstheme="minorBidi"/>
          <w:szCs w:val="22"/>
        </w:rPr>
      </w:pPr>
      <w:r>
        <w:lastRenderedPageBreak/>
        <w:t>40.</w:t>
      </w:r>
      <w:r>
        <w:tab/>
        <w:t>Classification of land</w:t>
      </w:r>
      <w:r>
        <w:tab/>
      </w:r>
      <w:r>
        <w:fldChar w:fldCharType="begin"/>
      </w:r>
      <w:r>
        <w:instrText xml:space="preserve"> PAGEREF _Toc107232183 \h </w:instrText>
      </w:r>
      <w:r>
        <w:fldChar w:fldCharType="separate"/>
      </w:r>
      <w:r>
        <w:t>40</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_Toc107232184 \h </w:instrText>
      </w:r>
      <w:r>
        <w:fldChar w:fldCharType="separate"/>
      </w:r>
      <w:r>
        <w:t>42</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_Toc107232185 \h </w:instrText>
      </w:r>
      <w:r>
        <w:fldChar w:fldCharType="separate"/>
      </w:r>
      <w:r>
        <w:t>43</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_Toc107232186 \h </w:instrText>
      </w:r>
      <w:r>
        <w:fldChar w:fldCharType="separate"/>
      </w:r>
      <w:r>
        <w:t>44</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_Toc107232187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_Toc107232189 \h </w:instrText>
      </w:r>
      <w:r>
        <w:fldChar w:fldCharType="separate"/>
      </w:r>
      <w:r>
        <w:t>45</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_Toc107232190 \h </w:instrText>
      </w:r>
      <w:r>
        <w:fldChar w:fldCharType="separate"/>
      </w:r>
      <w:r>
        <w:t>46</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_Toc107232191 \h </w:instrText>
      </w:r>
      <w:r>
        <w:fldChar w:fldCharType="separate"/>
      </w:r>
      <w:r>
        <w:t>47</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_Toc107232192 \h </w:instrText>
      </w:r>
      <w:r>
        <w:fldChar w:fldCharType="separate"/>
      </w:r>
      <w:r>
        <w:t>48</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_Toc107232193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_Toc107232195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_Toc107232197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_Toc107232200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_Toc107232203 \h </w:instrText>
      </w:r>
      <w:r>
        <w:fldChar w:fldCharType="separate"/>
      </w:r>
      <w:r>
        <w:t>51</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_Toc107232204 \h </w:instrText>
      </w:r>
      <w:r>
        <w:fldChar w:fldCharType="separate"/>
      </w:r>
      <w:r>
        <w:t>51</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_Toc107232205 \h </w:instrText>
      </w:r>
      <w:r>
        <w:fldChar w:fldCharType="separate"/>
      </w:r>
      <w:r>
        <w:t>51</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_Toc107232206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_Toc107232208 \h </w:instrText>
      </w:r>
      <w:r>
        <w:fldChar w:fldCharType="separate"/>
      </w:r>
      <w:r>
        <w:t>52</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_Toc107232209 \h </w:instrText>
      </w:r>
      <w:r>
        <w:fldChar w:fldCharType="separate"/>
      </w:r>
      <w:r>
        <w:t>52</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_Toc107232210 \h </w:instrText>
      </w:r>
      <w:r>
        <w:fldChar w:fldCharType="separate"/>
      </w:r>
      <w:r>
        <w:t>53</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_Toc107232211 \h </w:instrText>
      </w:r>
      <w:r>
        <w:fldChar w:fldCharType="separate"/>
      </w:r>
      <w:r>
        <w:t>53</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_Toc107232212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_Toc107232214 \h </w:instrText>
      </w:r>
      <w:r>
        <w:fldChar w:fldCharType="separate"/>
      </w:r>
      <w:r>
        <w:t>54</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_Toc107232215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2022/23 and subsequent years</w:t>
      </w:r>
      <w:r>
        <w:tab/>
      </w:r>
      <w:r>
        <w:fldChar w:fldCharType="begin"/>
      </w:r>
      <w:r>
        <w:instrText xml:space="preserve"> PAGEREF _Toc107232218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_Toc107232219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_Toc107232220 \h </w:instrText>
      </w:r>
      <w:r>
        <w:fldChar w:fldCharType="separate"/>
      </w:r>
      <w:r>
        <w:t>56</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_Toc107232221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2022/23 and subsequent years</w:t>
      </w:r>
      <w:r>
        <w:tab/>
      </w:r>
      <w:r>
        <w:fldChar w:fldCharType="begin"/>
      </w:r>
      <w:r>
        <w:instrText xml:space="preserve"> PAGEREF _Toc107232223 \h </w:instrText>
      </w:r>
      <w:r>
        <w:fldChar w:fldCharType="separate"/>
      </w:r>
      <w:r>
        <w:t>57</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_Toc107232224 \h </w:instrText>
      </w:r>
      <w:r>
        <w:fldChar w:fldCharType="separate"/>
      </w:r>
      <w:r>
        <w:t>57</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_Toc107232225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2022/23 and subsequent years</w:t>
      </w:r>
      <w:r>
        <w:tab/>
      </w:r>
      <w:r>
        <w:fldChar w:fldCharType="begin"/>
      </w:r>
      <w:r>
        <w:instrText xml:space="preserve"> PAGEREF _Toc107232228 \h </w:instrText>
      </w:r>
      <w:r>
        <w:fldChar w:fldCharType="separate"/>
      </w:r>
      <w:r>
        <w:t>58</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_Toc107232229 \h </w:instrText>
      </w:r>
      <w:r>
        <w:fldChar w:fldCharType="separate"/>
      </w:r>
      <w:r>
        <w:t>58</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_Toc107232230 \h </w:instrText>
      </w:r>
      <w:r>
        <w:fldChar w:fldCharType="separate"/>
      </w:r>
      <w:r>
        <w:t>58</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_Toc107232231 \h </w:instrText>
      </w:r>
      <w:r>
        <w:fldChar w:fldCharType="separate"/>
      </w:r>
      <w:r>
        <w:t>58</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_Toc107232232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2022/23 and subsequent years</w:t>
      </w:r>
      <w:r>
        <w:tab/>
      </w:r>
      <w:r>
        <w:fldChar w:fldCharType="begin"/>
      </w:r>
      <w:r>
        <w:instrText xml:space="preserve"> PAGEREF _Toc107232234 \h </w:instrText>
      </w:r>
      <w:r>
        <w:fldChar w:fldCharType="separate"/>
      </w:r>
      <w:r>
        <w:t>59</w:t>
      </w:r>
      <w:r>
        <w:fldChar w:fldCharType="end"/>
      </w:r>
    </w:p>
    <w:p>
      <w:pPr>
        <w:pStyle w:val="TOC8"/>
        <w:rPr>
          <w:rFonts w:asciiTheme="minorHAnsi" w:eastAsiaTheme="minorEastAsia" w:hAnsiTheme="minorHAnsi" w:cstheme="minorBidi"/>
          <w:szCs w:val="22"/>
        </w:rPr>
      </w:pPr>
      <w:r>
        <w:lastRenderedPageBreak/>
        <w:t>7.</w:t>
      </w:r>
      <w:r>
        <w:tab/>
        <w:t>Residential lots</w:t>
      </w:r>
      <w:r>
        <w:tab/>
      </w:r>
      <w:r>
        <w:fldChar w:fldCharType="begin"/>
      </w:r>
      <w:r>
        <w:instrText xml:space="preserve"> PAGEREF _Toc107232235 \h </w:instrText>
      </w:r>
      <w:r>
        <w:fldChar w:fldCharType="separate"/>
      </w:r>
      <w:r>
        <w:t>59</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_Toc107232236 \h </w:instrText>
      </w:r>
      <w:r>
        <w:fldChar w:fldCharType="separate"/>
      </w:r>
      <w:r>
        <w:t>59</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_Toc107232237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2022/23 and subsequent years</w:t>
      </w:r>
      <w:r>
        <w:tab/>
      </w:r>
      <w:r>
        <w:fldChar w:fldCharType="begin"/>
      </w:r>
      <w:r>
        <w:instrText xml:space="preserve"> PAGEREF _Toc107232241 \h </w:instrText>
      </w:r>
      <w:r>
        <w:fldChar w:fldCharType="separate"/>
      </w:r>
      <w:r>
        <w:t>60</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_Toc107232242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_Toc107232244 \h </w:instrText>
      </w:r>
      <w:r>
        <w:fldChar w:fldCharType="separate"/>
      </w:r>
      <w:r>
        <w:t>61</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_Toc107232245 \h </w:instrText>
      </w:r>
      <w:r>
        <w:fldChar w:fldCharType="separate"/>
      </w:r>
      <w:r>
        <w:t>61</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 and park homes</w:t>
      </w:r>
      <w:r>
        <w:tab/>
      </w:r>
      <w:r>
        <w:fldChar w:fldCharType="begin"/>
      </w:r>
      <w:r>
        <w:instrText xml:space="preserve"> PAGEREF _Toc107232246 \h </w:instrText>
      </w:r>
      <w:r>
        <w:fldChar w:fldCharType="separate"/>
      </w:r>
      <w:r>
        <w:t>62</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_Toc107232247 \h </w:instrText>
      </w:r>
      <w:r>
        <w:fldChar w:fldCharType="separate"/>
      </w:r>
      <w:r>
        <w:t>62</w:t>
      </w:r>
      <w:r>
        <w:fldChar w:fldCharType="end"/>
      </w:r>
    </w:p>
    <w:p>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_Toc107232248 \h </w:instrText>
      </w:r>
      <w:r>
        <w:fldChar w:fldCharType="separate"/>
      </w:r>
      <w:r>
        <w:t>62</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_Toc107232249 \h </w:instrText>
      </w:r>
      <w:r>
        <w:fldChar w:fldCharType="separate"/>
      </w:r>
      <w:r>
        <w:t>63</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_Toc107232250 \h </w:instrText>
      </w:r>
      <w:r>
        <w:fldChar w:fldCharType="separate"/>
      </w:r>
      <w:r>
        <w:t>63</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_Toc107232251 \h </w:instrText>
      </w:r>
      <w:r>
        <w:fldChar w:fldCharType="separate"/>
      </w:r>
      <w:r>
        <w:t>63</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_Toc107232252 \h </w:instrText>
      </w:r>
      <w:r>
        <w:fldChar w:fldCharType="separate"/>
      </w:r>
      <w:r>
        <w:t>65</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_Toc107232253 \h </w:instrText>
      </w:r>
      <w:r>
        <w:fldChar w:fldCharType="separate"/>
      </w:r>
      <w:r>
        <w:t>65</w:t>
      </w:r>
      <w:r>
        <w:fldChar w:fldCharType="end"/>
      </w:r>
    </w:p>
    <w:p>
      <w:pPr>
        <w:pStyle w:val="TOC8"/>
        <w:rPr>
          <w:rFonts w:asciiTheme="minorHAnsi" w:eastAsiaTheme="minorEastAsia" w:hAnsiTheme="minorHAnsi" w:cstheme="minorBidi"/>
          <w:szCs w:val="22"/>
        </w:rPr>
      </w:pPr>
      <w:r>
        <w:t>13.</w:t>
      </w:r>
      <w:r>
        <w:tab/>
        <w:t>Vacant land</w:t>
      </w:r>
      <w:r>
        <w:tab/>
      </w:r>
      <w:r>
        <w:fldChar w:fldCharType="begin"/>
      </w:r>
      <w:r>
        <w:instrText xml:space="preserve"> PAGEREF _Toc107232254 \h </w:instrText>
      </w:r>
      <w:r>
        <w:fldChar w:fldCharType="separate"/>
      </w:r>
      <w:r>
        <w:t>66</w:t>
      </w:r>
      <w:r>
        <w:fldChar w:fldCharType="end"/>
      </w:r>
    </w:p>
    <w:p>
      <w:pPr>
        <w:pStyle w:val="TOC8"/>
        <w:rPr>
          <w:rFonts w:asciiTheme="minorHAnsi" w:eastAsiaTheme="minorEastAsia" w:hAnsiTheme="minorHAnsi" w:cstheme="minorBidi"/>
          <w:szCs w:val="22"/>
        </w:rPr>
      </w:pPr>
      <w:r>
        <w:t>14.</w:t>
      </w:r>
      <w:r>
        <w:tab/>
        <w:t>Garden service connections</w:t>
      </w:r>
      <w:r>
        <w:tab/>
      </w:r>
      <w:r>
        <w:fldChar w:fldCharType="begin"/>
      </w:r>
      <w:r>
        <w:instrText xml:space="preserve"> PAGEREF _Toc107232255 \h </w:instrText>
      </w:r>
      <w:r>
        <w:fldChar w:fldCharType="separate"/>
      </w:r>
      <w:r>
        <w:t>66</w:t>
      </w:r>
      <w:r>
        <w:fldChar w:fldCharType="end"/>
      </w:r>
    </w:p>
    <w:p>
      <w:pPr>
        <w:pStyle w:val="TOC8"/>
        <w:rPr>
          <w:rFonts w:asciiTheme="minorHAnsi" w:eastAsiaTheme="minorEastAsia" w:hAnsiTheme="minorHAnsi" w:cstheme="minorBidi"/>
          <w:szCs w:val="22"/>
        </w:rPr>
      </w:pPr>
      <w:r>
        <w:t>15.</w:t>
      </w:r>
      <w:r>
        <w:tab/>
        <w:t>Government trading organisations and non</w:t>
      </w:r>
      <w:r>
        <w:noBreakHyphen/>
        <w:t>commercial government property</w:t>
      </w:r>
      <w:r>
        <w:tab/>
      </w:r>
      <w:r>
        <w:fldChar w:fldCharType="begin"/>
      </w:r>
      <w:r>
        <w:instrText xml:space="preserve"> PAGEREF _Toc107232256 \h </w:instrText>
      </w:r>
      <w:r>
        <w:fldChar w:fldCharType="separate"/>
      </w:r>
      <w:r>
        <w:t>66</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 on</w:t>
      </w:r>
      <w:r>
        <w:noBreakHyphen/>
        <w:t>supply to lessees or ships</w:t>
      </w:r>
      <w:r>
        <w:tab/>
      </w:r>
      <w:r>
        <w:fldChar w:fldCharType="begin"/>
      </w:r>
      <w:r>
        <w:instrText xml:space="preserve"> PAGEREF _Toc107232257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17.</w:t>
      </w:r>
      <w:r>
        <w:tab/>
        <w:t>Farmland</w:t>
      </w:r>
      <w:r>
        <w:tab/>
      </w:r>
      <w:r>
        <w:fldChar w:fldCharType="begin"/>
      </w:r>
      <w:r>
        <w:instrText xml:space="preserve"> PAGEREF _Toc107232259 \h </w:instrText>
      </w:r>
      <w:r>
        <w:fldChar w:fldCharType="separate"/>
      </w:r>
      <w:r>
        <w:t>67</w:t>
      </w:r>
      <w:r>
        <w:fldChar w:fldCharType="end"/>
      </w:r>
    </w:p>
    <w:p>
      <w:pPr>
        <w:pStyle w:val="TOC8"/>
        <w:rPr>
          <w:rFonts w:asciiTheme="minorHAnsi" w:eastAsiaTheme="minorEastAsia" w:hAnsiTheme="minorHAnsi" w:cstheme="minorBidi"/>
          <w:szCs w:val="22"/>
        </w:rPr>
      </w:pPr>
      <w:r>
        <w:t>18.</w:t>
      </w:r>
      <w:r>
        <w:tab/>
        <w:t>Stock</w:t>
      </w:r>
      <w:r>
        <w:tab/>
      </w:r>
      <w:r>
        <w:fldChar w:fldCharType="begin"/>
      </w:r>
      <w:r>
        <w:instrText xml:space="preserve"> PAGEREF _Toc107232260 \h </w:instrText>
      </w:r>
      <w:r>
        <w:fldChar w:fldCharType="separate"/>
      </w:r>
      <w:r>
        <w:t>67</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_Toc107232261 \h </w:instrText>
      </w:r>
      <w:r>
        <w:fldChar w:fldCharType="separate"/>
      </w:r>
      <w:r>
        <w:t>68</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_Toc107232262 \h </w:instrText>
      </w:r>
      <w:r>
        <w:fldChar w:fldCharType="separate"/>
      </w:r>
      <w:r>
        <w:t>68</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_Toc107232263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2022/23 and subsequent years</w:t>
      </w:r>
      <w:r>
        <w:tab/>
      </w:r>
      <w:r>
        <w:fldChar w:fldCharType="begin"/>
      </w:r>
      <w:r>
        <w:instrText xml:space="preserve"> PAGEREF _Toc107232266 \h </w:instrText>
      </w:r>
      <w:r>
        <w:fldChar w:fldCharType="separate"/>
      </w:r>
      <w:r>
        <w:t>68</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_Toc107232267 \h </w:instrText>
      </w:r>
      <w:r>
        <w:fldChar w:fldCharType="separate"/>
      </w:r>
      <w:r>
        <w:t>69</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_Toc107232268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_Toc107232270 \h </w:instrText>
      </w:r>
      <w:r>
        <w:fldChar w:fldCharType="separate"/>
      </w:r>
      <w:r>
        <w:t>70</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_Toc107232271 \h </w:instrText>
      </w:r>
      <w:r>
        <w:fldChar w:fldCharType="separate"/>
      </w:r>
      <w:r>
        <w:t>70</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_Toc107232272 \h </w:instrText>
      </w:r>
      <w:r>
        <w:fldChar w:fldCharType="separate"/>
      </w:r>
      <w:r>
        <w:t>70</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_Toc107232273 \h </w:instrText>
      </w:r>
      <w:r>
        <w:fldChar w:fldCharType="separate"/>
      </w:r>
      <w:r>
        <w:t>71</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_Toc107232274 \h </w:instrText>
      </w:r>
      <w:r>
        <w:fldChar w:fldCharType="separate"/>
      </w:r>
      <w:r>
        <w:t>71</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_Toc107232275 \h </w:instrText>
      </w:r>
      <w:r>
        <w:fldChar w:fldCharType="separate"/>
      </w:r>
      <w:r>
        <w:t>72</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_Toc107232276 \h </w:instrText>
      </w:r>
      <w:r>
        <w:fldChar w:fldCharType="separate"/>
      </w:r>
      <w:r>
        <w:t>73</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_Toc107232277 \h </w:instrText>
      </w:r>
      <w:r>
        <w:fldChar w:fldCharType="separate"/>
      </w:r>
      <w:r>
        <w:t>73</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_Toc107232278 \h </w:instrText>
      </w:r>
      <w:r>
        <w:fldChar w:fldCharType="separate"/>
      </w:r>
      <w:r>
        <w:t>74</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_Toc107232279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35.</w:t>
      </w:r>
      <w:r>
        <w:tab/>
        <w:t>Local government standpipes</w:t>
      </w:r>
      <w:r>
        <w:tab/>
      </w:r>
      <w:r>
        <w:fldChar w:fldCharType="begin"/>
      </w:r>
      <w:r>
        <w:instrText xml:space="preserve"> PAGEREF _Toc107232281 \h </w:instrText>
      </w:r>
      <w:r>
        <w:fldChar w:fldCharType="separate"/>
      </w:r>
      <w:r>
        <w:t>75</w:t>
      </w:r>
      <w:r>
        <w:fldChar w:fldCharType="end"/>
      </w:r>
    </w:p>
    <w:p>
      <w:pPr>
        <w:pStyle w:val="TOC8"/>
        <w:rPr>
          <w:rFonts w:asciiTheme="minorHAnsi" w:eastAsiaTheme="minorEastAsia" w:hAnsiTheme="minorHAnsi" w:cstheme="minorBidi"/>
          <w:szCs w:val="22"/>
        </w:rPr>
      </w:pPr>
      <w:r>
        <w:t>36.</w:t>
      </w:r>
      <w:r>
        <w:tab/>
        <w:t>Shipping</w:t>
      </w:r>
      <w:r>
        <w:tab/>
      </w:r>
      <w:r>
        <w:fldChar w:fldCharType="begin"/>
      </w:r>
      <w:r>
        <w:instrText xml:space="preserve"> PAGEREF _Toc107232282 \h </w:instrText>
      </w:r>
      <w:r>
        <w:fldChar w:fldCharType="separate"/>
      </w:r>
      <w:r>
        <w:t>75</w:t>
      </w:r>
      <w:r>
        <w:fldChar w:fldCharType="end"/>
      </w:r>
    </w:p>
    <w:p>
      <w:pPr>
        <w:pStyle w:val="TOC8"/>
        <w:rPr>
          <w:rFonts w:asciiTheme="minorHAnsi" w:eastAsiaTheme="minorEastAsia" w:hAnsiTheme="minorHAnsi" w:cstheme="minorBidi"/>
          <w:szCs w:val="22"/>
        </w:rPr>
      </w:pPr>
      <w:r>
        <w:t>37.</w:t>
      </w:r>
      <w:r>
        <w:tab/>
        <w:t>Stock</w:t>
      </w:r>
      <w:r>
        <w:tab/>
      </w:r>
      <w:r>
        <w:fldChar w:fldCharType="begin"/>
      </w:r>
      <w:r>
        <w:instrText xml:space="preserve"> PAGEREF _Toc107232283 \h </w:instrText>
      </w:r>
      <w:r>
        <w:fldChar w:fldCharType="separate"/>
      </w:r>
      <w:r>
        <w:t>75</w:t>
      </w:r>
      <w:r>
        <w:fldChar w:fldCharType="end"/>
      </w:r>
    </w:p>
    <w:p>
      <w:pPr>
        <w:pStyle w:val="TOC8"/>
        <w:rPr>
          <w:rFonts w:asciiTheme="minorHAnsi" w:eastAsiaTheme="minorEastAsia" w:hAnsiTheme="minorHAnsi" w:cstheme="minorBidi"/>
          <w:szCs w:val="22"/>
        </w:rPr>
      </w:pPr>
      <w:r>
        <w:t>38.</w:t>
      </w:r>
      <w:r>
        <w:tab/>
        <w:t>Hydrant standpipes</w:t>
      </w:r>
      <w:r>
        <w:tab/>
      </w:r>
      <w:r>
        <w:fldChar w:fldCharType="begin"/>
      </w:r>
      <w:r>
        <w:instrText xml:space="preserve"> PAGEREF _Toc107232284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2022/23 and subsequent years</w:t>
      </w:r>
      <w:r>
        <w:tab/>
      </w:r>
      <w:r>
        <w:fldChar w:fldCharType="begin"/>
      </w:r>
      <w:r>
        <w:instrText xml:space="preserve"> PAGEREF _Toc107232287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_Toc107232288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_Toc107232289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_Toc107232290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long</w:t>
      </w:r>
      <w:r>
        <w:noBreakHyphen/>
        <w:t>term residential caravan bays and park homes</w:t>
      </w:r>
      <w:r>
        <w:tab/>
      </w:r>
      <w:r>
        <w:fldChar w:fldCharType="begin"/>
      </w:r>
      <w:r>
        <w:instrText xml:space="preserve"> PAGEREF _Toc107232291 \h </w:instrText>
      </w:r>
      <w:r>
        <w:fldChar w:fldCharType="separate"/>
      </w:r>
      <w:r>
        <w:t>77</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_Toc107232292 \h </w:instrText>
      </w:r>
      <w:r>
        <w:fldChar w:fldCharType="separate"/>
      </w:r>
      <w:r>
        <w:t>78</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_Toc107232293 \h </w:instrText>
      </w:r>
      <w:r>
        <w:fldChar w:fldCharType="separate"/>
      </w:r>
      <w:r>
        <w:t>78</w:t>
      </w:r>
      <w:r>
        <w:fldChar w:fldCharType="end"/>
      </w:r>
    </w:p>
    <w:p>
      <w:pPr>
        <w:pStyle w:val="TOC8"/>
        <w:rPr>
          <w:rFonts w:asciiTheme="minorHAnsi" w:eastAsiaTheme="minorEastAsia" w:hAnsiTheme="minorHAnsi" w:cstheme="minorBidi"/>
          <w:szCs w:val="22"/>
        </w:rPr>
      </w:pPr>
      <w:r>
        <w:lastRenderedPageBreak/>
        <w:t>8.</w:t>
      </w:r>
      <w:r>
        <w:tab/>
        <w:t>Land from which trade waste is discharged into sewer through grease arrestor</w:t>
      </w:r>
      <w:r>
        <w:tab/>
      </w:r>
      <w:r>
        <w:fldChar w:fldCharType="begin"/>
      </w:r>
      <w:r>
        <w:instrText xml:space="preserve"> PAGEREF _Toc107232294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_Toc107232295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_Toc107232296 \h </w:instrText>
      </w:r>
      <w:r>
        <w:fldChar w:fldCharType="separate"/>
      </w:r>
      <w:r>
        <w:t>79</w:t>
      </w:r>
      <w:r>
        <w:fldChar w:fldCharType="end"/>
      </w:r>
    </w:p>
    <w:p>
      <w:pPr>
        <w:pStyle w:val="TOC8"/>
        <w:rPr>
          <w:rFonts w:asciiTheme="minorHAnsi" w:eastAsiaTheme="minorEastAsia" w:hAnsiTheme="minorHAnsi" w:cstheme="minorBidi"/>
          <w:szCs w:val="22"/>
        </w:rPr>
      </w:pPr>
      <w:r>
        <w:t>11.</w:t>
      </w:r>
      <w:r>
        <w:tab/>
        <w:t>Community residential</w:t>
      </w:r>
      <w:r>
        <w:tab/>
      </w:r>
      <w:r>
        <w:fldChar w:fldCharType="begin"/>
      </w:r>
      <w:r>
        <w:instrText xml:space="preserve"> PAGEREF _Toc107232297 \h </w:instrText>
      </w:r>
      <w:r>
        <w:fldChar w:fldCharType="separate"/>
      </w:r>
      <w:r>
        <w:t>79</w:t>
      </w:r>
      <w:r>
        <w:fldChar w:fldCharType="end"/>
      </w:r>
    </w:p>
    <w:p>
      <w:pPr>
        <w:pStyle w:val="TOC8"/>
        <w:rPr>
          <w:rFonts w:asciiTheme="minorHAnsi" w:eastAsiaTheme="minorEastAsia" w:hAnsiTheme="minorHAnsi" w:cstheme="minorBidi"/>
          <w:szCs w:val="22"/>
        </w:rPr>
      </w:pPr>
      <w:r>
        <w:t>12.</w:t>
      </w:r>
      <w:r>
        <w:tab/>
        <w:t>Non</w:t>
      </w:r>
      <w:r>
        <w:noBreakHyphen/>
        <w:t>metropolitan residential or vacant land</w:t>
      </w:r>
      <w:r>
        <w:tab/>
      </w:r>
      <w:r>
        <w:fldChar w:fldCharType="begin"/>
      </w:r>
      <w:r>
        <w:instrText xml:space="preserve"> PAGEREF _Toc107232298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w:t>
      </w:r>
      <w:r>
        <w:tab/>
        <w:t>Combined charges for 2022/23 and subsequent years</w:t>
      </w:r>
      <w:r>
        <w:tab/>
      </w:r>
      <w:r>
        <w:fldChar w:fldCharType="begin"/>
      </w:r>
      <w:r>
        <w:instrText xml:space="preserve"> PAGEREF _Toc107232301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14.</w:t>
      </w:r>
      <w:r>
        <w:tab/>
        <w:t>Metropolitan non</w:t>
      </w:r>
      <w:r>
        <w:noBreakHyphen/>
        <w:t>residential</w:t>
      </w:r>
      <w:r>
        <w:tab/>
      </w:r>
      <w:r>
        <w:fldChar w:fldCharType="begin"/>
      </w:r>
      <w:r>
        <w:instrText xml:space="preserve"> PAGEREF _Toc107232303 \h </w:instrText>
      </w:r>
      <w:r>
        <w:fldChar w:fldCharType="separate"/>
      </w:r>
      <w:r>
        <w:t>86</w:t>
      </w:r>
      <w:r>
        <w:fldChar w:fldCharType="end"/>
      </w:r>
    </w:p>
    <w:p>
      <w:pPr>
        <w:pStyle w:val="TOC8"/>
        <w:rPr>
          <w:rFonts w:asciiTheme="minorHAnsi" w:eastAsiaTheme="minorEastAsia" w:hAnsiTheme="minorHAnsi" w:cstheme="minorBidi"/>
          <w:szCs w:val="22"/>
        </w:rPr>
      </w:pPr>
      <w:r>
        <w:t>15.</w:t>
      </w:r>
      <w:r>
        <w:tab/>
        <w:t>Metropolitan government trading organisation and non</w:t>
      </w:r>
      <w:r>
        <w:noBreakHyphen/>
        <w:t>commercial government property</w:t>
      </w:r>
      <w:r>
        <w:tab/>
      </w:r>
      <w:r>
        <w:fldChar w:fldCharType="begin"/>
      </w:r>
      <w:r>
        <w:instrText xml:space="preserve"> PAGEREF _Toc107232304 \h </w:instrText>
      </w:r>
      <w:r>
        <w:fldChar w:fldCharType="separate"/>
      </w:r>
      <w:r>
        <w:t>87</w:t>
      </w:r>
      <w:r>
        <w:fldChar w:fldCharType="end"/>
      </w:r>
    </w:p>
    <w:p>
      <w:pPr>
        <w:pStyle w:val="TOC8"/>
        <w:rPr>
          <w:rFonts w:asciiTheme="minorHAnsi" w:eastAsiaTheme="minorEastAsia" w:hAnsiTheme="minorHAnsi" w:cstheme="minorBidi"/>
          <w:szCs w:val="22"/>
        </w:rPr>
      </w:pPr>
      <w:r>
        <w:t>16.</w:t>
      </w:r>
      <w:r>
        <w:tab/>
        <w:t>Metropolitan non</w:t>
      </w:r>
      <w:r>
        <w:noBreakHyphen/>
        <w:t>strata titled caravan park with long</w:t>
      </w:r>
      <w:r>
        <w:noBreakHyphen/>
        <w:t>term residential caravan bays</w:t>
      </w:r>
      <w:r>
        <w:tab/>
      </w:r>
      <w:r>
        <w:fldChar w:fldCharType="begin"/>
      </w:r>
      <w:r>
        <w:instrText xml:space="preserve"> PAGEREF _Toc107232305 \h </w:instrText>
      </w:r>
      <w:r>
        <w:fldChar w:fldCharType="separate"/>
      </w:r>
      <w:r>
        <w:t>87</w:t>
      </w:r>
      <w:r>
        <w:fldChar w:fldCharType="end"/>
      </w:r>
    </w:p>
    <w:p>
      <w:pPr>
        <w:pStyle w:val="TOC8"/>
        <w:rPr>
          <w:rFonts w:asciiTheme="minorHAnsi" w:eastAsiaTheme="minorEastAsia" w:hAnsiTheme="minorHAnsi" w:cstheme="minorBidi"/>
          <w:szCs w:val="22"/>
        </w:rPr>
      </w:pPr>
      <w:r>
        <w:t>17.</w:t>
      </w:r>
      <w:r>
        <w:tab/>
        <w:t>Metropolitan nursing home</w:t>
      </w:r>
      <w:r>
        <w:tab/>
      </w:r>
      <w:r>
        <w:fldChar w:fldCharType="begin"/>
      </w:r>
      <w:r>
        <w:instrText xml:space="preserve"> PAGEREF _Toc107232306 \h </w:instrText>
      </w:r>
      <w:r>
        <w:fldChar w:fldCharType="separate"/>
      </w:r>
      <w:r>
        <w:t>88</w:t>
      </w:r>
      <w:r>
        <w:fldChar w:fldCharType="end"/>
      </w:r>
    </w:p>
    <w:p>
      <w:pPr>
        <w:pStyle w:val="TOC8"/>
        <w:rPr>
          <w:rFonts w:asciiTheme="minorHAnsi" w:eastAsiaTheme="minorEastAsia" w:hAnsiTheme="minorHAnsi" w:cstheme="minorBidi"/>
          <w:szCs w:val="22"/>
        </w:rPr>
      </w:pPr>
      <w:r>
        <w:t>18.</w:t>
      </w:r>
      <w:r>
        <w:tab/>
        <w:t>Certain metropolitan units</w:t>
      </w:r>
      <w:r>
        <w:tab/>
      </w:r>
      <w:r>
        <w:fldChar w:fldCharType="begin"/>
      </w:r>
      <w:r>
        <w:instrText xml:space="preserve"> PAGEREF _Toc107232307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19.</w:t>
      </w:r>
      <w:r>
        <w:tab/>
        <w:t>Service charge</w:t>
      </w:r>
      <w:r>
        <w:tab/>
      </w:r>
      <w:r>
        <w:fldChar w:fldCharType="begin"/>
      </w:r>
      <w:r>
        <w:instrText xml:space="preserve"> PAGEREF _Toc107232309 \h </w:instrText>
      </w:r>
      <w:r>
        <w:fldChar w:fldCharType="separate"/>
      </w:r>
      <w:r>
        <w:t>89</w:t>
      </w:r>
      <w:r>
        <w:fldChar w:fldCharType="end"/>
      </w:r>
    </w:p>
    <w:p>
      <w:pPr>
        <w:pStyle w:val="TOC8"/>
        <w:rPr>
          <w:rFonts w:asciiTheme="minorHAnsi" w:eastAsiaTheme="minorEastAsia" w:hAnsiTheme="minorHAnsi" w:cstheme="minorBidi"/>
          <w:szCs w:val="22"/>
        </w:rPr>
      </w:pPr>
      <w:r>
        <w:t>20.</w:t>
      </w:r>
      <w:r>
        <w:tab/>
        <w:t>Discharge charge</w:t>
      </w:r>
      <w:r>
        <w:tab/>
      </w:r>
      <w:r>
        <w:fldChar w:fldCharType="begin"/>
      </w:r>
      <w:r>
        <w:instrText xml:space="preserve"> PAGEREF _Toc107232310 \h </w:instrText>
      </w:r>
      <w:r>
        <w:fldChar w:fldCharType="separate"/>
      </w:r>
      <w:r>
        <w:t>89</w:t>
      </w:r>
      <w:r>
        <w:fldChar w:fldCharType="end"/>
      </w:r>
    </w:p>
    <w:p>
      <w:pPr>
        <w:pStyle w:val="TOC8"/>
        <w:rPr>
          <w:rFonts w:asciiTheme="minorHAnsi" w:eastAsiaTheme="minorEastAsia" w:hAnsiTheme="minorHAnsi" w:cstheme="minorBidi"/>
          <w:szCs w:val="22"/>
        </w:rPr>
      </w:pPr>
      <w:r>
        <w:t>21.</w:t>
      </w:r>
      <w:r>
        <w:tab/>
        <w:t>Discharge allowance</w:t>
      </w:r>
      <w:r>
        <w:tab/>
      </w:r>
      <w:r>
        <w:fldChar w:fldCharType="begin"/>
      </w:r>
      <w:r>
        <w:instrText xml:space="preserve"> PAGEREF _Toc107232311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22.</w:t>
      </w:r>
      <w:r>
        <w:tab/>
        <w:t>Non</w:t>
      </w:r>
      <w:r>
        <w:noBreakHyphen/>
        <w:t>metropolitan non</w:t>
      </w:r>
      <w:r>
        <w:noBreakHyphen/>
        <w:t>residential</w:t>
      </w:r>
      <w:r>
        <w:tab/>
      </w:r>
      <w:r>
        <w:fldChar w:fldCharType="begin"/>
      </w:r>
      <w:r>
        <w:instrText xml:space="preserve"> PAGEREF _Toc107232313 \h </w:instrText>
      </w:r>
      <w:r>
        <w:fldChar w:fldCharType="separate"/>
      </w:r>
      <w:r>
        <w:t>90</w:t>
      </w:r>
      <w:r>
        <w:fldChar w:fldCharType="end"/>
      </w:r>
    </w:p>
    <w:p>
      <w:pPr>
        <w:pStyle w:val="TOC8"/>
        <w:rPr>
          <w:rFonts w:asciiTheme="minorHAnsi" w:eastAsiaTheme="minorEastAsia" w:hAnsiTheme="minorHAnsi" w:cstheme="minorBidi"/>
          <w:szCs w:val="22"/>
        </w:rPr>
      </w:pPr>
      <w:r>
        <w:t>23.</w:t>
      </w:r>
      <w:r>
        <w:tab/>
        <w:t>Non</w:t>
      </w:r>
      <w:r>
        <w:noBreakHyphen/>
        <w:t>metropolitan non</w:t>
      </w:r>
      <w:r>
        <w:noBreakHyphen/>
        <w:t>strata titled caravan park with long</w:t>
      </w:r>
      <w:r>
        <w:noBreakHyphen/>
        <w:t>term residential caravan bays</w:t>
      </w:r>
      <w:r>
        <w:tab/>
      </w:r>
      <w:r>
        <w:fldChar w:fldCharType="begin"/>
      </w:r>
      <w:r>
        <w:instrText xml:space="preserve"> PAGEREF _Toc107232314 \h </w:instrText>
      </w:r>
      <w:r>
        <w:fldChar w:fldCharType="separate"/>
      </w:r>
      <w:r>
        <w:t>91</w:t>
      </w:r>
      <w:r>
        <w:fldChar w:fldCharType="end"/>
      </w:r>
    </w:p>
    <w:p>
      <w:pPr>
        <w:pStyle w:val="TOC8"/>
        <w:rPr>
          <w:rFonts w:asciiTheme="minorHAnsi" w:eastAsiaTheme="minorEastAsia" w:hAnsiTheme="minorHAnsi" w:cstheme="minorBidi"/>
          <w:szCs w:val="22"/>
        </w:rPr>
      </w:pPr>
      <w:r>
        <w:t>24.</w:t>
      </w:r>
      <w:r>
        <w:tab/>
        <w:t>Non</w:t>
      </w:r>
      <w:r>
        <w:noBreakHyphen/>
        <w:t>metropolitan nursing home</w:t>
      </w:r>
      <w:r>
        <w:tab/>
      </w:r>
      <w:r>
        <w:fldChar w:fldCharType="begin"/>
      </w:r>
      <w:r>
        <w:instrText xml:space="preserve"> PAGEREF _Toc107232315 \h </w:instrText>
      </w:r>
      <w:r>
        <w:fldChar w:fldCharType="separate"/>
      </w:r>
      <w:r>
        <w:t>92</w:t>
      </w:r>
      <w:r>
        <w:fldChar w:fldCharType="end"/>
      </w:r>
    </w:p>
    <w:p>
      <w:pPr>
        <w:pStyle w:val="TOC8"/>
        <w:rPr>
          <w:rFonts w:asciiTheme="minorHAnsi" w:eastAsiaTheme="minorEastAsia" w:hAnsiTheme="minorHAnsi" w:cstheme="minorBidi"/>
          <w:szCs w:val="22"/>
        </w:rPr>
      </w:pPr>
      <w:r>
        <w:t>25.</w:t>
      </w:r>
      <w:r>
        <w:tab/>
        <w:t>Certain non</w:t>
      </w:r>
      <w:r>
        <w:noBreakHyphen/>
        <w:t>metropolitan units</w:t>
      </w:r>
      <w:r>
        <w:tab/>
      </w:r>
      <w:r>
        <w:fldChar w:fldCharType="begin"/>
      </w:r>
      <w:r>
        <w:instrText xml:space="preserve"> PAGEREF _Toc107232316 \h </w:instrText>
      </w:r>
      <w:r>
        <w:fldChar w:fldCharType="separate"/>
      </w:r>
      <w:r>
        <w:t>93</w:t>
      </w:r>
      <w:r>
        <w:fldChar w:fldCharType="end"/>
      </w:r>
    </w:p>
    <w:p>
      <w:pPr>
        <w:pStyle w:val="TOC8"/>
        <w:rPr>
          <w:rFonts w:asciiTheme="minorHAnsi" w:eastAsiaTheme="minorEastAsia" w:hAnsiTheme="minorHAnsi" w:cstheme="minorBidi"/>
          <w:szCs w:val="22"/>
        </w:rPr>
      </w:pPr>
      <w:r>
        <w:t>26.</w:t>
      </w:r>
      <w:r>
        <w:tab/>
        <w:t>Non</w:t>
      </w:r>
      <w:r>
        <w:noBreakHyphen/>
        <w:t>metropolitan government trading organisation and non</w:t>
      </w:r>
      <w:r>
        <w:noBreakHyphen/>
        <w:t>commercial government property</w:t>
      </w:r>
      <w:r>
        <w:tab/>
      </w:r>
      <w:r>
        <w:fldChar w:fldCharType="begin"/>
      </w:r>
      <w:r>
        <w:instrText xml:space="preserve"> PAGEREF _Toc107232317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27.</w:t>
      </w:r>
      <w:r>
        <w:tab/>
        <w:t>Service charge</w:t>
      </w:r>
      <w:r>
        <w:tab/>
      </w:r>
      <w:r>
        <w:fldChar w:fldCharType="begin"/>
      </w:r>
      <w:r>
        <w:instrText xml:space="preserve"> PAGEREF _Toc107232319 \h </w:instrText>
      </w:r>
      <w:r>
        <w:fldChar w:fldCharType="separate"/>
      </w:r>
      <w:r>
        <w:t>94</w:t>
      </w:r>
      <w:r>
        <w:fldChar w:fldCharType="end"/>
      </w:r>
    </w:p>
    <w:p>
      <w:pPr>
        <w:pStyle w:val="TOC8"/>
        <w:rPr>
          <w:rFonts w:asciiTheme="minorHAnsi" w:eastAsiaTheme="minorEastAsia" w:hAnsiTheme="minorHAnsi" w:cstheme="minorBidi"/>
          <w:szCs w:val="22"/>
        </w:rPr>
      </w:pPr>
      <w:r>
        <w:t>28.</w:t>
      </w:r>
      <w:r>
        <w:tab/>
        <w:t>Discharge charge</w:t>
      </w:r>
      <w:r>
        <w:tab/>
      </w:r>
      <w:r>
        <w:fldChar w:fldCharType="begin"/>
      </w:r>
      <w:r>
        <w:instrText xml:space="preserve"> PAGEREF _Toc107232320 \h </w:instrText>
      </w:r>
      <w:r>
        <w:fldChar w:fldCharType="separate"/>
      </w:r>
      <w:r>
        <w:t>94</w:t>
      </w:r>
      <w:r>
        <w:fldChar w:fldCharType="end"/>
      </w:r>
    </w:p>
    <w:p>
      <w:pPr>
        <w:pStyle w:val="TOC8"/>
        <w:rPr>
          <w:rFonts w:asciiTheme="minorHAnsi" w:eastAsiaTheme="minorEastAsia" w:hAnsiTheme="minorHAnsi" w:cstheme="minorBidi"/>
          <w:szCs w:val="22"/>
        </w:rPr>
      </w:pPr>
      <w:r>
        <w:t>29.</w:t>
      </w:r>
      <w:r>
        <w:tab/>
        <w:t>Discharge allowance</w:t>
      </w:r>
      <w:r>
        <w:tab/>
      </w:r>
      <w:r>
        <w:fldChar w:fldCharType="begin"/>
      </w:r>
      <w:r>
        <w:instrText xml:space="preserve"> PAGEREF _Toc107232321 \h </w:instrText>
      </w:r>
      <w:r>
        <w:fldChar w:fldCharType="separate"/>
      </w:r>
      <w:r>
        <w:t>95</w:t>
      </w:r>
      <w:r>
        <w:fldChar w:fldCharType="end"/>
      </w:r>
    </w:p>
    <w:p>
      <w:pPr>
        <w:pStyle w:val="TOC8"/>
        <w:rPr>
          <w:rFonts w:asciiTheme="minorHAnsi" w:eastAsiaTheme="minorEastAsia" w:hAnsiTheme="minorHAnsi" w:cstheme="minorBidi"/>
          <w:szCs w:val="22"/>
        </w:rPr>
      </w:pPr>
      <w:r>
        <w:t>30.</w:t>
      </w:r>
      <w:r>
        <w:tab/>
        <w:t>Maximum charge</w:t>
      </w:r>
      <w:r>
        <w:tab/>
      </w:r>
      <w:r>
        <w:fldChar w:fldCharType="begin"/>
      </w:r>
      <w:r>
        <w:instrText xml:space="preserve"> PAGEREF _Toc107232322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Discharge charges: trade waste and effluent</w:t>
      </w:r>
    </w:p>
    <w:p>
      <w:pPr>
        <w:pStyle w:val="TOC8"/>
        <w:rPr>
          <w:rFonts w:asciiTheme="minorHAnsi" w:eastAsiaTheme="minorEastAsia" w:hAnsiTheme="minorHAnsi" w:cstheme="minorBidi"/>
          <w:szCs w:val="22"/>
        </w:rPr>
      </w:pPr>
      <w:r>
        <w:t>31.</w:t>
      </w:r>
      <w:r>
        <w:tab/>
        <w:t>Discharge charges for 2022/23 and subsequent years</w:t>
      </w:r>
      <w:r>
        <w:tab/>
      </w:r>
      <w:r>
        <w:fldChar w:fldCharType="begin"/>
      </w:r>
      <w:r>
        <w:instrText xml:space="preserve"> PAGEREF _Toc107232324 \h </w:instrText>
      </w:r>
      <w:r>
        <w:fldChar w:fldCharType="separate"/>
      </w:r>
      <w:r>
        <w:t>96</w:t>
      </w:r>
      <w:r>
        <w:fldChar w:fldCharType="end"/>
      </w:r>
    </w:p>
    <w:p>
      <w:pPr>
        <w:pStyle w:val="TOC8"/>
        <w:rPr>
          <w:rFonts w:asciiTheme="minorHAnsi" w:eastAsiaTheme="minorEastAsia" w:hAnsiTheme="minorHAnsi" w:cstheme="minorBidi"/>
          <w:szCs w:val="22"/>
        </w:rPr>
      </w:pPr>
      <w:r>
        <w:t>32.</w:t>
      </w:r>
      <w:r>
        <w:tab/>
        <w:t>Trade waste discharged into sewer under approval</w:t>
      </w:r>
      <w:r>
        <w:tab/>
      </w:r>
      <w:r>
        <w:fldChar w:fldCharType="begin"/>
      </w:r>
      <w:r>
        <w:instrText xml:space="preserve"> PAGEREF _Toc107232325 \h </w:instrText>
      </w:r>
      <w:r>
        <w:fldChar w:fldCharType="separate"/>
      </w:r>
      <w:r>
        <w:t>96</w:t>
      </w:r>
      <w:r>
        <w:fldChar w:fldCharType="end"/>
      </w:r>
    </w:p>
    <w:p>
      <w:pPr>
        <w:pStyle w:val="TOC8"/>
        <w:rPr>
          <w:rFonts w:asciiTheme="minorHAnsi" w:eastAsiaTheme="minorEastAsia" w:hAnsiTheme="minorHAnsi" w:cstheme="minorBidi"/>
          <w:szCs w:val="22"/>
        </w:rPr>
      </w:pPr>
      <w:r>
        <w:t>33.</w:t>
      </w:r>
      <w:r>
        <w:tab/>
        <w:t>Effluent discharged from septic tank effluent pumping system into sewer</w:t>
      </w:r>
      <w:r>
        <w:tab/>
      </w:r>
      <w:r>
        <w:fldChar w:fldCharType="begin"/>
      </w:r>
      <w:r>
        <w:instrText xml:space="preserve"> PAGEREF _Toc107232326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2022/23 and subsequent years</w:t>
      </w:r>
      <w:r>
        <w:tab/>
      </w:r>
      <w:r>
        <w:fldChar w:fldCharType="begin"/>
      </w:r>
      <w:r>
        <w:instrText xml:space="preserve"> PAGEREF _Toc107232328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long</w:t>
      </w:r>
      <w:r>
        <w:noBreakHyphen/>
        <w:t>term residential caravan bays and park homes</w:t>
      </w:r>
      <w:r>
        <w:tab/>
      </w:r>
      <w:r>
        <w:fldChar w:fldCharType="begin"/>
      </w:r>
      <w:r>
        <w:instrText xml:space="preserve"> PAGEREF _Toc107232329 \h </w:instrText>
      </w:r>
      <w:r>
        <w:fldChar w:fldCharType="separate"/>
      </w:r>
      <w:r>
        <w:t>100</w:t>
      </w:r>
      <w:r>
        <w:fldChar w:fldCharType="end"/>
      </w:r>
    </w:p>
    <w:p>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_Toc107232330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_Toc107232331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_Toc107232332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_Toc107232333 \h </w:instrText>
      </w:r>
      <w:r>
        <w:fldChar w:fldCharType="separate"/>
      </w:r>
      <w:r>
        <w:t>101</w:t>
      </w:r>
      <w:r>
        <w:fldChar w:fldCharType="end"/>
      </w:r>
    </w:p>
    <w:p>
      <w:pPr>
        <w:pStyle w:val="TOC8"/>
        <w:rPr>
          <w:rFonts w:asciiTheme="minorHAnsi" w:eastAsiaTheme="minorEastAsia" w:hAnsiTheme="minorHAnsi" w:cstheme="minorBidi"/>
          <w:szCs w:val="22"/>
        </w:rPr>
      </w:pPr>
      <w:r>
        <w:t>7.</w:t>
      </w:r>
      <w:r>
        <w:tab/>
        <w:t>Concessional land</w:t>
      </w:r>
      <w:r>
        <w:tab/>
      </w:r>
      <w:r>
        <w:fldChar w:fldCharType="begin"/>
      </w:r>
      <w:r>
        <w:instrText xml:space="preserve"> PAGEREF _Toc107232334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2022/23 and subsequent years</w:t>
      </w:r>
      <w:r>
        <w:tab/>
      </w:r>
      <w:r>
        <w:fldChar w:fldCharType="begin"/>
      </w:r>
      <w:r>
        <w:instrText xml:space="preserve"> PAGEREF _Toc107232336 \h </w:instrText>
      </w:r>
      <w:r>
        <w:fldChar w:fldCharType="separate"/>
      </w:r>
      <w:r>
        <w:t>102</w:t>
      </w:r>
      <w:r>
        <w:fldChar w:fldCharType="end"/>
      </w:r>
    </w:p>
    <w:p>
      <w:pPr>
        <w:pStyle w:val="TOC8"/>
        <w:rPr>
          <w:rFonts w:asciiTheme="minorHAnsi" w:eastAsiaTheme="minorEastAsia" w:hAnsiTheme="minorHAnsi" w:cstheme="minorBidi"/>
          <w:szCs w:val="22"/>
        </w:rPr>
      </w:pPr>
      <w:r>
        <w:t>2.</w:t>
      </w:r>
      <w:r>
        <w:tab/>
        <w:t>Water provided as irrigation service</w:t>
      </w:r>
      <w:r>
        <w:tab/>
      </w:r>
      <w:r>
        <w:fldChar w:fldCharType="begin"/>
      </w:r>
      <w:r>
        <w:instrText xml:space="preserve"> PAGEREF _Toc107232337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Requests for sub</w:t>
      </w:r>
      <w:r>
        <w:noBreakHyphen/>
        <w:t>meter installations: multi</w:t>
      </w:r>
      <w:r>
        <w:noBreakHyphen/>
        <w:t>unit developments</w:t>
      </w:r>
      <w:r>
        <w:tab/>
      </w:r>
      <w:r>
        <w:fldChar w:fldCharType="begin"/>
      </w:r>
      <w:r>
        <w:instrText xml:space="preserve"> PAGEREF _Toc107232339 \h </w:instrText>
      </w:r>
      <w:r>
        <w:fldChar w:fldCharType="separate"/>
      </w:r>
      <w:r>
        <w:t>103</w:t>
      </w:r>
      <w:r>
        <w:fldChar w:fldCharType="end"/>
      </w:r>
    </w:p>
    <w:p>
      <w:pPr>
        <w:pStyle w:val="TOC8"/>
        <w:rPr>
          <w:rFonts w:asciiTheme="minorHAnsi" w:eastAsiaTheme="minorEastAsia" w:hAnsiTheme="minorHAnsi" w:cstheme="minorBidi"/>
          <w:szCs w:val="22"/>
        </w:rPr>
      </w:pPr>
      <w:r>
        <w:t>2.</w:t>
      </w:r>
      <w:r>
        <w:tab/>
        <w:t>Sub</w:t>
      </w:r>
      <w:r>
        <w:noBreakHyphen/>
        <w:t>meter installations: multi</w:t>
      </w:r>
      <w:r>
        <w:noBreakHyphen/>
        <w:t>unit developments</w:t>
      </w:r>
      <w:r>
        <w:tab/>
      </w:r>
      <w:r>
        <w:fldChar w:fldCharType="begin"/>
      </w:r>
      <w:r>
        <w:instrText xml:space="preserve"> PAGEREF _Toc107232340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_Toc107232341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_Toc107232342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_Toc107232343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_Toc107232344 \h </w:instrText>
      </w:r>
      <w:r>
        <w:fldChar w:fldCharType="separate"/>
      </w:r>
      <w:r>
        <w:t>104</w:t>
      </w:r>
      <w:r>
        <w:fldChar w:fldCharType="end"/>
      </w:r>
    </w:p>
    <w:p>
      <w:pPr>
        <w:pStyle w:val="TOC8"/>
        <w:rPr>
          <w:rFonts w:asciiTheme="minorHAnsi" w:eastAsiaTheme="minorEastAsia" w:hAnsiTheme="minorHAnsi" w:cstheme="minorBidi"/>
          <w:szCs w:val="22"/>
        </w:rPr>
      </w:pPr>
      <w:r>
        <w:lastRenderedPageBreak/>
        <w:t>7.</w:t>
      </w:r>
      <w:r>
        <w:tab/>
        <w:t>Relocating water supply connection</w:t>
      </w:r>
      <w:r>
        <w:tab/>
      </w:r>
      <w:r>
        <w:fldChar w:fldCharType="begin"/>
      </w:r>
      <w:r>
        <w:instrText xml:space="preserve"> PAGEREF _Toc107232345 \h </w:instrText>
      </w:r>
      <w:r>
        <w:fldChar w:fldCharType="separate"/>
      </w:r>
      <w:r>
        <w:t>104</w:t>
      </w:r>
      <w:r>
        <w:fldChar w:fldCharType="end"/>
      </w:r>
    </w:p>
    <w:p>
      <w:pPr>
        <w:pStyle w:val="TOC8"/>
        <w:rPr>
          <w:rFonts w:asciiTheme="minorHAnsi" w:eastAsiaTheme="minorEastAsia" w:hAnsiTheme="minorHAnsi" w:cstheme="minorBidi"/>
          <w:szCs w:val="22"/>
        </w:rPr>
      </w:pPr>
      <w:r>
        <w:t>8.</w:t>
      </w:r>
      <w:r>
        <w:tab/>
        <w:t>Proposal to connect to sewer</w:t>
      </w:r>
      <w:r>
        <w:tab/>
      </w:r>
      <w:r>
        <w:fldChar w:fldCharType="begin"/>
      </w:r>
      <w:r>
        <w:instrText xml:space="preserve"> PAGEREF _Toc107232346 \h </w:instrText>
      </w:r>
      <w:r>
        <w:fldChar w:fldCharType="separate"/>
      </w:r>
      <w:r>
        <w:t>105</w:t>
      </w:r>
      <w:r>
        <w:fldChar w:fldCharType="end"/>
      </w:r>
    </w:p>
    <w:p>
      <w:pPr>
        <w:pStyle w:val="TOC8"/>
        <w:rPr>
          <w:rFonts w:asciiTheme="minorHAnsi" w:eastAsiaTheme="minorEastAsia" w:hAnsiTheme="minorHAnsi" w:cstheme="minorBidi"/>
          <w:szCs w:val="22"/>
        </w:rPr>
      </w:pPr>
      <w:r>
        <w:t>9.</w:t>
      </w:r>
      <w:r>
        <w:tab/>
        <w:t>Installing sewer junction</w:t>
      </w:r>
      <w:r>
        <w:tab/>
      </w:r>
      <w:r>
        <w:fldChar w:fldCharType="begin"/>
      </w:r>
      <w:r>
        <w:instrText xml:space="preserve"> PAGEREF _Toc107232347 \h </w:instrText>
      </w:r>
      <w:r>
        <w:fldChar w:fldCharType="separate"/>
      </w:r>
      <w:r>
        <w:t>106</w:t>
      </w:r>
      <w:r>
        <w:fldChar w:fldCharType="end"/>
      </w:r>
    </w:p>
    <w:p>
      <w:pPr>
        <w:pStyle w:val="TOC8"/>
        <w:rPr>
          <w:rFonts w:asciiTheme="minorHAnsi" w:eastAsiaTheme="minorEastAsia" w:hAnsiTheme="minorHAnsi" w:cstheme="minorBidi"/>
          <w:szCs w:val="22"/>
        </w:rPr>
      </w:pPr>
      <w:r>
        <w:t>10.</w:t>
      </w:r>
      <w:r>
        <w:tab/>
        <w:t>Hire of standpipe for fire hydrant</w:t>
      </w:r>
      <w:r>
        <w:tab/>
      </w:r>
      <w:r>
        <w:fldChar w:fldCharType="begin"/>
      </w:r>
      <w:r>
        <w:instrText xml:space="preserve"> PAGEREF _Toc107232348 \h </w:instrText>
      </w:r>
      <w:r>
        <w:fldChar w:fldCharType="separate"/>
      </w:r>
      <w:r>
        <w:t>106</w:t>
      </w:r>
      <w:r>
        <w:fldChar w:fldCharType="end"/>
      </w:r>
    </w:p>
    <w:p>
      <w:pPr>
        <w:pStyle w:val="TOC8"/>
        <w:rPr>
          <w:rFonts w:asciiTheme="minorHAnsi" w:eastAsiaTheme="minorEastAsia" w:hAnsiTheme="minorHAnsi" w:cstheme="minorBidi"/>
          <w:szCs w:val="22"/>
        </w:rPr>
      </w:pPr>
      <w:r>
        <w:t>11.</w:t>
      </w:r>
      <w:r>
        <w:tab/>
        <w:t>Trade waste: services in relation to discharge</w:t>
      </w:r>
      <w:r>
        <w:tab/>
      </w:r>
      <w:r>
        <w:fldChar w:fldCharType="begin"/>
      </w:r>
      <w:r>
        <w:instrText xml:space="preserve"> PAGEREF _Toc107232349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product evaluation services</w:t>
      </w:r>
      <w:r>
        <w:tab/>
      </w:r>
      <w:r>
        <w:fldChar w:fldCharType="begin"/>
      </w:r>
      <w:r>
        <w:instrText xml:space="preserve"> PAGEREF _Toc107232350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one</w:t>
      </w:r>
      <w:r>
        <w:noBreakHyphen/>
        <w:t>off discharge services</w:t>
      </w:r>
      <w:r>
        <w:tab/>
      </w:r>
      <w:r>
        <w:fldChar w:fldCharType="begin"/>
      </w:r>
      <w:r>
        <w:instrText xml:space="preserve"> PAGEREF _Toc107232351 \h </w:instrText>
      </w:r>
      <w:r>
        <w:fldChar w:fldCharType="separate"/>
      </w:r>
      <w:r>
        <w:t>107</w:t>
      </w:r>
      <w:r>
        <w:fldChar w:fldCharType="end"/>
      </w:r>
    </w:p>
    <w:p>
      <w:pPr>
        <w:pStyle w:val="TOC8"/>
        <w:rPr>
          <w:rFonts w:asciiTheme="minorHAnsi" w:eastAsiaTheme="minorEastAsia" w:hAnsiTheme="minorHAnsi" w:cstheme="minorBidi"/>
          <w:szCs w:val="22"/>
        </w:rPr>
      </w:pPr>
      <w:r>
        <w:t>14.</w:t>
      </w:r>
      <w:r>
        <w:tab/>
        <w:t>Meter reading and other information</w:t>
      </w:r>
      <w:r>
        <w:tab/>
      </w:r>
      <w:r>
        <w:fldChar w:fldCharType="begin"/>
      </w:r>
      <w:r>
        <w:instrText xml:space="preserve"> PAGEREF _Toc107232352 \h </w:instrText>
      </w:r>
      <w:r>
        <w:fldChar w:fldCharType="separate"/>
      </w:r>
      <w:r>
        <w:t>107</w:t>
      </w:r>
      <w:r>
        <w:fldChar w:fldCharType="end"/>
      </w:r>
    </w:p>
    <w:p>
      <w:pPr>
        <w:pStyle w:val="TOC8"/>
        <w:rPr>
          <w:rFonts w:asciiTheme="minorHAnsi" w:eastAsiaTheme="minorEastAsia" w:hAnsiTheme="minorHAnsi" w:cstheme="minorBidi"/>
          <w:szCs w:val="22"/>
        </w:rPr>
      </w:pPr>
      <w:r>
        <w:t>15.</w:t>
      </w:r>
      <w:r>
        <w:tab/>
        <w:t>Copies of records</w:t>
      </w:r>
      <w:r>
        <w:tab/>
      </w:r>
      <w:r>
        <w:fldChar w:fldCharType="begin"/>
      </w:r>
      <w:r>
        <w:instrText xml:space="preserve"> PAGEREF _Toc107232353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_Toc107232356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_Toc107232360 \h </w:instrText>
      </w:r>
      <w:r>
        <w:fldChar w:fldCharType="separate"/>
      </w:r>
      <w:r>
        <w:t>132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_Toc107232361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3" w:name="_Toc106790118"/>
      <w:bookmarkStart w:id="4" w:name="_Toc106869043"/>
      <w:bookmarkStart w:id="5" w:name="_Toc106871921"/>
      <w:bookmarkStart w:id="6" w:name="_Toc10723213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07232136"/>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9" w:name="_Toc107232137"/>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0" w:name="_Toc107232138"/>
      <w:r>
        <w:rPr>
          <w:rStyle w:val="CharSectno"/>
        </w:rPr>
        <w:t>3</w:t>
      </w:r>
      <w:r>
        <w:t>.</w:t>
      </w:r>
      <w:r>
        <w:tab/>
        <w:t>Terms used</w:t>
      </w:r>
      <w:bookmarkEnd w:id="10"/>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1" w:name="_Toc106790122"/>
      <w:bookmarkStart w:id="12" w:name="_Toc106869047"/>
      <w:bookmarkStart w:id="13" w:name="_Toc106871925"/>
      <w:bookmarkStart w:id="14" w:name="_Toc107232139"/>
      <w:r>
        <w:rPr>
          <w:rStyle w:val="CharPartNo"/>
        </w:rPr>
        <w:lastRenderedPageBreak/>
        <w:t>Part 2</w:t>
      </w:r>
      <w:r>
        <w:rPr>
          <w:rStyle w:val="CharDivNo"/>
        </w:rPr>
        <w:t> </w:t>
      </w:r>
      <w:r>
        <w:t>—</w:t>
      </w:r>
      <w:r>
        <w:rPr>
          <w:rStyle w:val="CharDivText"/>
        </w:rPr>
        <w:t> </w:t>
      </w:r>
      <w:r>
        <w:rPr>
          <w:rStyle w:val="CharPartText"/>
        </w:rPr>
        <w:t>General provisions</w:t>
      </w:r>
      <w:bookmarkEnd w:id="11"/>
      <w:bookmarkEnd w:id="12"/>
      <w:bookmarkEnd w:id="13"/>
      <w:bookmarkEnd w:id="14"/>
    </w:p>
    <w:p>
      <w:pPr>
        <w:pStyle w:val="Heading5"/>
      </w:pPr>
      <w:bookmarkStart w:id="15" w:name="_Toc107232140"/>
      <w:r>
        <w:rPr>
          <w:rStyle w:val="CharSectno"/>
        </w:rPr>
        <w:t>4</w:t>
      </w:r>
      <w:r>
        <w:t>.</w:t>
      </w:r>
      <w:r>
        <w:tab/>
        <w:t>Annual charges and pro rata annual charges</w:t>
      </w:r>
      <w:bookmarkEnd w:id="15"/>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6" w:name="_Toc107232141"/>
      <w:r>
        <w:rPr>
          <w:rStyle w:val="CharSectno"/>
        </w:rPr>
        <w:t>5</w:t>
      </w:r>
      <w:r>
        <w:t>.</w:t>
      </w:r>
      <w:r>
        <w:tab/>
        <w:t>Amendment of consumption or discharge charges during charge period</w:t>
      </w:r>
      <w:bookmarkEnd w:id="1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7" w:name="_Toc106790125"/>
      <w:bookmarkStart w:id="18" w:name="_Toc106869050"/>
      <w:bookmarkStart w:id="19" w:name="_Toc106871928"/>
      <w:bookmarkStart w:id="20" w:name="_Toc107232142"/>
      <w:r>
        <w:rPr>
          <w:rStyle w:val="CharPartNo"/>
        </w:rPr>
        <w:lastRenderedPageBreak/>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pPr>
        <w:pStyle w:val="Heading5"/>
      </w:pPr>
      <w:bookmarkStart w:id="21" w:name="_Toc107232143"/>
      <w:r>
        <w:rPr>
          <w:rStyle w:val="CharSectno"/>
        </w:rPr>
        <w:t>6</w:t>
      </w:r>
      <w:r>
        <w:t>.</w:t>
      </w:r>
      <w:r>
        <w:tab/>
        <w:t>Terms used</w:t>
      </w:r>
      <w:bookmarkEnd w:id="21"/>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22" w:name="_Toc107232144"/>
      <w:r>
        <w:rPr>
          <w:rStyle w:val="CharSectno"/>
        </w:rPr>
        <w:t>7</w:t>
      </w:r>
      <w:r>
        <w:t>.</w:t>
      </w:r>
      <w:r>
        <w:tab/>
        <w:t>Water supply charges</w:t>
      </w:r>
      <w:bookmarkEnd w:id="2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3" w:name="_Toc107232145"/>
      <w:r>
        <w:rPr>
          <w:rStyle w:val="CharSectno"/>
        </w:rPr>
        <w:t>9</w:t>
      </w:r>
      <w:r>
        <w:t>.</w:t>
      </w:r>
      <w:r>
        <w:tab/>
        <w:t>Concessions</w:t>
      </w:r>
      <w:bookmarkEnd w:id="23"/>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lastRenderedPageBreak/>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4" w:name="_Toc107232146"/>
      <w:r>
        <w:rPr>
          <w:rStyle w:val="CharSectno"/>
        </w:rPr>
        <w:t>10</w:t>
      </w:r>
      <w:r>
        <w:t>.</w:t>
      </w:r>
      <w:r>
        <w:tab/>
        <w:t>Interest accruing on overdue amounts</w:t>
      </w:r>
      <w:bookmarkEnd w:id="24"/>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25" w:name="_Toc106790130"/>
      <w:bookmarkStart w:id="26" w:name="_Toc106869055"/>
      <w:bookmarkStart w:id="27" w:name="_Toc106871933"/>
      <w:bookmarkStart w:id="28" w:name="_Toc107232147"/>
      <w:r>
        <w:rPr>
          <w:rStyle w:val="CharPartNo"/>
        </w:rPr>
        <w:lastRenderedPageBreak/>
        <w:t>Part 4</w:t>
      </w:r>
      <w:r>
        <w:rPr>
          <w:rStyle w:val="CharDivNo"/>
        </w:rPr>
        <w:t> </w:t>
      </w:r>
      <w:r>
        <w:t>—</w:t>
      </w:r>
      <w:r>
        <w:rPr>
          <w:rStyle w:val="CharDivText"/>
        </w:rPr>
        <w:t> </w:t>
      </w:r>
      <w:r>
        <w:rPr>
          <w:rStyle w:val="CharPartText"/>
        </w:rPr>
        <w:t>Charges for Busselton Water Corporation</w:t>
      </w:r>
      <w:bookmarkEnd w:id="25"/>
      <w:bookmarkEnd w:id="26"/>
      <w:bookmarkEnd w:id="27"/>
      <w:bookmarkEnd w:id="28"/>
    </w:p>
    <w:p>
      <w:pPr>
        <w:pStyle w:val="Heading5"/>
      </w:pPr>
      <w:bookmarkStart w:id="29" w:name="_Toc107232148"/>
      <w:r>
        <w:rPr>
          <w:rStyle w:val="CharSectno"/>
        </w:rPr>
        <w:t>11</w:t>
      </w:r>
      <w:r>
        <w:t>.</w:t>
      </w:r>
      <w:r>
        <w:tab/>
        <w:t>Terms used</w:t>
      </w:r>
      <w:bookmarkEnd w:id="29"/>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30" w:name="_Toc107232149"/>
      <w:r>
        <w:rPr>
          <w:rStyle w:val="CharSectno"/>
        </w:rPr>
        <w:t>12</w:t>
      </w:r>
      <w:r>
        <w:t>.</w:t>
      </w:r>
      <w:r>
        <w:tab/>
        <w:t>Water supply charges</w:t>
      </w:r>
      <w:bookmarkEnd w:id="30"/>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31" w:name="_Toc107232150"/>
      <w:r>
        <w:rPr>
          <w:rStyle w:val="CharSectno"/>
        </w:rPr>
        <w:t>14</w:t>
      </w:r>
      <w:r>
        <w:t>.</w:t>
      </w:r>
      <w:r>
        <w:tab/>
        <w:t>Concessions</w:t>
      </w:r>
      <w:bookmarkEnd w:id="3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2" w:name="_Toc107232151"/>
      <w:r>
        <w:rPr>
          <w:rStyle w:val="CharSectno"/>
        </w:rPr>
        <w:t>15A</w:t>
      </w:r>
      <w:r>
        <w:t>.</w:t>
      </w:r>
      <w:r>
        <w:tab/>
        <w:t>Permitted surcharge for using credit card or debit card</w:t>
      </w:r>
      <w:bookmarkEnd w:id="3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33" w:name="_Toc107232152"/>
      <w:r>
        <w:rPr>
          <w:rStyle w:val="CharSectno"/>
        </w:rPr>
        <w:lastRenderedPageBreak/>
        <w:t>15</w:t>
      </w:r>
      <w:r>
        <w:t>.</w:t>
      </w:r>
      <w:r>
        <w:tab/>
        <w:t>Interest accruing on overdue amounts</w:t>
      </w:r>
      <w:bookmarkEnd w:id="33"/>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34" w:name="_Toc106790136"/>
      <w:bookmarkStart w:id="35" w:name="_Toc106869061"/>
      <w:bookmarkStart w:id="36" w:name="_Toc106871939"/>
      <w:bookmarkStart w:id="37" w:name="_Toc107232153"/>
      <w:r>
        <w:rPr>
          <w:rStyle w:val="CharPartNo"/>
        </w:rPr>
        <w:lastRenderedPageBreak/>
        <w:t>Part 5</w:t>
      </w:r>
      <w:r>
        <w:t> — </w:t>
      </w:r>
      <w:r>
        <w:rPr>
          <w:rStyle w:val="CharPartText"/>
        </w:rPr>
        <w:t>Charges for the Water Corporation</w:t>
      </w:r>
      <w:bookmarkEnd w:id="34"/>
      <w:bookmarkEnd w:id="35"/>
      <w:bookmarkEnd w:id="36"/>
      <w:bookmarkEnd w:id="37"/>
    </w:p>
    <w:p>
      <w:pPr>
        <w:pStyle w:val="Heading3"/>
      </w:pPr>
      <w:bookmarkStart w:id="38" w:name="_Toc106790137"/>
      <w:bookmarkStart w:id="39" w:name="_Toc106869062"/>
      <w:bookmarkStart w:id="40" w:name="_Toc106871940"/>
      <w:bookmarkStart w:id="41" w:name="_Toc107232154"/>
      <w:r>
        <w:rPr>
          <w:rStyle w:val="CharDivNo"/>
        </w:rPr>
        <w:t>Division 1</w:t>
      </w:r>
      <w:r>
        <w:t> — </w:t>
      </w:r>
      <w:r>
        <w:rPr>
          <w:rStyle w:val="CharDivText"/>
        </w:rPr>
        <w:t>Preliminary</w:t>
      </w:r>
      <w:bookmarkEnd w:id="38"/>
      <w:bookmarkEnd w:id="39"/>
      <w:bookmarkEnd w:id="40"/>
      <w:bookmarkEnd w:id="41"/>
    </w:p>
    <w:p>
      <w:pPr>
        <w:pStyle w:val="Heading5"/>
      </w:pPr>
      <w:bookmarkStart w:id="42" w:name="_Toc107232155"/>
      <w:r>
        <w:rPr>
          <w:rStyle w:val="CharSectno"/>
        </w:rPr>
        <w:t>16</w:t>
      </w:r>
      <w:r>
        <w:t>.</w:t>
      </w:r>
      <w:r>
        <w:tab/>
        <w:t>Terms used</w:t>
      </w:r>
      <w:bookmarkEnd w:id="42"/>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lastRenderedPageBreak/>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w:t>
      </w:r>
      <w:r>
        <w:lastRenderedPageBreak/>
        <w:t xml:space="preserve">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Housing Authority</w:t>
      </w:r>
      <w:r>
        <w:t xml:space="preserve"> means the Housing Authority referred to in the </w:t>
      </w:r>
      <w:r>
        <w:rPr>
          <w:i/>
        </w:rPr>
        <w:t>Housing Act 1980</w:t>
      </w:r>
      <w:r>
        <w:t xml:space="preserve"> section 6(4);</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lastRenderedPageBreak/>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keepNext/>
      </w:pPr>
      <w:r>
        <w:lastRenderedPageBreak/>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xml:space="preserve">, the reference to land that could be classified as residential is a reference to land that </w:t>
      </w:r>
      <w:r>
        <w:lastRenderedPageBreak/>
        <w:t>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 SL 2022/82 r. 4.]</w:t>
      </w:r>
    </w:p>
    <w:p>
      <w:pPr>
        <w:pStyle w:val="Heading5"/>
      </w:pPr>
      <w:bookmarkStart w:id="43" w:name="_Toc107232156"/>
      <w:r>
        <w:rPr>
          <w:rStyle w:val="CharSectno"/>
        </w:rPr>
        <w:t>17</w:t>
      </w:r>
      <w:r>
        <w:t>.</w:t>
      </w:r>
      <w:r>
        <w:tab/>
        <w:t>Concessional land</w:t>
      </w:r>
      <w:bookmarkEnd w:id="43"/>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lastRenderedPageBreak/>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lastRenderedPageBreak/>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4" w:name="_Toc106790140"/>
      <w:bookmarkStart w:id="45" w:name="_Toc106869065"/>
      <w:bookmarkStart w:id="46" w:name="_Toc106871943"/>
      <w:bookmarkStart w:id="47" w:name="_Toc107232157"/>
      <w:r>
        <w:rPr>
          <w:rStyle w:val="CharDivNo"/>
        </w:rPr>
        <w:t>Division 2</w:t>
      </w:r>
      <w:r>
        <w:t> — </w:t>
      </w:r>
      <w:r>
        <w:rPr>
          <w:rStyle w:val="CharDivText"/>
        </w:rPr>
        <w:t>Provisions of general application</w:t>
      </w:r>
      <w:bookmarkEnd w:id="44"/>
      <w:bookmarkEnd w:id="45"/>
      <w:bookmarkEnd w:id="46"/>
      <w:bookmarkEnd w:id="47"/>
    </w:p>
    <w:p>
      <w:pPr>
        <w:pStyle w:val="Heading5"/>
      </w:pPr>
      <w:bookmarkStart w:id="48" w:name="_Toc107232158"/>
      <w:r>
        <w:rPr>
          <w:rStyle w:val="CharSectno"/>
        </w:rPr>
        <w:t>18</w:t>
      </w:r>
      <w:r>
        <w:t>.</w:t>
      </w:r>
      <w:r>
        <w:tab/>
        <w:t>Application of this Division</w:t>
      </w:r>
      <w:bookmarkEnd w:id="48"/>
    </w:p>
    <w:p>
      <w:pPr>
        <w:pStyle w:val="Subsection"/>
      </w:pPr>
      <w:r>
        <w:tab/>
      </w:r>
      <w:r>
        <w:tab/>
        <w:t>This Division applies to water service charges applicable under Divisions 3, 4, 5 and 6.</w:t>
      </w:r>
    </w:p>
    <w:p>
      <w:pPr>
        <w:pStyle w:val="Heading5"/>
      </w:pPr>
      <w:bookmarkStart w:id="49" w:name="_Toc107232159"/>
      <w:r>
        <w:rPr>
          <w:rStyle w:val="CharSectno"/>
        </w:rPr>
        <w:t>19</w:t>
      </w:r>
      <w:r>
        <w:t>.</w:t>
      </w:r>
      <w:r>
        <w:tab/>
        <w:t>Payment of charges</w:t>
      </w:r>
      <w:bookmarkEnd w:id="49"/>
    </w:p>
    <w:p>
      <w:pPr>
        <w:pStyle w:val="Subsection"/>
      </w:pPr>
      <w:r>
        <w:tab/>
        <w:t>(1)</w:t>
      </w:r>
      <w:r>
        <w:tab/>
        <w:t xml:space="preserve">In this regulation — </w:t>
      </w:r>
    </w:p>
    <w:p>
      <w:pPr>
        <w:pStyle w:val="Defstart"/>
      </w:pPr>
      <w:r>
        <w:lastRenderedPageBreak/>
        <w:tab/>
      </w:r>
      <w:r>
        <w:rPr>
          <w:rStyle w:val="CharDefText"/>
        </w:rPr>
        <w:t>trade waste charge</w:t>
      </w:r>
      <w:r>
        <w:t xml:space="preserve"> means a water service charge set out in Schedule 4 item 7, 8, 9 or 32 or Schedule 7 item 11, 12 or 13.</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11, 12 or 13.</w:t>
      </w:r>
    </w:p>
    <w:p>
      <w:pPr>
        <w:pStyle w:val="Footnotesection"/>
      </w:pPr>
      <w:r>
        <w:tab/>
        <w:t>[Regulation 19 amended: SL 2022/82 r. 5.]</w:t>
      </w:r>
    </w:p>
    <w:p>
      <w:pPr>
        <w:pStyle w:val="Heading5"/>
      </w:pPr>
      <w:bookmarkStart w:id="50" w:name="_Toc107232160"/>
      <w:r>
        <w:rPr>
          <w:rStyle w:val="CharSectno"/>
        </w:rPr>
        <w:t>20</w:t>
      </w:r>
      <w:r>
        <w:t>.</w:t>
      </w:r>
      <w:r>
        <w:tab/>
        <w:t>Permitted surcharge for using credit card or debit card</w:t>
      </w:r>
      <w:bookmarkEnd w:id="5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lastRenderedPageBreak/>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51" w:name="_Toc107232161"/>
      <w:r>
        <w:rPr>
          <w:rStyle w:val="CharSectno"/>
        </w:rPr>
        <w:t>21</w:t>
      </w:r>
      <w:r>
        <w:t>.</w:t>
      </w:r>
      <w:r>
        <w:tab/>
        <w:t>Special payment arrangements</w:t>
      </w:r>
      <w:bookmarkEnd w:id="51"/>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2" w:name="_Toc107232162"/>
      <w:r>
        <w:rPr>
          <w:rStyle w:val="CharSectno"/>
        </w:rPr>
        <w:t>22</w:t>
      </w:r>
      <w:r>
        <w:t>.</w:t>
      </w:r>
      <w:r>
        <w:tab/>
        <w:t>Estimating quantity of water or wastewater supplied, discharged or drained</w:t>
      </w:r>
      <w:bookmarkEnd w:id="52"/>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lastRenderedPageBreak/>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lastRenderedPageBreak/>
        <w:tab/>
        <w:t>(5)</w:t>
      </w:r>
      <w:r>
        <w:tab/>
        <w:t>This regulation does not apply in relation to the calculation of water service charges for the discharge of trade waste.</w:t>
      </w:r>
    </w:p>
    <w:p>
      <w:pPr>
        <w:pStyle w:val="Heading5"/>
      </w:pPr>
      <w:bookmarkStart w:id="53" w:name="_Toc107232163"/>
      <w:r>
        <w:rPr>
          <w:rStyle w:val="CharSectno"/>
        </w:rPr>
        <w:t>23</w:t>
      </w:r>
      <w:r>
        <w:t>.</w:t>
      </w:r>
      <w:r>
        <w:tab/>
        <w:t>Determining quality and quantity of trade waste discharged</w:t>
      </w:r>
      <w:bookmarkEnd w:id="53"/>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lastRenderedPageBreak/>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54" w:name="_Toc107232164"/>
      <w:r>
        <w:rPr>
          <w:rStyle w:val="CharSectno"/>
        </w:rPr>
        <w:lastRenderedPageBreak/>
        <w:t>24</w:t>
      </w:r>
      <w:r>
        <w:t>.</w:t>
      </w:r>
      <w:r>
        <w:tab/>
        <w:t>Vacant land: minimum charges before revaluation</w:t>
      </w:r>
      <w:bookmarkEnd w:id="54"/>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13;</w:t>
      </w:r>
    </w:p>
    <w:p>
      <w:pPr>
        <w:pStyle w:val="Indenta"/>
      </w:pPr>
      <w:r>
        <w:tab/>
        <w:t>(b)</w:t>
      </w:r>
      <w:r>
        <w:tab/>
        <w:t>for a sewerage service — the applicable charge set out in Schedule 4 item 3 or 12(6);</w:t>
      </w:r>
    </w:p>
    <w:p>
      <w:pPr>
        <w:pStyle w:val="Indenta"/>
      </w:pPr>
      <w:r>
        <w:tab/>
        <w:t>(c)</w:t>
      </w:r>
      <w:r>
        <w:tab/>
        <w:t>for a drainage service — the charge set out in Schedule 5 item 5.</w:t>
      </w:r>
    </w:p>
    <w:p>
      <w:pPr>
        <w:pStyle w:val="Footnotesection"/>
      </w:pPr>
      <w:r>
        <w:tab/>
        <w:t>[Regulation 24 amended: SL 2022/82 r. 6.]</w:t>
      </w:r>
    </w:p>
    <w:p>
      <w:pPr>
        <w:pStyle w:val="Heading5"/>
      </w:pPr>
      <w:bookmarkStart w:id="55" w:name="_Toc107232165"/>
      <w:r>
        <w:rPr>
          <w:rStyle w:val="CharSectno"/>
        </w:rPr>
        <w:t>25</w:t>
      </w:r>
      <w:r>
        <w:t>.</w:t>
      </w:r>
      <w:r>
        <w:tab/>
        <w:t>Classification of land</w:t>
      </w:r>
      <w:bookmarkEnd w:id="5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56" w:name="_Toc107232166"/>
      <w:r>
        <w:rPr>
          <w:rStyle w:val="CharSectno"/>
        </w:rPr>
        <w:lastRenderedPageBreak/>
        <w:t>26</w:t>
      </w:r>
      <w:r>
        <w:t>.</w:t>
      </w:r>
      <w:r>
        <w:tab/>
        <w:t>Classification of land: holiday accommodation</w:t>
      </w:r>
      <w:bookmarkEnd w:id="56"/>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7" w:name="_Toc107232167"/>
      <w:r>
        <w:rPr>
          <w:rStyle w:val="CharSectno"/>
        </w:rPr>
        <w:t>27</w:t>
      </w:r>
      <w:r>
        <w:t>.</w:t>
      </w:r>
      <w:r>
        <w:tab/>
        <w:t>Commercial caravan parks</w:t>
      </w:r>
      <w:bookmarkEnd w:id="57"/>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lastRenderedPageBreak/>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 xml:space="preserve">See Schedule 4 </w:t>
      </w:r>
      <w:r>
        <w:rPr>
          <w:rFonts w:cs="Arial"/>
          <w:szCs w:val="18"/>
        </w:rPr>
        <w:t>items 16 and 23</w:t>
      </w:r>
      <w:r>
        <w:t xml:space="preserve">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Footnotesection"/>
      </w:pPr>
      <w:r>
        <w:tab/>
        <w:t>[Regulation 27 amended: SL 2022/82 r. 7.]</w:t>
      </w:r>
    </w:p>
    <w:p>
      <w:pPr>
        <w:pStyle w:val="Heading5"/>
      </w:pPr>
      <w:bookmarkStart w:id="58" w:name="_Toc107232168"/>
      <w:r>
        <w:rPr>
          <w:rStyle w:val="CharSectno"/>
        </w:rPr>
        <w:t>28</w:t>
      </w:r>
      <w:r>
        <w:t>.</w:t>
      </w:r>
      <w:r>
        <w:tab/>
        <w:t>Maximum increases for various GRV based charges</w:t>
      </w:r>
      <w:bookmarkEnd w:id="58"/>
    </w:p>
    <w:p>
      <w:pPr>
        <w:pStyle w:val="Subsection"/>
      </w:pPr>
      <w:r>
        <w:tab/>
        <w:t>(1)</w:t>
      </w:r>
      <w:r>
        <w:tab/>
        <w:t>If, for a financial year, a water service charge calculated in respect of land under Schedule 4 item 2, 3 or 12 or Schedule 5 item 6 is more than 12.5% greater than the charge payable in respect of the land for the same service under the same circumstances in the previous financial year, the charge payable for the financial year cannot be more than 12.5%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lastRenderedPageBreak/>
        <w:tab/>
        <w:t>(3)</w:t>
      </w:r>
      <w:r>
        <w:tab/>
        <w:t xml:space="preserve">If, because of a change of circumstances in a financial year, a water service charge set out in Schedule 4 item 2, 3 or 12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 SL 2022/82 r. 8.]</w:t>
      </w:r>
    </w:p>
    <w:p>
      <w:pPr>
        <w:pStyle w:val="Ednotesection"/>
      </w:pPr>
      <w:r>
        <w:t>[</w:t>
      </w:r>
      <w:r>
        <w:rPr>
          <w:b/>
        </w:rPr>
        <w:t>28A.</w:t>
      </w:r>
      <w:r>
        <w:tab/>
        <w:t>Deleted: SL 2021/80 r. 7.]</w:t>
      </w:r>
    </w:p>
    <w:p>
      <w:pPr>
        <w:pStyle w:val="Heading5"/>
      </w:pPr>
      <w:bookmarkStart w:id="59" w:name="_Toc107232169"/>
      <w:r>
        <w:rPr>
          <w:rStyle w:val="CharSectno"/>
        </w:rPr>
        <w:lastRenderedPageBreak/>
        <w:t>29</w:t>
      </w:r>
      <w:r>
        <w:t>.</w:t>
      </w:r>
      <w:r>
        <w:tab/>
        <w:t>Interest accruing on overdue amounts</w:t>
      </w:r>
      <w:bookmarkEnd w:id="59"/>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60" w:name="_Toc106790153"/>
      <w:bookmarkStart w:id="61" w:name="_Toc106869078"/>
      <w:bookmarkStart w:id="62" w:name="_Toc106871956"/>
      <w:bookmarkStart w:id="63" w:name="_Toc107232170"/>
      <w:r>
        <w:rPr>
          <w:rStyle w:val="CharDivNo"/>
        </w:rPr>
        <w:t>Division 3</w:t>
      </w:r>
      <w:r>
        <w:t> — </w:t>
      </w:r>
      <w:r>
        <w:rPr>
          <w:rStyle w:val="CharDivText"/>
        </w:rPr>
        <w:t>Water supply charges</w:t>
      </w:r>
      <w:bookmarkEnd w:id="60"/>
      <w:bookmarkEnd w:id="61"/>
      <w:bookmarkEnd w:id="62"/>
      <w:bookmarkEnd w:id="63"/>
    </w:p>
    <w:p>
      <w:pPr>
        <w:pStyle w:val="Heading5"/>
      </w:pPr>
      <w:bookmarkStart w:id="64" w:name="_Toc107232171"/>
      <w:r>
        <w:rPr>
          <w:rStyle w:val="CharSectno"/>
        </w:rPr>
        <w:t>30</w:t>
      </w:r>
      <w:r>
        <w:t>.</w:t>
      </w:r>
      <w:r>
        <w:tab/>
        <w:t>Land connected to water supply works</w:t>
      </w:r>
      <w:bookmarkEnd w:id="64"/>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65" w:name="_Toc107232172"/>
      <w:r>
        <w:rPr>
          <w:rStyle w:val="CharSectno"/>
        </w:rPr>
        <w:t>31</w:t>
      </w:r>
      <w:r>
        <w:t>.</w:t>
      </w:r>
      <w:r>
        <w:tab/>
        <w:t>Water supply charges</w:t>
      </w:r>
      <w:bookmarkEnd w:id="65"/>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lastRenderedPageBreak/>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is land that is not classified capital infrastructure but is reasonably capable of being supplied by the Water Corporation with water from works provided in relation to land that is so classified.</w:t>
      </w:r>
    </w:p>
    <w:p>
      <w:pPr>
        <w:pStyle w:val="Footnotesection"/>
      </w:pPr>
      <w:r>
        <w:tab/>
        <w:t>[Regulation 31 amended: SL 2022/82 r. 9.]</w:t>
      </w:r>
    </w:p>
    <w:p>
      <w:pPr>
        <w:pStyle w:val="Heading5"/>
        <w:spacing w:before="180"/>
      </w:pPr>
      <w:bookmarkStart w:id="66" w:name="_Toc107232173"/>
      <w:r>
        <w:rPr>
          <w:rStyle w:val="CharSectno"/>
        </w:rPr>
        <w:t>32</w:t>
      </w:r>
      <w:r>
        <w:t>.</w:t>
      </w:r>
      <w:r>
        <w:tab/>
        <w:t>Classification of land</w:t>
      </w:r>
      <w:bookmarkEnd w:id="66"/>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lastRenderedPageBreak/>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lastRenderedPageBreak/>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lastRenderedPageBreak/>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 SL 2022/82 r. 10.]</w:t>
      </w:r>
    </w:p>
    <w:p>
      <w:pPr>
        <w:pStyle w:val="Heading5"/>
        <w:keepLines w:val="0"/>
        <w:widowControl w:val="0"/>
      </w:pPr>
      <w:bookmarkStart w:id="67" w:name="_Toc107232174"/>
      <w:r>
        <w:rPr>
          <w:rStyle w:val="CharSectno"/>
        </w:rPr>
        <w:t>33</w:t>
      </w:r>
      <w:r>
        <w:t>.</w:t>
      </w:r>
      <w:r>
        <w:tab/>
        <w:t>Change of occupancy during year</w:t>
      </w:r>
      <w:bookmarkEnd w:id="67"/>
    </w:p>
    <w:p>
      <w:pPr>
        <w:pStyle w:val="Subsection"/>
        <w:keepNext/>
      </w:pPr>
      <w:r>
        <w:tab/>
        <w:t>(1)</w:t>
      </w:r>
      <w:r>
        <w:tab/>
        <w:t xml:space="preserve">If — </w:t>
      </w:r>
    </w:p>
    <w:p>
      <w:pPr>
        <w:pStyle w:val="Indenta"/>
      </w:pPr>
      <w:r>
        <w:tab/>
        <w:t>(a)</w:t>
      </w:r>
      <w:r>
        <w:tab/>
        <w:t>there is a change in the occupation of a land to which a water service charge set out in Schedule 3 item 25 or 29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 SL 2022/82 r. 11.]</w:t>
      </w:r>
    </w:p>
    <w:p>
      <w:pPr>
        <w:pStyle w:val="Heading5"/>
        <w:keepNext w:val="0"/>
        <w:keepLines w:val="0"/>
        <w:spacing w:before="160"/>
      </w:pPr>
      <w:bookmarkStart w:id="68" w:name="_Toc107232175"/>
      <w:r>
        <w:rPr>
          <w:rStyle w:val="CharSectno"/>
        </w:rPr>
        <w:lastRenderedPageBreak/>
        <w:t>34</w:t>
      </w:r>
      <w:r>
        <w:t>.</w:t>
      </w:r>
      <w:r>
        <w:tab/>
        <w:t>Concessions: consumption charges</w:t>
      </w:r>
      <w:bookmarkEnd w:id="68"/>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lastRenderedPageBreak/>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69" w:name="_Toc107232176"/>
      <w:r>
        <w:rPr>
          <w:rStyle w:val="CharSectno"/>
        </w:rPr>
        <w:t>35</w:t>
      </w:r>
      <w:r>
        <w:t>.</w:t>
      </w:r>
      <w:r>
        <w:tab/>
        <w:t>Concessions: certain occupiers of multi</w:t>
      </w:r>
      <w:r>
        <w:noBreakHyphen/>
        <w:t>unit developments</w:t>
      </w:r>
      <w:bookmarkEnd w:id="69"/>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lastRenderedPageBreak/>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lastRenderedPageBreak/>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70" w:name="_Toc107232177"/>
      <w:r>
        <w:rPr>
          <w:rStyle w:val="CharSectno"/>
        </w:rPr>
        <w:t>36</w:t>
      </w:r>
      <w:r>
        <w:t>.</w:t>
      </w:r>
      <w:r>
        <w:tab/>
        <w:t>Concessions: certain retirement village residents</w:t>
      </w:r>
      <w:bookmarkEnd w:id="70"/>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71" w:name="_Toc107232178"/>
      <w:r>
        <w:rPr>
          <w:rStyle w:val="CharSectno"/>
        </w:rPr>
        <w:lastRenderedPageBreak/>
        <w:t>36A</w:t>
      </w:r>
      <w:r>
        <w:t>.</w:t>
      </w:r>
      <w:r>
        <w:tab/>
        <w:t>Water supplied through commercial standpipes within areas over which a water deficiency declaration applies</w:t>
      </w:r>
      <w:bookmarkEnd w:id="71"/>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35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lastRenderedPageBreak/>
        <w:tab/>
        <w:t>[Regulation 36A inserted: SL 2020/95 r. 8; amended: SL 2022/82 r. 12.]</w:t>
      </w:r>
    </w:p>
    <w:p>
      <w:pPr>
        <w:pStyle w:val="Heading3"/>
        <w:keepNext w:val="0"/>
        <w:widowControl w:val="0"/>
      </w:pPr>
      <w:bookmarkStart w:id="72" w:name="_Toc106790162"/>
      <w:bookmarkStart w:id="73" w:name="_Toc106869087"/>
      <w:bookmarkStart w:id="74" w:name="_Toc106871965"/>
      <w:bookmarkStart w:id="75" w:name="_Toc107232179"/>
      <w:r>
        <w:rPr>
          <w:rStyle w:val="CharDivNo"/>
        </w:rPr>
        <w:t>Division 4</w:t>
      </w:r>
      <w:r>
        <w:t> — </w:t>
      </w:r>
      <w:r>
        <w:rPr>
          <w:rStyle w:val="CharDivText"/>
        </w:rPr>
        <w:t>Sewerage charges</w:t>
      </w:r>
      <w:bookmarkEnd w:id="72"/>
      <w:bookmarkEnd w:id="73"/>
      <w:bookmarkEnd w:id="74"/>
      <w:bookmarkEnd w:id="75"/>
    </w:p>
    <w:p>
      <w:pPr>
        <w:pStyle w:val="Heading5"/>
      </w:pPr>
      <w:bookmarkStart w:id="76" w:name="_Toc107232180"/>
      <w:r>
        <w:rPr>
          <w:rStyle w:val="CharSectno"/>
        </w:rPr>
        <w:t>37</w:t>
      </w:r>
      <w:r>
        <w:t>.</w:t>
      </w:r>
      <w:r>
        <w:tab/>
        <w:t>Land connected to sewerage works</w:t>
      </w:r>
      <w:bookmarkEnd w:id="76"/>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77" w:name="_Toc107232181"/>
      <w:r>
        <w:rPr>
          <w:rStyle w:val="CharSectno"/>
        </w:rPr>
        <w:t>38</w:t>
      </w:r>
      <w:r>
        <w:t>.</w:t>
      </w:r>
      <w:r>
        <w:tab/>
        <w:t>Sewerage areas</w:t>
      </w:r>
      <w:bookmarkEnd w:id="77"/>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w:t>
      </w:r>
      <w:r>
        <w:lastRenderedPageBreak/>
        <w:t xml:space="preserve">Orders in Council made under the </w:t>
      </w:r>
      <w:r>
        <w:rPr>
          <w:i/>
        </w:rPr>
        <w:t>Country Towns Sewerage Act 1948</w:t>
      </w:r>
      <w:r>
        <w:rPr>
          <w:vertAlign w:val="superscript"/>
        </w:rPr>
        <w:t> 3</w:t>
      </w:r>
      <w:r>
        <w:t xml:space="preserve"> section 4.</w:t>
      </w:r>
    </w:p>
    <w:p>
      <w:pPr>
        <w:pStyle w:val="Heading5"/>
        <w:spacing w:before="180"/>
      </w:pPr>
      <w:bookmarkStart w:id="78" w:name="_Toc107232182"/>
      <w:r>
        <w:rPr>
          <w:rStyle w:val="CharSectno"/>
        </w:rPr>
        <w:t>39</w:t>
      </w:r>
      <w:r>
        <w:t>.</w:t>
      </w:r>
      <w:r>
        <w:tab/>
        <w:t>Sewerage charges</w:t>
      </w:r>
      <w:bookmarkEnd w:id="78"/>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Ednotesubsection"/>
      </w:pPr>
      <w:r>
        <w:tab/>
        <w:t>[(4)</w:t>
      </w:r>
      <w:r>
        <w:tab/>
        <w:t>deleted]</w:t>
      </w:r>
    </w:p>
    <w:p>
      <w:pPr>
        <w:pStyle w:val="Footnotesection"/>
      </w:pPr>
      <w:r>
        <w:tab/>
        <w:t>[Regulation 39 amended: SL 2022/82 r. 13.]</w:t>
      </w:r>
    </w:p>
    <w:p>
      <w:pPr>
        <w:pStyle w:val="Heading5"/>
      </w:pPr>
      <w:bookmarkStart w:id="79" w:name="_Toc107232183"/>
      <w:r>
        <w:rPr>
          <w:rStyle w:val="CharSectno"/>
        </w:rPr>
        <w:t>40</w:t>
      </w:r>
      <w:r>
        <w:t>.</w:t>
      </w:r>
      <w:r>
        <w:tab/>
        <w:t>Classification of land</w:t>
      </w:r>
      <w:bookmarkEnd w:id="79"/>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lastRenderedPageBreak/>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 xml:space="preserve">institutional public — if the Water Corporation is satisfied that the land is used by a club or association, or </w:t>
      </w:r>
      <w:r>
        <w:lastRenderedPageBreak/>
        <w:t>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Footnotesection"/>
      </w:pPr>
      <w:r>
        <w:tab/>
        <w:t>[Regulation 40 amended: SL 2022/82 r. 14.]</w:t>
      </w:r>
    </w:p>
    <w:p>
      <w:pPr>
        <w:pStyle w:val="Heading5"/>
      </w:pPr>
      <w:bookmarkStart w:id="80" w:name="_Toc107232184"/>
      <w:r>
        <w:rPr>
          <w:rStyle w:val="CharSectno"/>
        </w:rPr>
        <w:t>41</w:t>
      </w:r>
      <w:r>
        <w:t>.</w:t>
      </w:r>
      <w:r>
        <w:tab/>
        <w:t>Minimum charges: Schedule 4 Division 2</w:t>
      </w:r>
      <w:bookmarkEnd w:id="80"/>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19 or 27 (whichever is relevant); and</w:t>
      </w:r>
    </w:p>
    <w:p>
      <w:pPr>
        <w:pStyle w:val="Indenta"/>
      </w:pPr>
      <w:r>
        <w:tab/>
        <w:t>(b)</w:t>
      </w:r>
      <w:r>
        <w:tab/>
        <w:t>the charge according to the number of major fixtures for the land, that is, “</w:t>
      </w:r>
      <w:r>
        <w:rPr>
          <w:b/>
        </w:rPr>
        <w:t>P</w:t>
      </w:r>
      <w:r>
        <w:t>” in Schedule 4 item 19 or “</w:t>
      </w:r>
      <w:r>
        <w:rPr>
          <w:b/>
        </w:rPr>
        <w:t>C</w:t>
      </w:r>
      <w:r>
        <w:t>” in Schedule 4 item 27 (whichever is relevant).</w:t>
      </w:r>
    </w:p>
    <w:p>
      <w:pPr>
        <w:pStyle w:val="Subsection"/>
      </w:pPr>
      <w:r>
        <w:tab/>
        <w:t>(2)</w:t>
      </w:r>
      <w:r>
        <w:tab/>
        <w:t xml:space="preserve">The minimum charge, under Schedule 4 Division 2, in respect of land that has a supply of water that is not metered is the </w:t>
      </w:r>
      <w:r>
        <w:lastRenderedPageBreak/>
        <w:t>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Footnotesection"/>
      </w:pPr>
      <w:r>
        <w:tab/>
        <w:t>[Regulation 41 amended: SL 2022/82 r. 15.]</w:t>
      </w:r>
    </w:p>
    <w:p>
      <w:pPr>
        <w:pStyle w:val="Heading5"/>
        <w:keepNext w:val="0"/>
        <w:keepLines w:val="0"/>
      </w:pPr>
      <w:bookmarkStart w:id="81" w:name="_Toc107232185"/>
      <w:r>
        <w:rPr>
          <w:rStyle w:val="CharSectno"/>
        </w:rPr>
        <w:t>42</w:t>
      </w:r>
      <w:r>
        <w:t>.</w:t>
      </w:r>
      <w:r>
        <w:tab/>
        <w:t>Estimating charge, or volume discharged, for previous year: Schedule 4 Division 2</w:t>
      </w:r>
      <w:bookmarkEnd w:id="81"/>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lastRenderedPageBreak/>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82" w:name="_Toc107232186"/>
      <w:r>
        <w:rPr>
          <w:rStyle w:val="CharSectno"/>
        </w:rPr>
        <w:t>43</w:t>
      </w:r>
      <w:r>
        <w:t>.</w:t>
      </w:r>
      <w:r>
        <w:tab/>
        <w:t>Determining number of major fixtures: Schedule 4 Division 2</w:t>
      </w:r>
      <w:bookmarkEnd w:id="8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83" w:name="_Toc107232187"/>
      <w:r>
        <w:rPr>
          <w:rStyle w:val="CharSectno"/>
        </w:rPr>
        <w:lastRenderedPageBreak/>
        <w:t>44</w:t>
      </w:r>
      <w:r>
        <w:t>.</w:t>
      </w:r>
      <w:r>
        <w:tab/>
        <w:t>Concessions: certain retirement village residents</w:t>
      </w:r>
      <w:bookmarkEnd w:id="8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12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 SL 2022/82 r. 16.]</w:t>
      </w:r>
    </w:p>
    <w:p>
      <w:pPr>
        <w:pStyle w:val="Heading3"/>
        <w:spacing w:before="180"/>
      </w:pPr>
      <w:bookmarkStart w:id="84" w:name="_Toc106790171"/>
      <w:bookmarkStart w:id="85" w:name="_Toc106869096"/>
      <w:bookmarkStart w:id="86" w:name="_Toc106871974"/>
      <w:bookmarkStart w:id="87" w:name="_Toc107232188"/>
      <w:r>
        <w:rPr>
          <w:rStyle w:val="CharDivNo"/>
        </w:rPr>
        <w:t>Division 5</w:t>
      </w:r>
      <w:r>
        <w:t> — </w:t>
      </w:r>
      <w:r>
        <w:rPr>
          <w:rStyle w:val="CharDivText"/>
        </w:rPr>
        <w:t>Drainage charges</w:t>
      </w:r>
      <w:bookmarkEnd w:id="84"/>
      <w:bookmarkEnd w:id="85"/>
      <w:bookmarkEnd w:id="86"/>
      <w:bookmarkEnd w:id="87"/>
    </w:p>
    <w:p>
      <w:pPr>
        <w:pStyle w:val="Heading5"/>
        <w:spacing w:before="180"/>
      </w:pPr>
      <w:bookmarkStart w:id="88" w:name="_Toc107232189"/>
      <w:r>
        <w:rPr>
          <w:rStyle w:val="CharSectno"/>
        </w:rPr>
        <w:t>45</w:t>
      </w:r>
      <w:r>
        <w:t>.</w:t>
      </w:r>
      <w:r>
        <w:tab/>
        <w:t>Drainage areas</w:t>
      </w:r>
      <w:bookmarkEnd w:id="8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 xml:space="preserve">A designation under subregulation (1) may create a new drainage area or extend an existing drainage area, and a </w:t>
      </w:r>
      <w:r>
        <w:lastRenderedPageBreak/>
        <w:t>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89" w:name="_Toc107232190"/>
      <w:r>
        <w:rPr>
          <w:rStyle w:val="CharSectno"/>
        </w:rPr>
        <w:t>46</w:t>
      </w:r>
      <w:r>
        <w:t>.</w:t>
      </w:r>
      <w:r>
        <w:tab/>
        <w:t>Drainage areas: notice of and objections to proposed designation</w:t>
      </w:r>
      <w:bookmarkEnd w:id="8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lastRenderedPageBreak/>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90" w:name="_Toc107232191"/>
      <w:r>
        <w:rPr>
          <w:rStyle w:val="CharSectno"/>
        </w:rPr>
        <w:t>47</w:t>
      </w:r>
      <w:r>
        <w:t>.</w:t>
      </w:r>
      <w:r>
        <w:tab/>
        <w:t>Drainage charges</w:t>
      </w:r>
      <w:bookmarkEnd w:id="9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Ednotesubsection"/>
      </w:pPr>
      <w:r>
        <w:tab/>
        <w:t>[(2)</w:t>
      </w:r>
      <w:r>
        <w:tab/>
        <w:t>deleted]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lastRenderedPageBreak/>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4; SL 2022/82 r. 17.]</w:t>
      </w:r>
    </w:p>
    <w:p>
      <w:pPr>
        <w:pStyle w:val="Heading5"/>
      </w:pPr>
      <w:bookmarkStart w:id="91" w:name="_Toc107232192"/>
      <w:r>
        <w:rPr>
          <w:rStyle w:val="CharSectno"/>
        </w:rPr>
        <w:t>48</w:t>
      </w:r>
      <w:r>
        <w:t>.</w:t>
      </w:r>
      <w:r>
        <w:tab/>
        <w:t>Classification of land</w:t>
      </w:r>
      <w:bookmarkEnd w:id="91"/>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 xml:space="preserve">water supplied to the land by the Water Corporation is used wholly or primarily for the </w:t>
      </w:r>
      <w:r>
        <w:lastRenderedPageBreak/>
        <w:t>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may 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Footnotesection"/>
      </w:pPr>
      <w:r>
        <w:tab/>
        <w:t>[Regulation 48 amended: SL 2022/82 r. 18.]</w:t>
      </w:r>
    </w:p>
    <w:p>
      <w:pPr>
        <w:pStyle w:val="Heading5"/>
      </w:pPr>
      <w:bookmarkStart w:id="92" w:name="_Toc107232193"/>
      <w:r>
        <w:rPr>
          <w:rStyle w:val="CharSectno"/>
        </w:rPr>
        <w:t>49</w:t>
      </w:r>
      <w:r>
        <w:t>.</w:t>
      </w:r>
      <w:r>
        <w:tab/>
        <w:t>Concessions: certain retirement village residents</w:t>
      </w:r>
      <w:bookmarkEnd w:id="9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93" w:name="_Toc106790177"/>
      <w:bookmarkStart w:id="94" w:name="_Toc106869102"/>
      <w:bookmarkStart w:id="95" w:name="_Toc106871980"/>
      <w:bookmarkStart w:id="96" w:name="_Toc107232194"/>
      <w:r>
        <w:rPr>
          <w:rStyle w:val="CharDivNo"/>
        </w:rPr>
        <w:lastRenderedPageBreak/>
        <w:t>Division 6</w:t>
      </w:r>
      <w:r>
        <w:t> — </w:t>
      </w:r>
      <w:r>
        <w:rPr>
          <w:rStyle w:val="CharDivText"/>
        </w:rPr>
        <w:t>Irrigation charges</w:t>
      </w:r>
      <w:bookmarkEnd w:id="93"/>
      <w:bookmarkEnd w:id="94"/>
      <w:bookmarkEnd w:id="95"/>
      <w:bookmarkEnd w:id="96"/>
    </w:p>
    <w:p>
      <w:pPr>
        <w:pStyle w:val="Heading5"/>
      </w:pPr>
      <w:bookmarkStart w:id="97" w:name="_Toc107232195"/>
      <w:r>
        <w:rPr>
          <w:rStyle w:val="CharSectno"/>
        </w:rPr>
        <w:t>50</w:t>
      </w:r>
      <w:r>
        <w:t>.</w:t>
      </w:r>
      <w:r>
        <w:tab/>
        <w:t>Charges for water supplied from certain irrigation works</w:t>
      </w:r>
      <w:bookmarkEnd w:id="97"/>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98" w:name="_Toc106790179"/>
      <w:bookmarkStart w:id="99" w:name="_Toc106869104"/>
      <w:bookmarkStart w:id="100" w:name="_Toc106871982"/>
      <w:bookmarkStart w:id="101" w:name="_Toc107232196"/>
      <w:r>
        <w:rPr>
          <w:rStyle w:val="CharDivNo"/>
        </w:rPr>
        <w:t>Division 7</w:t>
      </w:r>
      <w:r>
        <w:t> — </w:t>
      </w:r>
      <w:r>
        <w:rPr>
          <w:rStyle w:val="CharDivText"/>
        </w:rPr>
        <w:t>Miscellaneous charges</w:t>
      </w:r>
      <w:bookmarkEnd w:id="98"/>
      <w:bookmarkEnd w:id="99"/>
      <w:bookmarkEnd w:id="100"/>
      <w:bookmarkEnd w:id="101"/>
    </w:p>
    <w:p>
      <w:pPr>
        <w:pStyle w:val="Heading5"/>
        <w:keepLines w:val="0"/>
        <w:spacing w:before="180"/>
      </w:pPr>
      <w:bookmarkStart w:id="102" w:name="_Toc107232197"/>
      <w:r>
        <w:rPr>
          <w:rStyle w:val="CharSectno"/>
        </w:rPr>
        <w:t>51</w:t>
      </w:r>
      <w:r>
        <w:t>.</w:t>
      </w:r>
      <w:r>
        <w:tab/>
        <w:t>Miscellaneous charges</w:t>
      </w:r>
      <w:bookmarkEnd w:id="102"/>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03" w:name="_Toc106790181"/>
      <w:bookmarkStart w:id="104" w:name="_Toc106869106"/>
      <w:bookmarkStart w:id="105" w:name="_Toc106871984"/>
      <w:bookmarkStart w:id="106" w:name="_Toc107232198"/>
      <w:r>
        <w:rPr>
          <w:rStyle w:val="CharPartNo"/>
        </w:rPr>
        <w:lastRenderedPageBreak/>
        <w:t>Part 6</w:t>
      </w:r>
      <w:r>
        <w:t> — </w:t>
      </w:r>
      <w:r>
        <w:rPr>
          <w:rStyle w:val="CharPartText"/>
        </w:rPr>
        <w:t>Repeal of regulations and transitional provisions</w:t>
      </w:r>
      <w:bookmarkEnd w:id="103"/>
      <w:bookmarkEnd w:id="104"/>
      <w:bookmarkEnd w:id="105"/>
      <w:bookmarkEnd w:id="106"/>
    </w:p>
    <w:p>
      <w:pPr>
        <w:pStyle w:val="Heading3"/>
      </w:pPr>
      <w:bookmarkStart w:id="107" w:name="_Toc106790182"/>
      <w:bookmarkStart w:id="108" w:name="_Toc106869107"/>
      <w:bookmarkStart w:id="109" w:name="_Toc106871985"/>
      <w:bookmarkStart w:id="110" w:name="_Toc107232199"/>
      <w:r>
        <w:rPr>
          <w:rStyle w:val="CharDivNo"/>
        </w:rPr>
        <w:t>Division 1</w:t>
      </w:r>
      <w:r>
        <w:t> — </w:t>
      </w:r>
      <w:r>
        <w:rPr>
          <w:rStyle w:val="CharDivText"/>
          <w:i/>
        </w:rPr>
        <w:t>Water Services (Water Corporations Charges) Regulations 2013</w:t>
      </w:r>
      <w:r>
        <w:rPr>
          <w:rStyle w:val="CharDivText"/>
        </w:rPr>
        <w:t xml:space="preserve"> repealed</w:t>
      </w:r>
      <w:bookmarkEnd w:id="107"/>
      <w:bookmarkEnd w:id="108"/>
      <w:bookmarkEnd w:id="109"/>
      <w:bookmarkEnd w:id="110"/>
    </w:p>
    <w:p>
      <w:pPr>
        <w:pStyle w:val="Heading5"/>
        <w:rPr>
          <w:b w:val="0"/>
        </w:rPr>
      </w:pPr>
      <w:bookmarkStart w:id="111" w:name="_Toc107232200"/>
      <w:r>
        <w:rPr>
          <w:rStyle w:val="CharSectno"/>
        </w:rPr>
        <w:t>52</w:t>
      </w:r>
      <w:r>
        <w:t>.</w:t>
      </w:r>
      <w:r>
        <w:tab/>
      </w:r>
      <w:r>
        <w:rPr>
          <w:i/>
        </w:rPr>
        <w:t>Water Services (Water Corporations Charges) Regulations 2013</w:t>
      </w:r>
      <w:r>
        <w:t xml:space="preserve"> repealed</w:t>
      </w:r>
      <w:bookmarkEnd w:id="111"/>
    </w:p>
    <w:p>
      <w:pPr>
        <w:pStyle w:val="Subsection"/>
      </w:pPr>
      <w:r>
        <w:tab/>
      </w:r>
      <w:r>
        <w:tab/>
        <w:t xml:space="preserve">The </w:t>
      </w:r>
      <w:r>
        <w:rPr>
          <w:i/>
        </w:rPr>
        <w:t>Water Services (Water Corporations Charges) Regulations 2013</w:t>
      </w:r>
      <w:r>
        <w:t xml:space="preserve"> are repealed.</w:t>
      </w:r>
    </w:p>
    <w:p>
      <w:pPr>
        <w:pStyle w:val="Heading3"/>
      </w:pPr>
      <w:bookmarkStart w:id="112" w:name="_Toc106790184"/>
      <w:bookmarkStart w:id="113" w:name="_Toc106869109"/>
      <w:bookmarkStart w:id="114" w:name="_Toc106871987"/>
      <w:bookmarkStart w:id="115" w:name="_Toc107232201"/>
      <w:r>
        <w:rPr>
          <w:rStyle w:val="CharDivNo"/>
        </w:rPr>
        <w:t>Division 2</w:t>
      </w:r>
      <w:r>
        <w:t> — </w:t>
      </w:r>
      <w:r>
        <w:rPr>
          <w:rStyle w:val="CharDivText"/>
        </w:rPr>
        <w:t xml:space="preserve">Transitional provisions: </w:t>
      </w:r>
      <w:r>
        <w:rPr>
          <w:rStyle w:val="CharDivText"/>
          <w:i/>
        </w:rPr>
        <w:t>Water Services (Water Corporations Charges) Regulations 2014</w:t>
      </w:r>
      <w:bookmarkEnd w:id="112"/>
      <w:bookmarkEnd w:id="113"/>
      <w:bookmarkEnd w:id="114"/>
      <w:bookmarkEnd w:id="115"/>
    </w:p>
    <w:p>
      <w:pPr>
        <w:pStyle w:val="Footnoteheading"/>
      </w:pPr>
      <w:r>
        <w:tab/>
        <w:t>[Heading amended: Gazette 15 Oct 2014 p. 3943.]</w:t>
      </w:r>
    </w:p>
    <w:p>
      <w:pPr>
        <w:pStyle w:val="Heading4"/>
      </w:pPr>
      <w:bookmarkStart w:id="116" w:name="_Toc106790185"/>
      <w:bookmarkStart w:id="117" w:name="_Toc106869110"/>
      <w:bookmarkStart w:id="118" w:name="_Toc106871988"/>
      <w:bookmarkStart w:id="119" w:name="_Toc107232202"/>
      <w:r>
        <w:t>Subdivision 1 — General provisions</w:t>
      </w:r>
      <w:bookmarkEnd w:id="116"/>
      <w:bookmarkEnd w:id="117"/>
      <w:bookmarkEnd w:id="118"/>
      <w:bookmarkEnd w:id="119"/>
    </w:p>
    <w:p>
      <w:pPr>
        <w:pStyle w:val="Heading5"/>
        <w:rPr>
          <w:b w:val="0"/>
        </w:rPr>
      </w:pPr>
      <w:bookmarkStart w:id="120" w:name="_Toc107232203"/>
      <w:r>
        <w:rPr>
          <w:rStyle w:val="CharSectno"/>
        </w:rPr>
        <w:t>53</w:t>
      </w:r>
      <w:r>
        <w:t>.</w:t>
      </w:r>
      <w:r>
        <w:tab/>
        <w:t xml:space="preserve">Application of the </w:t>
      </w:r>
      <w:r>
        <w:rPr>
          <w:i/>
        </w:rPr>
        <w:t>Interpretation Act 1984</w:t>
      </w:r>
      <w:bookmarkEnd w:id="120"/>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21" w:name="_Toc107232204"/>
      <w:r>
        <w:rPr>
          <w:rStyle w:val="CharSectno"/>
        </w:rPr>
        <w:t>54</w:t>
      </w:r>
      <w:r>
        <w:t>.</w:t>
      </w:r>
      <w:r>
        <w:tab/>
        <w:t>Liability to water service charges</w:t>
      </w:r>
      <w:bookmarkEnd w:id="12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22" w:name="_Toc107232205"/>
      <w:r>
        <w:rPr>
          <w:rStyle w:val="CharSectno"/>
        </w:rPr>
        <w:t>55</w:t>
      </w:r>
      <w:r>
        <w:t>.</w:t>
      </w:r>
      <w:r>
        <w:tab/>
        <w:t>Continuing effect of things done before 1 July 2014</w:t>
      </w:r>
      <w:bookmarkEnd w:id="122"/>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23" w:name="_Toc107232206"/>
      <w:r>
        <w:rPr>
          <w:rStyle w:val="CharSectno"/>
        </w:rPr>
        <w:t>56</w:t>
      </w:r>
      <w:r>
        <w:t>.</w:t>
      </w:r>
      <w:r>
        <w:tab/>
        <w:t>Relationship between Subdivision 1 and Subdivision 2</w:t>
      </w:r>
      <w:bookmarkEnd w:id="123"/>
    </w:p>
    <w:p>
      <w:pPr>
        <w:pStyle w:val="Subsection"/>
      </w:pPr>
      <w:r>
        <w:tab/>
      </w:r>
      <w:r>
        <w:tab/>
        <w:t>The generality of the provisions in this Subdivision is not limited by the specificity of the provisions in Subdivision 2.</w:t>
      </w:r>
    </w:p>
    <w:p>
      <w:pPr>
        <w:pStyle w:val="Heading4"/>
      </w:pPr>
      <w:bookmarkStart w:id="124" w:name="_Toc106790190"/>
      <w:bookmarkStart w:id="125" w:name="_Toc106869115"/>
      <w:bookmarkStart w:id="126" w:name="_Toc106871993"/>
      <w:bookmarkStart w:id="127" w:name="_Toc107232207"/>
      <w:r>
        <w:t>Subdivision 2 — Specific provisions</w:t>
      </w:r>
      <w:bookmarkEnd w:id="124"/>
      <w:bookmarkEnd w:id="125"/>
      <w:bookmarkEnd w:id="126"/>
      <w:bookmarkEnd w:id="127"/>
    </w:p>
    <w:p>
      <w:pPr>
        <w:pStyle w:val="Heading5"/>
      </w:pPr>
      <w:bookmarkStart w:id="128" w:name="_Toc107232208"/>
      <w:r>
        <w:rPr>
          <w:rStyle w:val="CharSectno"/>
        </w:rPr>
        <w:t>57</w:t>
      </w:r>
      <w:r>
        <w:t>.</w:t>
      </w:r>
      <w:r>
        <w:tab/>
        <w:t>Commencement of these regulations during charge period</w:t>
      </w:r>
      <w:bookmarkEnd w:id="128"/>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29" w:name="_Toc107232209"/>
      <w:r>
        <w:rPr>
          <w:rStyle w:val="CharSectno"/>
        </w:rPr>
        <w:t>58</w:t>
      </w:r>
      <w:r>
        <w:t>.</w:t>
      </w:r>
      <w:r>
        <w:tab/>
        <w:t>Special payment arrangements</w:t>
      </w:r>
      <w:bookmarkEnd w:id="129"/>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lastRenderedPageBreak/>
        <w:tab/>
        <w:t>(b)</w:t>
      </w:r>
      <w:r>
        <w:tab/>
        <w:t>in relation to the corresponding charge or charges under these regulations.</w:t>
      </w:r>
    </w:p>
    <w:p>
      <w:pPr>
        <w:pStyle w:val="Heading5"/>
      </w:pPr>
      <w:bookmarkStart w:id="130" w:name="_Toc107232210"/>
      <w:r>
        <w:rPr>
          <w:rStyle w:val="CharSectno"/>
        </w:rPr>
        <w:t>59</w:t>
      </w:r>
      <w:r>
        <w:t>.</w:t>
      </w:r>
      <w:r>
        <w:tab/>
        <w:t>Commercial caravan parks</w:t>
      </w:r>
      <w:bookmarkEnd w:id="130"/>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31" w:name="_Toc107232211"/>
      <w:r>
        <w:rPr>
          <w:rStyle w:val="CharSectno"/>
        </w:rPr>
        <w:t>60</w:t>
      </w:r>
      <w:r>
        <w:t>.</w:t>
      </w:r>
      <w:r>
        <w:tab/>
        <w:t>Certain charges and discharge volumes before 1 July 2014</w:t>
      </w:r>
      <w:bookmarkEnd w:id="131"/>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32" w:name="_Toc107232212"/>
      <w:r>
        <w:rPr>
          <w:rStyle w:val="CharSectno"/>
        </w:rPr>
        <w:t>61</w:t>
      </w:r>
      <w:r>
        <w:t>.</w:t>
      </w:r>
      <w:r>
        <w:tab/>
        <w:t>Concessions: r. 34 and 35</w:t>
      </w:r>
      <w:bookmarkEnd w:id="132"/>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33" w:name="_Toc106790196"/>
      <w:bookmarkStart w:id="134" w:name="_Toc106869121"/>
      <w:bookmarkStart w:id="135" w:name="_Toc106871999"/>
      <w:bookmarkStart w:id="136" w:name="_Toc10723221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3"/>
      <w:bookmarkEnd w:id="134"/>
      <w:bookmarkEnd w:id="135"/>
      <w:bookmarkEnd w:id="136"/>
    </w:p>
    <w:p>
      <w:pPr>
        <w:pStyle w:val="Footnoteheading"/>
      </w:pPr>
      <w:r>
        <w:tab/>
        <w:t>[Heading inserted: Gazette 15 Oct 2014 p. 3944.]</w:t>
      </w:r>
    </w:p>
    <w:p>
      <w:pPr>
        <w:pStyle w:val="Heading5"/>
      </w:pPr>
      <w:bookmarkStart w:id="137" w:name="_Toc107232214"/>
      <w:r>
        <w:rPr>
          <w:rStyle w:val="CharSectno"/>
        </w:rPr>
        <w:t>62</w:t>
      </w:r>
      <w:r>
        <w:t>.</w:t>
      </w:r>
      <w:r>
        <w:tab/>
        <w:t>Application of r. 5</w:t>
      </w:r>
      <w:bookmarkEnd w:id="137"/>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38" w:name="_Toc107232215"/>
      <w:r>
        <w:rPr>
          <w:rStyle w:val="CharSectno"/>
        </w:rPr>
        <w:t>63</w:t>
      </w:r>
      <w:r>
        <w:t>.</w:t>
      </w:r>
      <w:r>
        <w:tab/>
        <w:t>Reduction, waiver or refund of certain charges</w:t>
      </w:r>
      <w:bookmarkEnd w:id="138"/>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lastRenderedPageBreak/>
        <w:tab/>
        <w:t>(4)</w:t>
      </w:r>
      <w:r>
        <w:tab/>
        <w:t>A refund may be provided in the form of a credit against future water service charges.</w:t>
      </w:r>
    </w:p>
    <w:p>
      <w:pPr>
        <w:pStyle w:val="Footnotesection"/>
      </w:pPr>
      <w:r>
        <w:tab/>
        <w:t>[Regulation 63 inserted: Gazette 15 Oct 2014 p. 3944.]</w:t>
      </w:r>
    </w:p>
    <w:p>
      <w:pPr>
        <w:sectPr>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yHeading2"/>
      </w:pPr>
      <w:bookmarkStart w:id="139" w:name="_Toc105571022"/>
      <w:bookmarkStart w:id="140" w:name="_Toc105573837"/>
      <w:bookmarkStart w:id="141" w:name="_Toc105574205"/>
      <w:bookmarkStart w:id="142" w:name="_Toc106869124"/>
      <w:bookmarkStart w:id="143" w:name="_Toc106872002"/>
      <w:bookmarkStart w:id="144" w:name="_Toc107232216"/>
      <w:bookmarkStart w:id="145" w:name="_Toc106790199"/>
      <w:r>
        <w:rPr>
          <w:rStyle w:val="CharSchNo"/>
        </w:rPr>
        <w:lastRenderedPageBreak/>
        <w:t>Schedule 1</w:t>
      </w:r>
      <w:r>
        <w:t> — </w:t>
      </w:r>
      <w:r>
        <w:rPr>
          <w:rStyle w:val="CharSchText"/>
        </w:rPr>
        <w:t>Charges for Bunbury Water Corporation</w:t>
      </w:r>
      <w:bookmarkEnd w:id="139"/>
      <w:bookmarkEnd w:id="140"/>
      <w:bookmarkEnd w:id="141"/>
      <w:bookmarkEnd w:id="142"/>
      <w:bookmarkEnd w:id="143"/>
      <w:bookmarkEnd w:id="144"/>
    </w:p>
    <w:p>
      <w:pPr>
        <w:pStyle w:val="yShoulderClause"/>
      </w:pPr>
      <w:r>
        <w:t>[r. 7]</w:t>
      </w:r>
    </w:p>
    <w:p>
      <w:pPr>
        <w:pStyle w:val="yFootnoteheading"/>
      </w:pPr>
      <w:bookmarkStart w:id="146" w:name="_Toc105571023"/>
      <w:bookmarkStart w:id="147" w:name="_Toc105573838"/>
      <w:bookmarkStart w:id="148" w:name="_Toc105574206"/>
      <w:r>
        <w:tab/>
        <w:t>[Heading inserted: SL 2022/82 r. 19.]</w:t>
      </w:r>
    </w:p>
    <w:p>
      <w:pPr>
        <w:pStyle w:val="yHeading3"/>
      </w:pPr>
      <w:bookmarkStart w:id="149" w:name="_Toc106869125"/>
      <w:bookmarkStart w:id="150" w:name="_Toc106872003"/>
      <w:bookmarkStart w:id="151" w:name="_Toc107232217"/>
      <w:r>
        <w:rPr>
          <w:rStyle w:val="CharSDivNo"/>
        </w:rPr>
        <w:t>Division 1</w:t>
      </w:r>
      <w:r>
        <w:t> — </w:t>
      </w:r>
      <w:r>
        <w:rPr>
          <w:rStyle w:val="CharSDivText"/>
        </w:rPr>
        <w:t>Service charges</w:t>
      </w:r>
      <w:bookmarkEnd w:id="146"/>
      <w:bookmarkEnd w:id="147"/>
      <w:bookmarkEnd w:id="148"/>
      <w:bookmarkEnd w:id="149"/>
      <w:bookmarkEnd w:id="150"/>
      <w:bookmarkEnd w:id="151"/>
    </w:p>
    <w:p>
      <w:pPr>
        <w:pStyle w:val="yFootnoteheading"/>
      </w:pPr>
      <w:bookmarkStart w:id="152" w:name="_Toc105574207"/>
      <w:r>
        <w:tab/>
        <w:t>[Heading inserted: SL 2022/82 r. 19.]</w:t>
      </w:r>
    </w:p>
    <w:p>
      <w:pPr>
        <w:pStyle w:val="yHeading5"/>
      </w:pPr>
      <w:bookmarkStart w:id="153" w:name="_Toc107232218"/>
      <w:r>
        <w:t>1.</w:t>
      </w:r>
      <w:r>
        <w:tab/>
        <w:t>Service charges for 2022/23 and subsequent years</w:t>
      </w:r>
      <w:bookmarkEnd w:id="152"/>
      <w:bookmarkEnd w:id="153"/>
    </w:p>
    <w:p>
      <w:pPr>
        <w:pStyle w:val="ySubsection"/>
      </w:pPr>
      <w:r>
        <w:tab/>
      </w:r>
      <w:r>
        <w:tab/>
        <w:t>The charges set out in this Division apply for water supply services provided in the 2022/23 financial year and each subsequent year.</w:t>
      </w:r>
    </w:p>
    <w:p>
      <w:pPr>
        <w:pStyle w:val="yHeading5"/>
      </w:pPr>
      <w:bookmarkStart w:id="154" w:name="_Toc105574208"/>
      <w:bookmarkStart w:id="155" w:name="_Toc107232219"/>
      <w:r>
        <w:t>2.</w:t>
      </w:r>
      <w:r>
        <w:tab/>
        <w:t>Residential lots</w:t>
      </w:r>
      <w:bookmarkEnd w:id="154"/>
      <w:bookmarkEnd w:id="155"/>
    </w:p>
    <w:p>
      <w:pPr>
        <w:pStyle w:val="ySubsection"/>
      </w:pPr>
      <w:r>
        <w:tab/>
      </w:r>
      <w:r>
        <w:tab/>
        <w:t xml:space="preserve">For a residential lot, the charge </w:t>
      </w:r>
      <w:r>
        <w:rPr>
          <w:spacing w:val="-2"/>
          <w:szCs w:val="22"/>
        </w:rPr>
        <w:t>is,</w:t>
      </w:r>
      <w:r>
        <w:rPr>
          <w:spacing w:val="-2"/>
          <w:szCs w:val="22"/>
        </w:rPr>
        <w:br/>
        <w:t>for each dwelling on the lot</w:t>
      </w:r>
      <w:r>
        <w:t xml:space="preserve"> </w:t>
      </w:r>
      <w:r>
        <w:tab/>
        <w:t>$262.70</w:t>
      </w:r>
    </w:p>
    <w:p>
      <w:pPr>
        <w:pStyle w:val="yHeading5"/>
      </w:pPr>
      <w:bookmarkStart w:id="156" w:name="_Toc105574209"/>
      <w:bookmarkStart w:id="157" w:name="_Toc107232220"/>
      <w:r>
        <w:t>3.</w:t>
      </w:r>
      <w:r>
        <w:tab/>
        <w:t>Non</w:t>
      </w:r>
      <w:r>
        <w:noBreakHyphen/>
        <w:t>residential lots</w:t>
      </w:r>
      <w:bookmarkEnd w:id="156"/>
      <w:bookmarkEnd w:id="157"/>
    </w:p>
    <w:p>
      <w:pPr>
        <w:pStyle w:val="ySubsection"/>
      </w:pPr>
      <w:r>
        <w:tab/>
      </w:r>
      <w:r>
        <w:tab/>
        <w:t>For a non</w:t>
      </w:r>
      <w:r>
        <w:noBreakHyphen/>
        <w:t>residential lot, the charge, according to the size of the meter, is —</w:t>
      </w:r>
    </w:p>
    <w:p>
      <w:pPr>
        <w:pStyle w:val="yMiscellaneousBodyLeft1cm"/>
      </w:pPr>
      <w:r>
        <w:tab/>
        <w:t xml:space="preserve">20 mm </w:t>
      </w:r>
      <w:r>
        <w:tab/>
        <w:t>$278.00</w:t>
      </w:r>
    </w:p>
    <w:p>
      <w:pPr>
        <w:pStyle w:val="yMiscellaneousBodyLeft1cm"/>
      </w:pPr>
      <w:r>
        <w:tab/>
        <w:t xml:space="preserve">25 mm </w:t>
      </w:r>
      <w:r>
        <w:tab/>
        <w:t>$433.80</w:t>
      </w:r>
    </w:p>
    <w:p>
      <w:pPr>
        <w:pStyle w:val="yMiscellaneousBodyLeft1cm"/>
      </w:pPr>
      <w:r>
        <w:tab/>
        <w:t xml:space="preserve">40 mm </w:t>
      </w:r>
      <w:r>
        <w:tab/>
        <w:t>$1 112.40</w:t>
      </w:r>
    </w:p>
    <w:p>
      <w:pPr>
        <w:pStyle w:val="yMiscellaneousBodyLeft1cm"/>
      </w:pPr>
      <w:r>
        <w:tab/>
        <w:t xml:space="preserve">50 mm </w:t>
      </w:r>
      <w:r>
        <w:tab/>
        <w:t>$1 738.10</w:t>
      </w:r>
    </w:p>
    <w:p>
      <w:pPr>
        <w:pStyle w:val="yMiscellaneousBodyLeft1cm"/>
      </w:pPr>
      <w:r>
        <w:tab/>
        <w:t xml:space="preserve">80 mm </w:t>
      </w:r>
      <w:r>
        <w:tab/>
        <w:t>$4 449.50</w:t>
      </w:r>
    </w:p>
    <w:p>
      <w:pPr>
        <w:pStyle w:val="yMiscellaneousBodyLeft1cm"/>
      </w:pPr>
      <w:r>
        <w:tab/>
        <w:t xml:space="preserve">100 mm </w:t>
      </w:r>
      <w:r>
        <w:tab/>
        <w:t>$6 952.40</w:t>
      </w:r>
    </w:p>
    <w:p>
      <w:pPr>
        <w:pStyle w:val="yMiscellaneousBodyLeft1cm"/>
      </w:pPr>
      <w:r>
        <w:tab/>
        <w:t xml:space="preserve">150 mm </w:t>
      </w:r>
      <w:r>
        <w:tab/>
        <w:t>$15 642.90</w:t>
      </w:r>
    </w:p>
    <w:p>
      <w:pPr>
        <w:pStyle w:val="yHeading5"/>
      </w:pPr>
      <w:bookmarkStart w:id="158" w:name="_Toc105574210"/>
      <w:bookmarkStart w:id="159" w:name="_Toc107232221"/>
      <w:r>
        <w:t>4.</w:t>
      </w:r>
      <w:r>
        <w:tab/>
        <w:t>Fire service connections</w:t>
      </w:r>
      <w:bookmarkEnd w:id="158"/>
      <w:bookmarkEnd w:id="159"/>
    </w:p>
    <w:p>
      <w:pPr>
        <w:pStyle w:val="ySubsection"/>
      </w:pPr>
      <w:r>
        <w:tab/>
      </w:r>
      <w:r>
        <w:tab/>
        <w:t>For a fire service connection, the charge, according to the size of the meter, is —</w:t>
      </w:r>
    </w:p>
    <w:p>
      <w:pPr>
        <w:pStyle w:val="yMiscellaneousBodyLeft1cm"/>
      </w:pPr>
      <w:r>
        <w:tab/>
        <w:t xml:space="preserve">25 mm </w:t>
      </w:r>
      <w:r>
        <w:tab/>
        <w:t>$158.10</w:t>
      </w:r>
    </w:p>
    <w:p>
      <w:pPr>
        <w:pStyle w:val="yMiscellaneousBodyLeft1cm"/>
      </w:pPr>
      <w:r>
        <w:lastRenderedPageBreak/>
        <w:tab/>
        <w:t xml:space="preserve">40 mm </w:t>
      </w:r>
      <w:r>
        <w:tab/>
        <w:t>$253.00</w:t>
      </w:r>
    </w:p>
    <w:p>
      <w:pPr>
        <w:pStyle w:val="yMiscellaneousBodyLeft1cm"/>
      </w:pPr>
      <w:r>
        <w:tab/>
        <w:t xml:space="preserve">50 mm </w:t>
      </w:r>
      <w:r>
        <w:tab/>
        <w:t>$316.30</w:t>
      </w:r>
    </w:p>
    <w:p>
      <w:pPr>
        <w:pStyle w:val="yMiscellaneousBodyLeft1cm"/>
      </w:pPr>
      <w:r>
        <w:tab/>
        <w:t xml:space="preserve">100 mm </w:t>
      </w:r>
      <w:r>
        <w:tab/>
        <w:t>$632.60</w:t>
      </w:r>
    </w:p>
    <w:p>
      <w:pPr>
        <w:pStyle w:val="yMiscellaneousBodyLeft1cm"/>
      </w:pPr>
      <w:r>
        <w:tab/>
        <w:t xml:space="preserve">150 mm </w:t>
      </w:r>
      <w:r>
        <w:tab/>
        <w:t>$948.90</w:t>
      </w:r>
    </w:p>
    <w:p>
      <w:pPr>
        <w:pStyle w:val="yMiscellaneousBodyLeft1cm"/>
      </w:pPr>
      <w:r>
        <w:tab/>
        <w:t xml:space="preserve">200 mm </w:t>
      </w:r>
      <w:r>
        <w:tab/>
        <w:t>$1 265.20</w:t>
      </w:r>
    </w:p>
    <w:p>
      <w:pPr>
        <w:pStyle w:val="yFootnotesection"/>
      </w:pPr>
      <w:bookmarkStart w:id="160" w:name="_Toc105571028"/>
      <w:bookmarkStart w:id="161" w:name="_Toc105573843"/>
      <w:bookmarkStart w:id="162" w:name="_Toc105574211"/>
      <w:r>
        <w:tab/>
        <w:t>[Division 1 inserted: SL 2022/82 r. 19.]</w:t>
      </w:r>
    </w:p>
    <w:p>
      <w:pPr>
        <w:pStyle w:val="yHeading3"/>
      </w:pPr>
      <w:bookmarkStart w:id="163" w:name="_Toc106869130"/>
      <w:bookmarkStart w:id="164" w:name="_Toc106872008"/>
      <w:bookmarkStart w:id="165" w:name="_Toc107232222"/>
      <w:r>
        <w:rPr>
          <w:rStyle w:val="CharSDivNo"/>
        </w:rPr>
        <w:t>Division 2</w:t>
      </w:r>
      <w:r>
        <w:t> — </w:t>
      </w:r>
      <w:r>
        <w:rPr>
          <w:rStyle w:val="CharSDivText"/>
        </w:rPr>
        <w:t>Consumption charges</w:t>
      </w:r>
      <w:bookmarkEnd w:id="160"/>
      <w:bookmarkEnd w:id="161"/>
      <w:bookmarkEnd w:id="162"/>
      <w:bookmarkEnd w:id="163"/>
      <w:bookmarkEnd w:id="164"/>
      <w:bookmarkEnd w:id="165"/>
    </w:p>
    <w:p>
      <w:pPr>
        <w:pStyle w:val="yFootnoteheading"/>
      </w:pPr>
      <w:bookmarkStart w:id="166" w:name="_Toc105574212"/>
      <w:r>
        <w:tab/>
        <w:t>[Heading inserted: SL 2022/82 r. 19.]</w:t>
      </w:r>
    </w:p>
    <w:p>
      <w:pPr>
        <w:pStyle w:val="yHeading5"/>
      </w:pPr>
      <w:bookmarkStart w:id="167" w:name="_Toc107232223"/>
      <w:r>
        <w:t>5.</w:t>
      </w:r>
      <w:r>
        <w:tab/>
        <w:t>Consumption charges for 2022/23 and subsequent years</w:t>
      </w:r>
      <w:bookmarkEnd w:id="166"/>
      <w:bookmarkEnd w:id="167"/>
    </w:p>
    <w:p>
      <w:pPr>
        <w:pStyle w:val="ySubsection"/>
      </w:pPr>
      <w:r>
        <w:tab/>
      </w:r>
      <w:r>
        <w:tab/>
        <w:t>The charges set out in this Division apply for water supplied in the 2022/23 financial year and each subsequent year.</w:t>
      </w:r>
    </w:p>
    <w:p>
      <w:pPr>
        <w:pStyle w:val="yHeading5"/>
      </w:pPr>
      <w:bookmarkStart w:id="168" w:name="_Toc105574213"/>
      <w:bookmarkStart w:id="169" w:name="_Toc107232224"/>
      <w:r>
        <w:t>6.</w:t>
      </w:r>
      <w:r>
        <w:tab/>
        <w:t>Residential lots</w:t>
      </w:r>
      <w:bookmarkEnd w:id="168"/>
      <w:bookmarkEnd w:id="169"/>
    </w:p>
    <w:p>
      <w:pPr>
        <w:pStyle w:val="ySubsection"/>
      </w:pPr>
      <w:r>
        <w:tab/>
        <w:t>(1)</w:t>
      </w:r>
      <w:r>
        <w:tab/>
        <w:t>For each kilolitre of water supplied to a residential lot, the charge is —</w:t>
      </w:r>
    </w:p>
    <w:p>
      <w:pPr>
        <w:pStyle w:val="yMiscellaneousBodyLeft1cm"/>
      </w:pPr>
      <w:r>
        <w:tab/>
        <w:t xml:space="preserve">up to 150 kL </w:t>
      </w:r>
      <w:r>
        <w:tab/>
        <w:t>$1.09</w:t>
      </w:r>
    </w:p>
    <w:p>
      <w:pPr>
        <w:pStyle w:val="yMiscellaneousBodyLeft1cm"/>
      </w:pPr>
      <w:r>
        <w:tab/>
        <w:t xml:space="preserve">over 150 but not over 350 kL </w:t>
      </w:r>
      <w:r>
        <w:tab/>
        <w:t>$2.02</w:t>
      </w:r>
    </w:p>
    <w:p>
      <w:pPr>
        <w:pStyle w:val="yMiscellaneousBodyLeft1cm"/>
      </w:pPr>
      <w:r>
        <w:tab/>
        <w:t xml:space="preserve">over 350 but not over 500 kL </w:t>
      </w:r>
      <w:r>
        <w:tab/>
        <w:t>$2.89</w:t>
      </w:r>
    </w:p>
    <w:p>
      <w:pPr>
        <w:pStyle w:val="yMiscellaneousBodyLeft1cm"/>
      </w:pPr>
      <w:r>
        <w:tab/>
        <w:t xml:space="preserve">over 500 kL </w:t>
      </w:r>
      <w:r>
        <w:tab/>
        <w:t>$3.58</w:t>
      </w:r>
    </w:p>
    <w:p>
      <w:pPr>
        <w:pStyle w:val="ySubsection"/>
      </w:pPr>
      <w:r>
        <w:tab/>
        <w:t>(2)</w:t>
      </w:r>
      <w:r>
        <w:tab/>
        <w:t>The volumetric ranges in this item have effect by reference to the volume of water supplied in the current consumption year.</w:t>
      </w:r>
    </w:p>
    <w:p>
      <w:pPr>
        <w:pStyle w:val="yHeading5"/>
      </w:pPr>
      <w:bookmarkStart w:id="170" w:name="_Toc105574214"/>
      <w:bookmarkStart w:id="171" w:name="_Toc107232225"/>
      <w:r>
        <w:t>7.</w:t>
      </w:r>
      <w:r>
        <w:tab/>
        <w:t>Non</w:t>
      </w:r>
      <w:r>
        <w:noBreakHyphen/>
        <w:t>residential lots</w:t>
      </w:r>
      <w:bookmarkEnd w:id="170"/>
      <w:bookmarkEnd w:id="171"/>
    </w:p>
    <w:p>
      <w:pPr>
        <w:pStyle w:val="ySubsection"/>
        <w:tabs>
          <w:tab w:val="right" w:leader="dot" w:pos="6804"/>
        </w:tabs>
      </w:pPr>
      <w:r>
        <w:tab/>
      </w:r>
      <w:r>
        <w:tab/>
        <w:t xml:space="preserve">For each kilolitre of water supplied to a </w:t>
      </w:r>
      <w:r>
        <w:br/>
        <w:t>non</w:t>
      </w:r>
      <w:r>
        <w:noBreakHyphen/>
        <w:t>residential lot, the charge is</w:t>
      </w:r>
      <w:r>
        <w:tab/>
        <w:t>$3.05</w:t>
      </w:r>
    </w:p>
    <w:p>
      <w:pPr>
        <w:pStyle w:val="yFootnotesection"/>
      </w:pPr>
      <w:bookmarkStart w:id="172" w:name="_Toc105571032"/>
      <w:bookmarkStart w:id="173" w:name="_Toc105573847"/>
      <w:bookmarkStart w:id="174" w:name="_Toc105574215"/>
      <w:r>
        <w:tab/>
        <w:t>[Division 2 inserted: SL 2022/82 r. 19.]</w:t>
      </w:r>
    </w:p>
    <w:p>
      <w:pPr>
        <w:pStyle w:val="yScheduleHeading"/>
      </w:pPr>
      <w:bookmarkStart w:id="175" w:name="_Toc106869134"/>
      <w:bookmarkStart w:id="176" w:name="_Toc106872012"/>
      <w:bookmarkStart w:id="177" w:name="_Toc107232226"/>
      <w:r>
        <w:rPr>
          <w:rStyle w:val="CharSchNo"/>
        </w:rPr>
        <w:lastRenderedPageBreak/>
        <w:t>Schedule 2</w:t>
      </w:r>
      <w:r>
        <w:t> — </w:t>
      </w:r>
      <w:r>
        <w:rPr>
          <w:rStyle w:val="CharSchText"/>
        </w:rPr>
        <w:t>Charges for Busselton Water Corporation</w:t>
      </w:r>
      <w:bookmarkEnd w:id="172"/>
      <w:bookmarkEnd w:id="173"/>
      <w:bookmarkEnd w:id="174"/>
      <w:bookmarkEnd w:id="175"/>
      <w:bookmarkEnd w:id="176"/>
      <w:bookmarkEnd w:id="177"/>
    </w:p>
    <w:p>
      <w:pPr>
        <w:pStyle w:val="zyShoulderClause"/>
      </w:pPr>
      <w:r>
        <w:t>[r. 12]</w:t>
      </w:r>
    </w:p>
    <w:p>
      <w:pPr>
        <w:pStyle w:val="yFootnoteheading"/>
      </w:pPr>
      <w:bookmarkStart w:id="178" w:name="_Toc105571033"/>
      <w:bookmarkStart w:id="179" w:name="_Toc105573848"/>
      <w:bookmarkStart w:id="180" w:name="_Toc105574216"/>
      <w:r>
        <w:tab/>
        <w:t>[Heading inserted: SL 2022/82 r. 19.]</w:t>
      </w:r>
    </w:p>
    <w:p>
      <w:pPr>
        <w:pStyle w:val="yHeading3"/>
      </w:pPr>
      <w:bookmarkStart w:id="181" w:name="_Toc106869135"/>
      <w:bookmarkStart w:id="182" w:name="_Toc106872013"/>
      <w:bookmarkStart w:id="183" w:name="_Toc107232227"/>
      <w:r>
        <w:rPr>
          <w:rStyle w:val="CharSDivNo"/>
        </w:rPr>
        <w:t>Division 1</w:t>
      </w:r>
      <w:r>
        <w:t> — </w:t>
      </w:r>
      <w:r>
        <w:rPr>
          <w:rStyle w:val="CharSDivText"/>
        </w:rPr>
        <w:t>Service charges</w:t>
      </w:r>
      <w:bookmarkEnd w:id="178"/>
      <w:bookmarkEnd w:id="179"/>
      <w:bookmarkEnd w:id="180"/>
      <w:bookmarkEnd w:id="181"/>
      <w:bookmarkEnd w:id="182"/>
      <w:bookmarkEnd w:id="183"/>
    </w:p>
    <w:p>
      <w:pPr>
        <w:pStyle w:val="yFootnoteheading"/>
      </w:pPr>
      <w:bookmarkStart w:id="184" w:name="_Toc105574217"/>
      <w:r>
        <w:tab/>
        <w:t>[Heading inserted: SL 2022/82 r. 19.]</w:t>
      </w:r>
    </w:p>
    <w:p>
      <w:pPr>
        <w:pStyle w:val="yHeading5"/>
      </w:pPr>
      <w:bookmarkStart w:id="185" w:name="_Toc107232228"/>
      <w:r>
        <w:t>1.</w:t>
      </w:r>
      <w:r>
        <w:tab/>
        <w:t>Service charges for 2022/23 and subsequent years</w:t>
      </w:r>
      <w:bookmarkEnd w:id="184"/>
      <w:bookmarkEnd w:id="185"/>
    </w:p>
    <w:p>
      <w:pPr>
        <w:pStyle w:val="ySubsection"/>
      </w:pPr>
      <w:r>
        <w:tab/>
      </w:r>
      <w:r>
        <w:tab/>
        <w:t>The charges set out in this Division apply for water supply services provided in the 2022/23 financial year and each subsequent year.</w:t>
      </w:r>
    </w:p>
    <w:p>
      <w:pPr>
        <w:pStyle w:val="yHeading5"/>
      </w:pPr>
      <w:bookmarkStart w:id="186" w:name="_Toc105574218"/>
      <w:bookmarkStart w:id="187" w:name="_Toc107232229"/>
      <w:r>
        <w:t>2.</w:t>
      </w:r>
      <w:r>
        <w:tab/>
        <w:t>Residential lots</w:t>
      </w:r>
      <w:bookmarkEnd w:id="186"/>
      <w:bookmarkEnd w:id="187"/>
    </w:p>
    <w:p>
      <w:pPr>
        <w:pStyle w:val="ySubsection"/>
        <w:tabs>
          <w:tab w:val="right" w:leader="dot" w:pos="6804"/>
        </w:tabs>
      </w:pPr>
      <w:r>
        <w:tab/>
      </w:r>
      <w:r>
        <w:tab/>
        <w:t>For a residential lot, the charge is</w:t>
      </w:r>
      <w:r>
        <w:tab/>
        <w:t>$228.77</w:t>
      </w:r>
    </w:p>
    <w:p>
      <w:pPr>
        <w:pStyle w:val="yHeading5"/>
      </w:pPr>
      <w:bookmarkStart w:id="188" w:name="_Toc105574219"/>
      <w:bookmarkStart w:id="189" w:name="_Toc107232230"/>
      <w:r>
        <w:t>3.</w:t>
      </w:r>
      <w:r>
        <w:tab/>
        <w:t>Non</w:t>
      </w:r>
      <w:r>
        <w:noBreakHyphen/>
        <w:t>residential lots</w:t>
      </w:r>
      <w:bookmarkEnd w:id="188"/>
      <w:bookmarkEnd w:id="189"/>
    </w:p>
    <w:p>
      <w:pPr>
        <w:pStyle w:val="ySubsection"/>
      </w:pPr>
      <w:r>
        <w:tab/>
      </w:r>
      <w:r>
        <w:tab/>
        <w:t>For a non</w:t>
      </w:r>
      <w:r>
        <w:noBreakHyphen/>
        <w:t>residential lot, the charge, according to the size of the meter, is —</w:t>
      </w:r>
    </w:p>
    <w:p>
      <w:pPr>
        <w:pStyle w:val="yMiscellaneousBodyLeft1cm"/>
      </w:pPr>
      <w:r>
        <w:tab/>
        <w:t xml:space="preserve">20 mm </w:t>
      </w:r>
      <w:r>
        <w:tab/>
        <w:t>$239.11</w:t>
      </w:r>
    </w:p>
    <w:p>
      <w:pPr>
        <w:pStyle w:val="yMiscellaneousBodyLeft1cm"/>
      </w:pPr>
      <w:r>
        <w:tab/>
        <w:t xml:space="preserve">25 mm </w:t>
      </w:r>
      <w:r>
        <w:tab/>
        <w:t>$373.58</w:t>
      </w:r>
    </w:p>
    <w:p>
      <w:pPr>
        <w:pStyle w:val="yMiscellaneousBodyLeft1cm"/>
      </w:pPr>
      <w:r>
        <w:tab/>
        <w:t xml:space="preserve">40 mm </w:t>
      </w:r>
      <w:r>
        <w:tab/>
        <w:t>$956.39</w:t>
      </w:r>
    </w:p>
    <w:p>
      <w:pPr>
        <w:pStyle w:val="yMiscellaneousBodyLeft1cm"/>
      </w:pPr>
      <w:r>
        <w:tab/>
        <w:t xml:space="preserve">50 mm </w:t>
      </w:r>
      <w:r>
        <w:tab/>
        <w:t>$1 494.34</w:t>
      </w:r>
    </w:p>
    <w:p>
      <w:pPr>
        <w:pStyle w:val="yMiscellaneousBodyLeft1cm"/>
      </w:pPr>
      <w:r>
        <w:tab/>
        <w:t xml:space="preserve">80 mm </w:t>
      </w:r>
      <w:r>
        <w:tab/>
        <w:t>$3 825.54</w:t>
      </w:r>
    </w:p>
    <w:p>
      <w:pPr>
        <w:pStyle w:val="yMiscellaneousBodyLeft1cm"/>
      </w:pPr>
      <w:r>
        <w:tab/>
        <w:t xml:space="preserve">100 mm </w:t>
      </w:r>
      <w:r>
        <w:tab/>
        <w:t>$5 977.39</w:t>
      </w:r>
    </w:p>
    <w:p>
      <w:pPr>
        <w:pStyle w:val="yMiscellaneousBodyLeft1cm"/>
      </w:pPr>
      <w:r>
        <w:tab/>
        <w:t xml:space="preserve">150 mm </w:t>
      </w:r>
      <w:r>
        <w:tab/>
        <w:t>$13 449.10</w:t>
      </w:r>
    </w:p>
    <w:p>
      <w:pPr>
        <w:pStyle w:val="yHeading5"/>
      </w:pPr>
      <w:bookmarkStart w:id="190" w:name="_Toc105574220"/>
      <w:bookmarkStart w:id="191" w:name="_Toc107232231"/>
      <w:r>
        <w:t>4.</w:t>
      </w:r>
      <w:r>
        <w:tab/>
        <w:t>Vacant land</w:t>
      </w:r>
      <w:bookmarkEnd w:id="190"/>
      <w:bookmarkEnd w:id="191"/>
    </w:p>
    <w:p>
      <w:pPr>
        <w:pStyle w:val="ySubsection"/>
        <w:tabs>
          <w:tab w:val="right" w:leader="dot" w:pos="6804"/>
        </w:tabs>
      </w:pPr>
      <w:r>
        <w:tab/>
      </w:r>
      <w:r>
        <w:tab/>
        <w:t xml:space="preserve">For vacant land, the charge is </w:t>
      </w:r>
      <w:r>
        <w:tab/>
        <w:t>$236.23</w:t>
      </w:r>
    </w:p>
    <w:p>
      <w:pPr>
        <w:pStyle w:val="yHeading5"/>
      </w:pPr>
      <w:bookmarkStart w:id="192" w:name="_Toc105574221"/>
      <w:bookmarkStart w:id="193" w:name="_Toc107232232"/>
      <w:r>
        <w:t>5.</w:t>
      </w:r>
      <w:r>
        <w:tab/>
        <w:t>Fire service connections</w:t>
      </w:r>
      <w:bookmarkEnd w:id="192"/>
      <w:bookmarkEnd w:id="193"/>
    </w:p>
    <w:p>
      <w:pPr>
        <w:pStyle w:val="ySubsection"/>
        <w:tabs>
          <w:tab w:val="right" w:leader="dot" w:pos="6804"/>
        </w:tabs>
      </w:pPr>
      <w:r>
        <w:tab/>
      </w:r>
      <w:r>
        <w:tab/>
        <w:t xml:space="preserve">For a fire service connection, the charge is </w:t>
      </w:r>
      <w:r>
        <w:tab/>
        <w:t>$239.11</w:t>
      </w:r>
    </w:p>
    <w:p>
      <w:pPr>
        <w:pStyle w:val="yFootnotesection"/>
      </w:pPr>
      <w:bookmarkStart w:id="194" w:name="_Toc105571039"/>
      <w:bookmarkStart w:id="195" w:name="_Toc105573854"/>
      <w:bookmarkStart w:id="196" w:name="_Toc105574222"/>
      <w:r>
        <w:tab/>
        <w:t>[Division 1 inserted: SL 2022/82 r. 19.]</w:t>
      </w:r>
    </w:p>
    <w:p>
      <w:pPr>
        <w:pStyle w:val="yHeading3"/>
      </w:pPr>
      <w:bookmarkStart w:id="197" w:name="_Toc106869141"/>
      <w:bookmarkStart w:id="198" w:name="_Toc106872019"/>
      <w:bookmarkStart w:id="199" w:name="_Toc107232233"/>
      <w:r>
        <w:rPr>
          <w:rStyle w:val="CharSDivNo"/>
        </w:rPr>
        <w:lastRenderedPageBreak/>
        <w:t>Division 2</w:t>
      </w:r>
      <w:r>
        <w:t> — </w:t>
      </w:r>
      <w:r>
        <w:rPr>
          <w:rStyle w:val="CharSDivText"/>
        </w:rPr>
        <w:t>Consumption charges</w:t>
      </w:r>
      <w:bookmarkEnd w:id="194"/>
      <w:bookmarkEnd w:id="195"/>
      <w:bookmarkEnd w:id="196"/>
      <w:bookmarkEnd w:id="197"/>
      <w:bookmarkEnd w:id="198"/>
      <w:bookmarkEnd w:id="199"/>
    </w:p>
    <w:p>
      <w:pPr>
        <w:pStyle w:val="yFootnoteheading"/>
      </w:pPr>
      <w:bookmarkStart w:id="200" w:name="_Toc105574223"/>
      <w:r>
        <w:tab/>
        <w:t>[Heading inserted: SL 2022/82 r. 19.]</w:t>
      </w:r>
    </w:p>
    <w:p>
      <w:pPr>
        <w:pStyle w:val="yHeading5"/>
      </w:pPr>
      <w:bookmarkStart w:id="201" w:name="_Toc107232234"/>
      <w:r>
        <w:t>6.</w:t>
      </w:r>
      <w:r>
        <w:tab/>
        <w:t>Consumption charges for 2022/23 and subsequent years</w:t>
      </w:r>
      <w:bookmarkEnd w:id="200"/>
      <w:bookmarkEnd w:id="201"/>
    </w:p>
    <w:p>
      <w:pPr>
        <w:pStyle w:val="ySubsection"/>
      </w:pPr>
      <w:r>
        <w:tab/>
      </w:r>
      <w:r>
        <w:tab/>
        <w:t>The charges set out in this Division apply for water supplied in the 2022/23 financial year and each subsequent year.</w:t>
      </w:r>
    </w:p>
    <w:p>
      <w:pPr>
        <w:pStyle w:val="yHeading5"/>
      </w:pPr>
      <w:bookmarkStart w:id="202" w:name="_Toc105574224"/>
      <w:bookmarkStart w:id="203" w:name="_Toc107232235"/>
      <w:r>
        <w:t>7.</w:t>
      </w:r>
      <w:r>
        <w:tab/>
        <w:t>Residential lots</w:t>
      </w:r>
      <w:bookmarkEnd w:id="202"/>
      <w:bookmarkEnd w:id="203"/>
    </w:p>
    <w:p>
      <w:pPr>
        <w:pStyle w:val="ySubsection"/>
      </w:pPr>
      <w:r>
        <w:tab/>
        <w:t>(1)</w:t>
      </w:r>
      <w:r>
        <w:tab/>
        <w:t>For each kilolitre of water supplied to a residential lot, the charge is —</w:t>
      </w:r>
    </w:p>
    <w:p>
      <w:pPr>
        <w:pStyle w:val="yMiscellaneousBodyLeft1cm"/>
      </w:pPr>
      <w:r>
        <w:tab/>
        <w:t xml:space="preserve">up to 150 kL </w:t>
      </w:r>
      <w:r>
        <w:tab/>
        <w:t>$1.14</w:t>
      </w:r>
    </w:p>
    <w:p>
      <w:pPr>
        <w:pStyle w:val="yMiscellaneousBodyLeft1cm"/>
      </w:pPr>
      <w:r>
        <w:tab/>
        <w:t xml:space="preserve">over 150 but not over 350 kL </w:t>
      </w:r>
      <w:r>
        <w:tab/>
        <w:t>$1.59</w:t>
      </w:r>
    </w:p>
    <w:p>
      <w:pPr>
        <w:pStyle w:val="yMiscellaneousBodyLeft1cm"/>
      </w:pPr>
      <w:r>
        <w:tab/>
        <w:t xml:space="preserve">over 350 but not over 500 kL </w:t>
      </w:r>
      <w:r>
        <w:tab/>
        <w:t>$1.81</w:t>
      </w:r>
    </w:p>
    <w:p>
      <w:pPr>
        <w:pStyle w:val="yMiscellaneousBodyLeft1cm"/>
      </w:pPr>
      <w:r>
        <w:tab/>
        <w:t xml:space="preserve">over 500 but not over 700 kL </w:t>
      </w:r>
      <w:r>
        <w:tab/>
        <w:t>$2.40</w:t>
      </w:r>
    </w:p>
    <w:p>
      <w:pPr>
        <w:pStyle w:val="yMiscellaneousBodyLeft1cm"/>
      </w:pPr>
      <w:r>
        <w:tab/>
        <w:t xml:space="preserve">over 700 but not over 1 000 kL </w:t>
      </w:r>
      <w:r>
        <w:tab/>
        <w:t>$3.36</w:t>
      </w:r>
    </w:p>
    <w:p>
      <w:pPr>
        <w:pStyle w:val="yMiscellaneousBodyLeft1cm"/>
      </w:pPr>
      <w:r>
        <w:tab/>
        <w:t xml:space="preserve">over 1 000 kL </w:t>
      </w:r>
      <w:r>
        <w:tab/>
        <w:t>$3.44</w:t>
      </w:r>
    </w:p>
    <w:p>
      <w:pPr>
        <w:pStyle w:val="ySubsection"/>
      </w:pPr>
      <w:r>
        <w:tab/>
        <w:t>(2)</w:t>
      </w:r>
      <w:r>
        <w:tab/>
        <w:t>The volumetric ranges in this item have effect by reference to the volume of water supplied in the current consumption year.</w:t>
      </w:r>
    </w:p>
    <w:p>
      <w:pPr>
        <w:pStyle w:val="yHeading5"/>
      </w:pPr>
      <w:bookmarkStart w:id="204" w:name="_Toc105574225"/>
      <w:bookmarkStart w:id="205" w:name="_Toc107232236"/>
      <w:bookmarkStart w:id="206" w:name="_Toc105571044"/>
      <w:bookmarkStart w:id="207" w:name="_Toc105573859"/>
      <w:bookmarkStart w:id="208" w:name="_Toc105574227"/>
      <w:r>
        <w:t>8.</w:t>
      </w:r>
      <w:r>
        <w:tab/>
        <w:t>Non</w:t>
      </w:r>
      <w:r>
        <w:noBreakHyphen/>
        <w:t>residential lots</w:t>
      </w:r>
      <w:bookmarkEnd w:id="204"/>
      <w:bookmarkEnd w:id="205"/>
    </w:p>
    <w:p>
      <w:pPr>
        <w:pStyle w:val="ySubsection"/>
        <w:tabs>
          <w:tab w:val="right" w:leader="dot" w:pos="6804"/>
        </w:tabs>
      </w:pPr>
      <w:r>
        <w:tab/>
      </w:r>
      <w:r>
        <w:tab/>
        <w:t xml:space="preserve">For each kilolitre of water supplied to a </w:t>
      </w:r>
      <w:r>
        <w:br/>
        <w:t>non</w:t>
      </w:r>
      <w:r>
        <w:noBreakHyphen/>
        <w:t xml:space="preserve">residential lot, the charge is </w:t>
      </w:r>
      <w:r>
        <w:tab/>
        <w:t>$1.89</w:t>
      </w:r>
    </w:p>
    <w:p>
      <w:pPr>
        <w:pStyle w:val="yHeading5"/>
      </w:pPr>
      <w:bookmarkStart w:id="209" w:name="_Toc105574226"/>
      <w:bookmarkStart w:id="210" w:name="_Toc107232237"/>
      <w:r>
        <w:t>9.</w:t>
      </w:r>
      <w:r>
        <w:tab/>
        <w:t>Water supply service (fire)</w:t>
      </w:r>
      <w:bookmarkEnd w:id="209"/>
      <w:bookmarkEnd w:id="210"/>
    </w:p>
    <w:p>
      <w:pPr>
        <w:pStyle w:val="ySubsection"/>
        <w:tabs>
          <w:tab w:val="right" w:leader="dot" w:pos="6804"/>
        </w:tabs>
      </w:pPr>
      <w:r>
        <w:tab/>
      </w:r>
      <w:r>
        <w:tab/>
        <w:t xml:space="preserve">For each kilolitre of water supplied through a </w:t>
      </w:r>
      <w:r>
        <w:br/>
        <w:t xml:space="preserve">fire service connection, the charge is </w:t>
      </w:r>
      <w:r>
        <w:tab/>
        <w:t>$2.31</w:t>
      </w:r>
    </w:p>
    <w:p>
      <w:pPr>
        <w:pStyle w:val="yFootnotesection"/>
      </w:pPr>
      <w:r>
        <w:tab/>
        <w:t>[Division 2 inserted: SL 2022/82 r. 19.]</w:t>
      </w:r>
    </w:p>
    <w:p>
      <w:pPr>
        <w:pStyle w:val="yScheduleHeading"/>
      </w:pPr>
      <w:bookmarkStart w:id="211" w:name="_Toc106869146"/>
      <w:bookmarkStart w:id="212" w:name="_Toc106872024"/>
      <w:bookmarkStart w:id="213" w:name="_Toc107232238"/>
      <w:r>
        <w:rPr>
          <w:rStyle w:val="CharSchNo"/>
        </w:rPr>
        <w:lastRenderedPageBreak/>
        <w:t>Schedule 3</w:t>
      </w:r>
      <w:r>
        <w:t> — </w:t>
      </w:r>
      <w:r>
        <w:rPr>
          <w:rStyle w:val="CharSchText"/>
        </w:rPr>
        <w:t>Water supply charges for the Water Corporation</w:t>
      </w:r>
      <w:bookmarkEnd w:id="206"/>
      <w:bookmarkEnd w:id="207"/>
      <w:bookmarkEnd w:id="208"/>
      <w:bookmarkEnd w:id="211"/>
      <w:bookmarkEnd w:id="212"/>
      <w:bookmarkEnd w:id="213"/>
    </w:p>
    <w:p>
      <w:pPr>
        <w:pStyle w:val="yShoulderClause"/>
      </w:pPr>
      <w:r>
        <w:t>[r. 24, 27 and 31]</w:t>
      </w:r>
    </w:p>
    <w:p>
      <w:pPr>
        <w:pStyle w:val="yFootnoteheading"/>
      </w:pPr>
      <w:bookmarkStart w:id="214" w:name="_Toc105571045"/>
      <w:bookmarkStart w:id="215" w:name="_Toc105573860"/>
      <w:bookmarkStart w:id="216" w:name="_Toc105574228"/>
      <w:r>
        <w:tab/>
        <w:t>[Heading inserted: SL 2022/82 r. 19.]</w:t>
      </w:r>
    </w:p>
    <w:p>
      <w:pPr>
        <w:pStyle w:val="yHeading3"/>
      </w:pPr>
      <w:bookmarkStart w:id="217" w:name="_Toc106869147"/>
      <w:bookmarkStart w:id="218" w:name="_Toc106872025"/>
      <w:bookmarkStart w:id="219" w:name="_Toc107232239"/>
      <w:r>
        <w:rPr>
          <w:rStyle w:val="CharSDivNo"/>
        </w:rPr>
        <w:t>Division 1</w:t>
      </w:r>
      <w:r>
        <w:t> — </w:t>
      </w:r>
      <w:r>
        <w:rPr>
          <w:rStyle w:val="CharSDivText"/>
        </w:rPr>
        <w:t>Service charges</w:t>
      </w:r>
      <w:bookmarkEnd w:id="214"/>
      <w:bookmarkEnd w:id="215"/>
      <w:bookmarkEnd w:id="216"/>
      <w:bookmarkEnd w:id="217"/>
      <w:bookmarkEnd w:id="218"/>
      <w:bookmarkEnd w:id="219"/>
    </w:p>
    <w:p>
      <w:pPr>
        <w:pStyle w:val="yFootnoteheading"/>
      </w:pPr>
      <w:bookmarkStart w:id="220" w:name="_Toc105571046"/>
      <w:bookmarkStart w:id="221" w:name="_Toc105573861"/>
      <w:bookmarkStart w:id="222" w:name="_Toc105574229"/>
      <w:r>
        <w:tab/>
        <w:t>[Heading inserted: SL 2022/82 r. 19.]</w:t>
      </w:r>
    </w:p>
    <w:p>
      <w:pPr>
        <w:pStyle w:val="yHeading4"/>
      </w:pPr>
      <w:bookmarkStart w:id="223" w:name="_Toc106869148"/>
      <w:bookmarkStart w:id="224" w:name="_Toc106872026"/>
      <w:bookmarkStart w:id="225" w:name="_Toc107232240"/>
      <w:r>
        <w:t>Subdivision 1 — Preliminary</w:t>
      </w:r>
      <w:bookmarkEnd w:id="220"/>
      <w:bookmarkEnd w:id="221"/>
      <w:bookmarkEnd w:id="222"/>
      <w:bookmarkEnd w:id="223"/>
      <w:bookmarkEnd w:id="224"/>
      <w:bookmarkEnd w:id="225"/>
    </w:p>
    <w:p>
      <w:pPr>
        <w:pStyle w:val="yFootnoteheading"/>
      </w:pPr>
      <w:bookmarkStart w:id="226" w:name="_Toc105574230"/>
      <w:r>
        <w:tab/>
        <w:t>[Heading inserted: SL 2022/82 r. 19.]</w:t>
      </w:r>
    </w:p>
    <w:p>
      <w:pPr>
        <w:pStyle w:val="yHeading5"/>
      </w:pPr>
      <w:bookmarkStart w:id="227" w:name="_Toc107232241"/>
      <w:r>
        <w:t>1.</w:t>
      </w:r>
      <w:r>
        <w:tab/>
        <w:t>Service charges for 2022/23 and subsequent years</w:t>
      </w:r>
      <w:bookmarkEnd w:id="226"/>
      <w:bookmarkEnd w:id="227"/>
    </w:p>
    <w:p>
      <w:pPr>
        <w:pStyle w:val="ySubsection"/>
      </w:pPr>
      <w:r>
        <w:tab/>
      </w:r>
      <w:r>
        <w:tab/>
        <w:t>The charges set out in this Division apply for water supply services provided in the 2022/23 financial year and each subsequent year.</w:t>
      </w:r>
    </w:p>
    <w:p>
      <w:pPr>
        <w:pStyle w:val="yHeading5"/>
      </w:pPr>
      <w:bookmarkStart w:id="228" w:name="_Toc105574231"/>
      <w:bookmarkStart w:id="229" w:name="_Toc107232242"/>
      <w:r>
        <w:t>2.</w:t>
      </w:r>
      <w:r>
        <w:tab/>
        <w:t>Table of meter</w:t>
      </w:r>
      <w:r>
        <w:noBreakHyphen/>
        <w:t>based charges</w:t>
      </w:r>
      <w:bookmarkEnd w:id="228"/>
      <w:bookmarkEnd w:id="229"/>
    </w:p>
    <w:p>
      <w:pPr>
        <w:pStyle w:val="ySubsection"/>
      </w:pPr>
      <w:r>
        <w:tab/>
      </w:r>
      <w:r>
        <w:tab/>
        <w:t>For the purposes of this Division, meter</w:t>
      </w:r>
      <w:r>
        <w:noBreakHyphen/>
        <w:t>based charges are set out in the Table.</w:t>
      </w:r>
    </w:p>
    <w:p>
      <w:pPr>
        <w:pStyle w:val="yTHeadingNAmLeft075c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trPr>
          <w:cantSplit/>
          <w:tblHeader/>
        </w:trPr>
        <w:tc>
          <w:tcPr>
            <w:tcW w:w="2292" w:type="dxa"/>
            <w:tcBorders>
              <w:top w:val="single" w:sz="4" w:space="0" w:color="auto"/>
              <w:bottom w:val="single" w:sz="4" w:space="0" w:color="auto"/>
            </w:tcBorders>
            <w:noWrap/>
          </w:tcPr>
          <w:p>
            <w:pPr>
              <w:pStyle w:val="yTableNAm"/>
              <w:jc w:val="center"/>
              <w:rPr>
                <w:b/>
                <w:bCs/>
              </w:rPr>
            </w:pPr>
            <w:r>
              <w:rPr>
                <w:b/>
                <w:bCs/>
              </w:rPr>
              <w:t>Meter size</w:t>
            </w:r>
            <w:r>
              <w:rPr>
                <w:b/>
                <w:bCs/>
              </w:rPr>
              <w:br/>
              <w:t>mm</w:t>
            </w:r>
          </w:p>
        </w:tc>
        <w:tc>
          <w:tcPr>
            <w:tcW w:w="2292" w:type="dxa"/>
            <w:tcBorders>
              <w:top w:val="single" w:sz="4" w:space="0" w:color="auto"/>
              <w:bottom w:val="single" w:sz="4" w:space="0" w:color="auto"/>
            </w:tcBorders>
            <w:noWrap/>
          </w:tcPr>
          <w:p>
            <w:pPr>
              <w:pStyle w:val="yTableNAm"/>
              <w:jc w:val="center"/>
              <w:rPr>
                <w:b/>
                <w:bCs/>
              </w:rPr>
            </w:pPr>
            <w:r>
              <w:rPr>
                <w:b/>
                <w:bCs/>
              </w:rPr>
              <w:t>Charge</w:t>
            </w:r>
            <w:r>
              <w:rPr>
                <w:b/>
                <w:bCs/>
              </w:rPr>
              <w:br/>
              <w:t>$</w:t>
            </w:r>
          </w:p>
        </w:tc>
      </w:tr>
      <w:tr>
        <w:trPr>
          <w:cantSplit/>
        </w:trPr>
        <w:tc>
          <w:tcPr>
            <w:tcW w:w="2292" w:type="dxa"/>
            <w:noWrap/>
          </w:tcPr>
          <w:p>
            <w:pPr>
              <w:pStyle w:val="yTableNAm"/>
              <w:jc w:val="center"/>
            </w:pPr>
            <w:r>
              <w:t>15, 20</w:t>
            </w:r>
          </w:p>
        </w:tc>
        <w:tc>
          <w:tcPr>
            <w:tcW w:w="2292" w:type="dxa"/>
            <w:noWrap/>
            <w:vAlign w:val="bottom"/>
          </w:tcPr>
          <w:p>
            <w:pPr>
              <w:pStyle w:val="yTableNAm"/>
              <w:jc w:val="center"/>
            </w:pPr>
            <w:r>
              <w:rPr>
                <w:szCs w:val="22"/>
              </w:rPr>
              <w:t>292.97</w:t>
            </w:r>
          </w:p>
        </w:tc>
      </w:tr>
      <w:tr>
        <w:trPr>
          <w:cantSplit/>
        </w:trPr>
        <w:tc>
          <w:tcPr>
            <w:tcW w:w="2292" w:type="dxa"/>
            <w:noWrap/>
          </w:tcPr>
          <w:p>
            <w:pPr>
              <w:pStyle w:val="yTableNAm"/>
              <w:jc w:val="center"/>
            </w:pPr>
            <w:r>
              <w:t>25</w:t>
            </w:r>
          </w:p>
        </w:tc>
        <w:tc>
          <w:tcPr>
            <w:tcW w:w="2292" w:type="dxa"/>
            <w:noWrap/>
            <w:vAlign w:val="bottom"/>
          </w:tcPr>
          <w:p>
            <w:pPr>
              <w:pStyle w:val="yTableNAm"/>
              <w:jc w:val="center"/>
            </w:pPr>
            <w:r>
              <w:rPr>
                <w:szCs w:val="22"/>
              </w:rPr>
              <w:t>457.80</w:t>
            </w:r>
          </w:p>
        </w:tc>
      </w:tr>
      <w:tr>
        <w:trPr>
          <w:cantSplit/>
        </w:trPr>
        <w:tc>
          <w:tcPr>
            <w:tcW w:w="2292" w:type="dxa"/>
            <w:noWrap/>
          </w:tcPr>
          <w:p>
            <w:pPr>
              <w:pStyle w:val="yTableNAm"/>
              <w:jc w:val="center"/>
            </w:pPr>
            <w:r>
              <w:t>30</w:t>
            </w:r>
          </w:p>
        </w:tc>
        <w:tc>
          <w:tcPr>
            <w:tcW w:w="2292" w:type="dxa"/>
            <w:noWrap/>
            <w:vAlign w:val="bottom"/>
          </w:tcPr>
          <w:p>
            <w:pPr>
              <w:pStyle w:val="yTableNAm"/>
              <w:jc w:val="center"/>
            </w:pPr>
            <w:r>
              <w:rPr>
                <w:szCs w:val="22"/>
              </w:rPr>
              <w:t>659.18</w:t>
            </w:r>
          </w:p>
        </w:tc>
      </w:tr>
      <w:tr>
        <w:trPr>
          <w:cantSplit/>
        </w:trPr>
        <w:tc>
          <w:tcPr>
            <w:tcW w:w="2292" w:type="dxa"/>
            <w:noWrap/>
          </w:tcPr>
          <w:p>
            <w:pPr>
              <w:pStyle w:val="yTableNAm"/>
              <w:jc w:val="center"/>
            </w:pPr>
            <w:r>
              <w:t>35, 38, 40</w:t>
            </w:r>
          </w:p>
        </w:tc>
        <w:tc>
          <w:tcPr>
            <w:tcW w:w="2292" w:type="dxa"/>
            <w:noWrap/>
            <w:vAlign w:val="bottom"/>
          </w:tcPr>
          <w:p>
            <w:pPr>
              <w:pStyle w:val="yTableNAm"/>
              <w:jc w:val="center"/>
            </w:pPr>
            <w:r>
              <w:rPr>
                <w:szCs w:val="22"/>
              </w:rPr>
              <w:t>1 171.95</w:t>
            </w:r>
          </w:p>
        </w:tc>
      </w:tr>
      <w:tr>
        <w:trPr>
          <w:cantSplit/>
        </w:trPr>
        <w:tc>
          <w:tcPr>
            <w:tcW w:w="2292" w:type="dxa"/>
            <w:noWrap/>
          </w:tcPr>
          <w:p>
            <w:pPr>
              <w:pStyle w:val="yTableNAm"/>
              <w:jc w:val="center"/>
            </w:pPr>
            <w:r>
              <w:t>50</w:t>
            </w:r>
          </w:p>
        </w:tc>
        <w:tc>
          <w:tcPr>
            <w:tcW w:w="2292" w:type="dxa"/>
            <w:noWrap/>
            <w:vAlign w:val="bottom"/>
          </w:tcPr>
          <w:p>
            <w:pPr>
              <w:pStyle w:val="yTableNAm"/>
              <w:jc w:val="center"/>
            </w:pPr>
            <w:r>
              <w:rPr>
                <w:szCs w:val="22"/>
              </w:rPr>
              <w:t>1 831.14</w:t>
            </w:r>
          </w:p>
        </w:tc>
      </w:tr>
      <w:tr>
        <w:trPr>
          <w:cantSplit/>
        </w:trPr>
        <w:tc>
          <w:tcPr>
            <w:tcW w:w="2292" w:type="dxa"/>
            <w:noWrap/>
          </w:tcPr>
          <w:p>
            <w:pPr>
              <w:pStyle w:val="yTableNAm"/>
              <w:jc w:val="center"/>
            </w:pPr>
            <w:r>
              <w:t>70, 75, 80</w:t>
            </w:r>
          </w:p>
        </w:tc>
        <w:tc>
          <w:tcPr>
            <w:tcW w:w="2292" w:type="dxa"/>
            <w:noWrap/>
            <w:vAlign w:val="bottom"/>
          </w:tcPr>
          <w:p>
            <w:pPr>
              <w:pStyle w:val="yTableNAm"/>
              <w:jc w:val="center"/>
            </w:pPr>
            <w:r>
              <w:rPr>
                <w:szCs w:val="22"/>
              </w:rPr>
              <w:t>4 687.74</w:t>
            </w:r>
          </w:p>
        </w:tc>
      </w:tr>
      <w:tr>
        <w:trPr>
          <w:cantSplit/>
        </w:trPr>
        <w:tc>
          <w:tcPr>
            <w:tcW w:w="2292" w:type="dxa"/>
            <w:noWrap/>
          </w:tcPr>
          <w:p>
            <w:pPr>
              <w:pStyle w:val="yTableNAm"/>
              <w:jc w:val="center"/>
            </w:pPr>
            <w:r>
              <w:t>100</w:t>
            </w:r>
          </w:p>
        </w:tc>
        <w:tc>
          <w:tcPr>
            <w:tcW w:w="2292" w:type="dxa"/>
            <w:noWrap/>
            <w:vAlign w:val="bottom"/>
          </w:tcPr>
          <w:p>
            <w:pPr>
              <w:pStyle w:val="yTableNAm"/>
              <w:jc w:val="center"/>
            </w:pPr>
            <w:r>
              <w:rPr>
                <w:szCs w:val="22"/>
              </w:rPr>
              <w:t>7 324.58</w:t>
            </w:r>
          </w:p>
        </w:tc>
      </w:tr>
      <w:tr>
        <w:trPr>
          <w:cantSplit/>
        </w:trPr>
        <w:tc>
          <w:tcPr>
            <w:tcW w:w="2292" w:type="dxa"/>
            <w:noWrap/>
          </w:tcPr>
          <w:p>
            <w:pPr>
              <w:pStyle w:val="yTableNAm"/>
              <w:jc w:val="center"/>
            </w:pPr>
            <w:r>
              <w:t>140, 150</w:t>
            </w:r>
          </w:p>
        </w:tc>
        <w:tc>
          <w:tcPr>
            <w:tcW w:w="2292" w:type="dxa"/>
            <w:noWrap/>
            <w:vAlign w:val="bottom"/>
          </w:tcPr>
          <w:p>
            <w:pPr>
              <w:pStyle w:val="yTableNAm"/>
              <w:jc w:val="center"/>
            </w:pPr>
            <w:r>
              <w:rPr>
                <w:szCs w:val="22"/>
              </w:rPr>
              <w:t>16 480.30</w:t>
            </w:r>
          </w:p>
        </w:tc>
      </w:tr>
      <w:tr>
        <w:trPr>
          <w:cantSplit/>
        </w:trPr>
        <w:tc>
          <w:tcPr>
            <w:tcW w:w="2292" w:type="dxa"/>
            <w:noWrap/>
          </w:tcPr>
          <w:p>
            <w:pPr>
              <w:pStyle w:val="yTableNAm"/>
              <w:jc w:val="center"/>
            </w:pPr>
            <w:r>
              <w:t>200</w:t>
            </w:r>
          </w:p>
        </w:tc>
        <w:tc>
          <w:tcPr>
            <w:tcW w:w="2292" w:type="dxa"/>
            <w:noWrap/>
            <w:vAlign w:val="bottom"/>
          </w:tcPr>
          <w:p>
            <w:pPr>
              <w:pStyle w:val="yTableNAm"/>
              <w:jc w:val="center"/>
            </w:pPr>
            <w:r>
              <w:rPr>
                <w:szCs w:val="22"/>
              </w:rPr>
              <w:t>29 298.30</w:t>
            </w:r>
          </w:p>
        </w:tc>
      </w:tr>
      <w:tr>
        <w:trPr>
          <w:cantSplit/>
        </w:trPr>
        <w:tc>
          <w:tcPr>
            <w:tcW w:w="2292" w:type="dxa"/>
            <w:noWrap/>
          </w:tcPr>
          <w:p>
            <w:pPr>
              <w:pStyle w:val="yTableNAm"/>
              <w:jc w:val="center"/>
            </w:pPr>
            <w:r>
              <w:t>250</w:t>
            </w:r>
          </w:p>
        </w:tc>
        <w:tc>
          <w:tcPr>
            <w:tcW w:w="2292" w:type="dxa"/>
            <w:noWrap/>
            <w:vAlign w:val="bottom"/>
          </w:tcPr>
          <w:p>
            <w:pPr>
              <w:pStyle w:val="yTableNAm"/>
              <w:jc w:val="center"/>
            </w:pPr>
            <w:r>
              <w:rPr>
                <w:szCs w:val="22"/>
              </w:rPr>
              <w:t>45 778.60</w:t>
            </w:r>
          </w:p>
        </w:tc>
      </w:tr>
      <w:tr>
        <w:trPr>
          <w:cantSplit/>
        </w:trPr>
        <w:tc>
          <w:tcPr>
            <w:tcW w:w="2292" w:type="dxa"/>
            <w:noWrap/>
          </w:tcPr>
          <w:p>
            <w:pPr>
              <w:pStyle w:val="yTableNAm"/>
              <w:jc w:val="center"/>
            </w:pPr>
            <w:r>
              <w:lastRenderedPageBreak/>
              <w:t>300</w:t>
            </w:r>
          </w:p>
        </w:tc>
        <w:tc>
          <w:tcPr>
            <w:tcW w:w="2292" w:type="dxa"/>
            <w:noWrap/>
            <w:vAlign w:val="bottom"/>
          </w:tcPr>
          <w:p>
            <w:pPr>
              <w:pStyle w:val="yTableNAm"/>
              <w:jc w:val="center"/>
            </w:pPr>
            <w:r>
              <w:rPr>
                <w:szCs w:val="22"/>
              </w:rPr>
              <w:t>65 921.20</w:t>
            </w:r>
          </w:p>
        </w:tc>
      </w:tr>
      <w:tr>
        <w:trPr>
          <w:cantSplit/>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89 726.12</w:t>
            </w:r>
          </w:p>
        </w:tc>
      </w:tr>
    </w:tbl>
    <w:p>
      <w:pPr>
        <w:pStyle w:val="yHeading4"/>
      </w:pPr>
      <w:bookmarkStart w:id="230" w:name="_Toc105571049"/>
      <w:bookmarkStart w:id="231" w:name="_Toc105573864"/>
      <w:bookmarkStart w:id="232" w:name="_Toc105574232"/>
      <w:bookmarkStart w:id="233" w:name="_Toc106869151"/>
      <w:bookmarkStart w:id="234" w:name="_Toc106872029"/>
      <w:bookmarkStart w:id="235" w:name="_Toc107232243"/>
      <w:r>
        <w:t>Subdivision 2 — Service charges that apply for land</w:t>
      </w:r>
      <w:bookmarkEnd w:id="230"/>
      <w:bookmarkEnd w:id="231"/>
      <w:bookmarkEnd w:id="232"/>
      <w:bookmarkEnd w:id="233"/>
      <w:bookmarkEnd w:id="234"/>
      <w:bookmarkEnd w:id="235"/>
    </w:p>
    <w:p>
      <w:pPr>
        <w:pStyle w:val="yFootnoteheading"/>
      </w:pPr>
      <w:bookmarkStart w:id="236" w:name="_Toc105574233"/>
      <w:r>
        <w:tab/>
        <w:t>[Heading inserted: SL 2022/82 r. 19.]</w:t>
      </w:r>
    </w:p>
    <w:p>
      <w:pPr>
        <w:pStyle w:val="yHeading5"/>
      </w:pPr>
      <w:bookmarkStart w:id="237" w:name="_Toc107232244"/>
      <w:r>
        <w:t>3.</w:t>
      </w:r>
      <w:r>
        <w:tab/>
        <w:t>Residential</w:t>
      </w:r>
      <w:bookmarkEnd w:id="236"/>
      <w:bookmarkEnd w:id="237"/>
    </w:p>
    <w:p>
      <w:pPr>
        <w:pStyle w:val="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$275.70</w:t>
      </w:r>
    </w:p>
    <w:p>
      <w:pPr>
        <w:pStyle w:val="yHeading5"/>
      </w:pPr>
      <w:bookmarkStart w:id="238" w:name="_Toc105574234"/>
      <w:bookmarkStart w:id="239" w:name="_Toc107232245"/>
      <w:r>
        <w:t>4.</w:t>
      </w:r>
      <w:r>
        <w:tab/>
        <w:t>Metropolitan concessional</w:t>
      </w:r>
      <w:bookmarkEnd w:id="238"/>
      <w:bookmarkEnd w:id="239"/>
    </w:p>
    <w:p>
      <w:pPr>
        <w:pStyle w:val="ySubsection"/>
        <w:tabs>
          <w:tab w:val="right" w:leader="dot" w:pos="6804"/>
        </w:tabs>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pPr>
        <w:pStyle w:val="yTHeadingNAmLeft225c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vAlign w:val="bottom"/>
          </w:tcPr>
          <w:p>
            <w:pPr>
              <w:pStyle w:val="yTableNAm"/>
              <w:jc w:val="center"/>
            </w:pPr>
            <w:r>
              <w:rPr>
                <w:szCs w:val="22"/>
              </w:rPr>
              <w:t>292.97</w:t>
            </w:r>
          </w:p>
        </w:tc>
        <w:tc>
          <w:tcPr>
            <w:tcW w:w="1276" w:type="dxa"/>
            <w:tcBorders>
              <w:top w:val="single" w:sz="4" w:space="0" w:color="auto"/>
            </w:tcBorders>
            <w:noWrap/>
            <w:vAlign w:val="bottom"/>
          </w:tcPr>
          <w:p>
            <w:pPr>
              <w:pStyle w:val="yTableNAm"/>
              <w:jc w:val="center"/>
            </w:pPr>
            <w:r>
              <w:rPr>
                <w:szCs w:val="22"/>
              </w:rPr>
              <w:t>292.97</w:t>
            </w:r>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vAlign w:val="bottom"/>
          </w:tcPr>
          <w:p>
            <w:pPr>
              <w:pStyle w:val="yTableNAm"/>
              <w:jc w:val="center"/>
            </w:pPr>
            <w:r>
              <w:rPr>
                <w:szCs w:val="22"/>
              </w:rPr>
              <w:t>457.80</w:t>
            </w:r>
          </w:p>
        </w:tc>
        <w:tc>
          <w:tcPr>
            <w:tcW w:w="1276" w:type="dxa"/>
            <w:noWrap/>
            <w:vAlign w:val="bottom"/>
          </w:tcPr>
          <w:p>
            <w:pPr>
              <w:pStyle w:val="yTableNAm"/>
              <w:jc w:val="center"/>
            </w:pPr>
            <w:r>
              <w:rPr>
                <w:szCs w:val="22"/>
              </w:rPr>
              <w:t>457.80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vAlign w:val="bottom"/>
          </w:tcPr>
          <w:p>
            <w:pPr>
              <w:pStyle w:val="yTableNAm"/>
              <w:jc w:val="center"/>
            </w:pPr>
            <w:r>
              <w:rPr>
                <w:szCs w:val="22"/>
              </w:rPr>
              <w:t>659.18</w:t>
            </w:r>
          </w:p>
        </w:tc>
        <w:tc>
          <w:tcPr>
            <w:tcW w:w="1276" w:type="dxa"/>
            <w:noWrap/>
            <w:vAlign w:val="bottom"/>
          </w:tcPr>
          <w:p>
            <w:pPr>
              <w:pStyle w:val="yTableNAm"/>
              <w:jc w:val="center"/>
            </w:pPr>
            <w:r>
              <w:rPr>
                <w:szCs w:val="22"/>
              </w:rPr>
              <w:t>659.18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vAlign w:val="bottom"/>
          </w:tcPr>
          <w:p>
            <w:pPr>
              <w:pStyle w:val="yTableNAm"/>
              <w:jc w:val="center"/>
            </w:pPr>
            <w:r>
              <w:rPr>
                <w:szCs w:val="22"/>
              </w:rPr>
              <w:t>1 171.95</w:t>
            </w:r>
          </w:p>
        </w:tc>
        <w:tc>
          <w:tcPr>
            <w:tcW w:w="1276" w:type="dxa"/>
            <w:noWrap/>
            <w:vAlign w:val="bottom"/>
          </w:tcPr>
          <w:p>
            <w:pPr>
              <w:pStyle w:val="yTableNAm"/>
              <w:jc w:val="center"/>
            </w:pPr>
            <w:r>
              <w:rPr>
                <w:szCs w:val="22"/>
              </w:rPr>
              <w:t>1 171.95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vAlign w:val="bottom"/>
          </w:tcPr>
          <w:p>
            <w:pPr>
              <w:pStyle w:val="yTableNAm"/>
              <w:jc w:val="center"/>
            </w:pPr>
            <w:r>
              <w:rPr>
                <w:szCs w:val="22"/>
              </w:rPr>
              <w:t>1 831.14</w:t>
            </w:r>
          </w:p>
        </w:tc>
        <w:tc>
          <w:tcPr>
            <w:tcW w:w="1276" w:type="dxa"/>
            <w:noWrap/>
            <w:vAlign w:val="bottom"/>
          </w:tcPr>
          <w:p>
            <w:pPr>
              <w:pStyle w:val="yTableNAm"/>
              <w:jc w:val="center"/>
            </w:pPr>
            <w:r>
              <w:rPr>
                <w:szCs w:val="22"/>
              </w:rPr>
              <w:t>1 831.14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vAlign w:val="bottom"/>
          </w:tcPr>
          <w:p>
            <w:pPr>
              <w:pStyle w:val="yTableNAm"/>
              <w:jc w:val="center"/>
            </w:pPr>
            <w:r>
              <w:rPr>
                <w:szCs w:val="22"/>
              </w:rPr>
              <w:t>4 687.74</w:t>
            </w:r>
          </w:p>
        </w:tc>
        <w:tc>
          <w:tcPr>
            <w:tcW w:w="1276" w:type="dxa"/>
            <w:noWrap/>
            <w:vAlign w:val="bottom"/>
          </w:tcPr>
          <w:p>
            <w:pPr>
              <w:pStyle w:val="yTableNAm"/>
              <w:jc w:val="center"/>
            </w:pPr>
            <w:r>
              <w:rPr>
                <w:szCs w:val="22"/>
              </w:rPr>
              <w:t>4 687.74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vAlign w:val="bottom"/>
          </w:tcPr>
          <w:p>
            <w:pPr>
              <w:pStyle w:val="yTableNAm"/>
              <w:jc w:val="center"/>
            </w:pPr>
            <w:r>
              <w:rPr>
                <w:szCs w:val="22"/>
              </w:rPr>
              <w:t>7 324.58</w:t>
            </w:r>
          </w:p>
        </w:tc>
        <w:tc>
          <w:tcPr>
            <w:tcW w:w="1276" w:type="dxa"/>
            <w:noWrap/>
            <w:vAlign w:val="bottom"/>
          </w:tcPr>
          <w:p>
            <w:pPr>
              <w:pStyle w:val="yTableNAm"/>
              <w:jc w:val="center"/>
            </w:pPr>
            <w:r>
              <w:rPr>
                <w:szCs w:val="22"/>
              </w:rPr>
              <w:t>7 324.58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vAlign w:val="bottom"/>
          </w:tcPr>
          <w:p>
            <w:pPr>
              <w:pStyle w:val="yTableNAm"/>
              <w:jc w:val="center"/>
            </w:pPr>
            <w:r>
              <w:rPr>
                <w:szCs w:val="22"/>
              </w:rPr>
              <w:t>16 480.30</w:t>
            </w:r>
          </w:p>
        </w:tc>
        <w:tc>
          <w:tcPr>
            <w:tcW w:w="1276" w:type="dxa"/>
            <w:noWrap/>
            <w:vAlign w:val="bottom"/>
          </w:tcPr>
          <w:p>
            <w:pPr>
              <w:pStyle w:val="yTableNAm"/>
              <w:jc w:val="center"/>
            </w:pPr>
            <w:r>
              <w:rPr>
                <w:szCs w:val="22"/>
              </w:rPr>
              <w:t>16 480.30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vAlign w:val="bottom"/>
          </w:tcPr>
          <w:p>
            <w:pPr>
              <w:pStyle w:val="yTableNAm"/>
              <w:jc w:val="center"/>
            </w:pPr>
            <w:r>
              <w:rPr>
                <w:szCs w:val="22"/>
              </w:rPr>
              <w:t>29 298.30</w:t>
            </w:r>
          </w:p>
        </w:tc>
        <w:tc>
          <w:tcPr>
            <w:tcW w:w="1276" w:type="dxa"/>
            <w:noWrap/>
            <w:vAlign w:val="bottom"/>
          </w:tcPr>
          <w:p>
            <w:pPr>
              <w:pStyle w:val="yTableNAm"/>
              <w:jc w:val="center"/>
            </w:pPr>
            <w:r>
              <w:rPr>
                <w:szCs w:val="22"/>
              </w:rPr>
              <w:t>29 298.30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vAlign w:val="bottom"/>
          </w:tcPr>
          <w:p>
            <w:pPr>
              <w:pStyle w:val="yTableNAm"/>
              <w:jc w:val="center"/>
            </w:pPr>
            <w:r>
              <w:rPr>
                <w:szCs w:val="22"/>
              </w:rPr>
              <w:t>45 778.60</w:t>
            </w:r>
          </w:p>
        </w:tc>
        <w:tc>
          <w:tcPr>
            <w:tcW w:w="1276" w:type="dxa"/>
            <w:noWrap/>
            <w:vAlign w:val="bottom"/>
          </w:tcPr>
          <w:p>
            <w:pPr>
              <w:pStyle w:val="yTableNAm"/>
              <w:jc w:val="center"/>
            </w:pPr>
            <w:r>
              <w:rPr>
                <w:szCs w:val="22"/>
              </w:rPr>
              <w:t>45 778.60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lastRenderedPageBreak/>
              <w:t>300</w:t>
            </w:r>
          </w:p>
        </w:tc>
        <w:tc>
          <w:tcPr>
            <w:tcW w:w="1275" w:type="dxa"/>
            <w:noWrap/>
            <w:vAlign w:val="bottom"/>
          </w:tcPr>
          <w:p>
            <w:pPr>
              <w:pStyle w:val="yTableNAm"/>
              <w:jc w:val="center"/>
            </w:pPr>
            <w:r>
              <w:rPr>
                <w:szCs w:val="22"/>
              </w:rPr>
              <w:t>65 921.20</w:t>
            </w:r>
          </w:p>
        </w:tc>
        <w:tc>
          <w:tcPr>
            <w:tcW w:w="1276" w:type="dxa"/>
            <w:noWrap/>
            <w:vAlign w:val="bottom"/>
          </w:tcPr>
          <w:p>
            <w:pPr>
              <w:pStyle w:val="yTableNAm"/>
              <w:jc w:val="center"/>
            </w:pPr>
            <w:r>
              <w:rPr>
                <w:szCs w:val="22"/>
              </w:rPr>
              <w:t>65 921.20</w:t>
            </w:r>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vAlign w:val="bottom"/>
          </w:tcPr>
          <w:p>
            <w:pPr>
              <w:pStyle w:val="yTableNAm"/>
              <w:jc w:val="center"/>
            </w:pPr>
            <w:r>
              <w:rPr>
                <w:szCs w:val="22"/>
              </w:rPr>
              <w:t>89 726.12</w:t>
            </w:r>
          </w:p>
        </w:tc>
        <w:tc>
          <w:tcPr>
            <w:tcW w:w="1276" w:type="dxa"/>
            <w:tcBorders>
              <w:bottom w:val="single" w:sz="4" w:space="0" w:color="auto"/>
            </w:tcBorders>
            <w:noWrap/>
            <w:vAlign w:val="bottom"/>
          </w:tcPr>
          <w:p>
            <w:pPr>
              <w:pStyle w:val="yTableNAm"/>
              <w:jc w:val="center"/>
            </w:pPr>
            <w:r>
              <w:rPr>
                <w:szCs w:val="22"/>
              </w:rPr>
              <w:t>89 726.12</w:t>
            </w:r>
          </w:p>
        </w:tc>
        <w:tc>
          <w:tcPr>
            <w:tcW w:w="1418" w:type="dxa"/>
            <w:tcBorders>
              <w:bottom w:val="single" w:sz="4" w:space="0" w:color="auto"/>
            </w:tcBorders>
            <w:noWrap/>
            <w:vAlign w:val="bottom"/>
          </w:tcPr>
          <w:p>
            <w:pPr>
              <w:pStyle w:val="yTableNAm"/>
              <w:jc w:val="center"/>
            </w:pPr>
            <w:r>
              <w:t>0.00</w:t>
            </w:r>
          </w:p>
        </w:tc>
      </w:tr>
    </w:tbl>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pPr>
      <w:r>
        <w:tab/>
        <w:t>(3)</w:t>
      </w:r>
      <w:r>
        <w:tab/>
        <w:t>For concessional land in the metropolitan area which, although a water service is provided, is not connected to water supply works of the Water Corporation, the charge is the discounted charge set out in the Table to this sub</w:t>
      </w:r>
      <w:r>
        <w:noBreakHyphen/>
        <w:t>item.</w:t>
      </w:r>
    </w:p>
    <w:p>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trPr>
          <w:cantSplit/>
          <w:tblHeader/>
          <w:jc w:val="center"/>
        </w:trPr>
        <w:tc>
          <w:tcPr>
            <w:tcW w:w="1134"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jc w:val="center"/>
        </w:trPr>
        <w:tc>
          <w:tcPr>
            <w:tcW w:w="1134" w:type="dxa"/>
            <w:tcBorders>
              <w:bottom w:val="single" w:sz="4" w:space="0" w:color="auto"/>
            </w:tcBorders>
            <w:noWrap/>
            <w:vAlign w:val="bottom"/>
          </w:tcPr>
          <w:p>
            <w:pPr>
              <w:pStyle w:val="yTableNAmRight"/>
            </w:pPr>
            <w:r>
              <w:t>292.97</w:t>
            </w:r>
          </w:p>
        </w:tc>
        <w:tc>
          <w:tcPr>
            <w:tcW w:w="1135" w:type="dxa"/>
            <w:tcBorders>
              <w:bottom w:val="single" w:sz="4" w:space="0" w:color="auto"/>
            </w:tcBorders>
            <w:noWrap/>
            <w:vAlign w:val="bottom"/>
          </w:tcPr>
          <w:p>
            <w:pPr>
              <w:pStyle w:val="yTableNAmRight"/>
            </w:pPr>
            <w:r>
              <w:t>292.97</w:t>
            </w:r>
          </w:p>
        </w:tc>
        <w:tc>
          <w:tcPr>
            <w:tcW w:w="1418" w:type="dxa"/>
            <w:tcBorders>
              <w:bottom w:val="single" w:sz="4" w:space="0" w:color="auto"/>
            </w:tcBorders>
            <w:noWrap/>
            <w:vAlign w:val="bottom"/>
          </w:tcPr>
          <w:p>
            <w:pPr>
              <w:pStyle w:val="yTableNAmRight"/>
            </w:pPr>
            <w:r>
              <w:t>0.00</w:t>
            </w:r>
          </w:p>
        </w:tc>
      </w:tr>
    </w:tbl>
    <w:p>
      <w:pPr>
        <w:pStyle w:val="yHeading5"/>
      </w:pPr>
      <w:bookmarkStart w:id="240" w:name="_Toc105574235"/>
      <w:bookmarkStart w:id="241" w:name="_Toc107232246"/>
      <w:r>
        <w:t>5.</w:t>
      </w:r>
      <w:r>
        <w:tab/>
        <w:t>Strata</w:t>
      </w:r>
      <w:r>
        <w:noBreakHyphen/>
        <w:t>titled or long</w:t>
      </w:r>
      <w:r>
        <w:noBreakHyphen/>
        <w:t>term residential caravan bays and park homes</w:t>
      </w:r>
      <w:bookmarkEnd w:id="240"/>
      <w:bookmarkEnd w:id="241"/>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$199.41</w:t>
      </w:r>
    </w:p>
    <w:p>
      <w:pPr>
        <w:pStyle w:val="yHeading5"/>
      </w:pPr>
      <w:bookmarkStart w:id="242" w:name="_Toc105574236"/>
      <w:bookmarkStart w:id="243" w:name="_Toc107232247"/>
      <w:r>
        <w:t>6.</w:t>
      </w:r>
      <w:r>
        <w:tab/>
        <w:t>Storage units or parking bays in strata titles scheme or community titles scheme</w:t>
      </w:r>
      <w:bookmarkEnd w:id="242"/>
      <w:bookmarkEnd w:id="243"/>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$103.12</w:t>
      </w:r>
    </w:p>
    <w:p>
      <w:pPr>
        <w:pStyle w:val="yHeading5"/>
      </w:pPr>
      <w:bookmarkStart w:id="244" w:name="_Toc105574237"/>
      <w:bookmarkStart w:id="245" w:name="_Toc107232248"/>
      <w:r>
        <w:t>7.</w:t>
      </w:r>
      <w:r>
        <w:tab/>
        <w:t>Non</w:t>
      </w:r>
      <w:r>
        <w:noBreakHyphen/>
        <w:t>residential lots in strata titles scheme or community titles scheme that share a service</w:t>
      </w:r>
      <w:bookmarkEnd w:id="244"/>
      <w:bookmarkEnd w:id="245"/>
      <w:r>
        <w:t xml:space="preserve"> </w:t>
      </w:r>
    </w:p>
    <w:p>
      <w:pPr>
        <w:pStyle w:val="ySubsection"/>
        <w:tabs>
          <w:tab w:val="right" w:leader="dot" w:pos="6804"/>
        </w:tabs>
      </w:pPr>
      <w:r>
        <w:tab/>
      </w:r>
      <w:r>
        <w:tab/>
        <w:t>For land that —</w:t>
      </w:r>
    </w:p>
    <w:p>
      <w:pPr>
        <w:pStyle w:val="yIndenta"/>
        <w:tabs>
          <w:tab w:val="right" w:leader="dot" w:pos="6804"/>
        </w:tabs>
      </w:pPr>
      <w:r>
        <w:tab/>
        <w:t>(a)</w:t>
      </w:r>
      <w:r>
        <w:tab/>
        <w:t>is contained in a lot in a strata titles scheme or a lot in a community titles scheme; and</w:t>
      </w:r>
    </w:p>
    <w:p>
      <w:pPr>
        <w:pStyle w:val="yIndenta"/>
        <w:tabs>
          <w:tab w:val="right" w:leader="dot" w:pos="6804"/>
        </w:tabs>
      </w:pPr>
      <w:r>
        <w:tab/>
        <w:t>(b)</w:t>
      </w:r>
      <w:r>
        <w:tab/>
        <w:t>is classified as non</w:t>
      </w:r>
      <w:r>
        <w:noBreakHyphen/>
        <w:t>residential; and</w:t>
      </w:r>
    </w:p>
    <w:p>
      <w:pPr>
        <w:pStyle w:val="yIndenta"/>
        <w:tabs>
          <w:tab w:val="right" w:leader="dot" w:pos="6804"/>
        </w:tabs>
      </w:pPr>
      <w:r>
        <w:lastRenderedPageBreak/>
        <w:tab/>
        <w:t>(c)</w:t>
      </w:r>
      <w:r>
        <w:tab/>
        <w:t>is not covered by item 5 or 6; and</w:t>
      </w:r>
    </w:p>
    <w:p>
      <w:pPr>
        <w:pStyle w:val="yIndenta"/>
        <w:tabs>
          <w:tab w:val="right" w:leader="dot" w:pos="6804"/>
        </w:tabs>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$292.97</w:t>
      </w:r>
    </w:p>
    <w:p>
      <w:pPr>
        <w:pStyle w:val="yHeading5"/>
      </w:pPr>
      <w:bookmarkStart w:id="246" w:name="_Toc105574238"/>
      <w:bookmarkStart w:id="247" w:name="_Toc107232249"/>
      <w:r>
        <w:t>8.</w:t>
      </w:r>
      <w:r>
        <w:tab/>
        <w:t>Community residential</w:t>
      </w:r>
      <w:bookmarkEnd w:id="246"/>
      <w:bookmarkEnd w:id="247"/>
    </w:p>
    <w:p>
      <w:pPr>
        <w:pStyle w:val="ySubsection"/>
        <w:tabs>
          <w:tab w:val="right" w:leader="dot" w:pos="6804"/>
        </w:tabs>
      </w:pPr>
      <w:r>
        <w:tab/>
        <w:t>(1)</w:t>
      </w:r>
      <w:r>
        <w:tab/>
        <w:t>For land that is classified as community residential, the Water Corporation must determine the number of dwellings on the land.</w:t>
      </w:r>
    </w:p>
    <w:p>
      <w:pPr>
        <w:pStyle w:val="ySubsection"/>
        <w:tabs>
          <w:tab w:val="right" w:leader="dot" w:pos="6804"/>
        </w:tabs>
      </w:pPr>
      <w:r>
        <w:tab/>
        <w:t>(2)</w:t>
      </w:r>
      <w:r>
        <w:tab/>
        <w:t xml:space="preserve">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 </w:t>
      </w:r>
    </w:p>
    <w:p>
      <w:pPr>
        <w:pStyle w:val="yTHeadingNAmLeft2c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trPr>
          <w:cantSplit/>
          <w:tblHeader/>
        </w:trPr>
        <w:tc>
          <w:tcPr>
            <w:tcW w:w="2126" w:type="dxa"/>
            <w:tcBorders>
              <w:top w:val="single" w:sz="4" w:space="0" w:color="auto"/>
              <w:bottom w:val="single" w:sz="4" w:space="0" w:color="auto"/>
            </w:tcBorders>
            <w:noWrap/>
          </w:tcPr>
          <w:p>
            <w:pPr>
              <w:pStyle w:val="zyTableNAm"/>
            </w:pPr>
          </w:p>
        </w:tc>
        <w:tc>
          <w:tcPr>
            <w:tcW w:w="1170"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70"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8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2126" w:type="dxa"/>
            <w:tcBorders>
              <w:bottom w:val="single" w:sz="4" w:space="0" w:color="auto"/>
            </w:tcBorders>
            <w:noWrap/>
          </w:tcPr>
          <w:p>
            <w:pPr>
              <w:pStyle w:val="yTableNAm"/>
            </w:pPr>
            <w:r>
              <w:t>If Housing Authority responsible for payment of charge</w:t>
            </w:r>
          </w:p>
        </w:tc>
        <w:tc>
          <w:tcPr>
            <w:tcW w:w="1170" w:type="dxa"/>
            <w:tcBorders>
              <w:bottom w:val="single" w:sz="4" w:space="0" w:color="auto"/>
            </w:tcBorders>
            <w:noWrap/>
            <w:vAlign w:val="bottom"/>
          </w:tcPr>
          <w:p>
            <w:pPr>
              <w:pStyle w:val="yTableNAmRight"/>
            </w:pPr>
            <w:r>
              <w:t>275.70</w:t>
            </w:r>
          </w:p>
        </w:tc>
        <w:tc>
          <w:tcPr>
            <w:tcW w:w="1170" w:type="dxa"/>
            <w:tcBorders>
              <w:bottom w:val="single" w:sz="4" w:space="0" w:color="auto"/>
            </w:tcBorders>
            <w:noWrap/>
            <w:vAlign w:val="bottom"/>
          </w:tcPr>
          <w:p>
            <w:pPr>
              <w:pStyle w:val="yTableNAmRight"/>
            </w:pPr>
            <w:r>
              <w:t>108.86</w:t>
            </w:r>
          </w:p>
        </w:tc>
        <w:tc>
          <w:tcPr>
            <w:tcW w:w="1488" w:type="dxa"/>
            <w:tcBorders>
              <w:bottom w:val="single" w:sz="4" w:space="0" w:color="auto"/>
            </w:tcBorders>
            <w:noWrap/>
            <w:vAlign w:val="bottom"/>
          </w:tcPr>
          <w:p>
            <w:pPr>
              <w:pStyle w:val="yTableNAmRight"/>
            </w:pPr>
            <w:r>
              <w:t>166.84</w:t>
            </w:r>
          </w:p>
        </w:tc>
      </w:tr>
      <w:tr>
        <w:trPr>
          <w:cantSplit/>
        </w:trPr>
        <w:tc>
          <w:tcPr>
            <w:tcW w:w="2126" w:type="dxa"/>
            <w:tcBorders>
              <w:bottom w:val="single" w:sz="4" w:space="0" w:color="auto"/>
            </w:tcBorders>
            <w:noWrap/>
          </w:tcPr>
          <w:p>
            <w:pPr>
              <w:pStyle w:val="yTableNAm"/>
            </w:pPr>
            <w:r>
              <w:t>In any other case</w:t>
            </w:r>
          </w:p>
        </w:tc>
        <w:tc>
          <w:tcPr>
            <w:tcW w:w="1170" w:type="dxa"/>
            <w:tcBorders>
              <w:bottom w:val="single" w:sz="4" w:space="0" w:color="auto"/>
            </w:tcBorders>
            <w:noWrap/>
            <w:vAlign w:val="bottom"/>
          </w:tcPr>
          <w:p>
            <w:pPr>
              <w:pStyle w:val="yTableNAmRight"/>
            </w:pPr>
            <w:r>
              <w:t>275.70</w:t>
            </w:r>
          </w:p>
        </w:tc>
        <w:tc>
          <w:tcPr>
            <w:tcW w:w="1170" w:type="dxa"/>
            <w:tcBorders>
              <w:bottom w:val="single" w:sz="4" w:space="0" w:color="auto"/>
            </w:tcBorders>
            <w:noWrap/>
            <w:vAlign w:val="bottom"/>
          </w:tcPr>
          <w:p>
            <w:pPr>
              <w:pStyle w:val="yTableNAmRight"/>
            </w:pPr>
            <w:r>
              <w:t>275.70</w:t>
            </w:r>
          </w:p>
        </w:tc>
        <w:tc>
          <w:tcPr>
            <w:tcW w:w="1488" w:type="dxa"/>
            <w:tcBorders>
              <w:bottom w:val="single" w:sz="4" w:space="0" w:color="auto"/>
            </w:tcBorders>
            <w:noWrap/>
            <w:vAlign w:val="bottom"/>
          </w:tcPr>
          <w:p>
            <w:pPr>
              <w:pStyle w:val="yTableNAmRight"/>
            </w:pPr>
            <w:r>
              <w:t>0.00</w:t>
            </w:r>
          </w:p>
        </w:tc>
      </w:tr>
    </w:tbl>
    <w:p>
      <w:pPr>
        <w:pStyle w:val="yHeading5"/>
      </w:pPr>
      <w:bookmarkStart w:id="248" w:name="_Toc105574239"/>
      <w:bookmarkStart w:id="249" w:name="_Toc107232250"/>
      <w:r>
        <w:t>9.</w:t>
      </w:r>
      <w:r>
        <w:tab/>
        <w:t>Semi</w:t>
      </w:r>
      <w:r>
        <w:noBreakHyphen/>
        <w:t>rural residential</w:t>
      </w:r>
      <w:bookmarkEnd w:id="248"/>
      <w:bookmarkEnd w:id="249"/>
    </w:p>
    <w:p>
      <w:pPr>
        <w:pStyle w:val="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$275.70</w:t>
      </w:r>
    </w:p>
    <w:p>
      <w:pPr>
        <w:pStyle w:val="yHeading5"/>
      </w:pPr>
      <w:bookmarkStart w:id="250" w:name="_Toc105574240"/>
      <w:bookmarkStart w:id="251" w:name="_Toc107232251"/>
      <w:r>
        <w:t>10.</w:t>
      </w:r>
      <w:r>
        <w:tab/>
        <w:t>Non</w:t>
      </w:r>
      <w:r>
        <w:noBreakHyphen/>
        <w:t>metropolitan concessional</w:t>
      </w:r>
      <w:bookmarkEnd w:id="250"/>
      <w:bookmarkEnd w:id="251"/>
    </w:p>
    <w:p>
      <w:pPr>
        <w:pStyle w:val="ySubsection"/>
        <w:tabs>
          <w:tab w:val="right" w:leader="dot" w:pos="6804"/>
        </w:tabs>
      </w:pPr>
      <w:r>
        <w:tab/>
        <w:t>(1)</w:t>
      </w:r>
      <w:r>
        <w:tab/>
        <w:t>For land in the non</w:t>
      </w:r>
      <w:r>
        <w:noBreakHyphen/>
        <w:t>metropolitan area that is classified as aged home, charitable purposes or institutional public, the charge per water supply connection is the discounted charge set out in the Table to this sub</w:t>
      </w:r>
      <w:r>
        <w:noBreakHyphen/>
        <w:t>item, according to the relevant meter size.</w:t>
      </w:r>
    </w:p>
    <w:p>
      <w:pPr>
        <w:pStyle w:val="yTHeadingNAmLeft225cm"/>
      </w:pPr>
      <w:r>
        <w:lastRenderedPageBreak/>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vAlign w:val="bottom"/>
          </w:tcPr>
          <w:p>
            <w:pPr>
              <w:pStyle w:val="yTableNAm"/>
              <w:jc w:val="center"/>
              <w:rPr>
                <w:szCs w:val="22"/>
              </w:rPr>
            </w:pPr>
            <w:r>
              <w:rPr>
                <w:szCs w:val="22"/>
              </w:rPr>
              <w:t>292.97</w:t>
            </w:r>
          </w:p>
        </w:tc>
        <w:tc>
          <w:tcPr>
            <w:tcW w:w="1276" w:type="dxa"/>
            <w:tcBorders>
              <w:top w:val="single" w:sz="4" w:space="0" w:color="auto"/>
            </w:tcBorders>
            <w:noWrap/>
            <w:vAlign w:val="bottom"/>
          </w:tcPr>
          <w:p>
            <w:pPr>
              <w:pStyle w:val="yTableNAm"/>
              <w:jc w:val="center"/>
            </w:pPr>
            <w:r>
              <w:rPr>
                <w:szCs w:val="22"/>
              </w:rPr>
              <w:t>292.97</w:t>
            </w:r>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vAlign w:val="bottom"/>
          </w:tcPr>
          <w:p>
            <w:pPr>
              <w:pStyle w:val="yTableNAm"/>
              <w:jc w:val="center"/>
              <w:rPr>
                <w:szCs w:val="22"/>
              </w:rPr>
            </w:pPr>
            <w:r>
              <w:rPr>
                <w:szCs w:val="22"/>
              </w:rPr>
              <w:t>457.80</w:t>
            </w:r>
          </w:p>
        </w:tc>
        <w:tc>
          <w:tcPr>
            <w:tcW w:w="1276" w:type="dxa"/>
            <w:noWrap/>
            <w:vAlign w:val="bottom"/>
          </w:tcPr>
          <w:p>
            <w:pPr>
              <w:pStyle w:val="yTableNAm"/>
              <w:jc w:val="center"/>
            </w:pPr>
            <w:r>
              <w:rPr>
                <w:szCs w:val="22"/>
              </w:rPr>
              <w:t>457.80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vAlign w:val="bottom"/>
          </w:tcPr>
          <w:p>
            <w:pPr>
              <w:pStyle w:val="yTableNAm"/>
              <w:jc w:val="center"/>
              <w:rPr>
                <w:szCs w:val="22"/>
              </w:rPr>
            </w:pPr>
            <w:r>
              <w:rPr>
                <w:szCs w:val="22"/>
              </w:rPr>
              <w:t>659.18</w:t>
            </w:r>
          </w:p>
        </w:tc>
        <w:tc>
          <w:tcPr>
            <w:tcW w:w="1276" w:type="dxa"/>
            <w:noWrap/>
            <w:vAlign w:val="bottom"/>
          </w:tcPr>
          <w:p>
            <w:pPr>
              <w:pStyle w:val="yTableNAm"/>
              <w:jc w:val="center"/>
            </w:pPr>
            <w:r>
              <w:rPr>
                <w:szCs w:val="22"/>
              </w:rPr>
              <w:t>659.18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vAlign w:val="bottom"/>
          </w:tcPr>
          <w:p>
            <w:pPr>
              <w:pStyle w:val="yTableNAm"/>
              <w:jc w:val="center"/>
              <w:rPr>
                <w:szCs w:val="22"/>
              </w:rPr>
            </w:pPr>
            <w:r>
              <w:rPr>
                <w:szCs w:val="22"/>
              </w:rPr>
              <w:t>1 171.95</w:t>
            </w:r>
          </w:p>
        </w:tc>
        <w:tc>
          <w:tcPr>
            <w:tcW w:w="1276" w:type="dxa"/>
            <w:noWrap/>
            <w:vAlign w:val="bottom"/>
          </w:tcPr>
          <w:p>
            <w:pPr>
              <w:pStyle w:val="yTableNAm"/>
              <w:jc w:val="center"/>
            </w:pPr>
            <w:r>
              <w:rPr>
                <w:szCs w:val="22"/>
              </w:rPr>
              <w:t>1 171.95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vAlign w:val="bottom"/>
          </w:tcPr>
          <w:p>
            <w:pPr>
              <w:pStyle w:val="yTableNAm"/>
              <w:jc w:val="center"/>
              <w:rPr>
                <w:szCs w:val="22"/>
              </w:rPr>
            </w:pPr>
            <w:r>
              <w:rPr>
                <w:szCs w:val="22"/>
              </w:rPr>
              <w:t>1 831.14</w:t>
            </w:r>
          </w:p>
        </w:tc>
        <w:tc>
          <w:tcPr>
            <w:tcW w:w="1276" w:type="dxa"/>
            <w:noWrap/>
            <w:vAlign w:val="bottom"/>
          </w:tcPr>
          <w:p>
            <w:pPr>
              <w:pStyle w:val="yTableNAm"/>
              <w:jc w:val="center"/>
            </w:pPr>
            <w:r>
              <w:rPr>
                <w:szCs w:val="22"/>
              </w:rPr>
              <w:t>1 831.14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vAlign w:val="bottom"/>
          </w:tcPr>
          <w:p>
            <w:pPr>
              <w:pStyle w:val="yTableNAm"/>
              <w:jc w:val="center"/>
              <w:rPr>
                <w:szCs w:val="22"/>
              </w:rPr>
            </w:pPr>
            <w:r>
              <w:rPr>
                <w:szCs w:val="22"/>
              </w:rPr>
              <w:t>4 687.74</w:t>
            </w:r>
          </w:p>
        </w:tc>
        <w:tc>
          <w:tcPr>
            <w:tcW w:w="1276" w:type="dxa"/>
            <w:noWrap/>
            <w:vAlign w:val="bottom"/>
          </w:tcPr>
          <w:p>
            <w:pPr>
              <w:pStyle w:val="yTableNAm"/>
              <w:jc w:val="center"/>
            </w:pPr>
            <w:r>
              <w:rPr>
                <w:szCs w:val="22"/>
              </w:rPr>
              <w:t>4 687.74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vAlign w:val="bottom"/>
          </w:tcPr>
          <w:p>
            <w:pPr>
              <w:pStyle w:val="yTableNAm"/>
              <w:jc w:val="center"/>
              <w:rPr>
                <w:szCs w:val="22"/>
              </w:rPr>
            </w:pPr>
            <w:r>
              <w:rPr>
                <w:szCs w:val="22"/>
              </w:rPr>
              <w:t>7 324.58</w:t>
            </w:r>
          </w:p>
        </w:tc>
        <w:tc>
          <w:tcPr>
            <w:tcW w:w="1276" w:type="dxa"/>
            <w:noWrap/>
            <w:vAlign w:val="bottom"/>
          </w:tcPr>
          <w:p>
            <w:pPr>
              <w:pStyle w:val="yTableNAm"/>
              <w:jc w:val="center"/>
            </w:pPr>
            <w:r>
              <w:rPr>
                <w:szCs w:val="22"/>
              </w:rPr>
              <w:t>7 324.58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vAlign w:val="bottom"/>
          </w:tcPr>
          <w:p>
            <w:pPr>
              <w:pStyle w:val="yTableNAm"/>
              <w:jc w:val="center"/>
              <w:rPr>
                <w:szCs w:val="22"/>
              </w:rPr>
            </w:pPr>
            <w:r>
              <w:rPr>
                <w:szCs w:val="22"/>
              </w:rPr>
              <w:t>16 480.30</w:t>
            </w:r>
          </w:p>
        </w:tc>
        <w:tc>
          <w:tcPr>
            <w:tcW w:w="1276" w:type="dxa"/>
            <w:noWrap/>
            <w:vAlign w:val="bottom"/>
          </w:tcPr>
          <w:p>
            <w:pPr>
              <w:pStyle w:val="yTableNAm"/>
              <w:jc w:val="center"/>
            </w:pPr>
            <w:r>
              <w:rPr>
                <w:szCs w:val="22"/>
              </w:rPr>
              <w:t>16 480.30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vAlign w:val="bottom"/>
          </w:tcPr>
          <w:p>
            <w:pPr>
              <w:pStyle w:val="yTableNAm"/>
              <w:jc w:val="center"/>
              <w:rPr>
                <w:szCs w:val="22"/>
              </w:rPr>
            </w:pPr>
            <w:r>
              <w:rPr>
                <w:szCs w:val="22"/>
              </w:rPr>
              <w:t>29 298.30</w:t>
            </w:r>
          </w:p>
        </w:tc>
        <w:tc>
          <w:tcPr>
            <w:tcW w:w="1276" w:type="dxa"/>
            <w:noWrap/>
            <w:vAlign w:val="bottom"/>
          </w:tcPr>
          <w:p>
            <w:pPr>
              <w:pStyle w:val="yTableNAm"/>
              <w:jc w:val="center"/>
            </w:pPr>
            <w:r>
              <w:rPr>
                <w:szCs w:val="22"/>
              </w:rPr>
              <w:t>29 298.30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vAlign w:val="bottom"/>
          </w:tcPr>
          <w:p>
            <w:pPr>
              <w:pStyle w:val="yTableNAm"/>
              <w:jc w:val="center"/>
              <w:rPr>
                <w:szCs w:val="22"/>
              </w:rPr>
            </w:pPr>
            <w:r>
              <w:rPr>
                <w:szCs w:val="22"/>
              </w:rPr>
              <w:t>45 778.60</w:t>
            </w:r>
          </w:p>
        </w:tc>
        <w:tc>
          <w:tcPr>
            <w:tcW w:w="1276" w:type="dxa"/>
            <w:noWrap/>
            <w:vAlign w:val="bottom"/>
          </w:tcPr>
          <w:p>
            <w:pPr>
              <w:pStyle w:val="yTableNAm"/>
              <w:jc w:val="center"/>
            </w:pPr>
            <w:r>
              <w:rPr>
                <w:szCs w:val="22"/>
              </w:rPr>
              <w:t>45 778.60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vAlign w:val="bottom"/>
          </w:tcPr>
          <w:p>
            <w:pPr>
              <w:pStyle w:val="yTableNAm"/>
              <w:jc w:val="center"/>
              <w:rPr>
                <w:szCs w:val="22"/>
              </w:rPr>
            </w:pPr>
            <w:r>
              <w:rPr>
                <w:szCs w:val="22"/>
              </w:rPr>
              <w:t>65 921.20</w:t>
            </w:r>
          </w:p>
        </w:tc>
        <w:tc>
          <w:tcPr>
            <w:tcW w:w="1276" w:type="dxa"/>
            <w:noWrap/>
            <w:vAlign w:val="bottom"/>
          </w:tcPr>
          <w:p>
            <w:pPr>
              <w:pStyle w:val="yTableNAm"/>
              <w:jc w:val="center"/>
            </w:pPr>
            <w:r>
              <w:rPr>
                <w:szCs w:val="22"/>
              </w:rPr>
              <w:t>65 921.20</w:t>
            </w:r>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vAlign w:val="bottom"/>
          </w:tcPr>
          <w:p>
            <w:pPr>
              <w:pStyle w:val="yTableNAm"/>
              <w:jc w:val="center"/>
              <w:rPr>
                <w:szCs w:val="22"/>
              </w:rPr>
            </w:pPr>
            <w:r>
              <w:rPr>
                <w:szCs w:val="22"/>
              </w:rPr>
              <w:t>89 726.12</w:t>
            </w:r>
          </w:p>
        </w:tc>
        <w:tc>
          <w:tcPr>
            <w:tcW w:w="1276" w:type="dxa"/>
            <w:tcBorders>
              <w:bottom w:val="single" w:sz="4" w:space="0" w:color="auto"/>
            </w:tcBorders>
            <w:noWrap/>
            <w:vAlign w:val="bottom"/>
          </w:tcPr>
          <w:p>
            <w:pPr>
              <w:pStyle w:val="yTableNAm"/>
              <w:jc w:val="center"/>
            </w:pPr>
            <w:r>
              <w:rPr>
                <w:szCs w:val="22"/>
              </w:rPr>
              <w:t>89 726.12</w:t>
            </w:r>
          </w:p>
        </w:tc>
        <w:tc>
          <w:tcPr>
            <w:tcW w:w="1418" w:type="dxa"/>
            <w:tcBorders>
              <w:bottom w:val="single" w:sz="4" w:space="0" w:color="auto"/>
            </w:tcBorders>
            <w:noWrap/>
            <w:vAlign w:val="bottom"/>
          </w:tcPr>
          <w:p>
            <w:pPr>
              <w:pStyle w:val="yTableNAm"/>
              <w:jc w:val="center"/>
            </w:pPr>
            <w:r>
              <w:t>0.00</w:t>
            </w:r>
          </w:p>
        </w:tc>
      </w:tr>
    </w:tbl>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pPr>
      <w:r>
        <w:tab/>
        <w:t>(3)</w:t>
      </w:r>
      <w:r>
        <w:tab/>
        <w:t>For concessional land in the non</w:t>
      </w:r>
      <w:r>
        <w:noBreakHyphen/>
        <w:t>metropolitan area which, although a water service is provided, is not connected to water supply works of the Water Corporation, the charge is the discounted charge set out in the Table to this sub</w:t>
      </w:r>
      <w:r>
        <w:noBreakHyphen/>
        <w:t xml:space="preserve">item. </w:t>
      </w:r>
    </w:p>
    <w:p>
      <w:pPr>
        <w:pStyle w:val="yTHeadingNAm"/>
      </w:pPr>
      <w:r>
        <w:t>Table of charge and discount</w:t>
      </w:r>
    </w:p>
    <w:tbl>
      <w:tblPr>
        <w:tblW w:w="3687" w:type="dxa"/>
        <w:jc w:val="center"/>
        <w:tblLayout w:type="fixed"/>
        <w:tblLook w:val="0000" w:firstRow="0" w:lastRow="0" w:firstColumn="0" w:lastColumn="0" w:noHBand="0" w:noVBand="0"/>
      </w:tblPr>
      <w:tblGrid>
        <w:gridCol w:w="1135"/>
        <w:gridCol w:w="1135"/>
        <w:gridCol w:w="1417"/>
      </w:tblGrid>
      <w:tr>
        <w:trPr>
          <w:cantSplit/>
          <w:tblHeader/>
          <w:jc w:val="center"/>
        </w:trPr>
        <w:tc>
          <w:tcPr>
            <w:tcW w:w="1135"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jc w:val="center"/>
        </w:trPr>
        <w:tc>
          <w:tcPr>
            <w:tcW w:w="1135" w:type="dxa"/>
            <w:tcBorders>
              <w:bottom w:val="single" w:sz="4" w:space="0" w:color="auto"/>
            </w:tcBorders>
            <w:noWrap/>
            <w:vAlign w:val="bottom"/>
          </w:tcPr>
          <w:p>
            <w:pPr>
              <w:pStyle w:val="yTableNAmRight"/>
            </w:pPr>
            <w:r>
              <w:t>292.97</w:t>
            </w:r>
          </w:p>
        </w:tc>
        <w:tc>
          <w:tcPr>
            <w:tcW w:w="1135" w:type="dxa"/>
            <w:tcBorders>
              <w:bottom w:val="single" w:sz="4" w:space="0" w:color="auto"/>
            </w:tcBorders>
            <w:noWrap/>
            <w:vAlign w:val="bottom"/>
          </w:tcPr>
          <w:p>
            <w:pPr>
              <w:pStyle w:val="yTableNAmRight"/>
            </w:pPr>
            <w:r>
              <w:t>292.97</w:t>
            </w:r>
          </w:p>
        </w:tc>
        <w:tc>
          <w:tcPr>
            <w:tcW w:w="1417" w:type="dxa"/>
            <w:tcBorders>
              <w:bottom w:val="single" w:sz="4" w:space="0" w:color="auto"/>
            </w:tcBorders>
            <w:noWrap/>
            <w:vAlign w:val="bottom"/>
          </w:tcPr>
          <w:p>
            <w:pPr>
              <w:pStyle w:val="yTableNAmRight"/>
            </w:pPr>
            <w:r>
              <w:t>0.00</w:t>
            </w:r>
          </w:p>
        </w:tc>
      </w:tr>
    </w:tbl>
    <w:p>
      <w:pPr>
        <w:pStyle w:val="yHeading5"/>
      </w:pPr>
      <w:bookmarkStart w:id="252" w:name="_Toc105574241"/>
      <w:bookmarkStart w:id="253" w:name="_Toc107232252"/>
      <w:r>
        <w:lastRenderedPageBreak/>
        <w:t>11.</w:t>
      </w:r>
      <w:r>
        <w:tab/>
        <w:t>Non</w:t>
      </w:r>
      <w:r>
        <w:noBreakHyphen/>
        <w:t>residential or commercial residential (except storage units, parking bays and certain lots in strata titles scheme or community titles scheme)</w:t>
      </w:r>
      <w:bookmarkEnd w:id="252"/>
      <w:bookmarkEnd w:id="253"/>
    </w:p>
    <w:p>
      <w:pPr>
        <w:pStyle w:val="ySubsection"/>
        <w:tabs>
          <w:tab w:val="right" w:leader="dot" w:pos="6804"/>
        </w:tabs>
      </w:pPr>
      <w:r>
        <w:tab/>
        <w:t>(1)</w:t>
      </w:r>
      <w:r>
        <w:tab/>
        <w:t>For land that —</w:t>
      </w:r>
    </w:p>
    <w:p>
      <w:pPr>
        <w:pStyle w:val="yIndenta"/>
        <w:tabs>
          <w:tab w:val="right" w:leader="dot" w:pos="6804"/>
        </w:tabs>
      </w:pPr>
      <w:r>
        <w:tab/>
        <w:t>(a)</w:t>
      </w:r>
      <w:r>
        <w:tab/>
        <w:t>is classified as non</w:t>
      </w:r>
      <w:r>
        <w:noBreakHyphen/>
        <w:t>residential or commercial residential; and</w:t>
      </w:r>
    </w:p>
    <w:p>
      <w:pPr>
        <w:pStyle w:val="yIndenta"/>
        <w:tabs>
          <w:tab w:val="right" w:leader="dot" w:pos="6804"/>
        </w:tabs>
      </w:pPr>
      <w:r>
        <w:tab/>
        <w:t>(b)</w:t>
      </w:r>
      <w:r>
        <w:tab/>
        <w:t>is not contained in a residential property; and</w:t>
      </w:r>
    </w:p>
    <w:p>
      <w:pPr>
        <w:pStyle w:val="yIndenta"/>
        <w:tabs>
          <w:tab w:val="right" w:leader="dot" w:pos="6804"/>
        </w:tabs>
      </w:pPr>
      <w:r>
        <w:tab/>
        <w:t>(c)</w:t>
      </w:r>
      <w:r>
        <w:tab/>
        <w:t>is not covered by item 5, 6 or 7,</w:t>
      </w:r>
    </w:p>
    <w:p>
      <w:pPr>
        <w:pStyle w:val="ySubsection"/>
        <w:tabs>
          <w:tab w:val="right" w:leader="dot" w:pos="6804"/>
        </w:tabs>
      </w:pPr>
      <w:r>
        <w:tab/>
      </w:r>
      <w:r>
        <w:tab/>
        <w:t>the charge is the charge set out in the Table in item 2, according to the relevant meter size.</w:t>
      </w:r>
    </w:p>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pPr>
        <w:pStyle w:val="ySubsection"/>
        <w:tabs>
          <w:tab w:val="right" w:leader="dot" w:pos="6804"/>
        </w:tabs>
      </w:pPr>
      <w:r>
        <w:tab/>
        <w:t>(4)</w:t>
      </w:r>
      <w:r>
        <w:tab/>
        <w:t>If land covered by sub</w:t>
      </w:r>
      <w:r>
        <w:noBreakHyphen/>
        <w:t>item (1) is not connected to the water supply works of the Water Corporation, the charge must be calculated as if the land were connected and the connection metered through a 20 mm meter.</w:t>
      </w:r>
    </w:p>
    <w:p>
      <w:pPr>
        <w:pStyle w:val="yHeading5"/>
      </w:pPr>
      <w:bookmarkStart w:id="254" w:name="_Toc105574242"/>
      <w:bookmarkStart w:id="255" w:name="_Toc107232253"/>
      <w:r>
        <w:t>12.</w:t>
      </w:r>
      <w:r>
        <w:tab/>
        <w:t>Additional connections</w:t>
      </w:r>
      <w:bookmarkEnd w:id="254"/>
      <w:bookmarkEnd w:id="255"/>
    </w:p>
    <w:p>
      <w:pPr>
        <w:pStyle w:val="ySubsection"/>
        <w:tabs>
          <w:tab w:val="right" w:leader="dot" w:pos="6804"/>
        </w:tabs>
      </w:pPr>
      <w:r>
        <w:tab/>
        <w:t>(1)</w:t>
      </w:r>
      <w:r>
        <w:tab/>
        <w:t>For land supplied water through more than one water supply connection, the charge, for each additional connection, is —</w:t>
      </w:r>
    </w:p>
    <w:p>
      <w:pPr>
        <w:pStyle w:val="yIndenta"/>
        <w:tabs>
          <w:tab w:val="right" w:leader="dot" w:pos="6804"/>
        </w:tabs>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$275.70</w:t>
      </w:r>
    </w:p>
    <w:p>
      <w:pPr>
        <w:pStyle w:val="ySubsection"/>
        <w:tabs>
          <w:tab w:val="right" w:leader="dot" w:pos="6804"/>
        </w:tabs>
      </w:pPr>
      <w:r>
        <w:tab/>
        <w:t>(2)</w:t>
      </w:r>
      <w:r>
        <w:tab/>
        <w:t>Sub</w:t>
      </w:r>
      <w:r>
        <w:noBreakHyphen/>
        <w:t>item (1) does not apply to —</w:t>
      </w:r>
    </w:p>
    <w:p>
      <w:pPr>
        <w:pStyle w:val="yIndenta"/>
        <w:tabs>
          <w:tab w:val="right" w:leader="dot" w:pos="6804"/>
        </w:tabs>
      </w:pPr>
      <w:r>
        <w:tab/>
        <w:t>(a)</w:t>
      </w:r>
      <w:r>
        <w:tab/>
        <w:t>a garden service connection; or</w:t>
      </w:r>
    </w:p>
    <w:p>
      <w:pPr>
        <w:pStyle w:val="yIndenta"/>
        <w:tabs>
          <w:tab w:val="right" w:leader="dot" w:pos="6804"/>
        </w:tabs>
      </w:pPr>
      <w:r>
        <w:tab/>
        <w:t>(b)</w:t>
      </w:r>
      <w:r>
        <w:tab/>
        <w:t>a connection covered by item 17 or 21.</w:t>
      </w:r>
    </w:p>
    <w:p>
      <w:pPr>
        <w:pStyle w:val="ySubsection"/>
        <w:tabs>
          <w:tab w:val="right" w:leader="dot" w:pos="6804"/>
        </w:tabs>
      </w:pPr>
      <w:r>
        <w:tab/>
        <w:t>(3)</w:t>
      </w:r>
      <w:r>
        <w:tab/>
        <w:t>The charge under sub</w:t>
      </w:r>
      <w:r>
        <w:noBreakHyphen/>
        <w:t>item (1) is in addition to any other charge applicable to the land under this Schedule.</w:t>
      </w:r>
    </w:p>
    <w:p>
      <w:pPr>
        <w:pStyle w:val="ySubsection"/>
        <w:tabs>
          <w:tab w:val="right" w:leader="dot" w:pos="6804"/>
        </w:tabs>
      </w:pPr>
      <w:r>
        <w:lastRenderedPageBreak/>
        <w:tab/>
        <w:t>(4)</w:t>
      </w:r>
      <w:r>
        <w:tab/>
        <w:t>If a connection to which sub</w:t>
      </w:r>
      <w:r>
        <w:noBreakHyphen/>
        <w:t>item (1)(a) applies is not metered, the charge must be calculated as if the connection were metered through a meter of a size equal to the diameter of the pipe making the connection.</w:t>
      </w:r>
    </w:p>
    <w:p>
      <w:pPr>
        <w:pStyle w:val="yHeading5"/>
      </w:pPr>
      <w:bookmarkStart w:id="256" w:name="_Toc105574243"/>
      <w:bookmarkStart w:id="257" w:name="_Toc107232254"/>
      <w:r>
        <w:t>13.</w:t>
      </w:r>
      <w:r>
        <w:tab/>
        <w:t>Vacant land</w:t>
      </w:r>
      <w:bookmarkEnd w:id="256"/>
      <w:bookmarkEnd w:id="257"/>
    </w:p>
    <w:p>
      <w:pPr>
        <w:pStyle w:val="ySubsection"/>
        <w:tabs>
          <w:tab w:val="right" w:leader="dot" w:pos="6804"/>
        </w:tabs>
      </w:pPr>
      <w:r>
        <w:tab/>
      </w:r>
      <w:r>
        <w:tab/>
        <w:t xml:space="preserve">For land that is classified as vacant land, </w:t>
      </w:r>
      <w:r>
        <w:br/>
        <w:t xml:space="preserve">the charge is </w:t>
      </w:r>
      <w:r>
        <w:tab/>
        <w:t>$275.70</w:t>
      </w:r>
    </w:p>
    <w:p>
      <w:pPr>
        <w:pStyle w:val="yHeading5"/>
      </w:pPr>
      <w:bookmarkStart w:id="258" w:name="_Toc105574244"/>
      <w:bookmarkStart w:id="259" w:name="_Toc107232255"/>
      <w:r>
        <w:t>14.</w:t>
      </w:r>
      <w:r>
        <w:tab/>
        <w:t>Garden service connections</w:t>
      </w:r>
      <w:bookmarkEnd w:id="258"/>
      <w:bookmarkEnd w:id="259"/>
    </w:p>
    <w:p>
      <w:pPr>
        <w:pStyle w:val="ySubsection"/>
        <w:tabs>
          <w:tab w:val="right" w:leader="dot" w:pos="6804"/>
        </w:tabs>
      </w:pPr>
      <w:r>
        <w:tab/>
        <w:t>(1)</w:t>
      </w:r>
      <w:r>
        <w:tab/>
        <w:t xml:space="preserve">For a garden service connection for water supplied to land in the suburb of Butler in the metropolitan area — </w:t>
      </w:r>
    </w:p>
    <w:p>
      <w:pPr>
        <w:pStyle w:val="yIndenta"/>
        <w:tabs>
          <w:tab w:val="right" w:leader="dot" w:pos="6804"/>
        </w:tabs>
      </w:pPr>
      <w:r>
        <w:tab/>
        <w:t>(a)</w:t>
      </w:r>
      <w:r>
        <w:tab/>
        <w:t xml:space="preserve">for land with an area of less </w:t>
      </w:r>
      <w:r>
        <w:br/>
        <w:t xml:space="preserve">than 400 m2, the charge is </w:t>
      </w:r>
      <w:r>
        <w:tab/>
        <w:t>$85.87</w:t>
      </w:r>
    </w:p>
    <w:p>
      <w:pPr>
        <w:pStyle w:val="yIndenta"/>
        <w:tabs>
          <w:tab w:val="right" w:leader="dot" w:pos="6804"/>
        </w:tabs>
      </w:pPr>
      <w:r>
        <w:tab/>
        <w:t>(b)</w:t>
      </w:r>
      <w:r>
        <w:tab/>
        <w:t xml:space="preserve">for land with an area equal to </w:t>
      </w:r>
      <w:r>
        <w:br/>
        <w:t xml:space="preserve">or greater than 400 m2, </w:t>
      </w:r>
      <w:r>
        <w:br/>
        <w:t xml:space="preserve">the charge is </w:t>
      </w:r>
      <w:r>
        <w:tab/>
        <w:t>$171.76</w:t>
      </w:r>
    </w:p>
    <w:p>
      <w:pPr>
        <w:pStyle w:val="ySubsection"/>
        <w:tabs>
          <w:tab w:val="right" w:leader="dot" w:pos="6804"/>
        </w:tabs>
      </w:pPr>
      <w:r>
        <w:tab/>
        <w:t>(2)</w:t>
      </w:r>
      <w:r>
        <w:tab/>
        <w:t>The charge under sub</w:t>
      </w:r>
      <w:r>
        <w:noBreakHyphen/>
        <w:t>item (1) is in addition to any other charge applicable to the land under this Schedule.</w:t>
      </w:r>
    </w:p>
    <w:p>
      <w:pPr>
        <w:pStyle w:val="yHeading5"/>
      </w:pPr>
      <w:bookmarkStart w:id="260" w:name="_Toc105574245"/>
      <w:bookmarkStart w:id="261" w:name="_Toc107232256"/>
      <w:r>
        <w:t>15.</w:t>
      </w:r>
      <w:r>
        <w:tab/>
        <w:t>Government trading organisations and non</w:t>
      </w:r>
      <w:r>
        <w:noBreakHyphen/>
        <w:t>commercial government property</w:t>
      </w:r>
      <w:bookmarkEnd w:id="260"/>
      <w:bookmarkEnd w:id="261"/>
    </w:p>
    <w:p>
      <w:pPr>
        <w:pStyle w:val="ySubsection"/>
        <w:tabs>
          <w:tab w:val="right" w:leader="dot" w:pos="6804"/>
        </w:tabs>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tabs>
          <w:tab w:val="right" w:leader="dot" w:pos="6804"/>
        </w:tabs>
      </w:pPr>
      <w:r>
        <w:tab/>
        <w:t>(2)</w:t>
      </w:r>
      <w:r>
        <w:tab/>
        <w:t>This item does not apply to public land.</w:t>
      </w:r>
    </w:p>
    <w:p>
      <w:pPr>
        <w:pStyle w:val="ySubsection"/>
        <w:tabs>
          <w:tab w:val="right" w:leader="dot" w:pos="6804"/>
        </w:tabs>
      </w:pPr>
      <w:r>
        <w:tab/>
        <w:t>(3)</w:t>
      </w:r>
      <w:r>
        <w:tab/>
        <w:t xml:space="preserve">For land to which this item applies — </w:t>
      </w:r>
    </w:p>
    <w:p>
      <w:pPr>
        <w:pStyle w:val="yIndenta"/>
        <w:tabs>
          <w:tab w:val="right" w:leader="dot" w:pos="6804"/>
        </w:tabs>
      </w:pPr>
      <w:r>
        <w:tab/>
        <w:t>(a)</w:t>
      </w:r>
      <w:r>
        <w:tab/>
        <w:t>the charge referred to in sub</w:t>
      </w:r>
      <w:r>
        <w:noBreakHyphen/>
        <w:t>item (1) that would otherwise apply, does not; and</w:t>
      </w:r>
    </w:p>
    <w:p>
      <w:pPr>
        <w:pStyle w:val="yIndenta"/>
        <w:tabs>
          <w:tab w:val="right" w:leader="dot" w:pos="6804"/>
        </w:tabs>
      </w:pPr>
      <w:r>
        <w:tab/>
        <w:t>(b)</w:t>
      </w:r>
      <w:r>
        <w:tab/>
        <w:t>the charge, per water supply connection, is the charge set out in the Table in item 2 according to the relevant meter size.</w:t>
      </w:r>
    </w:p>
    <w:p>
      <w:pPr>
        <w:pStyle w:val="ySubsection"/>
        <w:tabs>
          <w:tab w:val="right" w:leader="dot" w:pos="6804"/>
        </w:tabs>
      </w:pPr>
      <w:r>
        <w:tab/>
        <w:t>(4)</w:t>
      </w:r>
      <w:r>
        <w:tab/>
        <w:t>If a connection to which sub</w:t>
      </w:r>
      <w:r>
        <w:noBreakHyphen/>
        <w:t>item (3)(b) applies is not metered, the charge must be calculated as if the connection were metered through a 20 mm meter.</w:t>
      </w:r>
    </w:p>
    <w:p>
      <w:pPr>
        <w:pStyle w:val="yHeading5"/>
      </w:pPr>
      <w:bookmarkStart w:id="262" w:name="_Toc105574246"/>
      <w:bookmarkStart w:id="263" w:name="_Toc107232257"/>
      <w:r>
        <w:lastRenderedPageBreak/>
        <w:t>16.</w:t>
      </w:r>
      <w:r>
        <w:tab/>
        <w:t>Government trading organisations and non</w:t>
      </w:r>
      <w:r>
        <w:noBreakHyphen/>
        <w:t>commercial government property: on</w:t>
      </w:r>
      <w:r>
        <w:noBreakHyphen/>
        <w:t>supply to lessees or ships</w:t>
      </w:r>
      <w:bookmarkEnd w:id="262"/>
      <w:bookmarkEnd w:id="263"/>
    </w:p>
    <w:p>
      <w:pPr>
        <w:pStyle w:val="ySubsection"/>
        <w:tabs>
          <w:tab w:val="right" w:leader="dot" w:pos="6804"/>
        </w:tabs>
      </w:pPr>
      <w:r>
        <w:tab/>
        <w:t>(1)</w:t>
      </w:r>
      <w:r>
        <w:tab/>
        <w:t>This item applies to land held by a government trading organisation, or a public authority that holds non</w:t>
      </w:r>
      <w:r>
        <w:noBreakHyphen/>
        <w:t>commercial government property, if —</w:t>
      </w:r>
    </w:p>
    <w:p>
      <w:pPr>
        <w:pStyle w:val="yIndenta"/>
        <w:tabs>
          <w:tab w:val="right" w:leader="dot" w:pos="6804"/>
        </w:tabs>
      </w:pPr>
      <w:r>
        <w:tab/>
        <w:t>(a)</w:t>
      </w:r>
      <w:r>
        <w:tab/>
        <w:t>the land is connected to the water supply works of the Water Corporation; and</w:t>
      </w:r>
    </w:p>
    <w:p>
      <w:pPr>
        <w:pStyle w:val="yIndenta"/>
        <w:tabs>
          <w:tab w:val="right" w:leader="dot" w:pos="6804"/>
        </w:tabs>
      </w:pPr>
      <w:r>
        <w:tab/>
        <w:t>(b)</w:t>
      </w:r>
      <w:r>
        <w:tab/>
        <w:t>a meter is connected to the property water supply connection with which the Water Corporation supplies water to the land; and</w:t>
      </w:r>
    </w:p>
    <w:p>
      <w:pPr>
        <w:pStyle w:val="yIndenta"/>
        <w:tabs>
          <w:tab w:val="right" w:leader="dot" w:pos="6804"/>
        </w:tabs>
      </w:pPr>
      <w:r>
        <w:tab/>
        <w:t>(c)</w:t>
      </w:r>
      <w:r>
        <w:tab/>
        <w:t>at least some of the water supplied through the meter referred to in paragraph (b) is supplied, through a meter, to one or more lessees of any of the land or to ships in port.</w:t>
      </w:r>
    </w:p>
    <w:p>
      <w:pPr>
        <w:pStyle w:val="ySubsection"/>
        <w:tabs>
          <w:tab w:val="right" w:leader="dot" w:pos="6804"/>
        </w:tabs>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tabs>
          <w:tab w:val="right" w:leader="dot" w:pos="6804"/>
        </w:tabs>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264" w:name="_Toc105571064"/>
      <w:bookmarkStart w:id="265" w:name="_Toc105573879"/>
      <w:bookmarkStart w:id="266" w:name="_Toc105574247"/>
      <w:bookmarkStart w:id="267" w:name="_Toc106869166"/>
      <w:bookmarkStart w:id="268" w:name="_Toc106872044"/>
      <w:bookmarkStart w:id="269" w:name="_Toc107232258"/>
      <w:r>
        <w:t>Subdivision 3 — Other service charges</w:t>
      </w:r>
      <w:bookmarkEnd w:id="264"/>
      <w:bookmarkEnd w:id="265"/>
      <w:bookmarkEnd w:id="266"/>
      <w:bookmarkEnd w:id="267"/>
      <w:bookmarkEnd w:id="268"/>
      <w:bookmarkEnd w:id="269"/>
    </w:p>
    <w:p>
      <w:pPr>
        <w:pStyle w:val="yFootnoteheading"/>
      </w:pPr>
      <w:bookmarkStart w:id="270" w:name="_Toc105574248"/>
      <w:r>
        <w:tab/>
        <w:t>[Heading inserted: SL 2022/82 r. 19.]</w:t>
      </w:r>
    </w:p>
    <w:p>
      <w:pPr>
        <w:pStyle w:val="yHeading5"/>
      </w:pPr>
      <w:bookmarkStart w:id="271" w:name="_Toc107232259"/>
      <w:r>
        <w:t>17.</w:t>
      </w:r>
      <w:r>
        <w:tab/>
        <w:t>Farmland</w:t>
      </w:r>
      <w:bookmarkEnd w:id="270"/>
      <w:bookmarkEnd w:id="271"/>
    </w:p>
    <w:p>
      <w:pPr>
        <w:pStyle w:val="ySubsection"/>
        <w:tabs>
          <w:tab w:val="right" w:leader="dot" w:pos="6804"/>
        </w:tabs>
      </w:pPr>
      <w:r>
        <w:tab/>
      </w:r>
      <w:r>
        <w:tab/>
        <w:t>For each water supply connection provided</w:t>
      </w:r>
      <w:r>
        <w:br/>
        <w:t xml:space="preserve">on land that is classified as farmland, </w:t>
      </w:r>
      <w:r>
        <w:br/>
        <w:t xml:space="preserve">the charge is </w:t>
      </w:r>
      <w:r>
        <w:tab/>
        <w:t>$292.97</w:t>
      </w:r>
    </w:p>
    <w:p>
      <w:pPr>
        <w:pStyle w:val="yHeading5"/>
      </w:pPr>
      <w:bookmarkStart w:id="272" w:name="_Toc105574249"/>
      <w:bookmarkStart w:id="273" w:name="_Toc107232260"/>
      <w:r>
        <w:t>18.</w:t>
      </w:r>
      <w:r>
        <w:tab/>
        <w:t>Stock</w:t>
      </w:r>
      <w:bookmarkEnd w:id="272"/>
      <w:bookmarkEnd w:id="273"/>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w:t>
      </w:r>
      <w:r>
        <w:br/>
        <w:t xml:space="preserve">the charge is </w:t>
      </w:r>
      <w:r>
        <w:tab/>
        <w:t>$292.97</w:t>
      </w:r>
    </w:p>
    <w:p>
      <w:pPr>
        <w:pStyle w:val="yHeading5"/>
      </w:pPr>
      <w:bookmarkStart w:id="274" w:name="_Toc105574250"/>
      <w:bookmarkStart w:id="275" w:name="_Toc107232261"/>
      <w:r>
        <w:lastRenderedPageBreak/>
        <w:t>19.</w:t>
      </w:r>
      <w:r>
        <w:tab/>
        <w:t>Shipping</w:t>
      </w:r>
      <w:bookmarkEnd w:id="274"/>
      <w:bookmarkEnd w:id="275"/>
    </w:p>
    <w:p>
      <w:pPr>
        <w:pStyle w:val="ySubsection"/>
        <w:tabs>
          <w:tab w:val="right" w:leader="dot" w:pos="6804"/>
        </w:tabs>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276" w:name="_Toc105574251"/>
      <w:bookmarkStart w:id="277" w:name="_Toc107232262"/>
      <w:r>
        <w:t>20.</w:t>
      </w:r>
      <w:r>
        <w:tab/>
        <w:t>Local government standpipes</w:t>
      </w:r>
      <w:bookmarkEnd w:id="276"/>
      <w:bookmarkEnd w:id="277"/>
    </w:p>
    <w:p>
      <w:pPr>
        <w:pStyle w:val="ySubsection"/>
        <w:tabs>
          <w:tab w:val="right" w:leader="dot" w:pos="6804"/>
        </w:tabs>
      </w:pPr>
      <w:r>
        <w:tab/>
      </w:r>
      <w:r>
        <w:tab/>
        <w:t xml:space="preserve">For each local government standpipe, the charge is — </w:t>
      </w:r>
    </w:p>
    <w:p>
      <w:pPr>
        <w:pStyle w:val="yIndenta"/>
        <w:tabs>
          <w:tab w:val="right" w:leader="dot" w:pos="6804"/>
        </w:tabs>
      </w:pPr>
      <w:r>
        <w:tab/>
        <w:t>(a)</w:t>
      </w:r>
      <w:r>
        <w:tab/>
        <w:t>if the standpipe is used solely for local government works and purposes, the discounted charge set out in the Table; and</w:t>
      </w:r>
    </w:p>
    <w:p>
      <w:pPr>
        <w:pStyle w:val="yIndenta"/>
        <w:tabs>
          <w:tab w:val="right" w:leader="dot" w:pos="6804"/>
        </w:tabs>
      </w:pPr>
      <w:r>
        <w:tab/>
        <w:t>(b)</w:t>
      </w:r>
      <w:r>
        <w:tab/>
        <w:t xml:space="preserve">in any other case </w:t>
      </w:r>
      <w:r>
        <w:tab/>
        <w:t>$292.97</w:t>
      </w:r>
    </w:p>
    <w:p>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trPr>
          <w:cantSplit/>
          <w:tblHeader/>
        </w:trPr>
        <w:tc>
          <w:tcPr>
            <w:tcW w:w="1134"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36"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134" w:type="dxa"/>
            <w:tcBorders>
              <w:bottom w:val="single" w:sz="4" w:space="0" w:color="auto"/>
            </w:tcBorders>
            <w:noWrap/>
            <w:vAlign w:val="bottom"/>
          </w:tcPr>
          <w:p>
            <w:pPr>
              <w:pStyle w:val="yTableNAmRight"/>
            </w:pPr>
            <w:r>
              <w:t>292.97</w:t>
            </w:r>
          </w:p>
        </w:tc>
        <w:tc>
          <w:tcPr>
            <w:tcW w:w="1136" w:type="dxa"/>
            <w:tcBorders>
              <w:bottom w:val="single" w:sz="4" w:space="0" w:color="auto"/>
            </w:tcBorders>
            <w:noWrap/>
            <w:vAlign w:val="bottom"/>
          </w:tcPr>
          <w:p>
            <w:pPr>
              <w:pStyle w:val="yTableNAmRight"/>
            </w:pPr>
            <w:r>
              <w:t>292.97</w:t>
            </w:r>
          </w:p>
        </w:tc>
        <w:tc>
          <w:tcPr>
            <w:tcW w:w="1417" w:type="dxa"/>
            <w:tcBorders>
              <w:bottom w:val="single" w:sz="4" w:space="0" w:color="auto"/>
            </w:tcBorders>
            <w:noWrap/>
            <w:vAlign w:val="bottom"/>
          </w:tcPr>
          <w:p>
            <w:pPr>
              <w:pStyle w:val="yTableNAmRight"/>
            </w:pPr>
            <w:r>
              <w:t>0.00</w:t>
            </w:r>
          </w:p>
        </w:tc>
      </w:tr>
    </w:tbl>
    <w:p>
      <w:pPr>
        <w:pStyle w:val="yHeading5"/>
      </w:pPr>
      <w:bookmarkStart w:id="278" w:name="_Toc105574252"/>
      <w:bookmarkStart w:id="279" w:name="_Toc107232263"/>
      <w:r>
        <w:t>21.</w:t>
      </w:r>
      <w:r>
        <w:tab/>
        <w:t>Fire service connections</w:t>
      </w:r>
      <w:bookmarkEnd w:id="278"/>
      <w:bookmarkEnd w:id="279"/>
    </w:p>
    <w:p>
      <w:pPr>
        <w:pStyle w:val="ySubsection"/>
        <w:tabs>
          <w:tab w:val="right" w:leader="dot" w:pos="6804"/>
        </w:tabs>
      </w:pPr>
      <w:r>
        <w:tab/>
      </w:r>
      <w:r>
        <w:tab/>
        <w:t xml:space="preserve">For a fire service connection, the charge is </w:t>
      </w:r>
      <w:r>
        <w:tab/>
        <w:t>$292.97</w:t>
      </w:r>
    </w:p>
    <w:p>
      <w:pPr>
        <w:pStyle w:val="yFootnotesection"/>
      </w:pPr>
      <w:bookmarkStart w:id="280" w:name="_Toc105571070"/>
      <w:bookmarkStart w:id="281" w:name="_Toc105573885"/>
      <w:bookmarkStart w:id="282" w:name="_Toc105574253"/>
      <w:r>
        <w:tab/>
        <w:t>[Division 1 inserted: SL 2022/82 r. 19.]</w:t>
      </w:r>
    </w:p>
    <w:p>
      <w:pPr>
        <w:pStyle w:val="yHeading3"/>
      </w:pPr>
      <w:bookmarkStart w:id="283" w:name="_Toc106869172"/>
      <w:bookmarkStart w:id="284" w:name="_Toc106872050"/>
      <w:bookmarkStart w:id="285" w:name="_Toc107232264"/>
      <w:r>
        <w:rPr>
          <w:rStyle w:val="CharSDivNo"/>
        </w:rPr>
        <w:t>Division 2</w:t>
      </w:r>
      <w:r>
        <w:t> — </w:t>
      </w:r>
      <w:r>
        <w:rPr>
          <w:rStyle w:val="CharSDivText"/>
        </w:rPr>
        <w:t>Consumption charges</w:t>
      </w:r>
      <w:bookmarkEnd w:id="280"/>
      <w:bookmarkEnd w:id="281"/>
      <w:bookmarkEnd w:id="282"/>
      <w:bookmarkEnd w:id="283"/>
      <w:bookmarkEnd w:id="284"/>
      <w:bookmarkEnd w:id="285"/>
    </w:p>
    <w:p>
      <w:pPr>
        <w:pStyle w:val="yFootnoteheading"/>
      </w:pPr>
      <w:bookmarkStart w:id="286" w:name="_Toc105571071"/>
      <w:bookmarkStart w:id="287" w:name="_Toc105573886"/>
      <w:bookmarkStart w:id="288" w:name="_Toc105574254"/>
      <w:r>
        <w:tab/>
        <w:t>[Heading inserted: SL 2022/82 r. 19.]</w:t>
      </w:r>
    </w:p>
    <w:p>
      <w:pPr>
        <w:pStyle w:val="yHeading4"/>
      </w:pPr>
      <w:bookmarkStart w:id="289" w:name="_Toc106869173"/>
      <w:bookmarkStart w:id="290" w:name="_Toc106872051"/>
      <w:bookmarkStart w:id="291" w:name="_Toc107232265"/>
      <w:r>
        <w:t>Subdivision 1 — Preliminary</w:t>
      </w:r>
      <w:bookmarkEnd w:id="286"/>
      <w:bookmarkEnd w:id="287"/>
      <w:bookmarkEnd w:id="288"/>
      <w:bookmarkEnd w:id="289"/>
      <w:bookmarkEnd w:id="290"/>
      <w:bookmarkEnd w:id="291"/>
    </w:p>
    <w:p>
      <w:pPr>
        <w:pStyle w:val="yFootnoteheading"/>
      </w:pPr>
      <w:bookmarkStart w:id="292" w:name="_Toc105574255"/>
      <w:r>
        <w:tab/>
        <w:t>[Heading inserted: SL 2022/82 r. 19.]</w:t>
      </w:r>
    </w:p>
    <w:p>
      <w:pPr>
        <w:pStyle w:val="yHeading5"/>
      </w:pPr>
      <w:bookmarkStart w:id="293" w:name="_Toc107232266"/>
      <w:r>
        <w:t>22.</w:t>
      </w:r>
      <w:r>
        <w:tab/>
        <w:t>Consumption charges for 2022/23 and subsequent years</w:t>
      </w:r>
      <w:bookmarkEnd w:id="292"/>
      <w:bookmarkEnd w:id="293"/>
    </w:p>
    <w:p>
      <w:pPr>
        <w:pStyle w:val="ySubsection"/>
        <w:tabs>
          <w:tab w:val="right" w:leader="dot" w:pos="6804"/>
        </w:tabs>
      </w:pPr>
      <w:r>
        <w:tab/>
        <w:t>(1)</w:t>
      </w:r>
      <w:r>
        <w:tab/>
        <w:t>The charges set out in this Division apply for water supplied in the 2022/23 financial year and each subsequent year.</w:t>
      </w:r>
    </w:p>
    <w:p>
      <w:pPr>
        <w:pStyle w:val="ySubsection"/>
        <w:tabs>
          <w:tab w:val="right" w:leader="dot" w:pos="6804"/>
        </w:tabs>
      </w:pPr>
      <w:r>
        <w:tab/>
        <w:t>(2)</w:t>
      </w:r>
      <w:r>
        <w:tab/>
        <w:t>Volumetric ranges in an item of this Division have effect by reference to the volume of water supplied in the current consumption year.</w:t>
      </w:r>
    </w:p>
    <w:p>
      <w:pPr>
        <w:pStyle w:val="yHeading5"/>
      </w:pPr>
      <w:bookmarkStart w:id="294" w:name="_Toc105574256"/>
      <w:bookmarkStart w:id="295" w:name="_Toc107232267"/>
      <w:r>
        <w:lastRenderedPageBreak/>
        <w:t>23.</w:t>
      </w:r>
      <w:r>
        <w:tab/>
        <w:t>Residential or non</w:t>
      </w:r>
      <w:r>
        <w:noBreakHyphen/>
        <w:t>residential class of town or area</w:t>
      </w:r>
      <w:bookmarkEnd w:id="294"/>
      <w:bookmarkEnd w:id="295"/>
    </w:p>
    <w:p>
      <w:pPr>
        <w:pStyle w:val="ySubsection"/>
        <w:tabs>
          <w:tab w:val="right" w:leader="dot" w:pos="6804"/>
        </w:tabs>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296" w:name="_Toc105574257"/>
      <w:bookmarkStart w:id="297" w:name="_Toc107232268"/>
      <w:r>
        <w:t>24.</w:t>
      </w:r>
      <w:r>
        <w:tab/>
        <w:t>Table of class</w:t>
      </w:r>
      <w:r>
        <w:noBreakHyphen/>
        <w:t>based charges</w:t>
      </w:r>
      <w:bookmarkEnd w:id="296"/>
      <w:bookmarkEnd w:id="297"/>
    </w:p>
    <w:p>
      <w:pPr>
        <w:pStyle w:val="ySubsection"/>
        <w:tabs>
          <w:tab w:val="right" w:leader="dot" w:pos="6804"/>
        </w:tabs>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2197" w:type="dxa"/>
            <w:tcBorders>
              <w:top w:val="single" w:sz="4" w:space="0" w:color="auto"/>
              <w:bottom w:val="single" w:sz="4" w:space="0" w:color="auto"/>
            </w:tcBorders>
            <w:noWrap/>
            <w:vAlign w:val="center"/>
          </w:tcPr>
          <w:p>
            <w:pPr>
              <w:pStyle w:val="yTableNAm"/>
              <w:jc w:val="center"/>
              <w:rPr>
                <w:b/>
                <w:bCs/>
              </w:rPr>
            </w:pPr>
            <w:r>
              <w:rPr>
                <w:b/>
                <w:bCs/>
              </w:rPr>
              <w:t>Class</w:t>
            </w:r>
          </w:p>
        </w:tc>
        <w:tc>
          <w:tcPr>
            <w:tcW w:w="2198" w:type="dxa"/>
            <w:tcBorders>
              <w:top w:val="single" w:sz="4" w:space="0" w:color="auto"/>
              <w:bottom w:val="single" w:sz="4" w:space="0" w:color="auto"/>
            </w:tcBorders>
            <w:noWrap/>
          </w:tcPr>
          <w:p>
            <w:pPr>
              <w:pStyle w:val="yTableNAm"/>
              <w:jc w:val="center"/>
              <w:rPr>
                <w:b/>
                <w:bCs/>
              </w:rPr>
            </w:pPr>
            <w:r>
              <w:rPr>
                <w:b/>
                <w:bCs/>
              </w:rPr>
              <w:t>Charge (cents)</w:t>
            </w:r>
          </w:p>
        </w:tc>
      </w:tr>
      <w:tr>
        <w:trPr>
          <w:cantSplit/>
        </w:trPr>
        <w:tc>
          <w:tcPr>
            <w:tcW w:w="2197" w:type="dxa"/>
            <w:tcBorders>
              <w:top w:val="single" w:sz="4" w:space="0" w:color="auto"/>
            </w:tcBorders>
            <w:noWrap/>
            <w:vAlign w:val="center"/>
          </w:tcPr>
          <w:p>
            <w:pPr>
              <w:pStyle w:val="yTableNAm"/>
              <w:jc w:val="center"/>
            </w:pPr>
            <w:r>
              <w:t>1</w:t>
            </w:r>
          </w:p>
        </w:tc>
        <w:tc>
          <w:tcPr>
            <w:tcW w:w="2198" w:type="dxa"/>
            <w:tcBorders>
              <w:top w:val="single" w:sz="4" w:space="0" w:color="auto"/>
            </w:tcBorders>
            <w:noWrap/>
            <w:vAlign w:val="bottom"/>
          </w:tcPr>
          <w:p>
            <w:pPr>
              <w:pStyle w:val="yTableNAm"/>
              <w:jc w:val="center"/>
            </w:pPr>
            <w:r>
              <w:rPr>
                <w:szCs w:val="22"/>
              </w:rPr>
              <w:t>279.7</w:t>
            </w:r>
          </w:p>
        </w:tc>
      </w:tr>
      <w:tr>
        <w:trPr>
          <w:cantSplit/>
        </w:trPr>
        <w:tc>
          <w:tcPr>
            <w:tcW w:w="2197" w:type="dxa"/>
            <w:noWrap/>
            <w:vAlign w:val="center"/>
          </w:tcPr>
          <w:p>
            <w:pPr>
              <w:pStyle w:val="yTableNAm"/>
              <w:jc w:val="center"/>
            </w:pPr>
            <w:r>
              <w:t>2</w:t>
            </w:r>
          </w:p>
        </w:tc>
        <w:tc>
          <w:tcPr>
            <w:tcW w:w="2198" w:type="dxa"/>
            <w:noWrap/>
            <w:vAlign w:val="bottom"/>
          </w:tcPr>
          <w:p>
            <w:pPr>
              <w:pStyle w:val="yTableNAm"/>
              <w:jc w:val="center"/>
            </w:pPr>
            <w:r>
              <w:rPr>
                <w:szCs w:val="22"/>
              </w:rPr>
              <w:t>304.8</w:t>
            </w:r>
          </w:p>
        </w:tc>
      </w:tr>
      <w:tr>
        <w:trPr>
          <w:cantSplit/>
        </w:trPr>
        <w:tc>
          <w:tcPr>
            <w:tcW w:w="2197" w:type="dxa"/>
            <w:noWrap/>
            <w:vAlign w:val="center"/>
          </w:tcPr>
          <w:p>
            <w:pPr>
              <w:pStyle w:val="yTableNAm"/>
              <w:jc w:val="center"/>
            </w:pPr>
            <w:r>
              <w:t>3</w:t>
            </w:r>
          </w:p>
        </w:tc>
        <w:tc>
          <w:tcPr>
            <w:tcW w:w="2198" w:type="dxa"/>
            <w:noWrap/>
            <w:vAlign w:val="bottom"/>
          </w:tcPr>
          <w:p>
            <w:pPr>
              <w:pStyle w:val="yTableNAm"/>
              <w:jc w:val="center"/>
            </w:pPr>
            <w:r>
              <w:rPr>
                <w:szCs w:val="22"/>
              </w:rPr>
              <w:t>331.5</w:t>
            </w:r>
          </w:p>
        </w:tc>
      </w:tr>
      <w:tr>
        <w:trPr>
          <w:cantSplit/>
        </w:trPr>
        <w:tc>
          <w:tcPr>
            <w:tcW w:w="2197" w:type="dxa"/>
            <w:noWrap/>
            <w:vAlign w:val="center"/>
          </w:tcPr>
          <w:p>
            <w:pPr>
              <w:pStyle w:val="yTableNAm"/>
              <w:jc w:val="center"/>
            </w:pPr>
            <w:r>
              <w:t>4</w:t>
            </w:r>
          </w:p>
        </w:tc>
        <w:tc>
          <w:tcPr>
            <w:tcW w:w="2198" w:type="dxa"/>
            <w:noWrap/>
            <w:vAlign w:val="bottom"/>
          </w:tcPr>
          <w:p>
            <w:pPr>
              <w:pStyle w:val="yTableNAm"/>
              <w:jc w:val="center"/>
            </w:pPr>
            <w:r>
              <w:rPr>
                <w:szCs w:val="22"/>
              </w:rPr>
              <w:t>361.2</w:t>
            </w:r>
          </w:p>
        </w:tc>
      </w:tr>
      <w:tr>
        <w:trPr>
          <w:cantSplit/>
        </w:trPr>
        <w:tc>
          <w:tcPr>
            <w:tcW w:w="2197" w:type="dxa"/>
            <w:noWrap/>
            <w:vAlign w:val="center"/>
          </w:tcPr>
          <w:p>
            <w:pPr>
              <w:pStyle w:val="yTableNAm"/>
              <w:jc w:val="center"/>
            </w:pPr>
            <w:r>
              <w:t>5</w:t>
            </w:r>
          </w:p>
        </w:tc>
        <w:tc>
          <w:tcPr>
            <w:tcW w:w="2198" w:type="dxa"/>
            <w:noWrap/>
            <w:vAlign w:val="bottom"/>
          </w:tcPr>
          <w:p>
            <w:pPr>
              <w:pStyle w:val="yTableNAm"/>
              <w:jc w:val="center"/>
            </w:pPr>
            <w:r>
              <w:rPr>
                <w:szCs w:val="22"/>
              </w:rPr>
              <w:t>393.4</w:t>
            </w:r>
          </w:p>
        </w:tc>
      </w:tr>
      <w:tr>
        <w:trPr>
          <w:cantSplit/>
        </w:trPr>
        <w:tc>
          <w:tcPr>
            <w:tcW w:w="2197" w:type="dxa"/>
            <w:noWrap/>
            <w:vAlign w:val="center"/>
          </w:tcPr>
          <w:p>
            <w:pPr>
              <w:pStyle w:val="yTableNAm"/>
              <w:jc w:val="center"/>
            </w:pPr>
            <w:r>
              <w:t>6</w:t>
            </w:r>
          </w:p>
        </w:tc>
        <w:tc>
          <w:tcPr>
            <w:tcW w:w="2198" w:type="dxa"/>
            <w:noWrap/>
            <w:vAlign w:val="bottom"/>
          </w:tcPr>
          <w:p>
            <w:pPr>
              <w:pStyle w:val="yTableNAm"/>
              <w:jc w:val="center"/>
            </w:pPr>
            <w:r>
              <w:rPr>
                <w:szCs w:val="22"/>
              </w:rPr>
              <w:t>428.2</w:t>
            </w:r>
          </w:p>
        </w:tc>
      </w:tr>
      <w:tr>
        <w:trPr>
          <w:cantSplit/>
        </w:trPr>
        <w:tc>
          <w:tcPr>
            <w:tcW w:w="2197" w:type="dxa"/>
            <w:noWrap/>
            <w:vAlign w:val="center"/>
          </w:tcPr>
          <w:p>
            <w:pPr>
              <w:pStyle w:val="yTableNAm"/>
              <w:jc w:val="center"/>
            </w:pPr>
            <w:r>
              <w:t>7</w:t>
            </w:r>
          </w:p>
        </w:tc>
        <w:tc>
          <w:tcPr>
            <w:tcW w:w="2198" w:type="dxa"/>
            <w:noWrap/>
            <w:vAlign w:val="bottom"/>
          </w:tcPr>
          <w:p>
            <w:pPr>
              <w:pStyle w:val="yTableNAm"/>
              <w:jc w:val="center"/>
            </w:pPr>
            <w:r>
              <w:rPr>
                <w:szCs w:val="22"/>
              </w:rPr>
              <w:t>466.5</w:t>
            </w:r>
          </w:p>
        </w:tc>
      </w:tr>
      <w:tr>
        <w:trPr>
          <w:cantSplit/>
        </w:trPr>
        <w:tc>
          <w:tcPr>
            <w:tcW w:w="2197" w:type="dxa"/>
            <w:noWrap/>
            <w:vAlign w:val="center"/>
          </w:tcPr>
          <w:p>
            <w:pPr>
              <w:pStyle w:val="yTableNAm"/>
              <w:jc w:val="center"/>
            </w:pPr>
            <w:r>
              <w:t>8</w:t>
            </w:r>
          </w:p>
        </w:tc>
        <w:tc>
          <w:tcPr>
            <w:tcW w:w="2198" w:type="dxa"/>
            <w:noWrap/>
            <w:vAlign w:val="bottom"/>
          </w:tcPr>
          <w:p>
            <w:pPr>
              <w:pStyle w:val="yTableNAm"/>
              <w:jc w:val="center"/>
            </w:pPr>
            <w:r>
              <w:rPr>
                <w:szCs w:val="22"/>
              </w:rPr>
              <w:t>507.9</w:t>
            </w:r>
          </w:p>
        </w:tc>
      </w:tr>
      <w:tr>
        <w:trPr>
          <w:cantSplit/>
        </w:trPr>
        <w:tc>
          <w:tcPr>
            <w:tcW w:w="2197" w:type="dxa"/>
            <w:noWrap/>
            <w:vAlign w:val="center"/>
          </w:tcPr>
          <w:p>
            <w:pPr>
              <w:pStyle w:val="yTableNAm"/>
              <w:jc w:val="center"/>
            </w:pPr>
            <w:r>
              <w:t>9</w:t>
            </w:r>
          </w:p>
        </w:tc>
        <w:tc>
          <w:tcPr>
            <w:tcW w:w="2198" w:type="dxa"/>
            <w:noWrap/>
            <w:vAlign w:val="bottom"/>
          </w:tcPr>
          <w:p>
            <w:pPr>
              <w:pStyle w:val="yTableNAm"/>
              <w:jc w:val="center"/>
            </w:pPr>
            <w:r>
              <w:rPr>
                <w:szCs w:val="22"/>
              </w:rPr>
              <w:t>553.1</w:t>
            </w:r>
          </w:p>
        </w:tc>
      </w:tr>
      <w:tr>
        <w:trPr>
          <w:cantSplit/>
        </w:trPr>
        <w:tc>
          <w:tcPr>
            <w:tcW w:w="2197" w:type="dxa"/>
            <w:noWrap/>
            <w:vAlign w:val="center"/>
          </w:tcPr>
          <w:p>
            <w:pPr>
              <w:pStyle w:val="yTableNAm"/>
              <w:jc w:val="center"/>
            </w:pPr>
            <w:r>
              <w:t>10</w:t>
            </w:r>
          </w:p>
        </w:tc>
        <w:tc>
          <w:tcPr>
            <w:tcW w:w="2198" w:type="dxa"/>
            <w:noWrap/>
            <w:vAlign w:val="bottom"/>
          </w:tcPr>
          <w:p>
            <w:pPr>
              <w:pStyle w:val="yTableNAm"/>
              <w:jc w:val="center"/>
            </w:pPr>
            <w:r>
              <w:rPr>
                <w:szCs w:val="22"/>
              </w:rPr>
              <w:t>602.3</w:t>
            </w:r>
          </w:p>
        </w:tc>
      </w:tr>
      <w:tr>
        <w:trPr>
          <w:cantSplit/>
        </w:trPr>
        <w:tc>
          <w:tcPr>
            <w:tcW w:w="2197" w:type="dxa"/>
            <w:noWrap/>
            <w:vAlign w:val="center"/>
          </w:tcPr>
          <w:p>
            <w:pPr>
              <w:pStyle w:val="yTableNAm"/>
              <w:jc w:val="center"/>
            </w:pPr>
            <w:r>
              <w:t>11</w:t>
            </w:r>
          </w:p>
        </w:tc>
        <w:tc>
          <w:tcPr>
            <w:tcW w:w="2198" w:type="dxa"/>
            <w:noWrap/>
            <w:vAlign w:val="bottom"/>
          </w:tcPr>
          <w:p>
            <w:pPr>
              <w:pStyle w:val="yTableNAm"/>
              <w:jc w:val="center"/>
            </w:pPr>
            <w:r>
              <w:rPr>
                <w:szCs w:val="22"/>
              </w:rPr>
              <w:t>655.7</w:t>
            </w:r>
          </w:p>
        </w:tc>
      </w:tr>
      <w:tr>
        <w:trPr>
          <w:cantSplit/>
        </w:trPr>
        <w:tc>
          <w:tcPr>
            <w:tcW w:w="2197" w:type="dxa"/>
            <w:noWrap/>
            <w:vAlign w:val="center"/>
          </w:tcPr>
          <w:p>
            <w:pPr>
              <w:pStyle w:val="yTableNAm"/>
              <w:jc w:val="center"/>
            </w:pPr>
            <w:r>
              <w:t>12</w:t>
            </w:r>
          </w:p>
        </w:tc>
        <w:tc>
          <w:tcPr>
            <w:tcW w:w="2198" w:type="dxa"/>
            <w:noWrap/>
            <w:vAlign w:val="bottom"/>
          </w:tcPr>
          <w:p>
            <w:pPr>
              <w:pStyle w:val="yTableNAm"/>
              <w:jc w:val="center"/>
            </w:pPr>
            <w:r>
              <w:rPr>
                <w:szCs w:val="22"/>
              </w:rPr>
              <w:t>714.1</w:t>
            </w:r>
          </w:p>
        </w:tc>
      </w:tr>
      <w:tr>
        <w:trPr>
          <w:cantSplit/>
        </w:trPr>
        <w:tc>
          <w:tcPr>
            <w:tcW w:w="2197" w:type="dxa"/>
            <w:noWrap/>
            <w:vAlign w:val="center"/>
          </w:tcPr>
          <w:p>
            <w:pPr>
              <w:pStyle w:val="yTableNAm"/>
              <w:jc w:val="center"/>
            </w:pPr>
            <w:r>
              <w:t>13</w:t>
            </w:r>
          </w:p>
        </w:tc>
        <w:tc>
          <w:tcPr>
            <w:tcW w:w="2198" w:type="dxa"/>
            <w:noWrap/>
            <w:vAlign w:val="bottom"/>
          </w:tcPr>
          <w:p>
            <w:pPr>
              <w:pStyle w:val="yTableNAm"/>
              <w:jc w:val="center"/>
            </w:pPr>
            <w:r>
              <w:rPr>
                <w:szCs w:val="22"/>
              </w:rPr>
              <w:t>777.7</w:t>
            </w:r>
          </w:p>
        </w:tc>
      </w:tr>
      <w:tr>
        <w:trPr>
          <w:cantSplit/>
        </w:trPr>
        <w:tc>
          <w:tcPr>
            <w:tcW w:w="2197" w:type="dxa"/>
            <w:noWrap/>
            <w:vAlign w:val="center"/>
          </w:tcPr>
          <w:p>
            <w:pPr>
              <w:pStyle w:val="yTableNAm"/>
              <w:jc w:val="center"/>
            </w:pPr>
            <w:r>
              <w:t>14</w:t>
            </w:r>
          </w:p>
        </w:tc>
        <w:tc>
          <w:tcPr>
            <w:tcW w:w="2198" w:type="dxa"/>
            <w:noWrap/>
            <w:vAlign w:val="bottom"/>
          </w:tcPr>
          <w:p>
            <w:pPr>
              <w:pStyle w:val="yTableNAm"/>
              <w:jc w:val="center"/>
            </w:pPr>
            <w:r>
              <w:rPr>
                <w:szCs w:val="22"/>
              </w:rPr>
              <w:t>847.0</w:t>
            </w:r>
          </w:p>
        </w:tc>
      </w:tr>
      <w:tr>
        <w:trPr>
          <w:cantSplit/>
        </w:trPr>
        <w:tc>
          <w:tcPr>
            <w:tcW w:w="2197" w:type="dxa"/>
            <w:tcBorders>
              <w:bottom w:val="single" w:sz="4" w:space="0" w:color="auto"/>
            </w:tcBorders>
            <w:noWrap/>
            <w:vAlign w:val="center"/>
          </w:tcPr>
          <w:p>
            <w:pPr>
              <w:pStyle w:val="yTableNAm"/>
              <w:jc w:val="center"/>
            </w:pPr>
            <w:r>
              <w:t>15</w:t>
            </w:r>
          </w:p>
        </w:tc>
        <w:tc>
          <w:tcPr>
            <w:tcW w:w="2198" w:type="dxa"/>
            <w:tcBorders>
              <w:bottom w:val="single" w:sz="4" w:space="0" w:color="auto"/>
            </w:tcBorders>
            <w:noWrap/>
            <w:vAlign w:val="bottom"/>
          </w:tcPr>
          <w:p>
            <w:pPr>
              <w:pStyle w:val="yTableNAm"/>
              <w:jc w:val="center"/>
            </w:pPr>
            <w:r>
              <w:rPr>
                <w:szCs w:val="22"/>
              </w:rPr>
              <w:t>922.0</w:t>
            </w:r>
          </w:p>
        </w:tc>
      </w:tr>
    </w:tbl>
    <w:p>
      <w:pPr>
        <w:pStyle w:val="yHeading4"/>
      </w:pPr>
      <w:bookmarkStart w:id="298" w:name="_Toc105571075"/>
      <w:bookmarkStart w:id="299" w:name="_Toc105573890"/>
      <w:bookmarkStart w:id="300" w:name="_Toc105574258"/>
      <w:bookmarkStart w:id="301" w:name="_Toc106869177"/>
      <w:bookmarkStart w:id="302" w:name="_Toc106872055"/>
      <w:bookmarkStart w:id="303" w:name="_Toc107232269"/>
      <w:r>
        <w:lastRenderedPageBreak/>
        <w:t>Subdivision 2 — Consumption charges that apply to land</w:t>
      </w:r>
      <w:bookmarkEnd w:id="298"/>
      <w:bookmarkEnd w:id="299"/>
      <w:bookmarkEnd w:id="300"/>
      <w:bookmarkEnd w:id="301"/>
      <w:bookmarkEnd w:id="302"/>
      <w:bookmarkEnd w:id="303"/>
    </w:p>
    <w:p>
      <w:pPr>
        <w:pStyle w:val="yFootnoteheading"/>
        <w:keepNext/>
      </w:pPr>
      <w:bookmarkStart w:id="304" w:name="_Toc105574259"/>
      <w:r>
        <w:tab/>
        <w:t>[Heading inserted: SL 2022/82 r. 19.]</w:t>
      </w:r>
    </w:p>
    <w:p>
      <w:pPr>
        <w:pStyle w:val="yHeading5"/>
      </w:pPr>
      <w:bookmarkStart w:id="305" w:name="_Toc107232270"/>
      <w:r>
        <w:t>25.</w:t>
      </w:r>
      <w:r>
        <w:tab/>
        <w:t>Metropolitan residential and semi</w:t>
      </w:r>
      <w:r>
        <w:noBreakHyphen/>
        <w:t>rural residential</w:t>
      </w:r>
      <w:bookmarkEnd w:id="304"/>
      <w:bookmarkEnd w:id="305"/>
    </w:p>
    <w:p>
      <w:pPr>
        <w:pStyle w:val="ySubsection"/>
        <w:tabs>
          <w:tab w:val="right" w:leader="dot" w:pos="6804"/>
        </w:tabs>
      </w:pPr>
      <w:r>
        <w:tab/>
        <w:t>(1)</w:t>
      </w:r>
      <w:r>
        <w:tab/>
        <w:t xml:space="preserve">For each kilolitre of water supplied to land in the metropolitan area that is — </w:t>
      </w:r>
    </w:p>
    <w:p>
      <w:pPr>
        <w:pStyle w:val="yIndenta"/>
        <w:tabs>
          <w:tab w:val="right" w:leader="dot" w:pos="6804"/>
        </w:tabs>
      </w:pPr>
      <w:r>
        <w:tab/>
        <w:t>(a)</w:t>
      </w:r>
      <w:r>
        <w:tab/>
        <w:t>a residential property; or</w:t>
      </w:r>
    </w:p>
    <w:p>
      <w:pPr>
        <w:pStyle w:val="yIndenta"/>
        <w:tabs>
          <w:tab w:val="right" w:leader="dot" w:pos="6804"/>
        </w:tabs>
      </w:pPr>
      <w:r>
        <w:tab/>
        <w:t>(b)</w:t>
      </w:r>
      <w:r>
        <w:tab/>
        <w:t>classified as vacant land but held for residential purposes; or</w:t>
      </w:r>
    </w:p>
    <w:p>
      <w:pPr>
        <w:pStyle w:val="yIndenta"/>
        <w:tabs>
          <w:tab w:val="right" w:leader="dot" w:pos="6804"/>
        </w:tabs>
      </w:pPr>
      <w:r>
        <w:tab/>
        <w:t>(c)</w:t>
      </w:r>
      <w:r>
        <w:tab/>
        <w:t>a semi</w:t>
      </w:r>
      <w:r>
        <w:noBreakHyphen/>
        <w:t>rural residential property,</w:t>
      </w:r>
    </w:p>
    <w:p>
      <w:pPr>
        <w:pStyle w:val="ySubsection"/>
        <w:tabs>
          <w:tab w:val="right" w:leader="dot" w:pos="6804"/>
        </w:tabs>
      </w:pPr>
      <w:r>
        <w:tab/>
      </w:r>
      <w:r>
        <w:tab/>
        <w:t xml:space="preserve">the charge is — </w:t>
      </w:r>
    </w:p>
    <w:p>
      <w:pPr>
        <w:pStyle w:val="yMiscellaneousBodyLeft1cm"/>
      </w:pPr>
      <w:r>
        <w:tab/>
        <w:t xml:space="preserve">up to 150 kL </w:t>
      </w:r>
      <w:r>
        <w:tab/>
        <w:t>190.5 cents</w:t>
      </w:r>
    </w:p>
    <w:p>
      <w:pPr>
        <w:pStyle w:val="yMiscellaneousBodyLeft1cm"/>
      </w:pPr>
      <w:r>
        <w:tab/>
        <w:t xml:space="preserve">over 150 but not over 500 kL </w:t>
      </w:r>
      <w:r>
        <w:tab/>
        <w:t>253.9 cents</w:t>
      </w:r>
    </w:p>
    <w:p>
      <w:pPr>
        <w:pStyle w:val="yMiscellaneousBodyLeft1cm"/>
      </w:pPr>
      <w:r>
        <w:tab/>
        <w:t xml:space="preserve">over 500 kL </w:t>
      </w:r>
      <w:r>
        <w:tab/>
        <w:t>474.9 cents</w:t>
      </w:r>
    </w:p>
    <w:p>
      <w:pPr>
        <w:pStyle w:val="ySubsection"/>
        <w:tabs>
          <w:tab w:val="right" w:leader="dot" w:pos="6804"/>
        </w:tabs>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306" w:name="_Toc105574260"/>
      <w:bookmarkStart w:id="307" w:name="_Toc107232271"/>
      <w:r>
        <w:t>26.</w:t>
      </w:r>
      <w:r>
        <w:tab/>
        <w:t>Metropolitan non</w:t>
      </w:r>
      <w:r>
        <w:noBreakHyphen/>
        <w:t>residential</w:t>
      </w:r>
      <w:bookmarkEnd w:id="306"/>
      <w:bookmarkEnd w:id="307"/>
    </w:p>
    <w:p>
      <w:pPr>
        <w:pStyle w:val="ySubsection"/>
        <w:tabs>
          <w:tab w:val="right" w:leader="dot" w:pos="6804"/>
        </w:tabs>
      </w:pPr>
      <w:r>
        <w:tab/>
        <w:t>(1)</w:t>
      </w:r>
      <w:r>
        <w:tab/>
        <w:t>For each kilolitre of water supplied to land in the metropolitan area that is neither classified as residential nor classified as vacant land but held for residential purposes, the charge is —</w:t>
      </w:r>
    </w:p>
    <w:p>
      <w:pPr>
        <w:pStyle w:val="yIndenta"/>
        <w:tabs>
          <w:tab w:val="right" w:leader="dot" w:pos="6804"/>
        </w:tabs>
      </w:pPr>
      <w:r>
        <w:tab/>
        <w:t>(a)</w:t>
      </w:r>
      <w:r>
        <w:tab/>
        <w:t>if the land is classified as commercial residential —</w:t>
      </w:r>
    </w:p>
    <w:p>
      <w:pPr>
        <w:pStyle w:val="yMiscellaneousBodyLeft425cm"/>
        <w:ind w:left="1985" w:hanging="291"/>
      </w:pPr>
      <w:r>
        <w:t xml:space="preserve">up to 150 kL </w:t>
      </w:r>
      <w:r>
        <w:tab/>
        <w:t>190.5 cents</w:t>
      </w:r>
    </w:p>
    <w:p>
      <w:pPr>
        <w:pStyle w:val="yMiscellaneousBodyLeft425cm"/>
        <w:ind w:hanging="716"/>
      </w:pPr>
      <w:r>
        <w:t xml:space="preserve">over 150 kL </w:t>
      </w:r>
      <w:r>
        <w:tab/>
        <w:t>271.2 cents</w:t>
      </w:r>
    </w:p>
    <w:p>
      <w:pPr>
        <w:pStyle w:val="yIndenta"/>
        <w:tabs>
          <w:tab w:val="right" w:leader="dot" w:pos="6804"/>
        </w:tabs>
      </w:pPr>
      <w:r>
        <w:tab/>
        <w:t>(b)</w:t>
      </w:r>
      <w:r>
        <w:tab/>
        <w:t xml:space="preserve">if paragraph (a) does not apply </w:t>
      </w:r>
      <w:r>
        <w:tab/>
        <w:t>271.2</w:t>
      </w:r>
      <w:r>
        <w:rPr>
          <w:spacing w:val="-12"/>
        </w:rPr>
        <w:t xml:space="preserve"> </w:t>
      </w:r>
      <w:r>
        <w:rPr>
          <w:spacing w:val="-4"/>
        </w:rPr>
        <w:t>cents</w:t>
      </w:r>
    </w:p>
    <w:p>
      <w:pPr>
        <w:pStyle w:val="ySubsection"/>
        <w:tabs>
          <w:tab w:val="right" w:leader="dot" w:pos="6804"/>
        </w:tabs>
      </w:pPr>
      <w:r>
        <w:tab/>
        <w:t>(2)</w:t>
      </w:r>
      <w:r>
        <w:tab/>
        <w:t>A charge under sub</w:t>
      </w:r>
      <w:r>
        <w:noBreakHyphen/>
        <w:t>item (1) does not apply to the supply of water for which a more specific charge is provided in this Subdivision.</w:t>
      </w:r>
    </w:p>
    <w:p>
      <w:pPr>
        <w:pStyle w:val="yHeading5"/>
      </w:pPr>
      <w:bookmarkStart w:id="308" w:name="_Toc105574261"/>
      <w:bookmarkStart w:id="309" w:name="_Toc107232272"/>
      <w:r>
        <w:t>27.</w:t>
      </w:r>
      <w:r>
        <w:tab/>
        <w:t>Metropolitan non</w:t>
      </w:r>
      <w:r>
        <w:noBreakHyphen/>
        <w:t>residential concessional</w:t>
      </w:r>
      <w:bookmarkEnd w:id="308"/>
      <w:bookmarkEnd w:id="309"/>
    </w:p>
    <w:p>
      <w:pPr>
        <w:pStyle w:val="ySubsection"/>
        <w:tabs>
          <w:tab w:val="right" w:leader="dot" w:pos="6804"/>
        </w:tabs>
      </w:pPr>
      <w:r>
        <w:tab/>
        <w:t>(1)</w:t>
      </w:r>
      <w:r>
        <w:tab/>
        <w:t xml:space="preserve">For each kilolitre of water supplied to </w:t>
      </w:r>
      <w:r>
        <w:br/>
        <w:t xml:space="preserve">concessional land that is in the metropolitan </w:t>
      </w:r>
      <w:r>
        <w:br/>
      </w:r>
      <w:r>
        <w:lastRenderedPageBreak/>
        <w:t xml:space="preserve">area and is not classified as residential, </w:t>
      </w:r>
      <w:r>
        <w:br/>
        <w:t xml:space="preserve">the charge is </w:t>
      </w:r>
      <w:r>
        <w:tab/>
        <w:t>271.2 cents</w:t>
      </w:r>
    </w:p>
    <w:p>
      <w:pPr>
        <w:pStyle w:val="ySubsection"/>
        <w:tabs>
          <w:tab w:val="right" w:leader="dot" w:pos="6804"/>
        </w:tabs>
      </w:pPr>
      <w:r>
        <w:tab/>
        <w:t>(2)</w:t>
      </w:r>
      <w:r>
        <w:tab/>
        <w:t>Sub</w:t>
      </w:r>
      <w:r>
        <w:noBreakHyphen/>
        <w:t>item (1) does not apply if the supply of water is covered by item 37.</w:t>
      </w:r>
    </w:p>
    <w:p>
      <w:pPr>
        <w:pStyle w:val="yHeading5"/>
      </w:pPr>
      <w:bookmarkStart w:id="310" w:name="_Toc105574262"/>
      <w:bookmarkStart w:id="311" w:name="_Toc107232273"/>
      <w:r>
        <w:t>28.</w:t>
      </w:r>
      <w:r>
        <w:tab/>
        <w:t>Community residential</w:t>
      </w:r>
      <w:bookmarkEnd w:id="310"/>
      <w:bookmarkEnd w:id="311"/>
    </w:p>
    <w:p>
      <w:pPr>
        <w:pStyle w:val="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t>95.3 cents</w:t>
      </w:r>
    </w:p>
    <w:p>
      <w:pPr>
        <w:pStyle w:val="yHeading5"/>
      </w:pPr>
      <w:bookmarkStart w:id="312" w:name="_Toc105574263"/>
      <w:bookmarkStart w:id="313" w:name="_Toc107232274"/>
      <w:r>
        <w:t>29.</w:t>
      </w:r>
      <w:r>
        <w:tab/>
        <w:t>Non</w:t>
      </w:r>
      <w:r>
        <w:noBreakHyphen/>
        <w:t>metropolitan residential</w:t>
      </w:r>
      <w:bookmarkEnd w:id="312"/>
      <w:bookmarkEnd w:id="313"/>
    </w:p>
    <w:p>
      <w:pPr>
        <w:pStyle w:val="ySubsection"/>
        <w:tabs>
          <w:tab w:val="right" w:leader="dot" w:pos="6804"/>
        </w:tabs>
      </w:pPr>
      <w:r>
        <w:tab/>
        <w:t>(1)</w:t>
      </w:r>
      <w:r>
        <w:tab/>
        <w:t>For each kilolitre of water supplied to land in the non</w:t>
      </w:r>
      <w:r>
        <w:noBreakHyphen/>
        <w:t xml:space="preserve">metropolitan area that is — </w:t>
      </w:r>
    </w:p>
    <w:p>
      <w:pPr>
        <w:pStyle w:val="yIndenta"/>
        <w:tabs>
          <w:tab w:val="right" w:leader="dot" w:pos="6804"/>
        </w:tabs>
      </w:pPr>
      <w:r>
        <w:tab/>
        <w:t>(a)</w:t>
      </w:r>
      <w:r>
        <w:tab/>
        <w:t>a residential property; or</w:t>
      </w:r>
    </w:p>
    <w:p>
      <w:pPr>
        <w:pStyle w:val="yIndenta"/>
        <w:tabs>
          <w:tab w:val="right" w:leader="dot" w:pos="6804"/>
        </w:tabs>
      </w:pPr>
      <w:r>
        <w:tab/>
        <w:t>(b)</w:t>
      </w:r>
      <w:r>
        <w:tab/>
        <w:t>classified as vacant land but held for residential purposes,</w:t>
      </w:r>
    </w:p>
    <w:p>
      <w:pPr>
        <w:pStyle w:val="ySubsection"/>
        <w:tabs>
          <w:tab w:val="right" w:leader="dot" w:pos="6804"/>
        </w:tabs>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960"/>
        <w:gridCol w:w="961"/>
        <w:gridCol w:w="960"/>
        <w:gridCol w:w="961"/>
        <w:gridCol w:w="961"/>
      </w:tblGrid>
      <w:tr>
        <w:trPr>
          <w:cantSplit/>
          <w:tblHeader/>
        </w:trPr>
        <w:tc>
          <w:tcPr>
            <w:tcW w:w="1405" w:type="dxa"/>
            <w:tcBorders>
              <w:top w:val="single" w:sz="4" w:space="0" w:color="auto"/>
              <w:bottom w:val="single" w:sz="4" w:space="0" w:color="auto"/>
            </w:tcBorders>
            <w:noWrap/>
          </w:tcPr>
          <w:p>
            <w:pPr>
              <w:pStyle w:val="zyTableNAm"/>
              <w:jc w:val="center"/>
              <w:rPr>
                <w:b/>
              </w:rPr>
            </w:pPr>
            <w:r>
              <w:rPr>
                <w:b/>
              </w:rPr>
              <w:br w:type="page"/>
              <w:t>Consumption (kL)</w:t>
            </w:r>
          </w:p>
        </w:tc>
        <w:tc>
          <w:tcPr>
            <w:tcW w:w="960" w:type="dxa"/>
            <w:tcBorders>
              <w:top w:val="single" w:sz="4" w:space="0" w:color="auto"/>
              <w:bottom w:val="single" w:sz="4" w:space="0" w:color="auto"/>
            </w:tcBorders>
            <w:noWrap/>
          </w:tcPr>
          <w:p>
            <w:pPr>
              <w:pStyle w:val="zyTableNAm"/>
              <w:jc w:val="center"/>
              <w:rPr>
                <w:b/>
              </w:rPr>
            </w:pPr>
            <w:r>
              <w:rPr>
                <w:b/>
              </w:rPr>
              <w:t>Class 1 (cents)</w:t>
            </w:r>
          </w:p>
        </w:tc>
        <w:tc>
          <w:tcPr>
            <w:tcW w:w="961" w:type="dxa"/>
            <w:tcBorders>
              <w:top w:val="single" w:sz="4" w:space="0" w:color="auto"/>
              <w:bottom w:val="single" w:sz="4" w:space="0" w:color="auto"/>
            </w:tcBorders>
            <w:noWrap/>
          </w:tcPr>
          <w:p>
            <w:pPr>
              <w:pStyle w:val="zyTableNAm"/>
              <w:jc w:val="center"/>
              <w:rPr>
                <w:b/>
              </w:rPr>
            </w:pPr>
            <w:r>
              <w:rPr>
                <w:b/>
              </w:rPr>
              <w:t>Class 2 (cents)</w:t>
            </w:r>
          </w:p>
        </w:tc>
        <w:tc>
          <w:tcPr>
            <w:tcW w:w="960" w:type="dxa"/>
            <w:tcBorders>
              <w:top w:val="single" w:sz="4" w:space="0" w:color="auto"/>
              <w:bottom w:val="single" w:sz="4" w:space="0" w:color="auto"/>
            </w:tcBorders>
            <w:noWrap/>
          </w:tcPr>
          <w:p>
            <w:pPr>
              <w:pStyle w:val="zyTableNAm"/>
              <w:jc w:val="center"/>
              <w:rPr>
                <w:b/>
              </w:rPr>
            </w:pPr>
            <w:r>
              <w:rPr>
                <w:b/>
              </w:rPr>
              <w:t>Class 3 (cents)</w:t>
            </w:r>
          </w:p>
        </w:tc>
        <w:tc>
          <w:tcPr>
            <w:tcW w:w="961" w:type="dxa"/>
            <w:tcBorders>
              <w:top w:val="single" w:sz="4" w:space="0" w:color="auto"/>
              <w:bottom w:val="single" w:sz="4" w:space="0" w:color="auto"/>
            </w:tcBorders>
            <w:noWrap/>
          </w:tcPr>
          <w:p>
            <w:pPr>
              <w:pStyle w:val="zyTableNAm"/>
              <w:jc w:val="center"/>
              <w:rPr>
                <w:b/>
              </w:rPr>
            </w:pPr>
            <w:r>
              <w:rPr>
                <w:b/>
              </w:rPr>
              <w:t>Class 4 (cents)</w:t>
            </w:r>
          </w:p>
        </w:tc>
        <w:tc>
          <w:tcPr>
            <w:tcW w:w="961" w:type="dxa"/>
            <w:tcBorders>
              <w:top w:val="single" w:sz="4" w:space="0" w:color="auto"/>
              <w:bottom w:val="single" w:sz="4" w:space="0" w:color="auto"/>
            </w:tcBorders>
            <w:noWrap/>
          </w:tcPr>
          <w:p>
            <w:pPr>
              <w:pStyle w:val="zyTableNAm"/>
              <w:jc w:val="center"/>
              <w:rPr>
                <w:b/>
              </w:rPr>
            </w:pPr>
            <w:r>
              <w:rPr>
                <w:b/>
              </w:rPr>
              <w:t>Class 5 (cents)</w:t>
            </w:r>
          </w:p>
        </w:tc>
      </w:tr>
      <w:tr>
        <w:trPr>
          <w:cantSplit/>
        </w:trPr>
        <w:tc>
          <w:tcPr>
            <w:tcW w:w="1405" w:type="dxa"/>
            <w:noWrap/>
          </w:tcPr>
          <w:p>
            <w:pPr>
              <w:pStyle w:val="zyTableNAm"/>
            </w:pPr>
            <w:r>
              <w:t>Up to 150</w:t>
            </w:r>
          </w:p>
        </w:tc>
        <w:tc>
          <w:tcPr>
            <w:tcW w:w="960" w:type="dxa"/>
            <w:noWrap/>
            <w:vAlign w:val="bottom"/>
          </w:tcPr>
          <w:p>
            <w:pPr>
              <w:pStyle w:val="zyTableNAm"/>
              <w:tabs>
                <w:tab w:val="clear" w:pos="567"/>
              </w:tabs>
              <w:ind w:left="-185" w:right="239"/>
              <w:jc w:val="right"/>
              <w:rPr>
                <w:szCs w:val="22"/>
              </w:rPr>
            </w:pPr>
            <w:r>
              <w:rPr>
                <w:szCs w:val="22"/>
              </w:rPr>
              <w:t>145.4</w:t>
            </w:r>
          </w:p>
        </w:tc>
        <w:tc>
          <w:tcPr>
            <w:tcW w:w="961" w:type="dxa"/>
            <w:noWrap/>
            <w:vAlign w:val="bottom"/>
          </w:tcPr>
          <w:p>
            <w:pPr>
              <w:pStyle w:val="zyTableNAm"/>
              <w:tabs>
                <w:tab w:val="clear" w:pos="567"/>
              </w:tabs>
              <w:ind w:left="-185" w:right="239"/>
              <w:jc w:val="right"/>
              <w:rPr>
                <w:szCs w:val="22"/>
              </w:rPr>
            </w:pPr>
            <w:r>
              <w:rPr>
                <w:szCs w:val="22"/>
              </w:rPr>
              <w:t>190.5</w:t>
            </w:r>
          </w:p>
        </w:tc>
        <w:tc>
          <w:tcPr>
            <w:tcW w:w="960" w:type="dxa"/>
            <w:noWrap/>
            <w:vAlign w:val="bottom"/>
          </w:tcPr>
          <w:p>
            <w:pPr>
              <w:pStyle w:val="zyTableNAm"/>
              <w:tabs>
                <w:tab w:val="clear" w:pos="567"/>
              </w:tabs>
              <w:ind w:left="-185" w:right="239"/>
              <w:jc w:val="right"/>
              <w:rPr>
                <w:szCs w:val="22"/>
              </w:rPr>
            </w:pPr>
            <w:r>
              <w:rPr>
                <w:szCs w:val="22"/>
              </w:rPr>
              <w:t>190.5</w:t>
            </w:r>
          </w:p>
        </w:tc>
        <w:tc>
          <w:tcPr>
            <w:tcW w:w="961" w:type="dxa"/>
            <w:noWrap/>
            <w:vAlign w:val="bottom"/>
          </w:tcPr>
          <w:p>
            <w:pPr>
              <w:pStyle w:val="zyTableNAm"/>
              <w:tabs>
                <w:tab w:val="clear" w:pos="567"/>
              </w:tabs>
              <w:ind w:left="-185" w:right="239"/>
              <w:jc w:val="right"/>
              <w:rPr>
                <w:szCs w:val="22"/>
              </w:rPr>
            </w:pPr>
            <w:r>
              <w:rPr>
                <w:szCs w:val="22"/>
              </w:rPr>
              <w:t>190.5</w:t>
            </w:r>
          </w:p>
        </w:tc>
        <w:tc>
          <w:tcPr>
            <w:tcW w:w="961" w:type="dxa"/>
            <w:noWrap/>
            <w:vAlign w:val="bottom"/>
          </w:tcPr>
          <w:p>
            <w:pPr>
              <w:pStyle w:val="zyTableNAm"/>
              <w:tabs>
                <w:tab w:val="clear" w:pos="567"/>
              </w:tabs>
              <w:ind w:left="-185" w:right="239"/>
              <w:jc w:val="right"/>
              <w:rPr>
                <w:szCs w:val="22"/>
              </w:rPr>
            </w:pPr>
            <w:r>
              <w:rPr>
                <w:szCs w:val="22"/>
              </w:rPr>
              <w:t>190.5</w:t>
            </w:r>
          </w:p>
        </w:tc>
      </w:tr>
      <w:tr>
        <w:trPr>
          <w:cantSplit/>
        </w:trPr>
        <w:tc>
          <w:tcPr>
            <w:tcW w:w="1405" w:type="dxa"/>
            <w:noWrap/>
          </w:tcPr>
          <w:p>
            <w:pPr>
              <w:pStyle w:val="zyTableNAm"/>
            </w:pPr>
            <w:r>
              <w:t>Over 150 but not over 300</w:t>
            </w:r>
          </w:p>
        </w:tc>
        <w:tc>
          <w:tcPr>
            <w:tcW w:w="960" w:type="dxa"/>
            <w:noWrap/>
            <w:vAlign w:val="bottom"/>
          </w:tcPr>
          <w:p>
            <w:pPr>
              <w:pStyle w:val="zyTableNAm"/>
              <w:tabs>
                <w:tab w:val="clear" w:pos="567"/>
              </w:tabs>
              <w:ind w:left="-185" w:right="239"/>
              <w:jc w:val="right"/>
              <w:rPr>
                <w:szCs w:val="22"/>
              </w:rPr>
            </w:pPr>
            <w:r>
              <w:rPr>
                <w:szCs w:val="22"/>
              </w:rPr>
              <w:t>193.6</w:t>
            </w:r>
          </w:p>
        </w:tc>
        <w:tc>
          <w:tcPr>
            <w:tcW w:w="961" w:type="dxa"/>
            <w:noWrap/>
            <w:vAlign w:val="bottom"/>
          </w:tcPr>
          <w:p>
            <w:pPr>
              <w:pStyle w:val="zyTableNAm"/>
              <w:tabs>
                <w:tab w:val="clear" w:pos="567"/>
              </w:tabs>
              <w:ind w:left="-185" w:right="239"/>
              <w:jc w:val="right"/>
              <w:rPr>
                <w:szCs w:val="22"/>
              </w:rPr>
            </w:pPr>
            <w:r>
              <w:rPr>
                <w:szCs w:val="22"/>
              </w:rPr>
              <w:t>253.9</w:t>
            </w:r>
          </w:p>
        </w:tc>
        <w:tc>
          <w:tcPr>
            <w:tcW w:w="960" w:type="dxa"/>
            <w:noWrap/>
            <w:vAlign w:val="bottom"/>
          </w:tcPr>
          <w:p>
            <w:pPr>
              <w:pStyle w:val="zyTableNAm"/>
              <w:tabs>
                <w:tab w:val="clear" w:pos="567"/>
              </w:tabs>
              <w:ind w:left="-185" w:right="239"/>
              <w:jc w:val="right"/>
              <w:rPr>
                <w:szCs w:val="22"/>
              </w:rPr>
            </w:pPr>
            <w:r>
              <w:rPr>
                <w:szCs w:val="22"/>
              </w:rPr>
              <w:t>253.9</w:t>
            </w:r>
          </w:p>
        </w:tc>
        <w:tc>
          <w:tcPr>
            <w:tcW w:w="961" w:type="dxa"/>
            <w:noWrap/>
            <w:vAlign w:val="bottom"/>
          </w:tcPr>
          <w:p>
            <w:pPr>
              <w:pStyle w:val="zyTableNAm"/>
              <w:tabs>
                <w:tab w:val="clear" w:pos="567"/>
              </w:tabs>
              <w:ind w:left="-185" w:right="239"/>
              <w:jc w:val="right"/>
              <w:rPr>
                <w:szCs w:val="22"/>
              </w:rPr>
            </w:pPr>
            <w:r>
              <w:rPr>
                <w:szCs w:val="22"/>
              </w:rPr>
              <w:t>253.9</w:t>
            </w:r>
          </w:p>
        </w:tc>
        <w:tc>
          <w:tcPr>
            <w:tcW w:w="961" w:type="dxa"/>
            <w:noWrap/>
            <w:vAlign w:val="bottom"/>
          </w:tcPr>
          <w:p>
            <w:pPr>
              <w:pStyle w:val="zyTableNAm"/>
              <w:tabs>
                <w:tab w:val="clear" w:pos="567"/>
              </w:tabs>
              <w:ind w:left="-185" w:right="239"/>
              <w:jc w:val="right"/>
              <w:rPr>
                <w:szCs w:val="22"/>
              </w:rPr>
            </w:pPr>
            <w:r>
              <w:rPr>
                <w:szCs w:val="22"/>
              </w:rPr>
              <w:t>253.9</w:t>
            </w:r>
          </w:p>
        </w:tc>
      </w:tr>
      <w:tr>
        <w:trPr>
          <w:cantSplit/>
        </w:trPr>
        <w:tc>
          <w:tcPr>
            <w:tcW w:w="1405" w:type="dxa"/>
            <w:noWrap/>
          </w:tcPr>
          <w:p>
            <w:pPr>
              <w:pStyle w:val="zyTableNAm"/>
            </w:pPr>
            <w:r>
              <w:t>Over 300 but not over 550</w:t>
            </w:r>
          </w:p>
        </w:tc>
        <w:tc>
          <w:tcPr>
            <w:tcW w:w="960" w:type="dxa"/>
            <w:noWrap/>
            <w:vAlign w:val="bottom"/>
          </w:tcPr>
          <w:p>
            <w:pPr>
              <w:pStyle w:val="zyTableNAm"/>
              <w:tabs>
                <w:tab w:val="clear" w:pos="567"/>
              </w:tabs>
              <w:ind w:left="-185" w:right="239"/>
              <w:jc w:val="right"/>
              <w:rPr>
                <w:szCs w:val="22"/>
              </w:rPr>
            </w:pPr>
            <w:r>
              <w:rPr>
                <w:szCs w:val="22"/>
              </w:rPr>
              <w:t>222.2</w:t>
            </w:r>
          </w:p>
        </w:tc>
        <w:tc>
          <w:tcPr>
            <w:tcW w:w="961" w:type="dxa"/>
            <w:noWrap/>
            <w:vAlign w:val="bottom"/>
          </w:tcPr>
          <w:p>
            <w:pPr>
              <w:pStyle w:val="zyTableNAm"/>
              <w:tabs>
                <w:tab w:val="clear" w:pos="567"/>
              </w:tabs>
              <w:ind w:left="-185" w:right="239"/>
              <w:jc w:val="right"/>
              <w:rPr>
                <w:szCs w:val="22"/>
              </w:rPr>
            </w:pPr>
            <w:r>
              <w:rPr>
                <w:szCs w:val="22"/>
              </w:rPr>
              <w:t>305.8</w:t>
            </w:r>
          </w:p>
        </w:tc>
        <w:tc>
          <w:tcPr>
            <w:tcW w:w="960" w:type="dxa"/>
            <w:noWrap/>
            <w:vAlign w:val="bottom"/>
          </w:tcPr>
          <w:p>
            <w:pPr>
              <w:pStyle w:val="zyTableNAm"/>
              <w:tabs>
                <w:tab w:val="clear" w:pos="567"/>
              </w:tabs>
              <w:ind w:left="-185" w:right="239"/>
              <w:jc w:val="right"/>
              <w:rPr>
                <w:szCs w:val="22"/>
              </w:rPr>
            </w:pPr>
            <w:r>
              <w:rPr>
                <w:szCs w:val="22"/>
              </w:rPr>
              <w:t>407.3</w:t>
            </w:r>
          </w:p>
        </w:tc>
        <w:tc>
          <w:tcPr>
            <w:tcW w:w="961" w:type="dxa"/>
            <w:noWrap/>
            <w:vAlign w:val="bottom"/>
          </w:tcPr>
          <w:p>
            <w:pPr>
              <w:pStyle w:val="zyTableNAm"/>
              <w:tabs>
                <w:tab w:val="clear" w:pos="567"/>
              </w:tabs>
              <w:ind w:left="-185" w:right="239"/>
              <w:jc w:val="right"/>
              <w:rPr>
                <w:szCs w:val="22"/>
              </w:rPr>
            </w:pPr>
            <w:r>
              <w:rPr>
                <w:szCs w:val="22"/>
              </w:rPr>
              <w:t>478.9</w:t>
            </w:r>
          </w:p>
        </w:tc>
        <w:tc>
          <w:tcPr>
            <w:tcW w:w="961" w:type="dxa"/>
            <w:noWrap/>
            <w:vAlign w:val="bottom"/>
          </w:tcPr>
          <w:p>
            <w:pPr>
              <w:pStyle w:val="zyTableNAm"/>
              <w:tabs>
                <w:tab w:val="clear" w:pos="567"/>
              </w:tabs>
              <w:ind w:left="-185" w:right="239"/>
              <w:jc w:val="right"/>
              <w:rPr>
                <w:szCs w:val="22"/>
              </w:rPr>
            </w:pPr>
            <w:r>
              <w:rPr>
                <w:szCs w:val="22"/>
              </w:rPr>
              <w:t>563.4</w:t>
            </w:r>
          </w:p>
        </w:tc>
      </w:tr>
      <w:tr>
        <w:trPr>
          <w:cantSplit/>
        </w:trPr>
        <w:tc>
          <w:tcPr>
            <w:tcW w:w="1405" w:type="dxa"/>
            <w:tcBorders>
              <w:bottom w:val="single" w:sz="4" w:space="0" w:color="auto"/>
            </w:tcBorders>
            <w:noWrap/>
          </w:tcPr>
          <w:p>
            <w:pPr>
              <w:pStyle w:val="zyTableNAm"/>
            </w:pPr>
            <w:r>
              <w:t>Over 550</w:t>
            </w:r>
          </w:p>
        </w:tc>
        <w:tc>
          <w:tcPr>
            <w:tcW w:w="960" w:type="dxa"/>
            <w:tcBorders>
              <w:bottom w:val="single" w:sz="4" w:space="0" w:color="auto"/>
            </w:tcBorders>
            <w:noWrap/>
            <w:vAlign w:val="bottom"/>
          </w:tcPr>
          <w:p>
            <w:pPr>
              <w:pStyle w:val="zyTableNAm"/>
              <w:tabs>
                <w:tab w:val="clear" w:pos="567"/>
              </w:tabs>
              <w:ind w:left="-185" w:right="239"/>
              <w:jc w:val="right"/>
              <w:rPr>
                <w:szCs w:val="22"/>
              </w:rPr>
            </w:pPr>
            <w:r>
              <w:rPr>
                <w:szCs w:val="22"/>
              </w:rPr>
              <w:t>259.5</w:t>
            </w:r>
          </w:p>
        </w:tc>
        <w:tc>
          <w:tcPr>
            <w:tcW w:w="961" w:type="dxa"/>
            <w:tcBorders>
              <w:bottom w:val="single" w:sz="4" w:space="0" w:color="auto"/>
            </w:tcBorders>
            <w:noWrap/>
            <w:vAlign w:val="bottom"/>
          </w:tcPr>
          <w:p>
            <w:pPr>
              <w:pStyle w:val="zyTableNAm"/>
              <w:tabs>
                <w:tab w:val="clear" w:pos="567"/>
              </w:tabs>
              <w:ind w:left="-185" w:right="239"/>
              <w:jc w:val="right"/>
              <w:rPr>
                <w:szCs w:val="22"/>
              </w:rPr>
            </w:pPr>
            <w:r>
              <w:rPr>
                <w:szCs w:val="22"/>
              </w:rPr>
              <w:t>390.0</w:t>
            </w:r>
          </w:p>
        </w:tc>
        <w:tc>
          <w:tcPr>
            <w:tcW w:w="960" w:type="dxa"/>
            <w:tcBorders>
              <w:bottom w:val="single" w:sz="4" w:space="0" w:color="auto"/>
            </w:tcBorders>
            <w:noWrap/>
            <w:vAlign w:val="bottom"/>
          </w:tcPr>
          <w:p>
            <w:pPr>
              <w:pStyle w:val="zyTableNAm"/>
              <w:tabs>
                <w:tab w:val="clear" w:pos="567"/>
              </w:tabs>
              <w:ind w:left="-185" w:right="239"/>
              <w:jc w:val="right"/>
              <w:rPr>
                <w:szCs w:val="22"/>
              </w:rPr>
            </w:pPr>
            <w:r>
              <w:rPr>
                <w:szCs w:val="22"/>
              </w:rPr>
              <w:t>519.3</w:t>
            </w:r>
          </w:p>
        </w:tc>
        <w:tc>
          <w:tcPr>
            <w:tcW w:w="961" w:type="dxa"/>
            <w:tcBorders>
              <w:bottom w:val="single" w:sz="4" w:space="0" w:color="auto"/>
            </w:tcBorders>
            <w:noWrap/>
            <w:vAlign w:val="bottom"/>
          </w:tcPr>
          <w:p>
            <w:pPr>
              <w:pStyle w:val="zyTableNAm"/>
              <w:tabs>
                <w:tab w:val="clear" w:pos="567"/>
              </w:tabs>
              <w:ind w:left="-185" w:right="239"/>
              <w:jc w:val="right"/>
              <w:rPr>
                <w:szCs w:val="22"/>
              </w:rPr>
            </w:pPr>
            <w:r>
              <w:rPr>
                <w:szCs w:val="22"/>
              </w:rPr>
              <w:t>718.3</w:t>
            </w:r>
          </w:p>
        </w:tc>
        <w:tc>
          <w:tcPr>
            <w:tcW w:w="961" w:type="dxa"/>
            <w:tcBorders>
              <w:bottom w:val="single" w:sz="4" w:space="0" w:color="auto"/>
            </w:tcBorders>
            <w:noWrap/>
            <w:vAlign w:val="bottom"/>
          </w:tcPr>
          <w:p>
            <w:pPr>
              <w:pStyle w:val="zyTableNAm"/>
              <w:tabs>
                <w:tab w:val="clear" w:pos="567"/>
              </w:tabs>
              <w:ind w:left="-185" w:right="239"/>
              <w:jc w:val="right"/>
              <w:rPr>
                <w:szCs w:val="22"/>
              </w:rPr>
            </w:pPr>
            <w:r>
              <w:rPr>
                <w:szCs w:val="22"/>
              </w:rPr>
              <w:t>968.8</w:t>
            </w:r>
          </w:p>
        </w:tc>
      </w:tr>
    </w:tbl>
    <w:p>
      <w:pPr>
        <w:pStyle w:val="ySubsection"/>
        <w:tabs>
          <w:tab w:val="right" w:leader="dot" w:pos="6804"/>
        </w:tabs>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tabs>
          <w:tab w:val="right" w:leader="dot" w:pos="6804"/>
        </w:tabs>
      </w:pPr>
      <w:r>
        <w:lastRenderedPageBreak/>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960"/>
        <w:gridCol w:w="961"/>
        <w:gridCol w:w="960"/>
        <w:gridCol w:w="961"/>
        <w:gridCol w:w="961"/>
      </w:tblGrid>
      <w:tr>
        <w:trPr>
          <w:cantSplit/>
          <w:tblHeader/>
        </w:trPr>
        <w:tc>
          <w:tcPr>
            <w:tcW w:w="1405" w:type="dxa"/>
            <w:tcBorders>
              <w:top w:val="single" w:sz="4" w:space="0" w:color="auto"/>
              <w:bottom w:val="single" w:sz="4" w:space="0" w:color="auto"/>
            </w:tcBorders>
            <w:noWrap/>
          </w:tcPr>
          <w:p>
            <w:pPr>
              <w:pStyle w:val="yTableNAm"/>
              <w:jc w:val="center"/>
              <w:rPr>
                <w:b/>
                <w:bCs/>
              </w:rPr>
            </w:pPr>
            <w:r>
              <w:rPr>
                <w:b/>
                <w:bCs/>
              </w:rPr>
              <w:br w:type="page"/>
              <w:t>Consumption (kL)</w:t>
            </w:r>
          </w:p>
        </w:tc>
        <w:tc>
          <w:tcPr>
            <w:tcW w:w="960" w:type="dxa"/>
            <w:tcBorders>
              <w:top w:val="single" w:sz="4" w:space="0" w:color="auto"/>
              <w:bottom w:val="single" w:sz="4" w:space="0" w:color="auto"/>
            </w:tcBorders>
            <w:noWrap/>
          </w:tcPr>
          <w:p>
            <w:pPr>
              <w:pStyle w:val="yTableNAm"/>
              <w:jc w:val="center"/>
              <w:rPr>
                <w:b/>
                <w:bCs/>
              </w:rPr>
            </w:pPr>
            <w:r>
              <w:rPr>
                <w:b/>
                <w:bCs/>
              </w:rPr>
              <w:t>Class 1 (cents)</w:t>
            </w:r>
          </w:p>
        </w:tc>
        <w:tc>
          <w:tcPr>
            <w:tcW w:w="961" w:type="dxa"/>
            <w:tcBorders>
              <w:top w:val="single" w:sz="4" w:space="0" w:color="auto"/>
              <w:bottom w:val="single" w:sz="4" w:space="0" w:color="auto"/>
            </w:tcBorders>
            <w:noWrap/>
          </w:tcPr>
          <w:p>
            <w:pPr>
              <w:pStyle w:val="yTableNAm"/>
              <w:jc w:val="center"/>
              <w:rPr>
                <w:b/>
                <w:bCs/>
              </w:rPr>
            </w:pPr>
            <w:r>
              <w:rPr>
                <w:b/>
                <w:bCs/>
              </w:rPr>
              <w:t>Class 2 (cents)</w:t>
            </w:r>
          </w:p>
        </w:tc>
        <w:tc>
          <w:tcPr>
            <w:tcW w:w="960" w:type="dxa"/>
            <w:tcBorders>
              <w:top w:val="single" w:sz="4" w:space="0" w:color="auto"/>
              <w:bottom w:val="single" w:sz="4" w:space="0" w:color="auto"/>
            </w:tcBorders>
            <w:noWrap/>
          </w:tcPr>
          <w:p>
            <w:pPr>
              <w:pStyle w:val="yTableNAm"/>
              <w:jc w:val="center"/>
              <w:rPr>
                <w:b/>
                <w:bCs/>
              </w:rPr>
            </w:pPr>
            <w:r>
              <w:rPr>
                <w:b/>
                <w:bCs/>
              </w:rPr>
              <w:t>Class 3 (cents)</w:t>
            </w:r>
          </w:p>
        </w:tc>
        <w:tc>
          <w:tcPr>
            <w:tcW w:w="961" w:type="dxa"/>
            <w:tcBorders>
              <w:top w:val="single" w:sz="4" w:space="0" w:color="auto"/>
              <w:bottom w:val="single" w:sz="4" w:space="0" w:color="auto"/>
            </w:tcBorders>
            <w:noWrap/>
          </w:tcPr>
          <w:p>
            <w:pPr>
              <w:pStyle w:val="yTableNAm"/>
              <w:jc w:val="center"/>
              <w:rPr>
                <w:b/>
                <w:bCs/>
              </w:rPr>
            </w:pPr>
            <w:r>
              <w:rPr>
                <w:b/>
                <w:bCs/>
              </w:rPr>
              <w:t>Class 4 (cents)</w:t>
            </w:r>
          </w:p>
        </w:tc>
        <w:tc>
          <w:tcPr>
            <w:tcW w:w="961" w:type="dxa"/>
            <w:tcBorders>
              <w:top w:val="single" w:sz="4" w:space="0" w:color="auto"/>
              <w:bottom w:val="single" w:sz="4" w:space="0" w:color="auto"/>
            </w:tcBorders>
            <w:noWrap/>
          </w:tcPr>
          <w:p>
            <w:pPr>
              <w:pStyle w:val="yTableNAm"/>
              <w:jc w:val="center"/>
              <w:rPr>
                <w:b/>
                <w:bCs/>
              </w:rPr>
            </w:pPr>
            <w:r>
              <w:rPr>
                <w:b/>
                <w:bCs/>
              </w:rPr>
              <w:t>Class 5 (cents)</w:t>
            </w:r>
          </w:p>
        </w:tc>
      </w:tr>
      <w:tr>
        <w:trPr>
          <w:cantSplit/>
        </w:trPr>
        <w:tc>
          <w:tcPr>
            <w:tcW w:w="1405" w:type="dxa"/>
            <w:noWrap/>
          </w:tcPr>
          <w:p>
            <w:pPr>
              <w:pStyle w:val="yTableNAm"/>
            </w:pPr>
            <w:r>
              <w:t>Up to 350</w:t>
            </w:r>
          </w:p>
        </w:tc>
        <w:tc>
          <w:tcPr>
            <w:tcW w:w="960" w:type="dxa"/>
            <w:noWrap/>
            <w:vAlign w:val="bottom"/>
          </w:tcPr>
          <w:p>
            <w:pPr>
              <w:pStyle w:val="yTableNAmRight"/>
            </w:pPr>
            <w:r>
              <w:t>145.4</w:t>
            </w:r>
          </w:p>
        </w:tc>
        <w:tc>
          <w:tcPr>
            <w:tcW w:w="961" w:type="dxa"/>
            <w:noWrap/>
            <w:vAlign w:val="bottom"/>
          </w:tcPr>
          <w:p>
            <w:pPr>
              <w:pStyle w:val="yTableNAmRight"/>
            </w:pPr>
            <w:r>
              <w:t>190.5</w:t>
            </w:r>
          </w:p>
        </w:tc>
        <w:tc>
          <w:tcPr>
            <w:tcW w:w="960" w:type="dxa"/>
            <w:noWrap/>
            <w:vAlign w:val="bottom"/>
          </w:tcPr>
          <w:p>
            <w:pPr>
              <w:pStyle w:val="yTableNAmRight"/>
            </w:pPr>
            <w:r>
              <w:t>190.5</w:t>
            </w:r>
          </w:p>
        </w:tc>
        <w:tc>
          <w:tcPr>
            <w:tcW w:w="961" w:type="dxa"/>
            <w:noWrap/>
            <w:vAlign w:val="bottom"/>
          </w:tcPr>
          <w:p>
            <w:pPr>
              <w:pStyle w:val="yTableNAmRight"/>
            </w:pPr>
            <w:r>
              <w:t>190.5</w:t>
            </w:r>
          </w:p>
        </w:tc>
        <w:tc>
          <w:tcPr>
            <w:tcW w:w="961" w:type="dxa"/>
            <w:noWrap/>
            <w:vAlign w:val="bottom"/>
          </w:tcPr>
          <w:p>
            <w:pPr>
              <w:pStyle w:val="yTableNAmRight"/>
            </w:pPr>
            <w:r>
              <w:t>190.5</w:t>
            </w:r>
          </w:p>
        </w:tc>
      </w:tr>
      <w:tr>
        <w:trPr>
          <w:cantSplit/>
        </w:trPr>
        <w:tc>
          <w:tcPr>
            <w:tcW w:w="1405" w:type="dxa"/>
            <w:noWrap/>
          </w:tcPr>
          <w:p>
            <w:pPr>
              <w:pStyle w:val="yTableNAm"/>
            </w:pPr>
            <w:r>
              <w:t>Over 350 but not over 500</w:t>
            </w:r>
          </w:p>
        </w:tc>
        <w:tc>
          <w:tcPr>
            <w:tcW w:w="960" w:type="dxa"/>
            <w:noWrap/>
            <w:vAlign w:val="bottom"/>
          </w:tcPr>
          <w:p>
            <w:pPr>
              <w:pStyle w:val="yTableNAmRight"/>
            </w:pPr>
            <w:r>
              <w:t>193.6</w:t>
            </w:r>
          </w:p>
        </w:tc>
        <w:tc>
          <w:tcPr>
            <w:tcW w:w="961" w:type="dxa"/>
            <w:noWrap/>
            <w:vAlign w:val="bottom"/>
          </w:tcPr>
          <w:p>
            <w:pPr>
              <w:pStyle w:val="yTableNAmRight"/>
            </w:pPr>
            <w:r>
              <w:t>253.9</w:t>
            </w:r>
          </w:p>
        </w:tc>
        <w:tc>
          <w:tcPr>
            <w:tcW w:w="960" w:type="dxa"/>
            <w:noWrap/>
            <w:vAlign w:val="bottom"/>
          </w:tcPr>
          <w:p>
            <w:pPr>
              <w:pStyle w:val="yTableNAmRight"/>
            </w:pPr>
            <w:r>
              <w:t>253.9</w:t>
            </w:r>
          </w:p>
        </w:tc>
        <w:tc>
          <w:tcPr>
            <w:tcW w:w="961" w:type="dxa"/>
            <w:noWrap/>
            <w:vAlign w:val="bottom"/>
          </w:tcPr>
          <w:p>
            <w:pPr>
              <w:pStyle w:val="yTableNAmRight"/>
            </w:pPr>
            <w:r>
              <w:t>253.9</w:t>
            </w:r>
          </w:p>
        </w:tc>
        <w:tc>
          <w:tcPr>
            <w:tcW w:w="961" w:type="dxa"/>
            <w:noWrap/>
            <w:vAlign w:val="bottom"/>
          </w:tcPr>
          <w:p>
            <w:pPr>
              <w:pStyle w:val="yTableNAmRight"/>
            </w:pPr>
            <w:r>
              <w:t>253.9</w:t>
            </w:r>
          </w:p>
        </w:tc>
      </w:tr>
      <w:tr>
        <w:trPr>
          <w:cantSplit/>
        </w:trPr>
        <w:tc>
          <w:tcPr>
            <w:tcW w:w="1405" w:type="dxa"/>
            <w:noWrap/>
          </w:tcPr>
          <w:p>
            <w:pPr>
              <w:pStyle w:val="yTableNAm"/>
            </w:pPr>
            <w:r>
              <w:t>Over 500 but not over 750</w:t>
            </w:r>
          </w:p>
        </w:tc>
        <w:tc>
          <w:tcPr>
            <w:tcW w:w="960" w:type="dxa"/>
            <w:noWrap/>
            <w:vAlign w:val="bottom"/>
          </w:tcPr>
          <w:p>
            <w:pPr>
              <w:pStyle w:val="yTableNAmRight"/>
            </w:pPr>
            <w:r>
              <w:t>222.2</w:t>
            </w:r>
          </w:p>
        </w:tc>
        <w:tc>
          <w:tcPr>
            <w:tcW w:w="961" w:type="dxa"/>
            <w:noWrap/>
            <w:vAlign w:val="bottom"/>
          </w:tcPr>
          <w:p>
            <w:pPr>
              <w:pStyle w:val="yTableNAmRight"/>
            </w:pPr>
            <w:r>
              <w:t>305.8</w:t>
            </w:r>
          </w:p>
        </w:tc>
        <w:tc>
          <w:tcPr>
            <w:tcW w:w="960" w:type="dxa"/>
            <w:noWrap/>
            <w:vAlign w:val="bottom"/>
          </w:tcPr>
          <w:p>
            <w:pPr>
              <w:pStyle w:val="yTableNAmRight"/>
            </w:pPr>
            <w:r>
              <w:t>407.3</w:t>
            </w:r>
          </w:p>
        </w:tc>
        <w:tc>
          <w:tcPr>
            <w:tcW w:w="961" w:type="dxa"/>
            <w:noWrap/>
            <w:vAlign w:val="bottom"/>
          </w:tcPr>
          <w:p>
            <w:pPr>
              <w:pStyle w:val="yTableNAmRight"/>
            </w:pPr>
            <w:r>
              <w:t>478.9</w:t>
            </w:r>
          </w:p>
        </w:tc>
        <w:tc>
          <w:tcPr>
            <w:tcW w:w="961" w:type="dxa"/>
            <w:noWrap/>
            <w:vAlign w:val="bottom"/>
          </w:tcPr>
          <w:p>
            <w:pPr>
              <w:pStyle w:val="yTableNAmRight"/>
            </w:pPr>
            <w:r>
              <w:t>563.4</w:t>
            </w:r>
          </w:p>
        </w:tc>
      </w:tr>
      <w:tr>
        <w:trPr>
          <w:cantSplit/>
        </w:trPr>
        <w:tc>
          <w:tcPr>
            <w:tcW w:w="1405" w:type="dxa"/>
            <w:tcBorders>
              <w:bottom w:val="single" w:sz="4" w:space="0" w:color="auto"/>
            </w:tcBorders>
            <w:noWrap/>
          </w:tcPr>
          <w:p>
            <w:pPr>
              <w:pStyle w:val="yTableNAm"/>
            </w:pPr>
            <w:r>
              <w:t>Over 750</w:t>
            </w:r>
          </w:p>
        </w:tc>
        <w:tc>
          <w:tcPr>
            <w:tcW w:w="960" w:type="dxa"/>
            <w:tcBorders>
              <w:bottom w:val="single" w:sz="4" w:space="0" w:color="auto"/>
            </w:tcBorders>
            <w:noWrap/>
            <w:vAlign w:val="bottom"/>
          </w:tcPr>
          <w:p>
            <w:pPr>
              <w:pStyle w:val="yTableNAmRight"/>
            </w:pPr>
            <w:r>
              <w:t>259.5</w:t>
            </w:r>
          </w:p>
        </w:tc>
        <w:tc>
          <w:tcPr>
            <w:tcW w:w="961" w:type="dxa"/>
            <w:tcBorders>
              <w:bottom w:val="single" w:sz="4" w:space="0" w:color="auto"/>
            </w:tcBorders>
            <w:noWrap/>
            <w:vAlign w:val="bottom"/>
          </w:tcPr>
          <w:p>
            <w:pPr>
              <w:pStyle w:val="yTableNAmRight"/>
            </w:pPr>
            <w:r>
              <w:t>390.0</w:t>
            </w:r>
          </w:p>
        </w:tc>
        <w:tc>
          <w:tcPr>
            <w:tcW w:w="960" w:type="dxa"/>
            <w:tcBorders>
              <w:bottom w:val="single" w:sz="4" w:space="0" w:color="auto"/>
            </w:tcBorders>
            <w:noWrap/>
            <w:vAlign w:val="bottom"/>
          </w:tcPr>
          <w:p>
            <w:pPr>
              <w:pStyle w:val="yTableNAmRight"/>
            </w:pPr>
            <w:r>
              <w:t>519.3</w:t>
            </w:r>
          </w:p>
        </w:tc>
        <w:tc>
          <w:tcPr>
            <w:tcW w:w="961" w:type="dxa"/>
            <w:tcBorders>
              <w:bottom w:val="single" w:sz="4" w:space="0" w:color="auto"/>
            </w:tcBorders>
            <w:noWrap/>
            <w:vAlign w:val="bottom"/>
          </w:tcPr>
          <w:p>
            <w:pPr>
              <w:pStyle w:val="yTableNAmRight"/>
            </w:pPr>
            <w:r>
              <w:t>718.3</w:t>
            </w:r>
          </w:p>
        </w:tc>
        <w:tc>
          <w:tcPr>
            <w:tcW w:w="961" w:type="dxa"/>
            <w:tcBorders>
              <w:bottom w:val="single" w:sz="4" w:space="0" w:color="auto"/>
            </w:tcBorders>
            <w:noWrap/>
            <w:vAlign w:val="bottom"/>
          </w:tcPr>
          <w:p>
            <w:pPr>
              <w:pStyle w:val="yTableNAmRight"/>
            </w:pPr>
            <w:r>
              <w:t>968.8</w:t>
            </w:r>
          </w:p>
        </w:tc>
      </w:tr>
    </w:tbl>
    <w:p>
      <w:pPr>
        <w:pStyle w:val="ySubsection"/>
        <w:tabs>
          <w:tab w:val="right" w:leader="dot" w:pos="6804"/>
        </w:tabs>
      </w:pPr>
      <w:r>
        <w:tab/>
        <w:t>(3)</w:t>
      </w:r>
      <w:r>
        <w:tab/>
        <w:t>A charge under sub</w:t>
      </w:r>
      <w:r>
        <w:noBreakHyphen/>
        <w:t>item (1) or (2) does not apply to the supply of water for which a more specific charge is provided in this Subdivision.</w:t>
      </w:r>
    </w:p>
    <w:p>
      <w:pPr>
        <w:pStyle w:val="yHeading5"/>
      </w:pPr>
      <w:bookmarkStart w:id="314" w:name="_Toc105574264"/>
      <w:bookmarkStart w:id="315" w:name="_Toc107232275"/>
      <w:r>
        <w:t>30.</w:t>
      </w:r>
      <w:r>
        <w:tab/>
        <w:t>Non</w:t>
      </w:r>
      <w:r>
        <w:noBreakHyphen/>
        <w:t>metropolitan non</w:t>
      </w:r>
      <w:r>
        <w:noBreakHyphen/>
        <w:t>residential</w:t>
      </w:r>
      <w:bookmarkEnd w:id="314"/>
      <w:bookmarkEnd w:id="315"/>
    </w:p>
    <w:p>
      <w:pPr>
        <w:pStyle w:val="ySubsection"/>
        <w:tabs>
          <w:tab w:val="right" w:leader="dot" w:pos="6804"/>
        </w:tabs>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 xml:space="preserve">or charitable purposes </w:t>
      </w:r>
      <w:r>
        <w:tab/>
        <w:t>279.7 cents</w:t>
      </w:r>
    </w:p>
    <w:p>
      <w:pPr>
        <w:pStyle w:val="yIndenta"/>
        <w:tabs>
          <w:tab w:val="right" w:leader="dot" w:pos="6804"/>
        </w:tabs>
      </w:pPr>
      <w:r>
        <w:tab/>
        <w:t>(b)</w:t>
      </w:r>
      <w:r>
        <w:tab/>
        <w:t xml:space="preserve">if the land is classified as farmland </w:t>
      </w:r>
      <w:r>
        <w:tab/>
        <w:t>279.7 cents</w:t>
      </w:r>
    </w:p>
    <w:p>
      <w:pPr>
        <w:pStyle w:val="yIndenta"/>
        <w:tabs>
          <w:tab w:val="right" w:leader="dot" w:pos="6804"/>
        </w:tabs>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14 </w:t>
      </w:r>
      <w:r>
        <w:br/>
        <w:t>and 15 were 922.0 cents;</w:t>
      </w:r>
    </w:p>
    <w:p>
      <w:pPr>
        <w:pStyle w:val="yIndenta"/>
        <w:tabs>
          <w:tab w:val="right" w:leader="dot" w:pos="6804"/>
        </w:tabs>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r>
      <w:r>
        <w:lastRenderedPageBreak/>
        <w:t>non</w:t>
      </w:r>
      <w:r>
        <w:noBreakHyphen/>
        <w:t xml:space="preserve">residential class of the town or </w:t>
      </w:r>
      <w:r>
        <w:br/>
        <w:t>area in which the land is located;</w:t>
      </w:r>
    </w:p>
    <w:p>
      <w:pPr>
        <w:pStyle w:val="yIndenta"/>
        <w:tabs>
          <w:tab w:val="right" w:leader="dot" w:pos="6804"/>
        </w:tabs>
      </w:pPr>
      <w:r>
        <w:tab/>
        <w:t>(e)</w:t>
      </w:r>
      <w:r>
        <w:tab/>
        <w:t>if the land is classified as commercial residential —</w:t>
      </w:r>
    </w:p>
    <w:p>
      <w:pPr>
        <w:pStyle w:val="yMiscellaneousBodyLeft425cm"/>
        <w:ind w:left="1695"/>
      </w:pPr>
      <w:r>
        <w:t xml:space="preserve">up to 150 kL </w:t>
      </w:r>
      <w:r>
        <w:tab/>
        <w:t>190.5 cents</w:t>
      </w:r>
    </w:p>
    <w:p>
      <w:pPr>
        <w:pStyle w:val="yMiscellaneousBodyLeft425cm"/>
        <w:ind w:left="1695"/>
      </w:pPr>
      <w:r>
        <w:t>over 150 kL — the charge applicable in the Table in item 24 according to the non</w:t>
      </w:r>
      <w:r>
        <w:noBreakHyphen/>
        <w:t>residential class of the town or area in which the land is located.</w:t>
      </w:r>
    </w:p>
    <w:p>
      <w:pPr>
        <w:pStyle w:val="ySubsection"/>
        <w:tabs>
          <w:tab w:val="right" w:leader="dot" w:pos="6804"/>
        </w:tabs>
      </w:pPr>
      <w:r>
        <w:tab/>
        <w:t>(2)</w:t>
      </w:r>
      <w:r>
        <w:tab/>
        <w:t>A charge under sub</w:t>
      </w:r>
      <w:r>
        <w:noBreakHyphen/>
        <w:t>item (1) does not apply to the supply of water for which a more specific charge is provided in this Subdivision.</w:t>
      </w:r>
    </w:p>
    <w:p>
      <w:pPr>
        <w:pStyle w:val="yHeading5"/>
      </w:pPr>
      <w:bookmarkStart w:id="316" w:name="_Toc105574265"/>
      <w:bookmarkStart w:id="317" w:name="_Toc107232276"/>
      <w:r>
        <w:t>31.</w:t>
      </w:r>
      <w:r>
        <w:tab/>
        <w:t>Strata</w:t>
      </w:r>
      <w:r>
        <w:noBreakHyphen/>
        <w:t>titled or long</w:t>
      </w:r>
      <w:r>
        <w:noBreakHyphen/>
        <w:t>term residential caravan bays</w:t>
      </w:r>
      <w:bookmarkEnd w:id="316"/>
      <w:bookmarkEnd w:id="317"/>
    </w:p>
    <w:p>
      <w:pPr>
        <w:pStyle w:val="ySubsection"/>
        <w:tabs>
          <w:tab w:val="right" w:leader="dot" w:pos="6804"/>
        </w:tabs>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Left425cm"/>
        <w:ind w:left="1695"/>
      </w:pPr>
      <w:r>
        <w:t xml:space="preserve">up to 150 kL </w:t>
      </w:r>
      <w:r>
        <w:tab/>
      </w:r>
      <w:r>
        <w:rPr>
          <w:szCs w:val="22"/>
        </w:rPr>
        <w:t>190.5</w:t>
      </w:r>
      <w:r>
        <w:t xml:space="preserve"> cents</w:t>
      </w:r>
    </w:p>
    <w:p>
      <w:pPr>
        <w:pStyle w:val="yMiscellaneousBodyLeft425cm"/>
        <w:ind w:left="1695"/>
      </w:pPr>
      <w:r>
        <w:t xml:space="preserve">over 150 kL </w:t>
      </w:r>
      <w:r>
        <w:tab/>
        <w:t>271.2 cents</w:t>
      </w:r>
    </w:p>
    <w:p>
      <w:pPr>
        <w:pStyle w:val="ySubsection"/>
        <w:tabs>
          <w:tab w:val="right" w:leader="dot" w:pos="6804"/>
        </w:tabs>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Left3cm"/>
      </w:pPr>
      <w:r>
        <w:t xml:space="preserve">up to 150 kL </w:t>
      </w:r>
      <w:r>
        <w:tab/>
        <w:t>190.5 cents</w:t>
      </w:r>
    </w:p>
    <w:p>
      <w:pPr>
        <w:pStyle w:val="yMiscellaneousBodyLeft3cm"/>
      </w:pPr>
      <w:r>
        <w:t>over 150 kL — the charge applicable in the Table in item 24 according to the residential class of the town or area in which the bay is located.</w:t>
      </w:r>
    </w:p>
    <w:p>
      <w:pPr>
        <w:pStyle w:val="ySubsection"/>
        <w:tabs>
          <w:tab w:val="right" w:leader="dot" w:pos="6804"/>
        </w:tabs>
      </w:pPr>
      <w:r>
        <w:tab/>
        <w:t>(3)</w:t>
      </w:r>
      <w:r>
        <w:tab/>
        <w:t>Sub</w:t>
      </w:r>
      <w:r>
        <w:noBreakHyphen/>
        <w:t>items (1) and (2) do not apply to long</w:t>
      </w:r>
      <w:r>
        <w:noBreakHyphen/>
        <w:t>term residential caravan bays referred to in regulation 27(2)(a).</w:t>
      </w:r>
    </w:p>
    <w:p>
      <w:pPr>
        <w:pStyle w:val="yHeading5"/>
      </w:pPr>
      <w:bookmarkStart w:id="318" w:name="_Toc105574266"/>
      <w:bookmarkStart w:id="319" w:name="_Toc107232277"/>
      <w:r>
        <w:t>32.</w:t>
      </w:r>
      <w:r>
        <w:tab/>
        <w:t>Government trading organisations and non</w:t>
      </w:r>
      <w:r>
        <w:noBreakHyphen/>
        <w:t>commercial government property</w:t>
      </w:r>
      <w:bookmarkEnd w:id="318"/>
      <w:bookmarkEnd w:id="319"/>
    </w:p>
    <w:p>
      <w:pPr>
        <w:pStyle w:val="ySubsection"/>
        <w:tabs>
          <w:tab w:val="right" w:leader="dot" w:pos="6804"/>
        </w:tab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tabs>
          <w:tab w:val="right" w:leader="dot" w:pos="6804"/>
        </w:tabs>
      </w:pPr>
      <w:r>
        <w:lastRenderedPageBreak/>
        <w:tab/>
        <w:t>(2)</w:t>
      </w:r>
      <w:r>
        <w:tab/>
        <w:t>This item does not apply to public land or land classified as vacant land.</w:t>
      </w:r>
    </w:p>
    <w:p>
      <w:pPr>
        <w:pStyle w:val="ySubsection"/>
        <w:tabs>
          <w:tab w:val="right" w:leader="dot" w:pos="6804"/>
        </w:tabs>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271.2 cents</w:t>
      </w:r>
    </w:p>
    <w:p>
      <w:pPr>
        <w:pStyle w:val="ySubsection"/>
        <w:tabs>
          <w:tab w:val="right" w:leader="dot" w:pos="6804"/>
        </w:tabs>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320" w:name="_Toc105574267"/>
      <w:bookmarkStart w:id="321" w:name="_Toc107232278"/>
      <w:r>
        <w:t>33.</w:t>
      </w:r>
      <w:r>
        <w:tab/>
        <w:t>Coral Bay desalinated</w:t>
      </w:r>
      <w:bookmarkEnd w:id="320"/>
      <w:bookmarkEnd w:id="321"/>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783.5 cents</w:t>
      </w:r>
    </w:p>
    <w:p>
      <w:pPr>
        <w:pStyle w:val="yHeading5"/>
      </w:pPr>
      <w:bookmarkStart w:id="322" w:name="_Toc105574268"/>
      <w:bookmarkStart w:id="323" w:name="_Toc107232279"/>
      <w:r>
        <w:t>34.</w:t>
      </w:r>
      <w:r>
        <w:tab/>
        <w:t>Denham desalinated</w:t>
      </w:r>
      <w:bookmarkEnd w:id="322"/>
      <w:bookmarkEnd w:id="323"/>
    </w:p>
    <w:p>
      <w:pPr>
        <w:pStyle w:val="ySubsection"/>
        <w:tabs>
          <w:tab w:val="right" w:leader="dot" w:pos="6804"/>
        </w:tabs>
      </w:pPr>
      <w:r>
        <w:tab/>
        <w:t>(1)</w:t>
      </w:r>
      <w:r>
        <w:tab/>
        <w:t>For each kilolitre of desalinated water supplied, in a charge period, to land in Denham that is classified as residential, the charge is —</w:t>
      </w:r>
    </w:p>
    <w:p>
      <w:pPr>
        <w:pStyle w:val="yMiscellaneousBodyLeft425cm"/>
        <w:ind w:left="1695"/>
      </w:pPr>
      <w:r>
        <w:t xml:space="preserve">up to quota </w:t>
      </w:r>
      <w:r>
        <w:tab/>
        <w:t>70.6 cents</w:t>
      </w:r>
    </w:p>
    <w:p>
      <w:pPr>
        <w:pStyle w:val="yMiscellaneousBodyLeft425cm"/>
        <w:ind w:left="1695"/>
      </w:pPr>
      <w:r>
        <w:t xml:space="preserve">over quota but by not more than the </w:t>
      </w:r>
      <w:r>
        <w:br/>
        <w:t xml:space="preserve">shoulder amount </w:t>
      </w:r>
      <w:r>
        <w:tab/>
        <w:t>519.6 cents</w:t>
      </w:r>
    </w:p>
    <w:p>
      <w:pPr>
        <w:pStyle w:val="yMiscellaneousBodyLeft425cm"/>
        <w:ind w:left="1695"/>
      </w:pPr>
      <w:r>
        <w:t xml:space="preserve">over quota by more than the shoulder </w:t>
      </w:r>
      <w:r>
        <w:br/>
        <w:t xml:space="preserve">amount </w:t>
      </w:r>
      <w:r>
        <w:tab/>
        <w:t>1 618.9 cents</w:t>
      </w:r>
    </w:p>
    <w:p>
      <w:pPr>
        <w:pStyle w:val="ySubsection"/>
        <w:tabs>
          <w:tab w:val="right" w:leader="dot" w:pos="6804"/>
        </w:tabs>
      </w:pPr>
      <w:r>
        <w:tab/>
        <w:t>(2)</w:t>
      </w:r>
      <w:r>
        <w:tab/>
        <w:t>In sub</w:t>
      </w:r>
      <w:r>
        <w:noBreakHyphen/>
        <w:t xml:space="preserve">item (1) — </w:t>
      </w:r>
    </w:p>
    <w:p>
      <w:pPr>
        <w:pStyle w:val="yIndenta"/>
        <w:tabs>
          <w:tab w:val="right" w:leader="dot" w:pos="6804"/>
        </w:tabs>
      </w:pPr>
      <w:r>
        <w:tab/>
        <w:t>(a)</w:t>
      </w:r>
      <w:r>
        <w:tab/>
        <w:t>the quota for the charge period is 18 kL plus 4 kL for each resident on the land in excess of 4 residents; and</w:t>
      </w:r>
    </w:p>
    <w:p>
      <w:pPr>
        <w:pStyle w:val="yIndenta"/>
        <w:tabs>
          <w:tab w:val="right" w:leader="dot" w:pos="6804"/>
        </w:tabs>
      </w:pPr>
      <w:r>
        <w:tab/>
        <w:t>(b)</w:t>
      </w:r>
      <w:r>
        <w:tab/>
        <w:t>the shoulder amount for the charge period is 3 kL plus 1 kL for each resident on the land in excess of 4 residents.</w:t>
      </w:r>
    </w:p>
    <w:p>
      <w:pPr>
        <w:pStyle w:val="ySubsection"/>
        <w:tabs>
          <w:tab w:val="right" w:leader="dot" w:pos="6804"/>
        </w:tabs>
      </w:pPr>
      <w:r>
        <w:tab/>
        <w:t>(3)</w:t>
      </w:r>
      <w:r>
        <w:tab/>
        <w:t xml:space="preserve">For each kilolitre of desalinated water </w:t>
      </w:r>
      <w:r>
        <w:br/>
        <w:t xml:space="preserve">supplied to land in Denham that is not </w:t>
      </w:r>
      <w:r>
        <w:br/>
        <w:t>classified as residential, the charge is —</w:t>
      </w:r>
    </w:p>
    <w:p>
      <w:pPr>
        <w:pStyle w:val="yMiscellaneousBodyLeft3cm"/>
        <w:ind w:left="1695"/>
      </w:pPr>
      <w:r>
        <w:lastRenderedPageBreak/>
        <w:t xml:space="preserve">up to quota </w:t>
      </w:r>
      <w:r>
        <w:tab/>
        <w:t>72.1 cents</w:t>
      </w:r>
    </w:p>
    <w:p>
      <w:pPr>
        <w:pStyle w:val="yMiscellaneousBodyLeft3cm"/>
        <w:ind w:left="1695"/>
      </w:pPr>
      <w:r>
        <w:t xml:space="preserve">over quota </w:t>
      </w:r>
      <w:r>
        <w:tab/>
        <w:t>1 651.2 cents</w:t>
      </w:r>
    </w:p>
    <w:p>
      <w:pPr>
        <w:pStyle w:val="ySubsection"/>
        <w:tabs>
          <w:tab w:val="right" w:leader="dot" w:pos="6804"/>
        </w:tabs>
      </w:pPr>
      <w:r>
        <w:tab/>
        <w:t>(4)</w:t>
      </w:r>
      <w:r>
        <w:tab/>
        <w:t>In sub</w:t>
      </w:r>
      <w:r>
        <w:noBreakHyphen/>
        <w:t>item (3), the quota for the land for the current consumption year is 108 kL or a greater amount specified for the land for the year by the Water Corporation.</w:t>
      </w:r>
    </w:p>
    <w:p>
      <w:pPr>
        <w:pStyle w:val="yHeading4"/>
      </w:pPr>
      <w:bookmarkStart w:id="324" w:name="_Toc105571086"/>
      <w:bookmarkStart w:id="325" w:name="_Toc105573901"/>
      <w:bookmarkStart w:id="326" w:name="_Toc105574269"/>
      <w:bookmarkStart w:id="327" w:name="_Toc106869188"/>
      <w:bookmarkStart w:id="328" w:name="_Toc106872066"/>
      <w:bookmarkStart w:id="329" w:name="_Toc107232280"/>
      <w:r>
        <w:t>Subdivision 3 — Other consumption charges</w:t>
      </w:r>
      <w:bookmarkEnd w:id="324"/>
      <w:bookmarkEnd w:id="325"/>
      <w:bookmarkEnd w:id="326"/>
      <w:bookmarkEnd w:id="327"/>
      <w:bookmarkEnd w:id="328"/>
      <w:bookmarkEnd w:id="329"/>
    </w:p>
    <w:p>
      <w:pPr>
        <w:pStyle w:val="yFootnoteheading"/>
      </w:pPr>
      <w:bookmarkStart w:id="330" w:name="_Toc105574270"/>
      <w:r>
        <w:tab/>
        <w:t>[Heading inserted: SL 2022/82 r. 19.]</w:t>
      </w:r>
    </w:p>
    <w:p>
      <w:pPr>
        <w:pStyle w:val="yHeading5"/>
      </w:pPr>
      <w:bookmarkStart w:id="331" w:name="_Toc107232281"/>
      <w:r>
        <w:t>35.</w:t>
      </w:r>
      <w:r>
        <w:tab/>
        <w:t>Local government standpipes</w:t>
      </w:r>
      <w:bookmarkEnd w:id="330"/>
      <w:bookmarkEnd w:id="331"/>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279.7 cents</w:t>
      </w:r>
    </w:p>
    <w:p>
      <w:pPr>
        <w:pStyle w:val="yHeading5"/>
      </w:pPr>
      <w:bookmarkStart w:id="332" w:name="_Toc105574271"/>
      <w:bookmarkStart w:id="333" w:name="_Toc107232282"/>
      <w:r>
        <w:t>36.</w:t>
      </w:r>
      <w:r>
        <w:tab/>
        <w:t>Shipping</w:t>
      </w:r>
      <w:bookmarkEnd w:id="332"/>
      <w:bookmarkEnd w:id="333"/>
    </w:p>
    <w:p>
      <w:pPr>
        <w:pStyle w:val="ySubsection"/>
        <w:tabs>
          <w:tab w:val="right" w:leader="dot" w:pos="6804"/>
        </w:tabs>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271.2 cents</w:t>
      </w:r>
    </w:p>
    <w:p>
      <w:pPr>
        <w:pStyle w:val="yIndenta"/>
        <w:tabs>
          <w:tab w:val="right" w:leader="dot" w:pos="6804"/>
        </w:tabs>
        <w:rPr>
          <w:szCs w:val="22"/>
        </w:rPr>
      </w:pPr>
      <w:r>
        <w:tab/>
        <w:t>(b)</w:t>
      </w:r>
      <w:r>
        <w:tab/>
        <w:t>for a port in the non</w:t>
      </w:r>
      <w:r>
        <w:noBreakHyphen/>
        <w:t>metropolitan area, the charge is the charge applicable in the Table in item 24 according</w:t>
      </w:r>
      <w:r>
        <w:rPr>
          <w:szCs w:val="22"/>
        </w:rPr>
        <w:t xml:space="preserve"> to the non</w:t>
      </w:r>
      <w:r>
        <w:rPr>
          <w:szCs w:val="22"/>
        </w:rPr>
        <w:noBreakHyphen/>
        <w:t>residential class of the town or area in which the port is located.</w:t>
      </w:r>
    </w:p>
    <w:p>
      <w:pPr>
        <w:pStyle w:val="yHeading5"/>
      </w:pPr>
      <w:bookmarkStart w:id="334" w:name="_Toc105574272"/>
      <w:bookmarkStart w:id="335" w:name="_Toc107232283"/>
      <w:r>
        <w:t>37.</w:t>
      </w:r>
      <w:r>
        <w:tab/>
        <w:t>Stock</w:t>
      </w:r>
      <w:bookmarkEnd w:id="334"/>
      <w:bookmarkEnd w:id="335"/>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279.7 cents</w:t>
      </w:r>
    </w:p>
    <w:p>
      <w:pPr>
        <w:pStyle w:val="yHeading5"/>
      </w:pPr>
      <w:bookmarkStart w:id="336" w:name="_Toc105574273"/>
      <w:bookmarkStart w:id="337" w:name="_Toc107232284"/>
      <w:r>
        <w:t>38.</w:t>
      </w:r>
      <w:r>
        <w:tab/>
        <w:t>Hydrant standpipes</w:t>
      </w:r>
      <w:bookmarkEnd w:id="336"/>
      <w:bookmarkEnd w:id="337"/>
    </w:p>
    <w:p>
      <w:pPr>
        <w:pStyle w:val="ySubsection"/>
        <w:tabs>
          <w:tab w:val="right" w:leader="dot" w:pos="6804"/>
        </w:tabs>
      </w:pPr>
      <w:r>
        <w:tab/>
      </w:r>
      <w:r>
        <w:tab/>
        <w:t xml:space="preserve">For each kilolitre of water supplied </w:t>
      </w:r>
      <w:r>
        <w:br/>
        <w:t xml:space="preserve">through a hydrant standpipe, the charge is </w:t>
      </w:r>
      <w:r>
        <w:tab/>
        <w:t>271.2 cents</w:t>
      </w:r>
    </w:p>
    <w:p>
      <w:pPr>
        <w:pStyle w:val="yFootnotesection"/>
      </w:pPr>
      <w:bookmarkStart w:id="338" w:name="_Toc105571091"/>
      <w:bookmarkStart w:id="339" w:name="_Toc105573906"/>
      <w:bookmarkStart w:id="340" w:name="_Toc105574274"/>
      <w:r>
        <w:tab/>
        <w:t>[Division 2 inserted: SL 2022/82 r. 19.]</w:t>
      </w:r>
    </w:p>
    <w:p>
      <w:pPr>
        <w:pStyle w:val="yScheduleHeading"/>
      </w:pPr>
      <w:bookmarkStart w:id="341" w:name="_Toc106869193"/>
      <w:bookmarkStart w:id="342" w:name="_Toc106872071"/>
      <w:bookmarkStart w:id="343" w:name="_Toc107232285"/>
      <w:r>
        <w:rPr>
          <w:rStyle w:val="CharSchNo"/>
        </w:rPr>
        <w:lastRenderedPageBreak/>
        <w:t>Schedule 4</w:t>
      </w:r>
      <w:r>
        <w:t> — </w:t>
      </w:r>
      <w:r>
        <w:rPr>
          <w:rStyle w:val="CharSchText"/>
        </w:rPr>
        <w:t>Sewerage charges for the Water Corporation</w:t>
      </w:r>
      <w:bookmarkEnd w:id="338"/>
      <w:bookmarkEnd w:id="339"/>
      <w:bookmarkEnd w:id="340"/>
      <w:bookmarkEnd w:id="341"/>
      <w:bookmarkEnd w:id="342"/>
      <w:bookmarkEnd w:id="343"/>
    </w:p>
    <w:p>
      <w:pPr>
        <w:pStyle w:val="yShoulderClause"/>
      </w:pPr>
      <w:r>
        <w:t>[r. 24, 39 and 41]</w:t>
      </w:r>
    </w:p>
    <w:p>
      <w:pPr>
        <w:pStyle w:val="yFootnoteheading"/>
      </w:pPr>
      <w:bookmarkStart w:id="344" w:name="_Toc105571092"/>
      <w:bookmarkStart w:id="345" w:name="_Toc105573907"/>
      <w:bookmarkStart w:id="346" w:name="_Toc105574275"/>
      <w:r>
        <w:tab/>
        <w:t>[Heading inserted: SL 2022/82 r. 19.]</w:t>
      </w:r>
    </w:p>
    <w:p>
      <w:pPr>
        <w:pStyle w:val="yHeading3"/>
      </w:pPr>
      <w:bookmarkStart w:id="347" w:name="_Toc106869194"/>
      <w:bookmarkStart w:id="348" w:name="_Toc106872072"/>
      <w:bookmarkStart w:id="349" w:name="_Toc107232286"/>
      <w:r>
        <w:rPr>
          <w:rStyle w:val="CharSDivNo"/>
        </w:rPr>
        <w:t>Division 1</w:t>
      </w:r>
      <w:r>
        <w:t> — </w:t>
      </w:r>
      <w:r>
        <w:rPr>
          <w:rStyle w:val="CharSDivText"/>
        </w:rPr>
        <w:t>Service charges</w:t>
      </w:r>
      <w:bookmarkEnd w:id="344"/>
      <w:bookmarkEnd w:id="345"/>
      <w:bookmarkEnd w:id="346"/>
      <w:bookmarkEnd w:id="347"/>
      <w:bookmarkEnd w:id="348"/>
      <w:bookmarkEnd w:id="349"/>
    </w:p>
    <w:p>
      <w:pPr>
        <w:pStyle w:val="yFootnoteheading"/>
      </w:pPr>
      <w:bookmarkStart w:id="350" w:name="_Toc105574276"/>
      <w:r>
        <w:tab/>
        <w:t>[Heading inserted: SL 2022/82 r. 19.]</w:t>
      </w:r>
    </w:p>
    <w:p>
      <w:pPr>
        <w:pStyle w:val="yHeading5"/>
      </w:pPr>
      <w:bookmarkStart w:id="351" w:name="_Toc107232287"/>
      <w:r>
        <w:t>1.</w:t>
      </w:r>
      <w:r>
        <w:tab/>
        <w:t>Service charges for 2022/23 and subsequent years</w:t>
      </w:r>
      <w:bookmarkEnd w:id="350"/>
      <w:bookmarkEnd w:id="351"/>
    </w:p>
    <w:p>
      <w:pPr>
        <w:pStyle w:val="ySubsection"/>
        <w:tabs>
          <w:tab w:val="right" w:leader="dot" w:pos="6804"/>
        </w:tabs>
      </w:pPr>
      <w:r>
        <w:tab/>
      </w:r>
      <w:r>
        <w:tab/>
        <w:t>The charges set out in this Division apply for sewerage services provided in the</w:t>
      </w:r>
      <w:r>
        <w:rPr>
          <w:szCs w:val="22"/>
        </w:rPr>
        <w:t xml:space="preserve"> 2022/23</w:t>
      </w:r>
      <w:r>
        <w:t> financial year and each subsequent year.</w:t>
      </w:r>
    </w:p>
    <w:p>
      <w:pPr>
        <w:pStyle w:val="yHeading5"/>
      </w:pPr>
      <w:bookmarkStart w:id="352" w:name="_Toc105574277"/>
      <w:bookmarkStart w:id="353" w:name="_Toc107232288"/>
      <w:r>
        <w:t>2.</w:t>
      </w:r>
      <w:r>
        <w:tab/>
        <w:t>Metropolitan residential</w:t>
      </w:r>
      <w:bookmarkEnd w:id="352"/>
      <w:bookmarkEnd w:id="353"/>
    </w:p>
    <w:p>
      <w:pPr>
        <w:pStyle w:val="ySubsection"/>
        <w:tabs>
          <w:tab w:val="right" w:leader="dot" w:pos="6804"/>
        </w:tabs>
      </w:pPr>
      <w:r>
        <w:tab/>
        <w:t>(1)</w:t>
      </w:r>
      <w:r>
        <w:tab/>
        <w:t>For each residential property in the metropolitan area that —</w:t>
      </w:r>
    </w:p>
    <w:p>
      <w:pPr>
        <w:pStyle w:val="yIndenta"/>
        <w:tabs>
          <w:tab w:val="right" w:leader="dot" w:pos="6804"/>
        </w:tabs>
      </w:pPr>
      <w:r>
        <w:tab/>
        <w:t>(a)</w:t>
      </w:r>
      <w:r>
        <w:tab/>
        <w:t>is not covered by item 4 or 5; and</w:t>
      </w:r>
    </w:p>
    <w:p>
      <w:pPr>
        <w:pStyle w:val="yIndenta"/>
        <w:tabs>
          <w:tab w:val="right" w:leader="dot" w:pos="6804"/>
        </w:tabs>
      </w:pPr>
      <w:r>
        <w:tab/>
        <w:t>(b)</w:t>
      </w:r>
      <w:r>
        <w:tab/>
        <w:t>is not a caravan park or a nursing home,</w:t>
      </w:r>
    </w:p>
    <w:p>
      <w:pPr>
        <w:pStyle w:val="ySubsection"/>
        <w:tabs>
          <w:tab w:val="right" w:leader="dot" w:pos="6804"/>
        </w:tabs>
      </w:pPr>
      <w:r>
        <w:tab/>
      </w:r>
      <w:r>
        <w:tab/>
        <w:t>the charge, per dwelling on the land, is —</w:t>
      </w:r>
    </w:p>
    <w:p>
      <w:pPr>
        <w:pStyle w:val="yMiscellaneousBodyLeft3cm"/>
      </w:pPr>
      <w:r>
        <w:t xml:space="preserve">up to $16 400 GRV </w:t>
      </w:r>
      <w:r>
        <w:tab/>
        <w:t>5.240 cents/$</w:t>
      </w:r>
    </w:p>
    <w:p>
      <w:pPr>
        <w:pStyle w:val="ySubsectionRight"/>
      </w:pPr>
      <w:r>
        <w:tab/>
        <w:t>of GRV</w:t>
      </w:r>
    </w:p>
    <w:p>
      <w:pPr>
        <w:pStyle w:val="yMiscellaneousBodyLeft3cm"/>
      </w:pPr>
      <w:r>
        <w:t xml:space="preserve">over $16 400 GRV </w:t>
      </w:r>
      <w:r>
        <w:tab/>
        <w:t>3.869 cents/$</w:t>
      </w:r>
    </w:p>
    <w:p>
      <w:pPr>
        <w:pStyle w:val="ySubsectionRight"/>
      </w:pPr>
      <w:r>
        <w:tab/>
        <w:t>of GRV</w:t>
      </w:r>
    </w:p>
    <w:p>
      <w:pPr>
        <w:pStyle w:val="ySubsection"/>
        <w:tabs>
          <w:tab w:val="right" w:leader="dot" w:pos="6804"/>
        </w:tabs>
      </w:pPr>
      <w:r>
        <w:tab/>
        <w:t>(2)</w:t>
      </w:r>
      <w:r>
        <w:tab/>
        <w:t xml:space="preserve">The minimum charge per dwelling </w:t>
      </w:r>
      <w:r>
        <w:br/>
        <w:t xml:space="preserve">under this item is </w:t>
      </w:r>
      <w:r>
        <w:tab/>
      </w:r>
      <w:r>
        <w:rPr>
          <w:szCs w:val="22"/>
        </w:rPr>
        <w:t>$457.95</w:t>
      </w:r>
    </w:p>
    <w:p>
      <w:pPr>
        <w:pStyle w:val="yHeading5"/>
      </w:pPr>
      <w:bookmarkStart w:id="354" w:name="_Toc105574278"/>
      <w:bookmarkStart w:id="355" w:name="_Toc107232289"/>
      <w:r>
        <w:t>3.</w:t>
      </w:r>
      <w:r>
        <w:tab/>
        <w:t>Metropolitan vacant land</w:t>
      </w:r>
      <w:bookmarkEnd w:id="354"/>
      <w:bookmarkEnd w:id="355"/>
    </w:p>
    <w:p>
      <w:pPr>
        <w:pStyle w:val="ySubsection"/>
        <w:tabs>
          <w:tab w:val="right" w:leader="dot" w:pos="6804"/>
        </w:tabs>
      </w:pPr>
      <w:r>
        <w:tab/>
        <w:t>(1)</w:t>
      </w:r>
      <w:r>
        <w:tab/>
        <w:t xml:space="preserve">For land in the metropolitan area that is </w:t>
      </w:r>
      <w:r>
        <w:br/>
        <w:t xml:space="preserve">classified as vacant land, the charge is </w:t>
      </w:r>
      <w:r>
        <w:tab/>
        <w:t>2.541 cents/$</w:t>
      </w:r>
    </w:p>
    <w:p>
      <w:pPr>
        <w:pStyle w:val="ySubsectionRight"/>
      </w:pPr>
      <w:r>
        <w:tab/>
        <w:t>of GRV</w:t>
      </w:r>
    </w:p>
    <w:p>
      <w:pPr>
        <w:pStyle w:val="ySubsection"/>
        <w:tabs>
          <w:tab w:val="right" w:leader="dot" w:pos="6804"/>
        </w:tabs>
      </w:pPr>
      <w:r>
        <w:tab/>
        <w:t>(2)</w:t>
      </w:r>
      <w:r>
        <w:tab/>
        <w:t xml:space="preserve">The minimum charge under this item is </w:t>
      </w:r>
      <w:r>
        <w:tab/>
      </w:r>
      <w:r>
        <w:rPr>
          <w:szCs w:val="22"/>
        </w:rPr>
        <w:t>$344.33</w:t>
      </w:r>
    </w:p>
    <w:p>
      <w:pPr>
        <w:pStyle w:val="yHeading5"/>
      </w:pPr>
      <w:bookmarkStart w:id="356" w:name="_Toc105574279"/>
      <w:bookmarkStart w:id="357" w:name="_Toc107232290"/>
      <w:r>
        <w:t>4.</w:t>
      </w:r>
      <w:r>
        <w:tab/>
        <w:t>Metropolitan concessional</w:t>
      </w:r>
      <w:bookmarkEnd w:id="356"/>
      <w:bookmarkEnd w:id="357"/>
    </w:p>
    <w:p>
      <w:pPr>
        <w:pStyle w:val="ySubsection"/>
        <w:tabs>
          <w:tab w:val="right" w:leader="dot" w:pos="6804"/>
        </w:tabs>
      </w:pPr>
      <w:r>
        <w:tab/>
        <w:t>(1)</w:t>
      </w:r>
      <w:r>
        <w:tab/>
        <w:t>For land in the metropolitan area that is classified as —</w:t>
      </w:r>
    </w:p>
    <w:p>
      <w:pPr>
        <w:pStyle w:val="yIndenta"/>
        <w:tabs>
          <w:tab w:val="right" w:leader="dot" w:pos="6804"/>
        </w:tabs>
      </w:pPr>
      <w:r>
        <w:tab/>
        <w:t>(a)</w:t>
      </w:r>
      <w:r>
        <w:tab/>
        <w:t>aged home; or</w:t>
      </w:r>
    </w:p>
    <w:p>
      <w:pPr>
        <w:pStyle w:val="yIndenta"/>
        <w:tabs>
          <w:tab w:val="right" w:leader="dot" w:pos="6804"/>
        </w:tabs>
      </w:pPr>
      <w:r>
        <w:lastRenderedPageBreak/>
        <w:tab/>
        <w:t>(b)</w:t>
      </w:r>
      <w:r>
        <w:tab/>
        <w:t xml:space="preserve">charitable purposes or community </w:t>
      </w:r>
      <w:r>
        <w:br/>
        <w:t>purpose,</w:t>
      </w:r>
    </w:p>
    <w:p>
      <w:pPr>
        <w:pStyle w:val="ySubsection"/>
        <w:tabs>
          <w:tab w:val="right" w:leader="dot" w:pos="6804"/>
        </w:tabs>
      </w:pPr>
      <w:r>
        <w:tab/>
      </w:r>
      <w:r>
        <w:tab/>
        <w:t>the charge, according to the classification of the land and the number of major fixtures on the land, is the sum of the discounted charges for each fixture, as set out in the Table to this sub</w:t>
      </w:r>
      <w:r>
        <w:noBreakHyphen/>
        <w:t>item.</w:t>
      </w:r>
    </w:p>
    <w:p>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tcPr>
          <w:p>
            <w:pPr>
              <w:pStyle w:val="yTableNAm"/>
              <w:jc w:val="center"/>
              <w:rPr>
                <w:b/>
                <w:bCs/>
              </w:rPr>
            </w:pPr>
          </w:p>
        </w:tc>
        <w:tc>
          <w:tcPr>
            <w:tcW w:w="1134" w:type="dxa"/>
            <w:tcBorders>
              <w:top w:val="single" w:sz="4" w:space="0" w:color="auto"/>
              <w:right w:val="single" w:sz="4" w:space="0" w:color="auto"/>
            </w:tcBorders>
            <w:noWrap/>
          </w:tcPr>
          <w:p>
            <w:pPr>
              <w:pStyle w:val="yTableNAm"/>
              <w:jc w:val="center"/>
              <w:rPr>
                <w:b/>
                <w:bCs/>
              </w:rPr>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rPr>
                <w:b/>
                <w:bCs/>
              </w:rPr>
            </w:pPr>
            <w:r>
              <w:rPr>
                <w:b/>
                <w:bCs/>
              </w:rPr>
              <w:t>Aged home</w:t>
            </w:r>
          </w:p>
        </w:tc>
        <w:tc>
          <w:tcPr>
            <w:tcW w:w="2268" w:type="dxa"/>
            <w:gridSpan w:val="2"/>
            <w:tcBorders>
              <w:top w:val="single" w:sz="4" w:space="0" w:color="auto"/>
              <w:left w:val="single" w:sz="4" w:space="0" w:color="auto"/>
              <w:bottom w:val="single" w:sz="4" w:space="0" w:color="auto"/>
            </w:tcBorders>
            <w:noWrap/>
          </w:tcPr>
          <w:p>
            <w:pPr>
              <w:pStyle w:val="yTableNAm"/>
              <w:jc w:val="center"/>
              <w:rPr>
                <w:b/>
                <w:bCs/>
              </w:rPr>
            </w:pPr>
            <w:r>
              <w:rPr>
                <w:b/>
                <w:bCs/>
              </w:rPr>
              <w:t>Charitable purposes or community purpose</w:t>
            </w:r>
          </w:p>
        </w:tc>
      </w:tr>
      <w:tr>
        <w:trPr>
          <w:cantSplit/>
          <w:tblHeader/>
        </w:trPr>
        <w:tc>
          <w:tcPr>
            <w:tcW w:w="1418" w:type="dxa"/>
            <w:vMerge/>
            <w:tcBorders>
              <w:bottom w:val="single" w:sz="4" w:space="0" w:color="auto"/>
            </w:tcBorders>
            <w:noWrap/>
            <w:vAlign w:val="center"/>
          </w:tcPr>
          <w:p>
            <w:pPr>
              <w:pStyle w:val="zyTableNAm"/>
              <w:jc w:val="center"/>
              <w:rPr>
                <w:b/>
              </w:rPr>
            </w:pPr>
          </w:p>
        </w:tc>
        <w:tc>
          <w:tcPr>
            <w:tcW w:w="1134" w:type="dxa"/>
            <w:tcBorders>
              <w:bottom w:val="single" w:sz="4" w:space="0" w:color="auto"/>
              <w:right w:val="single" w:sz="4" w:space="0" w:color="auto"/>
            </w:tcBorders>
            <w:noWrap/>
            <w:vAlign w:val="center"/>
          </w:tcPr>
          <w:p>
            <w:pPr>
              <w:pStyle w:val="yTableNAm10pt"/>
            </w:pPr>
            <w:r>
              <w:t>Charge</w:t>
            </w:r>
            <w:r>
              <w:br/>
            </w:r>
            <w:r>
              <w:br/>
              <w:t>$</w:t>
            </w:r>
          </w:p>
        </w:tc>
        <w:tc>
          <w:tcPr>
            <w:tcW w:w="992" w:type="dxa"/>
            <w:tcBorders>
              <w:top w:val="single" w:sz="4" w:space="0" w:color="auto"/>
              <w:left w:val="single" w:sz="4" w:space="0" w:color="auto"/>
              <w:bottom w:val="single" w:sz="4" w:space="0" w:color="auto"/>
            </w:tcBorders>
            <w:noWrap/>
            <w:vAlign w:val="center"/>
          </w:tcPr>
          <w:p>
            <w:pPr>
              <w:pStyle w:val="yTableNAm10pt"/>
            </w:pPr>
            <w:r>
              <w:t>Discount</w:t>
            </w:r>
            <w:r>
              <w:br/>
            </w:r>
            <w:r>
              <w:br/>
              <w:t>$</w:t>
            </w:r>
          </w:p>
        </w:tc>
        <w:tc>
          <w:tcPr>
            <w:tcW w:w="1276" w:type="dxa"/>
            <w:tcBorders>
              <w:top w:val="single" w:sz="4" w:space="0" w:color="auto"/>
              <w:bottom w:val="single" w:sz="4" w:space="0" w:color="auto"/>
              <w:right w:val="single" w:sz="4" w:space="0" w:color="auto"/>
            </w:tcBorders>
            <w:noWrap/>
            <w:vAlign w:val="center"/>
          </w:tcPr>
          <w:p>
            <w:pPr>
              <w:pStyle w:val="yTableNAm10pt"/>
            </w:pPr>
            <w:r>
              <w:t>Discounted charge</w:t>
            </w:r>
            <w:r>
              <w:br/>
              <w:t>$</w:t>
            </w:r>
          </w:p>
        </w:tc>
        <w:tc>
          <w:tcPr>
            <w:tcW w:w="992" w:type="dxa"/>
            <w:tcBorders>
              <w:top w:val="single" w:sz="4" w:space="0" w:color="auto"/>
              <w:left w:val="single" w:sz="4" w:space="0" w:color="auto"/>
              <w:bottom w:val="single" w:sz="4" w:space="0" w:color="auto"/>
            </w:tcBorders>
            <w:noWrap/>
            <w:vAlign w:val="center"/>
          </w:tcPr>
          <w:p>
            <w:pPr>
              <w:pStyle w:val="yTableNAm10pt"/>
            </w:pPr>
            <w:r>
              <w:t>Discount</w:t>
            </w:r>
            <w:r>
              <w:br/>
            </w:r>
            <w:r>
              <w:br/>
              <w:t>$</w:t>
            </w:r>
          </w:p>
        </w:tc>
        <w:tc>
          <w:tcPr>
            <w:tcW w:w="1276" w:type="dxa"/>
            <w:tcBorders>
              <w:top w:val="single" w:sz="4" w:space="0" w:color="auto"/>
              <w:bottom w:val="single" w:sz="4" w:space="0" w:color="auto"/>
            </w:tcBorders>
            <w:noWrap/>
            <w:vAlign w:val="center"/>
          </w:tcPr>
          <w:p>
            <w:pPr>
              <w:pStyle w:val="yTableNAm10pt"/>
            </w:pPr>
            <w:r>
              <w:t>Discounted charge</w:t>
            </w:r>
            <w:r>
              <w:br/>
              <w:t>$</w:t>
            </w:r>
          </w:p>
        </w:tc>
      </w:tr>
      <w:tr>
        <w:trPr>
          <w:cantSplit/>
        </w:trPr>
        <w:tc>
          <w:tcPr>
            <w:tcW w:w="1418" w:type="dxa"/>
            <w:noWrap/>
            <w:tcMar>
              <w:left w:w="62" w:type="dxa"/>
              <w:right w:w="62" w:type="dxa"/>
            </w:tcMar>
          </w:tcPr>
          <w:p>
            <w:pPr>
              <w:pStyle w:val="yTableNAmLeft-005cm"/>
            </w:pPr>
            <w:r>
              <w:t>1</w:t>
            </w:r>
            <w:r>
              <w:rPr>
                <w:vertAlign w:val="superscript"/>
              </w:rPr>
              <w:t>st</w:t>
            </w:r>
            <w:r>
              <w:tab/>
              <w:t>fixture</w:t>
            </w:r>
          </w:p>
        </w:tc>
        <w:tc>
          <w:tcPr>
            <w:tcW w:w="1134" w:type="dxa"/>
            <w:tcBorders>
              <w:right w:val="single" w:sz="4" w:space="0" w:color="auto"/>
            </w:tcBorders>
            <w:noWrap/>
            <w:vAlign w:val="bottom"/>
          </w:tcPr>
          <w:p>
            <w:pPr>
              <w:pStyle w:val="yTableNAmRight"/>
            </w:pPr>
            <w:r>
              <w:t>1 099.70</w:t>
            </w:r>
          </w:p>
        </w:tc>
        <w:tc>
          <w:tcPr>
            <w:tcW w:w="992" w:type="dxa"/>
            <w:tcBorders>
              <w:left w:val="single" w:sz="4" w:space="0" w:color="auto"/>
            </w:tcBorders>
            <w:noWrap/>
            <w:vAlign w:val="bottom"/>
          </w:tcPr>
          <w:p>
            <w:pPr>
              <w:pStyle w:val="yTableNAmRight"/>
            </w:pPr>
            <w:r>
              <w:t>804.24</w:t>
            </w:r>
          </w:p>
        </w:tc>
        <w:tc>
          <w:tcPr>
            <w:tcW w:w="1276" w:type="dxa"/>
            <w:tcBorders>
              <w:right w:val="single" w:sz="4" w:space="0" w:color="auto"/>
            </w:tcBorders>
            <w:noWrap/>
            <w:vAlign w:val="bottom"/>
          </w:tcPr>
          <w:p>
            <w:pPr>
              <w:pStyle w:val="yTableNAmRight"/>
            </w:pPr>
            <w:r>
              <w:t>295.46</w:t>
            </w:r>
          </w:p>
        </w:tc>
        <w:tc>
          <w:tcPr>
            <w:tcW w:w="992" w:type="dxa"/>
            <w:tcBorders>
              <w:left w:val="single" w:sz="4" w:space="0" w:color="auto"/>
            </w:tcBorders>
            <w:noWrap/>
            <w:vAlign w:val="bottom"/>
          </w:tcPr>
          <w:p>
            <w:pPr>
              <w:pStyle w:val="yTableNAmRight"/>
            </w:pPr>
            <w:r>
              <w:t>804.24</w:t>
            </w:r>
          </w:p>
        </w:tc>
        <w:tc>
          <w:tcPr>
            <w:tcW w:w="1276" w:type="dxa"/>
            <w:noWrap/>
            <w:vAlign w:val="bottom"/>
          </w:tcPr>
          <w:p>
            <w:pPr>
              <w:pStyle w:val="yTableNAmRight"/>
            </w:pPr>
            <w:r>
              <w:t>295.46</w:t>
            </w:r>
          </w:p>
        </w:tc>
      </w:tr>
      <w:tr>
        <w:trPr>
          <w:cantSplit/>
        </w:trPr>
        <w:tc>
          <w:tcPr>
            <w:tcW w:w="1418" w:type="dxa"/>
            <w:noWrap/>
            <w:tcMar>
              <w:left w:w="62" w:type="dxa"/>
              <w:right w:w="62" w:type="dxa"/>
            </w:tcMar>
          </w:tcPr>
          <w:p>
            <w:pPr>
              <w:pStyle w:val="yTableNAmLeft-005cm"/>
            </w:pPr>
            <w:r>
              <w:t>2</w:t>
            </w:r>
            <w:r>
              <w:rPr>
                <w:vertAlign w:val="superscript"/>
              </w:rPr>
              <w:t>nd</w:t>
            </w:r>
            <w:r>
              <w:tab/>
              <w:t>fixture</w:t>
            </w:r>
          </w:p>
        </w:tc>
        <w:tc>
          <w:tcPr>
            <w:tcW w:w="1134" w:type="dxa"/>
            <w:tcBorders>
              <w:right w:val="single" w:sz="4" w:space="0" w:color="auto"/>
            </w:tcBorders>
            <w:noWrap/>
            <w:vAlign w:val="bottom"/>
          </w:tcPr>
          <w:p>
            <w:pPr>
              <w:pStyle w:val="yTableNAmRight"/>
            </w:pPr>
            <w:r>
              <w:t>470.73</w:t>
            </w:r>
          </w:p>
        </w:tc>
        <w:tc>
          <w:tcPr>
            <w:tcW w:w="992" w:type="dxa"/>
            <w:tcBorders>
              <w:left w:val="single" w:sz="4" w:space="0" w:color="auto"/>
            </w:tcBorders>
            <w:noWrap/>
            <w:vAlign w:val="bottom"/>
          </w:tcPr>
          <w:p>
            <w:pPr>
              <w:pStyle w:val="yTableNAmRight"/>
            </w:pPr>
            <w:r>
              <w:t>340.74</w:t>
            </w:r>
          </w:p>
        </w:tc>
        <w:tc>
          <w:tcPr>
            <w:tcW w:w="1276" w:type="dxa"/>
            <w:tcBorders>
              <w:right w:val="single" w:sz="4" w:space="0" w:color="auto"/>
            </w:tcBorders>
            <w:noWrap/>
            <w:vAlign w:val="bottom"/>
          </w:tcPr>
          <w:p>
            <w:pPr>
              <w:pStyle w:val="yTableNAmRight"/>
            </w:pPr>
            <w:r>
              <w:t>129.99</w:t>
            </w:r>
          </w:p>
        </w:tc>
        <w:tc>
          <w:tcPr>
            <w:tcW w:w="992" w:type="dxa"/>
            <w:tcBorders>
              <w:left w:val="single" w:sz="4" w:space="0" w:color="auto"/>
            </w:tcBorders>
            <w:noWrap/>
            <w:vAlign w:val="bottom"/>
          </w:tcPr>
          <w:p>
            <w:pPr>
              <w:pStyle w:val="yTableNAmRight"/>
            </w:pPr>
            <w:r>
              <w:t>175.27</w:t>
            </w:r>
          </w:p>
        </w:tc>
        <w:tc>
          <w:tcPr>
            <w:tcW w:w="1276" w:type="dxa"/>
            <w:noWrap/>
            <w:vAlign w:val="bottom"/>
          </w:tcPr>
          <w:p>
            <w:pPr>
              <w:pStyle w:val="yTableNAmRight"/>
            </w:pPr>
            <w:r>
              <w:t>295.46</w:t>
            </w:r>
          </w:p>
        </w:tc>
      </w:tr>
      <w:tr>
        <w:trPr>
          <w:cantSplit/>
        </w:trPr>
        <w:tc>
          <w:tcPr>
            <w:tcW w:w="1418" w:type="dxa"/>
            <w:noWrap/>
            <w:tcMar>
              <w:left w:w="57" w:type="dxa"/>
              <w:right w:w="57" w:type="dxa"/>
            </w:tcMar>
          </w:tcPr>
          <w:p>
            <w:pPr>
              <w:pStyle w:val="yTableNAmLeft-005cm"/>
            </w:pPr>
            <w:r>
              <w:t>3</w:t>
            </w:r>
            <w:r>
              <w:rPr>
                <w:vertAlign w:val="superscript"/>
              </w:rPr>
              <w:t>rd</w:t>
            </w:r>
            <w:r>
              <w:tab/>
              <w:t>fixture</w:t>
            </w:r>
          </w:p>
        </w:tc>
        <w:tc>
          <w:tcPr>
            <w:tcW w:w="1134" w:type="dxa"/>
            <w:tcBorders>
              <w:right w:val="single" w:sz="4" w:space="0" w:color="auto"/>
            </w:tcBorders>
            <w:noWrap/>
            <w:vAlign w:val="bottom"/>
          </w:tcPr>
          <w:p>
            <w:pPr>
              <w:pStyle w:val="yTableNAmRight"/>
            </w:pPr>
            <w:r>
              <w:t>628.65</w:t>
            </w:r>
          </w:p>
        </w:tc>
        <w:tc>
          <w:tcPr>
            <w:tcW w:w="992" w:type="dxa"/>
            <w:tcBorders>
              <w:left w:val="single" w:sz="4" w:space="0" w:color="auto"/>
            </w:tcBorders>
            <w:noWrap/>
            <w:vAlign w:val="bottom"/>
          </w:tcPr>
          <w:p>
            <w:pPr>
              <w:pStyle w:val="yTableNAmRight"/>
            </w:pPr>
            <w:r>
              <w:t>498.66</w:t>
            </w:r>
          </w:p>
        </w:tc>
        <w:tc>
          <w:tcPr>
            <w:tcW w:w="1276" w:type="dxa"/>
            <w:tcBorders>
              <w:right w:val="single" w:sz="4" w:space="0" w:color="auto"/>
            </w:tcBorders>
            <w:noWrap/>
            <w:vAlign w:val="bottom"/>
          </w:tcPr>
          <w:p>
            <w:pPr>
              <w:pStyle w:val="yTableNAmRight"/>
            </w:pPr>
            <w:r>
              <w:t>129.99</w:t>
            </w:r>
          </w:p>
        </w:tc>
        <w:tc>
          <w:tcPr>
            <w:tcW w:w="992" w:type="dxa"/>
            <w:tcBorders>
              <w:left w:val="single" w:sz="4" w:space="0" w:color="auto"/>
            </w:tcBorders>
            <w:noWrap/>
            <w:vAlign w:val="bottom"/>
          </w:tcPr>
          <w:p>
            <w:pPr>
              <w:pStyle w:val="yTableNAmRight"/>
            </w:pPr>
            <w:r>
              <w:t>333.19</w:t>
            </w:r>
          </w:p>
        </w:tc>
        <w:tc>
          <w:tcPr>
            <w:tcW w:w="1276" w:type="dxa"/>
            <w:noWrap/>
            <w:vAlign w:val="bottom"/>
          </w:tcPr>
          <w:p>
            <w:pPr>
              <w:pStyle w:val="yTableNAmRight"/>
            </w:pPr>
            <w:r>
              <w:t>295.46</w:t>
            </w:r>
          </w:p>
        </w:tc>
      </w:tr>
      <w:tr>
        <w:trPr>
          <w:cantSplit/>
        </w:trPr>
        <w:tc>
          <w:tcPr>
            <w:tcW w:w="1418" w:type="dxa"/>
            <w:tcBorders>
              <w:bottom w:val="single" w:sz="4" w:space="0" w:color="auto"/>
            </w:tcBorders>
            <w:noWrap/>
            <w:tcMar>
              <w:left w:w="28" w:type="dxa"/>
              <w:right w:w="57" w:type="dxa"/>
            </w:tcMar>
          </w:tcPr>
          <w:p>
            <w:pPr>
              <w:pStyle w:val="yTableNAmLeft-005cm"/>
            </w:pPr>
            <w:r>
              <w:t>4</w:t>
            </w:r>
            <w:r>
              <w:rPr>
                <w:vertAlign w:val="superscript"/>
              </w:rPr>
              <w:t>th</w:t>
            </w:r>
            <w:r>
              <w:tab/>
              <w:t>and subsequent fixtures</w:t>
            </w:r>
          </w:p>
        </w:tc>
        <w:tc>
          <w:tcPr>
            <w:tcW w:w="1134" w:type="dxa"/>
            <w:tcBorders>
              <w:bottom w:val="single" w:sz="4" w:space="0" w:color="auto"/>
              <w:right w:val="single" w:sz="4" w:space="0" w:color="auto"/>
            </w:tcBorders>
            <w:noWrap/>
            <w:vAlign w:val="bottom"/>
          </w:tcPr>
          <w:p>
            <w:pPr>
              <w:pStyle w:val="yTableNAmRight"/>
            </w:pPr>
            <w:r>
              <w:t>683.62</w:t>
            </w:r>
          </w:p>
        </w:tc>
        <w:tc>
          <w:tcPr>
            <w:tcW w:w="992" w:type="dxa"/>
            <w:tcBorders>
              <w:left w:val="single" w:sz="4" w:space="0" w:color="auto"/>
              <w:bottom w:val="single" w:sz="4" w:space="0" w:color="auto"/>
            </w:tcBorders>
            <w:noWrap/>
            <w:vAlign w:val="bottom"/>
          </w:tcPr>
          <w:p>
            <w:pPr>
              <w:pStyle w:val="yTableNAmRight"/>
            </w:pPr>
            <w:r>
              <w:t>553.63</w:t>
            </w:r>
          </w:p>
        </w:tc>
        <w:tc>
          <w:tcPr>
            <w:tcW w:w="1276" w:type="dxa"/>
            <w:tcBorders>
              <w:bottom w:val="single" w:sz="4" w:space="0" w:color="auto"/>
              <w:right w:val="single" w:sz="4" w:space="0" w:color="auto"/>
            </w:tcBorders>
            <w:noWrap/>
            <w:vAlign w:val="bottom"/>
          </w:tcPr>
          <w:p>
            <w:pPr>
              <w:pStyle w:val="yTableNAmRight"/>
            </w:pPr>
            <w:r>
              <w:t>129.99</w:t>
            </w:r>
          </w:p>
        </w:tc>
        <w:tc>
          <w:tcPr>
            <w:tcW w:w="992" w:type="dxa"/>
            <w:tcBorders>
              <w:left w:val="single" w:sz="4" w:space="0" w:color="auto"/>
              <w:bottom w:val="single" w:sz="4" w:space="0" w:color="auto"/>
            </w:tcBorders>
            <w:noWrap/>
            <w:vAlign w:val="bottom"/>
          </w:tcPr>
          <w:p>
            <w:pPr>
              <w:pStyle w:val="yTableNAmRight"/>
            </w:pPr>
            <w:r>
              <w:t>388.16</w:t>
            </w:r>
          </w:p>
        </w:tc>
        <w:tc>
          <w:tcPr>
            <w:tcW w:w="1276" w:type="dxa"/>
            <w:tcBorders>
              <w:bottom w:val="single" w:sz="4" w:space="0" w:color="auto"/>
            </w:tcBorders>
            <w:noWrap/>
            <w:vAlign w:val="bottom"/>
          </w:tcPr>
          <w:p>
            <w:pPr>
              <w:pStyle w:val="yTableNAmRight"/>
            </w:pPr>
            <w:r>
              <w:t>295.46</w:t>
            </w:r>
          </w:p>
        </w:tc>
      </w:tr>
    </w:tbl>
    <w:p>
      <w:pPr>
        <w:pStyle w:val="ySubsection"/>
        <w:tabs>
          <w:tab w:val="right" w:leader="dot" w:pos="6804"/>
        </w:tabs>
      </w:pPr>
      <w:r>
        <w:tab/>
        <w:t>(2)</w:t>
      </w:r>
      <w:r>
        <w:tab/>
        <w:t>For concessional land in the 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Left2c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trPr>
          <w:cantSplit/>
          <w:tblHeader/>
        </w:trPr>
        <w:tc>
          <w:tcPr>
            <w:tcW w:w="1135" w:type="dxa"/>
            <w:tcBorders>
              <w:top w:val="single" w:sz="4" w:space="0" w:color="auto"/>
              <w:bottom w:val="single" w:sz="4" w:space="0" w:color="auto"/>
            </w:tcBorders>
            <w:noWrap/>
          </w:tcPr>
          <w:p>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tcPr>
          <w:p>
            <w:pPr>
              <w:pStyle w:val="yTableNAm"/>
              <w:jc w:val="center"/>
              <w:rPr>
                <w:b/>
                <w:bCs/>
                <w:szCs w:val="22"/>
              </w:rPr>
            </w:pPr>
            <w:r>
              <w:rPr>
                <w:b/>
                <w:bCs/>
                <w:szCs w:val="22"/>
              </w:rPr>
              <w:t>Discounted charge</w:t>
            </w:r>
            <w:r>
              <w:rPr>
                <w:b/>
                <w:bCs/>
                <w:szCs w:val="22"/>
              </w:rPr>
              <w:br/>
              <w:t>$</w:t>
            </w:r>
          </w:p>
        </w:tc>
      </w:tr>
      <w:tr>
        <w:trPr>
          <w:cantSplit/>
        </w:trPr>
        <w:tc>
          <w:tcPr>
            <w:tcW w:w="1135" w:type="dxa"/>
            <w:tcBorders>
              <w:bottom w:val="single" w:sz="4" w:space="0" w:color="auto"/>
            </w:tcBorders>
            <w:noWrap/>
            <w:vAlign w:val="bottom"/>
          </w:tcPr>
          <w:p>
            <w:pPr>
              <w:pStyle w:val="yTableNAmRight"/>
            </w:pPr>
            <w:r>
              <w:t>1 099.70</w:t>
            </w:r>
          </w:p>
        </w:tc>
        <w:tc>
          <w:tcPr>
            <w:tcW w:w="1135" w:type="dxa"/>
            <w:tcBorders>
              <w:bottom w:val="single" w:sz="4" w:space="0" w:color="auto"/>
            </w:tcBorders>
            <w:noWrap/>
            <w:vAlign w:val="bottom"/>
          </w:tcPr>
          <w:p>
            <w:pPr>
              <w:pStyle w:val="yTableNAmRight"/>
            </w:pPr>
            <w:r>
              <w:t>1 099.70</w:t>
            </w:r>
          </w:p>
        </w:tc>
        <w:tc>
          <w:tcPr>
            <w:tcW w:w="1417" w:type="dxa"/>
            <w:tcBorders>
              <w:bottom w:val="single" w:sz="4" w:space="0" w:color="auto"/>
            </w:tcBorders>
            <w:noWrap/>
            <w:vAlign w:val="bottom"/>
          </w:tcPr>
          <w:p>
            <w:pPr>
              <w:pStyle w:val="yTableNAmRight"/>
            </w:pPr>
            <w:r>
              <w:t>0.00</w:t>
            </w:r>
          </w:p>
        </w:tc>
      </w:tr>
    </w:tbl>
    <w:p>
      <w:pPr>
        <w:pStyle w:val="yHeading5"/>
      </w:pPr>
      <w:bookmarkStart w:id="358" w:name="_Toc105574280"/>
      <w:bookmarkStart w:id="359" w:name="_Toc107232291"/>
      <w:r>
        <w:t>5.</w:t>
      </w:r>
      <w:r>
        <w:tab/>
        <w:t>Strata</w:t>
      </w:r>
      <w:r>
        <w:noBreakHyphen/>
        <w:t>titled long</w:t>
      </w:r>
      <w:r>
        <w:noBreakHyphen/>
        <w:t>term residential caravan bays and park homes</w:t>
      </w:r>
      <w:bookmarkEnd w:id="358"/>
      <w:bookmarkEnd w:id="359"/>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a long</w:t>
      </w:r>
      <w:r>
        <w:rPr>
          <w:szCs w:val="22"/>
        </w:rPr>
        <w:noBreakHyphen/>
        <w:t xml:space="preserve">term </w:t>
      </w:r>
      <w:r>
        <w:rPr>
          <w:szCs w:val="22"/>
        </w:rPr>
        <w:br/>
      </w:r>
      <w:r>
        <w:t>residential</w:t>
      </w:r>
      <w:r>
        <w:rPr>
          <w:szCs w:val="22"/>
        </w:rPr>
        <w:t xml:space="preserve"> caravan bay or a park home, </w:t>
      </w:r>
      <w:r>
        <w:rPr>
          <w:szCs w:val="22"/>
        </w:rPr>
        <w:br/>
        <w:t xml:space="preserve">the charge is </w:t>
      </w:r>
      <w:r>
        <w:rPr>
          <w:szCs w:val="22"/>
        </w:rPr>
        <w:tab/>
        <w:t>$351.66</w:t>
      </w:r>
    </w:p>
    <w:p>
      <w:pPr>
        <w:pStyle w:val="yHeading5"/>
      </w:pPr>
      <w:bookmarkStart w:id="360" w:name="_Toc105574281"/>
      <w:bookmarkStart w:id="361" w:name="_Toc107232292"/>
      <w:r>
        <w:lastRenderedPageBreak/>
        <w:t>6.</w:t>
      </w:r>
      <w:r>
        <w:tab/>
        <w:t>Storage units or parking bays in strata titles scheme or community titles scheme</w:t>
      </w:r>
      <w:bookmarkEnd w:id="360"/>
      <w:bookmarkEnd w:id="361"/>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 xml:space="preserve">as a parking </w:t>
      </w:r>
      <w:r>
        <w:t>bay</w:t>
      </w:r>
      <w:r>
        <w:rPr>
          <w:szCs w:val="22"/>
        </w:rPr>
        <w:t>, in a strata titles scheme or a</w:t>
      </w:r>
      <w:r>
        <w:rPr>
          <w:szCs w:val="22"/>
        </w:rPr>
        <w:br/>
        <w:t xml:space="preserve">community titles scheme, the </w:t>
      </w:r>
      <w:r>
        <w:t>charge</w:t>
      </w:r>
      <w:r>
        <w:rPr>
          <w:szCs w:val="22"/>
        </w:rPr>
        <w:t xml:space="preserve"> is </w:t>
      </w:r>
      <w:r>
        <w:rPr>
          <w:szCs w:val="22"/>
        </w:rPr>
        <w:tab/>
        <w:t>$108.99</w:t>
      </w:r>
    </w:p>
    <w:p>
      <w:pPr>
        <w:pStyle w:val="yHeading5"/>
      </w:pPr>
      <w:bookmarkStart w:id="362" w:name="_Toc105574282"/>
      <w:bookmarkStart w:id="363" w:name="_Toc107232293"/>
      <w:r>
        <w:t>7.</w:t>
      </w:r>
      <w:r>
        <w:tab/>
        <w:t>Land from which trade waste is discharged into sewer</w:t>
      </w:r>
      <w:bookmarkEnd w:id="362"/>
      <w:bookmarkEnd w:id="363"/>
    </w:p>
    <w:p>
      <w:pPr>
        <w:pStyle w:val="ySubsection"/>
        <w:tabs>
          <w:tab w:val="right" w:leader="dot" w:pos="6804"/>
        </w:tabs>
      </w:pPr>
      <w:r>
        <w:tab/>
        <w:t>(1)</w:t>
      </w:r>
      <w:r>
        <w:tab/>
        <w:t xml:space="preserve">For land from which there is a discharge </w:t>
      </w:r>
      <w:r>
        <w:br/>
        <w:t xml:space="preserve">of trade waste into a </w:t>
      </w:r>
      <w:r>
        <w:rPr>
          <w:szCs w:val="22"/>
        </w:rPr>
        <w:t>sewer</w:t>
      </w:r>
      <w:r>
        <w:t xml:space="preserve"> of the Water </w:t>
      </w:r>
      <w:r>
        <w:br/>
        <w:t xml:space="preserve">Corporation under an approval of the Water </w:t>
      </w:r>
      <w:r>
        <w:br/>
        <w:t xml:space="preserve">Corporation, the charge, for the period for </w:t>
      </w:r>
      <w:r>
        <w:br/>
        <w:t xml:space="preserve">which the approval has effect, is </w:t>
      </w:r>
      <w:r>
        <w:tab/>
        <w:t>$240.16</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364" w:name="_Toc105574283"/>
      <w:bookmarkStart w:id="365" w:name="_Toc107232294"/>
      <w:r>
        <w:t>8.</w:t>
      </w:r>
      <w:r>
        <w:tab/>
        <w:t>Land from which trade waste is discharged into sewer through grease arrestor</w:t>
      </w:r>
      <w:bookmarkEnd w:id="364"/>
      <w:bookmarkEnd w:id="365"/>
    </w:p>
    <w:p>
      <w:pPr>
        <w:pStyle w:val="ySubsection"/>
        <w:tabs>
          <w:tab w:val="right" w:leader="dot" w:pos="6804"/>
        </w:tabs>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$95.95 for each grease arrestor.</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366" w:name="_Toc105574284"/>
      <w:bookmarkStart w:id="367" w:name="_Toc107232295"/>
      <w:r>
        <w:t>9.</w:t>
      </w:r>
      <w:r>
        <w:tab/>
        <w:t>Trade waste discharged from open area</w:t>
      </w:r>
      <w:bookmarkEnd w:id="366"/>
      <w:bookmarkEnd w:id="367"/>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w:t>
      </w:r>
      <w:r>
        <w:rPr>
          <w:szCs w:val="22"/>
        </w:rPr>
        <w:t>the</w:t>
      </w:r>
      <w:r>
        <w:t xml:space="preserve"> Water Corporation, </w:t>
      </w:r>
      <w:r>
        <w:br/>
        <w:t xml:space="preserve">the charge, for the period for which the </w:t>
      </w:r>
      <w:r>
        <w:br/>
        <w:t xml:space="preserve">approval has effect, is </w:t>
      </w:r>
      <w:r>
        <w:tab/>
      </w:r>
      <w:r>
        <w:rPr>
          <w:szCs w:val="22"/>
        </w:rPr>
        <w:t>$1.67</w:t>
      </w:r>
      <w:r>
        <w:t>/m</w:t>
      </w:r>
      <w:r>
        <w:rPr>
          <w:vertAlign w:val="superscript"/>
        </w:rPr>
        <w:t>2</w:t>
      </w:r>
    </w:p>
    <w:p>
      <w:pPr>
        <w:pStyle w:val="ySubsectionRight"/>
      </w:pPr>
      <w:r>
        <w:t>of open area</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368" w:name="_Toc105574285"/>
      <w:bookmarkStart w:id="369" w:name="_Toc107232296"/>
      <w:r>
        <w:lastRenderedPageBreak/>
        <w:t>10.</w:t>
      </w:r>
      <w:r>
        <w:tab/>
        <w:t>Non</w:t>
      </w:r>
      <w:r>
        <w:noBreakHyphen/>
        <w:t>metropolitan concessional</w:t>
      </w:r>
      <w:bookmarkEnd w:id="368"/>
      <w:bookmarkEnd w:id="369"/>
    </w:p>
    <w:p>
      <w:pPr>
        <w:pStyle w:val="ySubsection"/>
        <w:tabs>
          <w:tab w:val="right" w:leader="dot" w:pos="6804"/>
        </w:tabs>
      </w:pPr>
      <w:r>
        <w:tab/>
        <w:t>(1)</w:t>
      </w:r>
      <w:r>
        <w:tab/>
        <w:t>For land in the non</w:t>
      </w:r>
      <w:r>
        <w:noBreakHyphen/>
        <w:t>metropolitan area that is classified as aged home, charitable purposes, community purpose, institutional public or local government, the charge, according to the number of major fixtures on the land, is the sum of the discounted charges for each fixture, as set out in the Table to this sub</w:t>
      </w:r>
      <w:r>
        <w:noBreakHyphen/>
        <w:t>item.</w:t>
      </w:r>
    </w:p>
    <w:p>
      <w:pPr>
        <w:pStyle w:val="yTHeadingNAmLeft25cm"/>
      </w:pPr>
      <w:r>
        <w:t>Table of charges and discounts</w:t>
      </w:r>
    </w:p>
    <w:tbl>
      <w:tblPr>
        <w:tblW w:w="5245" w:type="dxa"/>
        <w:tblInd w:w="1418" w:type="dxa"/>
        <w:tblLayout w:type="fixed"/>
        <w:tblLook w:val="0000" w:firstRow="0" w:lastRow="0" w:firstColumn="0" w:lastColumn="0" w:noHBand="0" w:noVBand="0"/>
      </w:tblPr>
      <w:tblGrid>
        <w:gridCol w:w="1347"/>
        <w:gridCol w:w="1205"/>
        <w:gridCol w:w="1276"/>
        <w:gridCol w:w="1417"/>
      </w:tblGrid>
      <w:tr>
        <w:trPr>
          <w:cantSplit/>
          <w:tblHeader/>
        </w:trPr>
        <w:tc>
          <w:tcPr>
            <w:tcW w:w="1347" w:type="dxa"/>
            <w:tcBorders>
              <w:top w:val="single" w:sz="4" w:space="0" w:color="auto"/>
              <w:bottom w:val="single" w:sz="4" w:space="0" w:color="auto"/>
            </w:tcBorders>
            <w:noWrap/>
          </w:tcPr>
          <w:p>
            <w:pPr>
              <w:pStyle w:val="yTableNAm"/>
            </w:pPr>
          </w:p>
        </w:tc>
        <w:tc>
          <w:tcPr>
            <w:tcW w:w="1205" w:type="dxa"/>
            <w:tcBorders>
              <w:top w:val="single" w:sz="4" w:space="0" w:color="auto"/>
              <w:bottom w:val="single" w:sz="4" w:space="0" w:color="auto"/>
            </w:tcBorders>
            <w:noWrap/>
          </w:tcPr>
          <w:p>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tcPr>
          <w:p>
            <w:pPr>
              <w:pStyle w:val="yTableNAm"/>
              <w:jc w:val="center"/>
              <w:rPr>
                <w:b/>
                <w:bCs/>
                <w:szCs w:val="22"/>
              </w:rPr>
            </w:pPr>
            <w:r>
              <w:rPr>
                <w:b/>
                <w:bCs/>
                <w:szCs w:val="22"/>
              </w:rPr>
              <w:t>Discounted charge</w:t>
            </w:r>
            <w:r>
              <w:rPr>
                <w:b/>
                <w:bCs/>
                <w:szCs w:val="22"/>
              </w:rPr>
              <w:br/>
              <w:t>$</w:t>
            </w:r>
          </w:p>
        </w:tc>
      </w:tr>
      <w:tr>
        <w:trPr>
          <w:cantSplit/>
        </w:trPr>
        <w:tc>
          <w:tcPr>
            <w:tcW w:w="1347" w:type="dxa"/>
            <w:noWrap/>
            <w:tcMar>
              <w:left w:w="62" w:type="dxa"/>
              <w:right w:w="62" w:type="dxa"/>
            </w:tcMar>
          </w:tcPr>
          <w:p>
            <w:pPr>
              <w:pStyle w:val="yTableNAmLeft0cm"/>
              <w:rPr>
                <w:highlight w:val="green"/>
              </w:rPr>
            </w:pPr>
            <w:r>
              <w:t>1</w:t>
            </w:r>
            <w:r>
              <w:rPr>
                <w:vertAlign w:val="superscript"/>
              </w:rPr>
              <w:t>st</w:t>
            </w:r>
            <w:r>
              <w:tab/>
              <w:t>fixture</w:t>
            </w:r>
          </w:p>
        </w:tc>
        <w:tc>
          <w:tcPr>
            <w:tcW w:w="1205" w:type="dxa"/>
            <w:noWrap/>
            <w:vAlign w:val="bottom"/>
          </w:tcPr>
          <w:p>
            <w:pPr>
              <w:pStyle w:val="yTableNAmRight"/>
            </w:pPr>
            <w:r>
              <w:t>1 099.70</w:t>
            </w:r>
          </w:p>
        </w:tc>
        <w:tc>
          <w:tcPr>
            <w:tcW w:w="1276" w:type="dxa"/>
            <w:noWrap/>
            <w:vAlign w:val="bottom"/>
          </w:tcPr>
          <w:p>
            <w:pPr>
              <w:pStyle w:val="yTableNAmRight"/>
            </w:pPr>
            <w:r>
              <w:t>804.24</w:t>
            </w:r>
          </w:p>
        </w:tc>
        <w:tc>
          <w:tcPr>
            <w:tcW w:w="1417" w:type="dxa"/>
            <w:noWrap/>
            <w:vAlign w:val="bottom"/>
          </w:tcPr>
          <w:p>
            <w:pPr>
              <w:pStyle w:val="yTableNAmRight"/>
            </w:pPr>
            <w:r>
              <w:t>295.46</w:t>
            </w:r>
          </w:p>
        </w:tc>
      </w:tr>
      <w:tr>
        <w:trPr>
          <w:cantSplit/>
        </w:trPr>
        <w:tc>
          <w:tcPr>
            <w:tcW w:w="1347" w:type="dxa"/>
            <w:noWrap/>
            <w:tcMar>
              <w:left w:w="62" w:type="dxa"/>
              <w:right w:w="62" w:type="dxa"/>
            </w:tcMar>
          </w:tcPr>
          <w:p>
            <w:pPr>
              <w:pStyle w:val="yTableNAmLeft0cm"/>
            </w:pPr>
            <w:r>
              <w:t>2</w:t>
            </w:r>
            <w:r>
              <w:rPr>
                <w:vertAlign w:val="superscript"/>
              </w:rPr>
              <w:t>nd</w:t>
            </w:r>
            <w:r>
              <w:tab/>
              <w:t>fixture</w:t>
            </w:r>
          </w:p>
        </w:tc>
        <w:tc>
          <w:tcPr>
            <w:tcW w:w="1205" w:type="dxa"/>
            <w:noWrap/>
            <w:vAlign w:val="bottom"/>
          </w:tcPr>
          <w:p>
            <w:pPr>
              <w:pStyle w:val="yTableNAmRight"/>
            </w:pPr>
            <w:r>
              <w:t>470.43</w:t>
            </w:r>
          </w:p>
        </w:tc>
        <w:tc>
          <w:tcPr>
            <w:tcW w:w="1276" w:type="dxa"/>
            <w:noWrap/>
            <w:vAlign w:val="bottom"/>
          </w:tcPr>
          <w:p>
            <w:pPr>
              <w:pStyle w:val="yTableNAmRight"/>
            </w:pPr>
            <w:r>
              <w:t>340.47</w:t>
            </w:r>
          </w:p>
        </w:tc>
        <w:tc>
          <w:tcPr>
            <w:tcW w:w="1417" w:type="dxa"/>
            <w:noWrap/>
            <w:vAlign w:val="bottom"/>
          </w:tcPr>
          <w:p>
            <w:pPr>
              <w:pStyle w:val="yTableNAmRight"/>
            </w:pPr>
            <w:r>
              <w:t>129.99</w:t>
            </w:r>
          </w:p>
        </w:tc>
      </w:tr>
      <w:tr>
        <w:trPr>
          <w:cantSplit/>
        </w:trPr>
        <w:tc>
          <w:tcPr>
            <w:tcW w:w="1347" w:type="dxa"/>
            <w:noWrap/>
            <w:tcMar>
              <w:left w:w="57" w:type="dxa"/>
              <w:right w:w="57" w:type="dxa"/>
            </w:tcMar>
          </w:tcPr>
          <w:p>
            <w:pPr>
              <w:pStyle w:val="yTableNAmLeft0cm"/>
            </w:pPr>
            <w:r>
              <w:t>3</w:t>
            </w:r>
            <w:r>
              <w:rPr>
                <w:vertAlign w:val="superscript"/>
              </w:rPr>
              <w:t>rd</w:t>
            </w:r>
            <w:r>
              <w:rPr>
                <w:vertAlign w:val="superscript"/>
              </w:rPr>
              <w:tab/>
            </w:r>
            <w:r>
              <w:t>fixture</w:t>
            </w:r>
          </w:p>
        </w:tc>
        <w:tc>
          <w:tcPr>
            <w:tcW w:w="1205" w:type="dxa"/>
            <w:noWrap/>
            <w:vAlign w:val="bottom"/>
          </w:tcPr>
          <w:p>
            <w:pPr>
              <w:pStyle w:val="yTableNAmRight"/>
            </w:pPr>
            <w:r>
              <w:t>628.65</w:t>
            </w:r>
          </w:p>
        </w:tc>
        <w:tc>
          <w:tcPr>
            <w:tcW w:w="1276" w:type="dxa"/>
            <w:noWrap/>
            <w:vAlign w:val="bottom"/>
          </w:tcPr>
          <w:p>
            <w:pPr>
              <w:pStyle w:val="yTableNAmRight"/>
            </w:pPr>
            <w:r>
              <w:t>498.66</w:t>
            </w:r>
          </w:p>
        </w:tc>
        <w:tc>
          <w:tcPr>
            <w:tcW w:w="1417" w:type="dxa"/>
            <w:noWrap/>
            <w:vAlign w:val="bottom"/>
          </w:tcPr>
          <w:p>
            <w:pPr>
              <w:pStyle w:val="yTableNAmRight"/>
            </w:pPr>
            <w:r>
              <w:t>129.99</w:t>
            </w:r>
          </w:p>
        </w:tc>
      </w:tr>
      <w:tr>
        <w:trPr>
          <w:cantSplit/>
        </w:trPr>
        <w:tc>
          <w:tcPr>
            <w:tcW w:w="1347" w:type="dxa"/>
            <w:tcBorders>
              <w:bottom w:val="single" w:sz="4" w:space="0" w:color="auto"/>
            </w:tcBorders>
            <w:noWrap/>
            <w:tcMar>
              <w:left w:w="57" w:type="dxa"/>
              <w:right w:w="57" w:type="dxa"/>
            </w:tcMar>
          </w:tcPr>
          <w:p>
            <w:pPr>
              <w:pStyle w:val="yTableNAmLeft0cm"/>
              <w:rPr>
                <w:highlight w:val="green"/>
              </w:rPr>
            </w:pPr>
            <w:r>
              <w:t>4</w:t>
            </w:r>
            <w:r>
              <w:rPr>
                <w:vertAlign w:val="superscript"/>
              </w:rPr>
              <w:t>th</w:t>
            </w:r>
            <w:r>
              <w:tab/>
              <w:t>and</w:t>
            </w:r>
            <w:r>
              <w:rPr>
                <w:vertAlign w:val="superscript"/>
              </w:rPr>
              <w:t xml:space="preserve"> </w:t>
            </w:r>
            <w:r>
              <w:rPr>
                <w:spacing w:val="-8"/>
              </w:rPr>
              <w:t>subsequent</w:t>
            </w:r>
            <w:r>
              <w:t xml:space="preserve"> fixtures</w:t>
            </w:r>
          </w:p>
        </w:tc>
        <w:tc>
          <w:tcPr>
            <w:tcW w:w="1205" w:type="dxa"/>
            <w:tcBorders>
              <w:bottom w:val="single" w:sz="4" w:space="0" w:color="auto"/>
            </w:tcBorders>
            <w:noWrap/>
            <w:vAlign w:val="bottom"/>
          </w:tcPr>
          <w:p>
            <w:pPr>
              <w:pStyle w:val="yTableNAmRight"/>
            </w:pPr>
            <w:r>
              <w:t>683.62</w:t>
            </w:r>
          </w:p>
        </w:tc>
        <w:tc>
          <w:tcPr>
            <w:tcW w:w="1276" w:type="dxa"/>
            <w:tcBorders>
              <w:bottom w:val="single" w:sz="4" w:space="0" w:color="auto"/>
            </w:tcBorders>
            <w:noWrap/>
            <w:vAlign w:val="bottom"/>
          </w:tcPr>
          <w:p>
            <w:pPr>
              <w:pStyle w:val="yTableNAmRight"/>
            </w:pPr>
            <w:r>
              <w:t>553.63</w:t>
            </w:r>
          </w:p>
        </w:tc>
        <w:tc>
          <w:tcPr>
            <w:tcW w:w="1417" w:type="dxa"/>
            <w:tcBorders>
              <w:bottom w:val="single" w:sz="4" w:space="0" w:color="auto"/>
            </w:tcBorders>
            <w:noWrap/>
            <w:vAlign w:val="bottom"/>
          </w:tcPr>
          <w:p>
            <w:pPr>
              <w:pStyle w:val="yTableNAmRight"/>
            </w:pPr>
            <w:r>
              <w:t>129.99</w:t>
            </w:r>
          </w:p>
        </w:tc>
      </w:tr>
    </w:tbl>
    <w:p>
      <w:pPr>
        <w:pStyle w:val="ySubsection"/>
        <w:tabs>
          <w:tab w:val="right" w:leader="dot" w:pos="6804"/>
        </w:tabs>
      </w:pPr>
      <w:r>
        <w:tab/>
        <w:t>(2)</w:t>
      </w:r>
      <w:r>
        <w:tab/>
        <w:t>For concessional land in the non</w:t>
      </w:r>
      <w:r>
        <w:noBreakHyphen/>
        <w:t>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Left175cm"/>
      </w:pPr>
      <w:r>
        <w:t>Table of charge and discount</w:t>
      </w:r>
    </w:p>
    <w:tbl>
      <w:tblPr>
        <w:tblW w:w="3947" w:type="dxa"/>
        <w:tblInd w:w="2127" w:type="dxa"/>
        <w:tblLayout w:type="fixed"/>
        <w:tblLook w:val="0000" w:firstRow="0" w:lastRow="0" w:firstColumn="0" w:lastColumn="0" w:noHBand="0" w:noVBand="0"/>
      </w:tblPr>
      <w:tblGrid>
        <w:gridCol w:w="1265"/>
        <w:gridCol w:w="1265"/>
        <w:gridCol w:w="1417"/>
      </w:tblGrid>
      <w:tr>
        <w:trPr>
          <w:cantSplit/>
          <w:tblHeader/>
        </w:trPr>
        <w:tc>
          <w:tcPr>
            <w:tcW w:w="1265" w:type="dxa"/>
            <w:tcBorders>
              <w:top w:val="single" w:sz="4" w:space="0" w:color="auto"/>
              <w:bottom w:val="single" w:sz="4" w:space="0" w:color="auto"/>
            </w:tcBorders>
            <w:noWrap/>
            <w:vAlign w:val="center"/>
          </w:tcPr>
          <w:p>
            <w:pPr>
              <w:pStyle w:val="yTableNAm"/>
              <w:jc w:val="center"/>
              <w:rPr>
                <w:b/>
                <w:bCs/>
                <w:szCs w:val="22"/>
              </w:rPr>
            </w:pPr>
            <w:r>
              <w:rPr>
                <w:b/>
                <w:bCs/>
                <w:szCs w:val="22"/>
              </w:rPr>
              <w:t>Charge</w:t>
            </w:r>
            <w:r>
              <w:rPr>
                <w:b/>
                <w:bCs/>
                <w:szCs w:val="22"/>
              </w:rPr>
              <w:br/>
            </w:r>
            <w:r>
              <w:rPr>
                <w:b/>
                <w:bCs/>
                <w:szCs w:val="22"/>
              </w:rPr>
              <w:br/>
              <w:t>$</w:t>
            </w:r>
          </w:p>
        </w:tc>
        <w:tc>
          <w:tcPr>
            <w:tcW w:w="1265"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265" w:type="dxa"/>
            <w:tcBorders>
              <w:bottom w:val="single" w:sz="4" w:space="0" w:color="auto"/>
            </w:tcBorders>
            <w:noWrap/>
          </w:tcPr>
          <w:p>
            <w:pPr>
              <w:pStyle w:val="yTableNAmRight"/>
            </w:pPr>
            <w:r>
              <w:t>1 099.70</w:t>
            </w:r>
          </w:p>
        </w:tc>
        <w:tc>
          <w:tcPr>
            <w:tcW w:w="1265" w:type="dxa"/>
            <w:tcBorders>
              <w:bottom w:val="single" w:sz="4" w:space="0" w:color="auto"/>
            </w:tcBorders>
            <w:noWrap/>
          </w:tcPr>
          <w:p>
            <w:pPr>
              <w:pStyle w:val="yTableNAmRight"/>
            </w:pPr>
            <w:r>
              <w:t>1 099.70</w:t>
            </w:r>
          </w:p>
        </w:tc>
        <w:tc>
          <w:tcPr>
            <w:tcW w:w="1417" w:type="dxa"/>
            <w:tcBorders>
              <w:bottom w:val="single" w:sz="4" w:space="0" w:color="auto"/>
            </w:tcBorders>
            <w:noWrap/>
          </w:tcPr>
          <w:p>
            <w:pPr>
              <w:pStyle w:val="yTableNAmRight"/>
            </w:pPr>
            <w:r>
              <w:t>0.00</w:t>
            </w:r>
          </w:p>
        </w:tc>
      </w:tr>
    </w:tbl>
    <w:p>
      <w:pPr>
        <w:pStyle w:val="yHeading5"/>
      </w:pPr>
      <w:bookmarkStart w:id="370" w:name="_Toc105574286"/>
      <w:bookmarkStart w:id="371" w:name="_Toc107232297"/>
      <w:r>
        <w:t>11.</w:t>
      </w:r>
      <w:r>
        <w:tab/>
        <w:t>Community residential</w:t>
      </w:r>
      <w:bookmarkEnd w:id="370"/>
      <w:bookmarkEnd w:id="371"/>
    </w:p>
    <w:p>
      <w:pPr>
        <w:pStyle w:val="ySubsection"/>
      </w:pPr>
      <w:r>
        <w:tab/>
      </w:r>
      <w:r>
        <w:tab/>
        <w:t xml:space="preserve">For land that is classified as community residential, the charge, according to the number of major fixtures on the land, is the sum of the discounted charges for each fixture, as set out in the Table, according to whether the Housing Authority agrees to be responsible for payment of the charge. </w:t>
      </w:r>
    </w:p>
    <w:p>
      <w:pPr>
        <w:pStyle w:val="yTHeadingNAm"/>
      </w:pPr>
      <w:r>
        <w:lastRenderedPageBreak/>
        <w:t>Table of charges and discounts</w:t>
      </w:r>
    </w:p>
    <w:tbl>
      <w:tblPr>
        <w:tblW w:w="7088" w:type="dxa"/>
        <w:tblLayout w:type="fixed"/>
        <w:tblLook w:val="0000" w:firstRow="0" w:lastRow="0" w:firstColumn="0" w:lastColumn="0" w:noHBand="0" w:noVBand="0"/>
      </w:tblPr>
      <w:tblGrid>
        <w:gridCol w:w="1428"/>
        <w:gridCol w:w="1176"/>
        <w:gridCol w:w="994"/>
        <w:gridCol w:w="1176"/>
        <w:gridCol w:w="1119"/>
        <w:gridCol w:w="70"/>
        <w:gridCol w:w="1125"/>
      </w:tblGrid>
      <w:tr>
        <w:trPr>
          <w:cantSplit/>
          <w:tblHeader/>
        </w:trPr>
        <w:tc>
          <w:tcPr>
            <w:tcW w:w="1428" w:type="dxa"/>
            <w:vMerge w:val="restart"/>
            <w:tcBorders>
              <w:top w:val="single" w:sz="4" w:space="0" w:color="auto"/>
            </w:tcBorders>
            <w:noWrap/>
            <w:vAlign w:val="center"/>
          </w:tcPr>
          <w:p>
            <w:pPr>
              <w:pStyle w:val="zyTableNAm"/>
              <w:jc w:val="center"/>
            </w:pPr>
          </w:p>
        </w:tc>
        <w:tc>
          <w:tcPr>
            <w:tcW w:w="1176" w:type="dxa"/>
            <w:tcBorders>
              <w:top w:val="single" w:sz="4" w:space="0" w:color="auto"/>
              <w:right w:val="single" w:sz="4" w:space="0" w:color="auto"/>
            </w:tcBorders>
            <w:noWrap/>
            <w:vAlign w:val="center"/>
          </w:tcPr>
          <w:p>
            <w:pPr>
              <w:pStyle w:val="yTableNAm"/>
              <w:jc w:val="center"/>
            </w:pPr>
          </w:p>
        </w:tc>
        <w:tc>
          <w:tcPr>
            <w:tcW w:w="2170" w:type="dxa"/>
            <w:gridSpan w:val="2"/>
            <w:tcBorders>
              <w:top w:val="single" w:sz="4" w:space="0" w:color="auto"/>
              <w:left w:val="single" w:sz="4" w:space="0" w:color="auto"/>
              <w:bottom w:val="single" w:sz="4" w:space="0" w:color="auto"/>
              <w:right w:val="single" w:sz="4" w:space="0" w:color="auto"/>
            </w:tcBorders>
            <w:noWrap/>
          </w:tcPr>
          <w:p>
            <w:pPr>
              <w:pStyle w:val="yTableNAm"/>
              <w:jc w:val="center"/>
              <w:rPr>
                <w:b/>
              </w:rPr>
            </w:pPr>
            <w:r>
              <w:rPr>
                <w:b/>
              </w:rPr>
              <w:t>If Housing Authority responsible for payment of charge</w:t>
            </w:r>
          </w:p>
        </w:tc>
        <w:tc>
          <w:tcPr>
            <w:tcW w:w="2314" w:type="dxa"/>
            <w:gridSpan w:val="3"/>
            <w:tcBorders>
              <w:top w:val="single" w:sz="4" w:space="0" w:color="auto"/>
              <w:left w:val="single" w:sz="4" w:space="0" w:color="auto"/>
              <w:bottom w:val="single" w:sz="4" w:space="0" w:color="auto"/>
            </w:tcBorders>
            <w:noWrap/>
          </w:tcPr>
          <w:p>
            <w:pPr>
              <w:pStyle w:val="yTableNAm"/>
              <w:jc w:val="center"/>
              <w:rPr>
                <w:b/>
              </w:rPr>
            </w:pPr>
            <w:r>
              <w:rPr>
                <w:b/>
              </w:rPr>
              <w:t>In any other case</w:t>
            </w:r>
          </w:p>
        </w:tc>
      </w:tr>
      <w:tr>
        <w:trPr>
          <w:cantSplit/>
          <w:tblHeader/>
        </w:trPr>
        <w:tc>
          <w:tcPr>
            <w:tcW w:w="1428" w:type="dxa"/>
            <w:vMerge/>
            <w:tcBorders>
              <w:bottom w:val="single" w:sz="4" w:space="0" w:color="auto"/>
            </w:tcBorders>
            <w:noWrap/>
            <w:vAlign w:val="center"/>
          </w:tcPr>
          <w:p>
            <w:pPr>
              <w:pStyle w:val="zyTableNAm"/>
            </w:pPr>
          </w:p>
        </w:tc>
        <w:tc>
          <w:tcPr>
            <w:tcW w:w="1176" w:type="dxa"/>
            <w:tcBorders>
              <w:bottom w:val="single" w:sz="4" w:space="0" w:color="auto"/>
              <w:right w:val="single" w:sz="4" w:space="0" w:color="auto"/>
            </w:tcBorders>
            <w:noWrap/>
          </w:tcPr>
          <w:p>
            <w:pPr>
              <w:pStyle w:val="yTableNAm10pt"/>
            </w:pPr>
            <w:r>
              <w:t>Charge</w:t>
            </w:r>
            <w:r>
              <w:br/>
            </w:r>
            <w:r>
              <w:br/>
              <w:t>$</w:t>
            </w:r>
          </w:p>
        </w:tc>
        <w:tc>
          <w:tcPr>
            <w:tcW w:w="994" w:type="dxa"/>
            <w:tcBorders>
              <w:top w:val="single" w:sz="4" w:space="0" w:color="auto"/>
              <w:left w:val="single" w:sz="4" w:space="0" w:color="auto"/>
              <w:bottom w:val="single" w:sz="4" w:space="0" w:color="auto"/>
            </w:tcBorders>
            <w:noWrap/>
          </w:tcPr>
          <w:p>
            <w:pPr>
              <w:pStyle w:val="yTableNAm10pt"/>
            </w:pPr>
            <w:r>
              <w:t>Discount</w:t>
            </w:r>
            <w:r>
              <w:br/>
            </w:r>
            <w:r>
              <w:br/>
              <w:t>$</w:t>
            </w:r>
          </w:p>
        </w:tc>
        <w:tc>
          <w:tcPr>
            <w:tcW w:w="1176" w:type="dxa"/>
            <w:tcBorders>
              <w:top w:val="single" w:sz="4" w:space="0" w:color="auto"/>
              <w:bottom w:val="single" w:sz="4" w:space="0" w:color="auto"/>
              <w:right w:val="single" w:sz="4" w:space="0" w:color="auto"/>
            </w:tcBorders>
            <w:noWrap/>
          </w:tcPr>
          <w:p>
            <w:pPr>
              <w:pStyle w:val="yTableNAm10pt"/>
            </w:pPr>
            <w:r>
              <w:t>Discounted charge</w:t>
            </w:r>
            <w:r>
              <w:br/>
              <w:t>$</w:t>
            </w:r>
          </w:p>
        </w:tc>
        <w:tc>
          <w:tcPr>
            <w:tcW w:w="1119" w:type="dxa"/>
            <w:tcBorders>
              <w:top w:val="single" w:sz="4" w:space="0" w:color="auto"/>
              <w:left w:val="single" w:sz="4" w:space="0" w:color="auto"/>
              <w:bottom w:val="single" w:sz="4" w:space="0" w:color="auto"/>
            </w:tcBorders>
            <w:noWrap/>
          </w:tcPr>
          <w:p>
            <w:pPr>
              <w:pStyle w:val="yTableNAm10pt"/>
            </w:pPr>
            <w:r>
              <w:t>Discount</w:t>
            </w:r>
            <w:r>
              <w:br/>
            </w:r>
            <w:r>
              <w:br/>
              <w:t>$</w:t>
            </w:r>
          </w:p>
        </w:tc>
        <w:tc>
          <w:tcPr>
            <w:tcW w:w="1195" w:type="dxa"/>
            <w:gridSpan w:val="2"/>
            <w:tcBorders>
              <w:top w:val="single" w:sz="4" w:space="0" w:color="auto"/>
              <w:bottom w:val="single" w:sz="4" w:space="0" w:color="auto"/>
            </w:tcBorders>
            <w:noWrap/>
          </w:tcPr>
          <w:p>
            <w:pPr>
              <w:pStyle w:val="yTableNAm10pt"/>
            </w:pPr>
            <w:r>
              <w:t>Discounted charge</w:t>
            </w:r>
            <w:r>
              <w:br/>
              <w:t>$</w:t>
            </w:r>
          </w:p>
        </w:tc>
      </w:tr>
      <w:tr>
        <w:trPr>
          <w:cantSplit/>
        </w:trPr>
        <w:tc>
          <w:tcPr>
            <w:tcW w:w="1428" w:type="dxa"/>
            <w:noWrap/>
            <w:tcMar>
              <w:left w:w="62" w:type="dxa"/>
              <w:right w:w="62" w:type="dxa"/>
            </w:tcMar>
          </w:tcPr>
          <w:p>
            <w:pPr>
              <w:pStyle w:val="yTableNAmLeft-005cm"/>
              <w:rPr>
                <w:highlight w:val="green"/>
              </w:rPr>
            </w:pPr>
            <w:r>
              <w:t>1</w:t>
            </w:r>
            <w:r>
              <w:rPr>
                <w:vertAlign w:val="superscript"/>
              </w:rPr>
              <w:t>st</w:t>
            </w:r>
            <w:r>
              <w:tab/>
              <w:t>fixture</w:t>
            </w:r>
          </w:p>
        </w:tc>
        <w:tc>
          <w:tcPr>
            <w:tcW w:w="1176" w:type="dxa"/>
            <w:tcBorders>
              <w:right w:val="single" w:sz="4" w:space="0" w:color="auto"/>
            </w:tcBorders>
            <w:noWrap/>
            <w:vAlign w:val="bottom"/>
          </w:tcPr>
          <w:p>
            <w:pPr>
              <w:pStyle w:val="yTableNAmRight"/>
            </w:pPr>
            <w:r>
              <w:t>1 099.70</w:t>
            </w:r>
          </w:p>
        </w:tc>
        <w:tc>
          <w:tcPr>
            <w:tcW w:w="994" w:type="dxa"/>
            <w:tcBorders>
              <w:left w:val="single" w:sz="4" w:space="0" w:color="auto"/>
            </w:tcBorders>
            <w:noWrap/>
            <w:vAlign w:val="bottom"/>
          </w:tcPr>
          <w:p>
            <w:pPr>
              <w:pStyle w:val="yTableNAmRight"/>
            </w:pPr>
            <w:r>
              <w:t>973.81</w:t>
            </w:r>
          </w:p>
        </w:tc>
        <w:tc>
          <w:tcPr>
            <w:tcW w:w="1176" w:type="dxa"/>
            <w:tcBorders>
              <w:right w:val="single" w:sz="4" w:space="0" w:color="auto"/>
            </w:tcBorders>
            <w:noWrap/>
            <w:vAlign w:val="bottom"/>
          </w:tcPr>
          <w:p>
            <w:pPr>
              <w:pStyle w:val="yTableNAmRight"/>
            </w:pPr>
            <w:r>
              <w:t>125.89</w:t>
            </w:r>
          </w:p>
        </w:tc>
        <w:tc>
          <w:tcPr>
            <w:tcW w:w="1189" w:type="dxa"/>
            <w:gridSpan w:val="2"/>
            <w:tcBorders>
              <w:left w:val="single" w:sz="4" w:space="0" w:color="auto"/>
            </w:tcBorders>
            <w:noWrap/>
            <w:vAlign w:val="bottom"/>
          </w:tcPr>
          <w:p>
            <w:pPr>
              <w:pStyle w:val="yTableNAmRight"/>
            </w:pPr>
            <w:r>
              <w:t>1 099.70</w:t>
            </w:r>
          </w:p>
        </w:tc>
        <w:tc>
          <w:tcPr>
            <w:tcW w:w="1125" w:type="dxa"/>
            <w:noWrap/>
            <w:vAlign w:val="bottom"/>
          </w:tcPr>
          <w:p>
            <w:pPr>
              <w:pStyle w:val="yTableNAmRight"/>
            </w:pPr>
            <w:r>
              <w:t>0.00</w:t>
            </w:r>
          </w:p>
        </w:tc>
      </w:tr>
      <w:tr>
        <w:trPr>
          <w:cantSplit/>
        </w:trPr>
        <w:tc>
          <w:tcPr>
            <w:tcW w:w="1428" w:type="dxa"/>
            <w:noWrap/>
            <w:tcMar>
              <w:left w:w="62" w:type="dxa"/>
              <w:right w:w="62" w:type="dxa"/>
            </w:tcMar>
          </w:tcPr>
          <w:p>
            <w:pPr>
              <w:pStyle w:val="yTableNAmLeft-005cm"/>
            </w:pPr>
            <w:r>
              <w:t>2</w:t>
            </w:r>
            <w:r>
              <w:rPr>
                <w:vertAlign w:val="superscript"/>
              </w:rPr>
              <w:t>nd</w:t>
            </w:r>
            <w:r>
              <w:tab/>
              <w:t>fixture</w:t>
            </w:r>
          </w:p>
        </w:tc>
        <w:tc>
          <w:tcPr>
            <w:tcW w:w="1176" w:type="dxa"/>
            <w:tcBorders>
              <w:right w:val="single" w:sz="4" w:space="0" w:color="auto"/>
            </w:tcBorders>
            <w:noWrap/>
            <w:vAlign w:val="bottom"/>
          </w:tcPr>
          <w:p>
            <w:pPr>
              <w:pStyle w:val="yTableNAmRight"/>
            </w:pPr>
            <w:r>
              <w:t>470.73</w:t>
            </w:r>
          </w:p>
        </w:tc>
        <w:tc>
          <w:tcPr>
            <w:tcW w:w="994" w:type="dxa"/>
            <w:tcBorders>
              <w:left w:val="single" w:sz="4" w:space="0" w:color="auto"/>
            </w:tcBorders>
            <w:noWrap/>
            <w:vAlign w:val="bottom"/>
          </w:tcPr>
          <w:p>
            <w:pPr>
              <w:pStyle w:val="yTableNAmRight"/>
            </w:pPr>
            <w:r>
              <w:t>344.84</w:t>
            </w:r>
          </w:p>
        </w:tc>
        <w:tc>
          <w:tcPr>
            <w:tcW w:w="1176" w:type="dxa"/>
            <w:tcBorders>
              <w:right w:val="single" w:sz="4" w:space="0" w:color="auto"/>
            </w:tcBorders>
            <w:noWrap/>
            <w:vAlign w:val="bottom"/>
          </w:tcPr>
          <w:p>
            <w:pPr>
              <w:pStyle w:val="yTableNAmRight"/>
            </w:pPr>
            <w:r>
              <w:t>125.89</w:t>
            </w:r>
          </w:p>
        </w:tc>
        <w:tc>
          <w:tcPr>
            <w:tcW w:w="1189" w:type="dxa"/>
            <w:gridSpan w:val="2"/>
            <w:tcBorders>
              <w:left w:val="single" w:sz="4" w:space="0" w:color="auto"/>
            </w:tcBorders>
            <w:noWrap/>
            <w:vAlign w:val="bottom"/>
          </w:tcPr>
          <w:p>
            <w:pPr>
              <w:pStyle w:val="yTableNAmRight"/>
            </w:pPr>
            <w:r>
              <w:t>470.73</w:t>
            </w:r>
          </w:p>
        </w:tc>
        <w:tc>
          <w:tcPr>
            <w:tcW w:w="1125" w:type="dxa"/>
            <w:noWrap/>
            <w:vAlign w:val="bottom"/>
          </w:tcPr>
          <w:p>
            <w:pPr>
              <w:pStyle w:val="yTableNAmRight"/>
            </w:pPr>
            <w:r>
              <w:t>0.00</w:t>
            </w:r>
          </w:p>
        </w:tc>
      </w:tr>
      <w:tr>
        <w:trPr>
          <w:cantSplit/>
        </w:trPr>
        <w:tc>
          <w:tcPr>
            <w:tcW w:w="1428" w:type="dxa"/>
            <w:noWrap/>
            <w:tcMar>
              <w:left w:w="57" w:type="dxa"/>
              <w:right w:w="57" w:type="dxa"/>
            </w:tcMar>
          </w:tcPr>
          <w:p>
            <w:pPr>
              <w:pStyle w:val="yTableNAmLeft-005cm"/>
            </w:pPr>
            <w:r>
              <w:t>3</w:t>
            </w:r>
            <w:r>
              <w:rPr>
                <w:vertAlign w:val="superscript"/>
              </w:rPr>
              <w:t>rd</w:t>
            </w:r>
            <w:r>
              <w:tab/>
              <w:t>fixture</w:t>
            </w:r>
          </w:p>
        </w:tc>
        <w:tc>
          <w:tcPr>
            <w:tcW w:w="1176" w:type="dxa"/>
            <w:tcBorders>
              <w:right w:val="single" w:sz="4" w:space="0" w:color="auto"/>
            </w:tcBorders>
            <w:noWrap/>
            <w:vAlign w:val="bottom"/>
          </w:tcPr>
          <w:p>
            <w:pPr>
              <w:pStyle w:val="yTableNAmRight"/>
            </w:pPr>
            <w:r>
              <w:t>628.65</w:t>
            </w:r>
          </w:p>
        </w:tc>
        <w:tc>
          <w:tcPr>
            <w:tcW w:w="994" w:type="dxa"/>
            <w:tcBorders>
              <w:left w:val="single" w:sz="4" w:space="0" w:color="auto"/>
            </w:tcBorders>
            <w:noWrap/>
            <w:vAlign w:val="bottom"/>
          </w:tcPr>
          <w:p>
            <w:pPr>
              <w:pStyle w:val="yTableNAmRight"/>
            </w:pPr>
            <w:r>
              <w:t>502.76</w:t>
            </w:r>
          </w:p>
        </w:tc>
        <w:tc>
          <w:tcPr>
            <w:tcW w:w="1176" w:type="dxa"/>
            <w:tcBorders>
              <w:right w:val="single" w:sz="4" w:space="0" w:color="auto"/>
            </w:tcBorders>
            <w:noWrap/>
            <w:vAlign w:val="bottom"/>
          </w:tcPr>
          <w:p>
            <w:pPr>
              <w:pStyle w:val="yTableNAmRight"/>
            </w:pPr>
            <w:r>
              <w:t>125.89</w:t>
            </w:r>
          </w:p>
        </w:tc>
        <w:tc>
          <w:tcPr>
            <w:tcW w:w="1189" w:type="dxa"/>
            <w:gridSpan w:val="2"/>
            <w:tcBorders>
              <w:left w:val="single" w:sz="4" w:space="0" w:color="auto"/>
            </w:tcBorders>
            <w:noWrap/>
            <w:vAlign w:val="bottom"/>
          </w:tcPr>
          <w:p>
            <w:pPr>
              <w:pStyle w:val="yTableNAmRight"/>
            </w:pPr>
            <w:r>
              <w:t>628.65</w:t>
            </w:r>
          </w:p>
        </w:tc>
        <w:tc>
          <w:tcPr>
            <w:tcW w:w="1125" w:type="dxa"/>
            <w:noWrap/>
            <w:vAlign w:val="bottom"/>
          </w:tcPr>
          <w:p>
            <w:pPr>
              <w:pStyle w:val="yTableNAmRight"/>
            </w:pPr>
            <w:r>
              <w:t>0.00</w:t>
            </w:r>
          </w:p>
        </w:tc>
      </w:tr>
      <w:tr>
        <w:trPr>
          <w:cantSplit/>
        </w:trPr>
        <w:tc>
          <w:tcPr>
            <w:tcW w:w="1428" w:type="dxa"/>
            <w:tcBorders>
              <w:bottom w:val="single" w:sz="4" w:space="0" w:color="auto"/>
            </w:tcBorders>
            <w:noWrap/>
            <w:tcMar>
              <w:left w:w="57" w:type="dxa"/>
              <w:right w:w="57" w:type="dxa"/>
            </w:tcMar>
          </w:tcPr>
          <w:p>
            <w:pPr>
              <w:pStyle w:val="yTableNAmLeft-005cm"/>
              <w:ind w:left="265" w:hanging="293"/>
              <w:rPr>
                <w:highlight w:val="green"/>
              </w:rPr>
            </w:pPr>
            <w:r>
              <w:t>4</w:t>
            </w:r>
            <w:r>
              <w:rPr>
                <w:vertAlign w:val="superscript"/>
              </w:rPr>
              <w:t>th</w:t>
            </w:r>
            <w:r>
              <w:tab/>
              <w:t>and subsequent fixtures</w:t>
            </w:r>
          </w:p>
        </w:tc>
        <w:tc>
          <w:tcPr>
            <w:tcW w:w="1176" w:type="dxa"/>
            <w:tcBorders>
              <w:bottom w:val="single" w:sz="4" w:space="0" w:color="auto"/>
              <w:right w:val="single" w:sz="4" w:space="0" w:color="auto"/>
            </w:tcBorders>
            <w:noWrap/>
            <w:vAlign w:val="bottom"/>
          </w:tcPr>
          <w:p>
            <w:pPr>
              <w:pStyle w:val="yTableNAmRight"/>
            </w:pPr>
            <w:r>
              <w:t>683.62</w:t>
            </w:r>
          </w:p>
        </w:tc>
        <w:tc>
          <w:tcPr>
            <w:tcW w:w="994" w:type="dxa"/>
            <w:tcBorders>
              <w:left w:val="single" w:sz="4" w:space="0" w:color="auto"/>
              <w:bottom w:val="single" w:sz="4" w:space="0" w:color="auto"/>
            </w:tcBorders>
            <w:noWrap/>
            <w:vAlign w:val="bottom"/>
          </w:tcPr>
          <w:p>
            <w:pPr>
              <w:pStyle w:val="yTableNAmRight"/>
            </w:pPr>
            <w:r>
              <w:t>557.73</w:t>
            </w:r>
          </w:p>
        </w:tc>
        <w:tc>
          <w:tcPr>
            <w:tcW w:w="1176" w:type="dxa"/>
            <w:tcBorders>
              <w:bottom w:val="single" w:sz="4" w:space="0" w:color="auto"/>
              <w:right w:val="single" w:sz="4" w:space="0" w:color="auto"/>
            </w:tcBorders>
            <w:noWrap/>
            <w:vAlign w:val="bottom"/>
          </w:tcPr>
          <w:p>
            <w:pPr>
              <w:pStyle w:val="yTableNAmRight"/>
            </w:pPr>
            <w:r>
              <w:t>125.89</w:t>
            </w:r>
          </w:p>
        </w:tc>
        <w:tc>
          <w:tcPr>
            <w:tcW w:w="1189" w:type="dxa"/>
            <w:gridSpan w:val="2"/>
            <w:tcBorders>
              <w:left w:val="single" w:sz="4" w:space="0" w:color="auto"/>
              <w:bottom w:val="single" w:sz="4" w:space="0" w:color="auto"/>
            </w:tcBorders>
            <w:noWrap/>
            <w:vAlign w:val="bottom"/>
          </w:tcPr>
          <w:p>
            <w:pPr>
              <w:pStyle w:val="yTableNAmRight"/>
            </w:pPr>
            <w:r>
              <w:t>683.62</w:t>
            </w:r>
          </w:p>
        </w:tc>
        <w:tc>
          <w:tcPr>
            <w:tcW w:w="1125" w:type="dxa"/>
            <w:tcBorders>
              <w:bottom w:val="single" w:sz="4" w:space="0" w:color="auto"/>
            </w:tcBorders>
            <w:noWrap/>
            <w:vAlign w:val="bottom"/>
          </w:tcPr>
          <w:p>
            <w:pPr>
              <w:pStyle w:val="yTableNAmRight"/>
            </w:pPr>
            <w:r>
              <w:t>0.00</w:t>
            </w:r>
          </w:p>
        </w:tc>
      </w:tr>
    </w:tbl>
    <w:p>
      <w:pPr>
        <w:pStyle w:val="yHeading5"/>
      </w:pPr>
      <w:bookmarkStart w:id="372" w:name="_Toc105574287"/>
      <w:bookmarkStart w:id="373" w:name="_Toc107232298"/>
      <w:r>
        <w:t>12.</w:t>
      </w:r>
      <w:r>
        <w:tab/>
        <w:t>Non</w:t>
      </w:r>
      <w:r>
        <w:noBreakHyphen/>
        <w:t>metropolitan residential or vacant land</w:t>
      </w:r>
      <w:bookmarkEnd w:id="372"/>
      <w:bookmarkEnd w:id="373"/>
    </w:p>
    <w:p>
      <w:pPr>
        <w:pStyle w:val="ySubsection"/>
        <w:tabs>
          <w:tab w:val="right" w:leader="dot" w:pos="6804"/>
        </w:tabs>
      </w:pPr>
      <w:r>
        <w:tab/>
        <w:t>(1)</w:t>
      </w:r>
      <w:r>
        <w:tab/>
        <w:t>This item does not apply to land to which any other item in this Schedule applies.</w:t>
      </w:r>
    </w:p>
    <w:p>
      <w:pPr>
        <w:pStyle w:val="ySubsection"/>
        <w:tabs>
          <w:tab w:val="right" w:leader="dot" w:pos="6804"/>
        </w:tabs>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pPr>
        <w:pStyle w:val="ySubsection"/>
        <w:tabs>
          <w:tab w:val="right" w:leader="dot" w:pos="6804"/>
        </w:tabs>
      </w:pPr>
      <w:r>
        <w:tab/>
        <w:t>(3)</w:t>
      </w:r>
      <w:r>
        <w:tab/>
        <w:t xml:space="preserve">The minimum charge per dwelling </w:t>
      </w:r>
      <w:r>
        <w:br/>
        <w:t>under sub</w:t>
      </w:r>
      <w:r>
        <w:noBreakHyphen/>
        <w:t xml:space="preserve">item (2) is </w:t>
      </w:r>
      <w:r>
        <w:tab/>
      </w:r>
      <w:r>
        <w:rPr>
          <w:szCs w:val="22"/>
        </w:rPr>
        <w:t>$457.95</w:t>
      </w:r>
    </w:p>
    <w:p>
      <w:pPr>
        <w:pStyle w:val="ySubsection"/>
        <w:tabs>
          <w:tab w:val="right" w:leader="dot" w:pos="6804"/>
        </w:tabs>
      </w:pPr>
      <w:r>
        <w:tab/>
        <w:t>(4)</w:t>
      </w:r>
      <w:r>
        <w:tab/>
        <w:t xml:space="preserve">The maximum charge per dwelling </w:t>
      </w:r>
      <w:r>
        <w:br/>
        <w:t>under sub</w:t>
      </w:r>
      <w:r>
        <w:noBreakHyphen/>
        <w:t xml:space="preserve">item (2) is </w:t>
      </w:r>
      <w:r>
        <w:tab/>
      </w:r>
      <w:r>
        <w:rPr>
          <w:szCs w:val="22"/>
        </w:rPr>
        <w:t>$1 250.25</w:t>
      </w:r>
    </w:p>
    <w:p>
      <w:pPr>
        <w:pStyle w:val="ySubsection"/>
        <w:tabs>
          <w:tab w:val="right" w:leader="dot" w:pos="6804"/>
        </w:tabs>
      </w:pPr>
      <w:r>
        <w:tab/>
        <w:t>(5)</w:t>
      </w:r>
      <w:r>
        <w:tab/>
        <w:t>For vacant land in the non</w:t>
      </w:r>
      <w:r>
        <w:noBreakHyphen/>
        <w:t>metropolitan area that is in a sewerage area referred to in the Table, the charge is, subject to sub</w:t>
      </w:r>
      <w:r>
        <w:noBreakHyphen/>
        <w:t>items (6) and (7), the amount worked out by multiplying the GRV of the land by the relevant rate for the sewerage area set out in the Table for vacant land.</w:t>
      </w:r>
    </w:p>
    <w:p>
      <w:pPr>
        <w:pStyle w:val="ySubsection"/>
        <w:tabs>
          <w:tab w:val="right" w:leader="dot" w:pos="6804"/>
        </w:tabs>
      </w:pPr>
      <w:r>
        <w:tab/>
        <w:t>(6)</w:t>
      </w:r>
      <w:r>
        <w:tab/>
        <w:t>The minimum charge under sub</w:t>
      </w:r>
      <w:r>
        <w:noBreakHyphen/>
        <w:t xml:space="preserve">item (5) is </w:t>
      </w:r>
      <w:r>
        <w:tab/>
      </w:r>
      <w:r>
        <w:rPr>
          <w:szCs w:val="22"/>
        </w:rPr>
        <w:t>$301.35</w:t>
      </w:r>
    </w:p>
    <w:p>
      <w:pPr>
        <w:pStyle w:val="ySubsection"/>
        <w:tabs>
          <w:tab w:val="right" w:leader="dot" w:pos="6804"/>
        </w:tabs>
      </w:pPr>
      <w:r>
        <w:lastRenderedPageBreak/>
        <w:tab/>
        <w:t>(7)</w:t>
      </w:r>
      <w:r>
        <w:tab/>
        <w:t xml:space="preserve">The maximum charge under </w:t>
      </w:r>
      <w:r>
        <w:br/>
        <w:t>sub</w:t>
      </w:r>
      <w:r>
        <w:noBreakHyphen/>
        <w:t xml:space="preserve">item (5) for vacant land that is </w:t>
      </w:r>
      <w:r>
        <w:br/>
        <w:t xml:space="preserve">held for residential purposes is </w:t>
      </w:r>
      <w:r>
        <w:tab/>
      </w:r>
      <w:r>
        <w:rPr>
          <w:szCs w:val="22"/>
        </w:rPr>
        <w:t>$1 250.25</w:t>
      </w:r>
    </w:p>
    <w:p>
      <w:pPr>
        <w:pStyle w:val="yTHeadingNAmLeft175c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trPr>
          <w:cantSplit/>
          <w:tblHeader/>
        </w:trPr>
        <w:tc>
          <w:tcPr>
            <w:tcW w:w="2159" w:type="dxa"/>
            <w:tcBorders>
              <w:left w:val="nil"/>
              <w:bottom w:val="single" w:sz="4" w:space="0" w:color="auto"/>
              <w:right w:val="nil"/>
            </w:tcBorders>
            <w:noWrap/>
            <w:vAlign w:val="center"/>
          </w:tcPr>
          <w:p>
            <w:pPr>
              <w:pStyle w:val="yTableNAm"/>
              <w:jc w:val="both"/>
              <w:rPr>
                <w:b/>
                <w:bCs/>
              </w:rPr>
            </w:pPr>
            <w:r>
              <w:rPr>
                <w:b/>
                <w:bCs/>
              </w:rPr>
              <w:t>Sewerage area</w:t>
            </w:r>
          </w:p>
        </w:tc>
        <w:tc>
          <w:tcPr>
            <w:tcW w:w="1985" w:type="dxa"/>
            <w:tcBorders>
              <w:left w:val="nil"/>
              <w:bottom w:val="single" w:sz="4" w:space="0" w:color="auto"/>
              <w:right w:val="nil"/>
            </w:tcBorders>
            <w:noWrap/>
            <w:vAlign w:val="center"/>
          </w:tcPr>
          <w:p>
            <w:pPr>
              <w:pStyle w:val="yTableNAm"/>
              <w:jc w:val="center"/>
              <w:rPr>
                <w:b/>
                <w:bCs/>
              </w:rPr>
            </w:pPr>
            <w:r>
              <w:rPr>
                <w:b/>
                <w:bCs/>
              </w:rPr>
              <w:t xml:space="preserve">Residential rate </w:t>
            </w:r>
            <w:r>
              <w:rPr>
                <w:b/>
                <w:bCs/>
              </w:rPr>
              <w:br/>
              <w:t>cents/$ of GRV</w:t>
            </w:r>
          </w:p>
        </w:tc>
        <w:tc>
          <w:tcPr>
            <w:tcW w:w="1985" w:type="dxa"/>
            <w:tcBorders>
              <w:left w:val="nil"/>
              <w:bottom w:val="single" w:sz="4" w:space="0" w:color="auto"/>
              <w:right w:val="nil"/>
            </w:tcBorders>
            <w:noWrap/>
            <w:vAlign w:val="center"/>
          </w:tcPr>
          <w:p>
            <w:pPr>
              <w:pStyle w:val="yTableNAm"/>
              <w:jc w:val="center"/>
              <w:rPr>
                <w:b/>
                <w:bCs/>
              </w:rPr>
            </w:pPr>
            <w:r>
              <w:rPr>
                <w:b/>
                <w:bCs/>
              </w:rPr>
              <w:t xml:space="preserve">Vacant land rate </w:t>
            </w:r>
            <w:r>
              <w:rPr>
                <w:b/>
                <w:bCs/>
              </w:rPr>
              <w:br/>
              <w:t>cents/$ of GRV</w:t>
            </w:r>
          </w:p>
        </w:tc>
      </w:tr>
      <w:tr>
        <w:trPr>
          <w:cantSplit/>
        </w:trPr>
        <w:tc>
          <w:tcPr>
            <w:tcW w:w="2159" w:type="dxa"/>
            <w:tcBorders>
              <w:top w:val="single" w:sz="4" w:space="0" w:color="auto"/>
              <w:left w:val="nil"/>
              <w:bottom w:val="nil"/>
              <w:right w:val="nil"/>
            </w:tcBorders>
            <w:noWrap/>
          </w:tcPr>
          <w:p>
            <w:pPr>
              <w:pStyle w:val="yTableNAm"/>
            </w:pPr>
            <w:r>
              <w:t>Albany</w:t>
            </w:r>
          </w:p>
        </w:tc>
        <w:tc>
          <w:tcPr>
            <w:tcW w:w="1985" w:type="dxa"/>
            <w:tcBorders>
              <w:top w:val="single" w:sz="4" w:space="0" w:color="auto"/>
              <w:left w:val="nil"/>
              <w:bottom w:val="nil"/>
              <w:right w:val="nil"/>
            </w:tcBorders>
            <w:noWrap/>
            <w:vAlign w:val="bottom"/>
          </w:tcPr>
          <w:p>
            <w:pPr>
              <w:pStyle w:val="yTableNAmRight"/>
              <w:jc w:val="center"/>
            </w:pPr>
            <w:r>
              <w:t>12.010</w:t>
            </w:r>
          </w:p>
        </w:tc>
        <w:tc>
          <w:tcPr>
            <w:tcW w:w="1985" w:type="dxa"/>
            <w:tcBorders>
              <w:top w:val="single" w:sz="4" w:space="0" w:color="auto"/>
              <w:left w:val="nil"/>
              <w:bottom w:val="nil"/>
              <w:right w:val="nil"/>
            </w:tcBorders>
            <w:noWrap/>
            <w:vAlign w:val="bottom"/>
          </w:tcPr>
          <w:p>
            <w:pPr>
              <w:pStyle w:val="yTableNAmRight"/>
              <w:jc w:val="center"/>
            </w:pPr>
            <w:r>
              <w:t>27.036</w:t>
            </w:r>
          </w:p>
        </w:tc>
      </w:tr>
      <w:tr>
        <w:trPr>
          <w:cantSplit/>
        </w:trPr>
        <w:tc>
          <w:tcPr>
            <w:tcW w:w="2159" w:type="dxa"/>
            <w:tcBorders>
              <w:top w:val="nil"/>
              <w:left w:val="nil"/>
              <w:bottom w:val="nil"/>
              <w:right w:val="nil"/>
            </w:tcBorders>
            <w:noWrap/>
          </w:tcPr>
          <w:p>
            <w:pPr>
              <w:pStyle w:val="yTableNAm"/>
            </w:pPr>
            <w:r>
              <w:t>Augusta</w:t>
            </w:r>
          </w:p>
        </w:tc>
        <w:tc>
          <w:tcPr>
            <w:tcW w:w="1985" w:type="dxa"/>
            <w:tcBorders>
              <w:top w:val="nil"/>
              <w:left w:val="nil"/>
              <w:bottom w:val="nil"/>
              <w:right w:val="nil"/>
            </w:tcBorders>
            <w:noWrap/>
            <w:vAlign w:val="bottom"/>
          </w:tcPr>
          <w:p>
            <w:pPr>
              <w:pStyle w:val="yTableNAmRight"/>
              <w:jc w:val="center"/>
            </w:pPr>
            <w:r>
              <w:t>6.979</w:t>
            </w:r>
          </w:p>
        </w:tc>
        <w:tc>
          <w:tcPr>
            <w:tcW w:w="1985" w:type="dxa"/>
            <w:tcBorders>
              <w:top w:val="nil"/>
              <w:left w:val="nil"/>
              <w:bottom w:val="nil"/>
              <w:right w:val="nil"/>
            </w:tcBorders>
            <w:noWrap/>
            <w:vAlign w:val="bottom"/>
          </w:tcPr>
          <w:p>
            <w:pPr>
              <w:pStyle w:val="yTableNAmRight"/>
              <w:jc w:val="center"/>
            </w:pPr>
            <w:r>
              <w:t>11.890</w:t>
            </w:r>
          </w:p>
        </w:tc>
      </w:tr>
      <w:tr>
        <w:trPr>
          <w:cantSplit/>
        </w:trPr>
        <w:tc>
          <w:tcPr>
            <w:tcW w:w="2159" w:type="dxa"/>
            <w:tcBorders>
              <w:top w:val="nil"/>
              <w:left w:val="nil"/>
              <w:bottom w:val="nil"/>
              <w:right w:val="nil"/>
            </w:tcBorders>
            <w:noWrap/>
          </w:tcPr>
          <w:p>
            <w:pPr>
              <w:pStyle w:val="yTableNAm"/>
            </w:pPr>
            <w:r>
              <w:t>Australind</w:t>
            </w:r>
          </w:p>
        </w:tc>
        <w:tc>
          <w:tcPr>
            <w:tcW w:w="1985" w:type="dxa"/>
            <w:tcBorders>
              <w:top w:val="nil"/>
              <w:left w:val="nil"/>
              <w:bottom w:val="nil"/>
              <w:right w:val="nil"/>
            </w:tcBorders>
            <w:noWrap/>
            <w:vAlign w:val="bottom"/>
          </w:tcPr>
          <w:p>
            <w:pPr>
              <w:pStyle w:val="yTableNAmRight"/>
              <w:jc w:val="center"/>
            </w:pPr>
            <w:r>
              <w:t>5.213</w:t>
            </w:r>
          </w:p>
        </w:tc>
        <w:tc>
          <w:tcPr>
            <w:tcW w:w="1985" w:type="dxa"/>
            <w:tcBorders>
              <w:top w:val="nil"/>
              <w:left w:val="nil"/>
              <w:bottom w:val="nil"/>
              <w:right w:val="nil"/>
            </w:tcBorders>
            <w:noWrap/>
            <w:vAlign w:val="bottom"/>
          </w:tcPr>
          <w:p>
            <w:pPr>
              <w:pStyle w:val="yTableNAmRight"/>
              <w:jc w:val="center"/>
            </w:pPr>
            <w:r>
              <w:t>5.143</w:t>
            </w:r>
          </w:p>
        </w:tc>
      </w:tr>
      <w:tr>
        <w:trPr>
          <w:cantSplit/>
        </w:trPr>
        <w:tc>
          <w:tcPr>
            <w:tcW w:w="2159" w:type="dxa"/>
            <w:tcBorders>
              <w:top w:val="nil"/>
              <w:left w:val="nil"/>
              <w:bottom w:val="nil"/>
              <w:right w:val="nil"/>
            </w:tcBorders>
            <w:noWrap/>
          </w:tcPr>
          <w:p>
            <w:pPr>
              <w:pStyle w:val="yTableNAm"/>
            </w:pPr>
            <w:r>
              <w:t>Beverley</w:t>
            </w:r>
          </w:p>
        </w:tc>
        <w:tc>
          <w:tcPr>
            <w:tcW w:w="1985" w:type="dxa"/>
            <w:tcBorders>
              <w:top w:val="nil"/>
              <w:left w:val="nil"/>
              <w:bottom w:val="nil"/>
              <w:right w:val="nil"/>
            </w:tcBorders>
            <w:noWrap/>
            <w:vAlign w:val="bottom"/>
          </w:tcPr>
          <w:p>
            <w:pPr>
              <w:pStyle w:val="yTableNAmRight"/>
              <w:jc w:val="center"/>
            </w:pPr>
            <w:r>
              <w:t>14.707</w:t>
            </w:r>
          </w:p>
        </w:tc>
        <w:tc>
          <w:tcPr>
            <w:tcW w:w="1985" w:type="dxa"/>
            <w:tcBorders>
              <w:top w:val="nil"/>
              <w:left w:val="nil"/>
              <w:bottom w:val="nil"/>
              <w:right w:val="nil"/>
            </w:tcBorders>
            <w:noWrap/>
            <w:vAlign w:val="bottom"/>
          </w:tcPr>
          <w:p>
            <w:pPr>
              <w:pStyle w:val="yTableNAmRight"/>
              <w:jc w:val="center"/>
            </w:pPr>
            <w:r>
              <w:t>47.282</w:t>
            </w:r>
          </w:p>
        </w:tc>
      </w:tr>
      <w:tr>
        <w:trPr>
          <w:cantSplit/>
        </w:trPr>
        <w:tc>
          <w:tcPr>
            <w:tcW w:w="2159" w:type="dxa"/>
            <w:tcBorders>
              <w:top w:val="nil"/>
              <w:left w:val="nil"/>
              <w:bottom w:val="nil"/>
              <w:right w:val="nil"/>
            </w:tcBorders>
            <w:noWrap/>
          </w:tcPr>
          <w:p>
            <w:pPr>
              <w:pStyle w:val="yTableNAm"/>
            </w:pPr>
            <w:r>
              <w:t>Binningup</w:t>
            </w:r>
          </w:p>
        </w:tc>
        <w:tc>
          <w:tcPr>
            <w:tcW w:w="1985" w:type="dxa"/>
            <w:tcBorders>
              <w:top w:val="nil"/>
              <w:left w:val="nil"/>
              <w:bottom w:val="nil"/>
              <w:right w:val="nil"/>
            </w:tcBorders>
            <w:noWrap/>
            <w:vAlign w:val="bottom"/>
          </w:tcPr>
          <w:p>
            <w:pPr>
              <w:pStyle w:val="yTableNAmRight"/>
              <w:jc w:val="center"/>
            </w:pPr>
            <w:r>
              <w:t>9.725</w:t>
            </w:r>
          </w:p>
        </w:tc>
        <w:tc>
          <w:tcPr>
            <w:tcW w:w="1985" w:type="dxa"/>
            <w:tcBorders>
              <w:top w:val="nil"/>
              <w:left w:val="nil"/>
              <w:bottom w:val="nil"/>
              <w:right w:val="nil"/>
            </w:tcBorders>
            <w:noWrap/>
            <w:vAlign w:val="bottom"/>
          </w:tcPr>
          <w:p>
            <w:pPr>
              <w:pStyle w:val="yTableNAmRight"/>
              <w:jc w:val="center"/>
            </w:pPr>
            <w:r>
              <w:t>29.517</w:t>
            </w:r>
          </w:p>
        </w:tc>
      </w:tr>
      <w:tr>
        <w:trPr>
          <w:cantSplit/>
        </w:trPr>
        <w:tc>
          <w:tcPr>
            <w:tcW w:w="2159" w:type="dxa"/>
            <w:tcBorders>
              <w:top w:val="nil"/>
              <w:left w:val="nil"/>
              <w:bottom w:val="nil"/>
              <w:right w:val="nil"/>
            </w:tcBorders>
            <w:noWrap/>
          </w:tcPr>
          <w:p>
            <w:pPr>
              <w:pStyle w:val="yTableNAm"/>
            </w:pPr>
            <w:r>
              <w:t>Boddington</w:t>
            </w:r>
          </w:p>
        </w:tc>
        <w:tc>
          <w:tcPr>
            <w:tcW w:w="1985" w:type="dxa"/>
            <w:tcBorders>
              <w:top w:val="nil"/>
              <w:left w:val="nil"/>
              <w:bottom w:val="nil"/>
              <w:right w:val="nil"/>
            </w:tcBorders>
            <w:noWrap/>
            <w:vAlign w:val="bottom"/>
          </w:tcPr>
          <w:p>
            <w:pPr>
              <w:pStyle w:val="yTableNAmRight"/>
              <w:jc w:val="center"/>
            </w:pPr>
            <w:r>
              <w:t>32.534</w:t>
            </w:r>
          </w:p>
        </w:tc>
        <w:tc>
          <w:tcPr>
            <w:tcW w:w="1985" w:type="dxa"/>
            <w:tcBorders>
              <w:top w:val="nil"/>
              <w:left w:val="nil"/>
              <w:bottom w:val="nil"/>
              <w:right w:val="nil"/>
            </w:tcBorders>
            <w:noWrap/>
            <w:vAlign w:val="bottom"/>
          </w:tcPr>
          <w:p>
            <w:pPr>
              <w:pStyle w:val="yTableNAmRight"/>
              <w:jc w:val="center"/>
            </w:pPr>
            <w:r>
              <w:t>214.588</w:t>
            </w:r>
          </w:p>
        </w:tc>
      </w:tr>
      <w:tr>
        <w:trPr>
          <w:cantSplit/>
        </w:trPr>
        <w:tc>
          <w:tcPr>
            <w:tcW w:w="2159" w:type="dxa"/>
            <w:tcBorders>
              <w:top w:val="nil"/>
              <w:left w:val="nil"/>
              <w:bottom w:val="nil"/>
              <w:right w:val="nil"/>
            </w:tcBorders>
            <w:noWrap/>
          </w:tcPr>
          <w:p>
            <w:pPr>
              <w:pStyle w:val="yTableNAm"/>
            </w:pPr>
            <w:r>
              <w:t>Boyanup</w:t>
            </w:r>
          </w:p>
        </w:tc>
        <w:tc>
          <w:tcPr>
            <w:tcW w:w="1985" w:type="dxa"/>
            <w:tcBorders>
              <w:top w:val="nil"/>
              <w:left w:val="nil"/>
              <w:bottom w:val="nil"/>
              <w:right w:val="nil"/>
            </w:tcBorders>
            <w:noWrap/>
            <w:vAlign w:val="bottom"/>
          </w:tcPr>
          <w:p>
            <w:pPr>
              <w:pStyle w:val="yTableNAmRight"/>
              <w:jc w:val="center"/>
            </w:pPr>
            <w:r>
              <w:t>14.290</w:t>
            </w:r>
          </w:p>
        </w:tc>
        <w:tc>
          <w:tcPr>
            <w:tcW w:w="1985" w:type="dxa"/>
            <w:tcBorders>
              <w:top w:val="nil"/>
              <w:left w:val="nil"/>
              <w:bottom w:val="nil"/>
              <w:right w:val="nil"/>
            </w:tcBorders>
            <w:noWrap/>
            <w:vAlign w:val="bottom"/>
          </w:tcPr>
          <w:p>
            <w:pPr>
              <w:pStyle w:val="yTableNAmRight"/>
              <w:jc w:val="center"/>
            </w:pPr>
            <w:r>
              <w:t>19.797</w:t>
            </w:r>
          </w:p>
        </w:tc>
      </w:tr>
      <w:tr>
        <w:trPr>
          <w:cantSplit/>
        </w:trPr>
        <w:tc>
          <w:tcPr>
            <w:tcW w:w="2159" w:type="dxa"/>
            <w:tcBorders>
              <w:top w:val="nil"/>
              <w:left w:val="nil"/>
              <w:bottom w:val="nil"/>
              <w:right w:val="nil"/>
            </w:tcBorders>
            <w:noWrap/>
          </w:tcPr>
          <w:p>
            <w:pPr>
              <w:pStyle w:val="yTableNAm"/>
            </w:pPr>
            <w:r>
              <w:t>Bremer Bay</w:t>
            </w:r>
          </w:p>
        </w:tc>
        <w:tc>
          <w:tcPr>
            <w:tcW w:w="1985" w:type="dxa"/>
            <w:tcBorders>
              <w:top w:val="nil"/>
              <w:left w:val="nil"/>
              <w:bottom w:val="nil"/>
              <w:right w:val="nil"/>
            </w:tcBorders>
            <w:noWrap/>
            <w:vAlign w:val="bottom"/>
          </w:tcPr>
          <w:p>
            <w:pPr>
              <w:pStyle w:val="yTableNAmRight"/>
              <w:jc w:val="center"/>
            </w:pPr>
            <w:r>
              <w:t>17.597</w:t>
            </w:r>
          </w:p>
        </w:tc>
        <w:tc>
          <w:tcPr>
            <w:tcW w:w="1985" w:type="dxa"/>
            <w:tcBorders>
              <w:top w:val="nil"/>
              <w:left w:val="nil"/>
              <w:bottom w:val="nil"/>
              <w:right w:val="nil"/>
            </w:tcBorders>
            <w:noWrap/>
            <w:vAlign w:val="bottom"/>
          </w:tcPr>
          <w:p>
            <w:pPr>
              <w:pStyle w:val="yTableNAmRight"/>
              <w:jc w:val="center"/>
            </w:pPr>
            <w:r>
              <w:t>30.565</w:t>
            </w:r>
          </w:p>
        </w:tc>
      </w:tr>
      <w:tr>
        <w:trPr>
          <w:cantSplit/>
        </w:trPr>
        <w:tc>
          <w:tcPr>
            <w:tcW w:w="2159" w:type="dxa"/>
            <w:tcBorders>
              <w:top w:val="nil"/>
              <w:left w:val="nil"/>
              <w:bottom w:val="nil"/>
              <w:right w:val="nil"/>
            </w:tcBorders>
            <w:noWrap/>
          </w:tcPr>
          <w:p>
            <w:pPr>
              <w:pStyle w:val="yTableNAm"/>
            </w:pPr>
            <w:r>
              <w:t>Bridgetown</w:t>
            </w:r>
          </w:p>
        </w:tc>
        <w:tc>
          <w:tcPr>
            <w:tcW w:w="1985" w:type="dxa"/>
            <w:tcBorders>
              <w:top w:val="nil"/>
              <w:left w:val="nil"/>
              <w:bottom w:val="nil"/>
              <w:right w:val="nil"/>
            </w:tcBorders>
            <w:noWrap/>
            <w:vAlign w:val="bottom"/>
          </w:tcPr>
          <w:p>
            <w:pPr>
              <w:pStyle w:val="yTableNAmRight"/>
              <w:jc w:val="center"/>
            </w:pPr>
            <w:r>
              <w:t>34.726</w:t>
            </w:r>
          </w:p>
        </w:tc>
        <w:tc>
          <w:tcPr>
            <w:tcW w:w="1985" w:type="dxa"/>
            <w:tcBorders>
              <w:top w:val="nil"/>
              <w:left w:val="nil"/>
              <w:bottom w:val="nil"/>
              <w:right w:val="nil"/>
            </w:tcBorders>
            <w:noWrap/>
            <w:vAlign w:val="bottom"/>
          </w:tcPr>
          <w:p>
            <w:pPr>
              <w:pStyle w:val="yTableNAmRight"/>
              <w:jc w:val="center"/>
            </w:pPr>
            <w:r>
              <w:t>188.709</w:t>
            </w:r>
          </w:p>
        </w:tc>
      </w:tr>
      <w:tr>
        <w:trPr>
          <w:cantSplit/>
        </w:trPr>
        <w:tc>
          <w:tcPr>
            <w:tcW w:w="2159" w:type="dxa"/>
            <w:tcBorders>
              <w:top w:val="nil"/>
              <w:left w:val="nil"/>
              <w:bottom w:val="nil"/>
              <w:right w:val="nil"/>
            </w:tcBorders>
            <w:noWrap/>
          </w:tcPr>
          <w:p>
            <w:pPr>
              <w:pStyle w:val="yTableNAm"/>
            </w:pPr>
            <w:r>
              <w:t>Broome</w:t>
            </w:r>
          </w:p>
        </w:tc>
        <w:tc>
          <w:tcPr>
            <w:tcW w:w="1985" w:type="dxa"/>
            <w:tcBorders>
              <w:top w:val="nil"/>
              <w:left w:val="nil"/>
              <w:bottom w:val="nil"/>
              <w:right w:val="nil"/>
            </w:tcBorders>
            <w:noWrap/>
            <w:vAlign w:val="bottom"/>
          </w:tcPr>
          <w:p>
            <w:pPr>
              <w:pStyle w:val="yTableNAmRight"/>
              <w:jc w:val="center"/>
            </w:pPr>
            <w:r>
              <w:t>8.724</w:t>
            </w:r>
          </w:p>
        </w:tc>
        <w:tc>
          <w:tcPr>
            <w:tcW w:w="1985" w:type="dxa"/>
            <w:tcBorders>
              <w:top w:val="nil"/>
              <w:left w:val="nil"/>
              <w:bottom w:val="nil"/>
              <w:right w:val="nil"/>
            </w:tcBorders>
            <w:noWrap/>
            <w:vAlign w:val="bottom"/>
          </w:tcPr>
          <w:p>
            <w:pPr>
              <w:pStyle w:val="yTableNAmRight"/>
              <w:jc w:val="center"/>
            </w:pPr>
            <w:r>
              <w:t>17.660</w:t>
            </w:r>
          </w:p>
        </w:tc>
      </w:tr>
      <w:tr>
        <w:trPr>
          <w:cantSplit/>
        </w:trPr>
        <w:tc>
          <w:tcPr>
            <w:tcW w:w="2159" w:type="dxa"/>
            <w:tcBorders>
              <w:top w:val="nil"/>
              <w:left w:val="nil"/>
              <w:bottom w:val="nil"/>
              <w:right w:val="nil"/>
            </w:tcBorders>
            <w:noWrap/>
          </w:tcPr>
          <w:p>
            <w:pPr>
              <w:pStyle w:val="yTableNAm"/>
            </w:pPr>
            <w:r>
              <w:t>Brunswick</w:t>
            </w:r>
          </w:p>
        </w:tc>
        <w:tc>
          <w:tcPr>
            <w:tcW w:w="1985" w:type="dxa"/>
            <w:tcBorders>
              <w:top w:val="nil"/>
              <w:left w:val="nil"/>
              <w:bottom w:val="nil"/>
              <w:right w:val="nil"/>
            </w:tcBorders>
            <w:noWrap/>
            <w:vAlign w:val="bottom"/>
          </w:tcPr>
          <w:p>
            <w:pPr>
              <w:pStyle w:val="yTableNAmRight"/>
              <w:jc w:val="center"/>
            </w:pPr>
            <w:r>
              <w:t>11.152</w:t>
            </w:r>
          </w:p>
        </w:tc>
        <w:tc>
          <w:tcPr>
            <w:tcW w:w="1985" w:type="dxa"/>
            <w:tcBorders>
              <w:top w:val="nil"/>
              <w:left w:val="nil"/>
              <w:bottom w:val="nil"/>
              <w:right w:val="nil"/>
            </w:tcBorders>
            <w:noWrap/>
            <w:vAlign w:val="bottom"/>
          </w:tcPr>
          <w:p>
            <w:pPr>
              <w:pStyle w:val="yTableNAmRight"/>
              <w:jc w:val="center"/>
            </w:pPr>
            <w:r>
              <w:t>23.164</w:t>
            </w:r>
          </w:p>
        </w:tc>
      </w:tr>
      <w:tr>
        <w:trPr>
          <w:cantSplit/>
        </w:trPr>
        <w:tc>
          <w:tcPr>
            <w:tcW w:w="2159" w:type="dxa"/>
            <w:tcBorders>
              <w:top w:val="nil"/>
              <w:left w:val="nil"/>
              <w:bottom w:val="nil"/>
              <w:right w:val="nil"/>
            </w:tcBorders>
            <w:noWrap/>
          </w:tcPr>
          <w:p>
            <w:pPr>
              <w:pStyle w:val="yTableNAm"/>
            </w:pPr>
            <w:r>
              <w:t>Bruce Rock</w:t>
            </w:r>
          </w:p>
        </w:tc>
        <w:tc>
          <w:tcPr>
            <w:tcW w:w="1985" w:type="dxa"/>
            <w:tcBorders>
              <w:top w:val="nil"/>
              <w:left w:val="nil"/>
              <w:bottom w:val="nil"/>
              <w:right w:val="nil"/>
            </w:tcBorders>
            <w:noWrap/>
            <w:vAlign w:val="bottom"/>
          </w:tcPr>
          <w:p>
            <w:pPr>
              <w:pStyle w:val="yTableNAmRight"/>
              <w:jc w:val="center"/>
            </w:pPr>
            <w:r>
              <w:t>52.920</w:t>
            </w:r>
          </w:p>
        </w:tc>
        <w:tc>
          <w:tcPr>
            <w:tcW w:w="1985" w:type="dxa"/>
            <w:tcBorders>
              <w:top w:val="nil"/>
              <w:left w:val="nil"/>
              <w:bottom w:val="nil"/>
              <w:right w:val="nil"/>
            </w:tcBorders>
            <w:noWrap/>
            <w:vAlign w:val="bottom"/>
          </w:tcPr>
          <w:p>
            <w:pPr>
              <w:pStyle w:val="yTableNAmRight"/>
              <w:jc w:val="center"/>
            </w:pPr>
            <w:r>
              <w:t>80.899</w:t>
            </w:r>
          </w:p>
        </w:tc>
      </w:tr>
      <w:tr>
        <w:trPr>
          <w:cantSplit/>
        </w:trPr>
        <w:tc>
          <w:tcPr>
            <w:tcW w:w="2159" w:type="dxa"/>
            <w:tcBorders>
              <w:top w:val="nil"/>
              <w:left w:val="nil"/>
              <w:bottom w:val="nil"/>
              <w:right w:val="nil"/>
            </w:tcBorders>
            <w:noWrap/>
          </w:tcPr>
          <w:p>
            <w:pPr>
              <w:pStyle w:val="yTableNAm"/>
            </w:pPr>
            <w:r>
              <w:t>Bunbury</w:t>
            </w:r>
          </w:p>
        </w:tc>
        <w:tc>
          <w:tcPr>
            <w:tcW w:w="1985" w:type="dxa"/>
            <w:tcBorders>
              <w:top w:val="nil"/>
              <w:left w:val="nil"/>
              <w:bottom w:val="nil"/>
              <w:right w:val="nil"/>
            </w:tcBorders>
            <w:noWrap/>
            <w:vAlign w:val="bottom"/>
          </w:tcPr>
          <w:p>
            <w:pPr>
              <w:pStyle w:val="yTableNAmRight"/>
              <w:jc w:val="center"/>
            </w:pPr>
            <w:r>
              <w:t>9.854</w:t>
            </w:r>
          </w:p>
        </w:tc>
        <w:tc>
          <w:tcPr>
            <w:tcW w:w="1985" w:type="dxa"/>
            <w:tcBorders>
              <w:top w:val="nil"/>
              <w:left w:val="nil"/>
              <w:bottom w:val="nil"/>
              <w:right w:val="nil"/>
            </w:tcBorders>
            <w:noWrap/>
            <w:vAlign w:val="bottom"/>
          </w:tcPr>
          <w:p>
            <w:pPr>
              <w:pStyle w:val="yTableNAmRight"/>
              <w:jc w:val="center"/>
            </w:pPr>
            <w:r>
              <w:t>12.118</w:t>
            </w:r>
          </w:p>
        </w:tc>
      </w:tr>
      <w:tr>
        <w:trPr>
          <w:cantSplit/>
        </w:trPr>
        <w:tc>
          <w:tcPr>
            <w:tcW w:w="2159" w:type="dxa"/>
            <w:tcBorders>
              <w:top w:val="nil"/>
              <w:left w:val="nil"/>
              <w:bottom w:val="nil"/>
              <w:right w:val="nil"/>
            </w:tcBorders>
            <w:noWrap/>
          </w:tcPr>
          <w:p>
            <w:pPr>
              <w:pStyle w:val="yTableNAm"/>
            </w:pPr>
            <w:r>
              <w:t>Burekup</w:t>
            </w:r>
          </w:p>
        </w:tc>
        <w:tc>
          <w:tcPr>
            <w:tcW w:w="1985" w:type="dxa"/>
            <w:tcBorders>
              <w:top w:val="nil"/>
              <w:left w:val="nil"/>
              <w:bottom w:val="nil"/>
              <w:right w:val="nil"/>
            </w:tcBorders>
            <w:noWrap/>
            <w:vAlign w:val="bottom"/>
          </w:tcPr>
          <w:p>
            <w:pPr>
              <w:pStyle w:val="yTableNAmRight"/>
              <w:jc w:val="center"/>
            </w:pPr>
            <w:r>
              <w:t>9.137</w:t>
            </w:r>
          </w:p>
        </w:tc>
        <w:tc>
          <w:tcPr>
            <w:tcW w:w="1985" w:type="dxa"/>
            <w:tcBorders>
              <w:top w:val="nil"/>
              <w:left w:val="nil"/>
              <w:bottom w:val="nil"/>
              <w:right w:val="nil"/>
            </w:tcBorders>
            <w:noWrap/>
            <w:vAlign w:val="bottom"/>
          </w:tcPr>
          <w:p>
            <w:pPr>
              <w:pStyle w:val="yTableNAmRight"/>
              <w:jc w:val="center"/>
            </w:pPr>
            <w:r>
              <w:t>7.215</w:t>
            </w:r>
          </w:p>
        </w:tc>
      </w:tr>
      <w:tr>
        <w:trPr>
          <w:cantSplit/>
        </w:trPr>
        <w:tc>
          <w:tcPr>
            <w:tcW w:w="2159" w:type="dxa"/>
            <w:tcBorders>
              <w:top w:val="nil"/>
              <w:left w:val="nil"/>
              <w:bottom w:val="nil"/>
              <w:right w:val="nil"/>
            </w:tcBorders>
            <w:noWrap/>
          </w:tcPr>
          <w:p>
            <w:pPr>
              <w:pStyle w:val="yTableNAm"/>
            </w:pPr>
            <w:r>
              <w:t>Busselton</w:t>
            </w:r>
          </w:p>
        </w:tc>
        <w:tc>
          <w:tcPr>
            <w:tcW w:w="1985" w:type="dxa"/>
            <w:tcBorders>
              <w:top w:val="nil"/>
              <w:left w:val="nil"/>
              <w:bottom w:val="nil"/>
              <w:right w:val="nil"/>
            </w:tcBorders>
            <w:noWrap/>
            <w:vAlign w:val="bottom"/>
          </w:tcPr>
          <w:p>
            <w:pPr>
              <w:pStyle w:val="yTableNAmRight"/>
              <w:jc w:val="center"/>
            </w:pPr>
            <w:r>
              <w:t>5.209</w:t>
            </w:r>
          </w:p>
        </w:tc>
        <w:tc>
          <w:tcPr>
            <w:tcW w:w="1985" w:type="dxa"/>
            <w:tcBorders>
              <w:top w:val="nil"/>
              <w:left w:val="nil"/>
              <w:bottom w:val="nil"/>
              <w:right w:val="nil"/>
            </w:tcBorders>
            <w:noWrap/>
            <w:vAlign w:val="bottom"/>
          </w:tcPr>
          <w:p>
            <w:pPr>
              <w:pStyle w:val="yTableNAmRight"/>
              <w:jc w:val="center"/>
            </w:pPr>
            <w:r>
              <w:t>5.293</w:t>
            </w:r>
          </w:p>
        </w:tc>
      </w:tr>
      <w:tr>
        <w:trPr>
          <w:cantSplit/>
        </w:trPr>
        <w:tc>
          <w:tcPr>
            <w:tcW w:w="2159" w:type="dxa"/>
            <w:tcBorders>
              <w:top w:val="nil"/>
              <w:left w:val="nil"/>
              <w:bottom w:val="nil"/>
              <w:right w:val="nil"/>
            </w:tcBorders>
            <w:noWrap/>
          </w:tcPr>
          <w:p>
            <w:pPr>
              <w:pStyle w:val="yTableNAm"/>
            </w:pPr>
            <w:r>
              <w:t>Capel</w:t>
            </w:r>
          </w:p>
        </w:tc>
        <w:tc>
          <w:tcPr>
            <w:tcW w:w="1985" w:type="dxa"/>
            <w:tcBorders>
              <w:top w:val="nil"/>
              <w:left w:val="nil"/>
              <w:bottom w:val="nil"/>
              <w:right w:val="nil"/>
            </w:tcBorders>
            <w:noWrap/>
            <w:vAlign w:val="bottom"/>
          </w:tcPr>
          <w:p>
            <w:pPr>
              <w:pStyle w:val="yTableNAmRight"/>
              <w:jc w:val="center"/>
            </w:pPr>
            <w:r>
              <w:t>10.048</w:t>
            </w:r>
          </w:p>
        </w:tc>
        <w:tc>
          <w:tcPr>
            <w:tcW w:w="1985" w:type="dxa"/>
            <w:tcBorders>
              <w:top w:val="nil"/>
              <w:left w:val="nil"/>
              <w:bottom w:val="nil"/>
              <w:right w:val="nil"/>
            </w:tcBorders>
            <w:noWrap/>
            <w:vAlign w:val="bottom"/>
          </w:tcPr>
          <w:p>
            <w:pPr>
              <w:pStyle w:val="yTableNAmRight"/>
              <w:jc w:val="center"/>
            </w:pPr>
            <w:r>
              <w:t>11.288</w:t>
            </w:r>
          </w:p>
        </w:tc>
      </w:tr>
      <w:tr>
        <w:trPr>
          <w:cantSplit/>
        </w:trPr>
        <w:tc>
          <w:tcPr>
            <w:tcW w:w="2159" w:type="dxa"/>
            <w:tcBorders>
              <w:top w:val="nil"/>
              <w:left w:val="nil"/>
              <w:bottom w:val="nil"/>
              <w:right w:val="nil"/>
            </w:tcBorders>
            <w:noWrap/>
          </w:tcPr>
          <w:p>
            <w:pPr>
              <w:pStyle w:val="yTableNAm"/>
            </w:pPr>
            <w:r>
              <w:t>Carnarvon</w:t>
            </w:r>
          </w:p>
        </w:tc>
        <w:tc>
          <w:tcPr>
            <w:tcW w:w="1985" w:type="dxa"/>
            <w:tcBorders>
              <w:top w:val="nil"/>
              <w:left w:val="nil"/>
              <w:bottom w:val="nil"/>
              <w:right w:val="nil"/>
            </w:tcBorders>
            <w:noWrap/>
            <w:vAlign w:val="bottom"/>
          </w:tcPr>
          <w:p>
            <w:pPr>
              <w:pStyle w:val="yTableNAmRight"/>
              <w:jc w:val="center"/>
            </w:pPr>
            <w:r>
              <w:t>11.422</w:t>
            </w:r>
          </w:p>
        </w:tc>
        <w:tc>
          <w:tcPr>
            <w:tcW w:w="1985" w:type="dxa"/>
            <w:tcBorders>
              <w:top w:val="nil"/>
              <w:left w:val="nil"/>
              <w:bottom w:val="nil"/>
              <w:right w:val="nil"/>
            </w:tcBorders>
            <w:noWrap/>
            <w:vAlign w:val="bottom"/>
          </w:tcPr>
          <w:p>
            <w:pPr>
              <w:pStyle w:val="yTableNAmRight"/>
              <w:jc w:val="center"/>
            </w:pPr>
            <w:r>
              <w:t>26.577</w:t>
            </w:r>
          </w:p>
        </w:tc>
      </w:tr>
      <w:tr>
        <w:trPr>
          <w:cantSplit/>
        </w:trPr>
        <w:tc>
          <w:tcPr>
            <w:tcW w:w="2159" w:type="dxa"/>
            <w:tcBorders>
              <w:top w:val="nil"/>
              <w:left w:val="nil"/>
              <w:bottom w:val="nil"/>
              <w:right w:val="nil"/>
            </w:tcBorders>
            <w:noWrap/>
          </w:tcPr>
          <w:p>
            <w:pPr>
              <w:pStyle w:val="yTableNAm"/>
            </w:pPr>
            <w:r>
              <w:lastRenderedPageBreak/>
              <w:t>Cervantes</w:t>
            </w:r>
          </w:p>
        </w:tc>
        <w:tc>
          <w:tcPr>
            <w:tcW w:w="1985" w:type="dxa"/>
            <w:tcBorders>
              <w:top w:val="nil"/>
              <w:left w:val="nil"/>
              <w:bottom w:val="nil"/>
              <w:right w:val="nil"/>
            </w:tcBorders>
            <w:noWrap/>
            <w:vAlign w:val="bottom"/>
          </w:tcPr>
          <w:p>
            <w:pPr>
              <w:pStyle w:val="yTableNAmRight"/>
              <w:jc w:val="center"/>
            </w:pPr>
            <w:r>
              <w:t>12.608</w:t>
            </w:r>
          </w:p>
        </w:tc>
        <w:tc>
          <w:tcPr>
            <w:tcW w:w="1985" w:type="dxa"/>
            <w:tcBorders>
              <w:top w:val="nil"/>
              <w:left w:val="nil"/>
              <w:bottom w:val="nil"/>
              <w:right w:val="nil"/>
            </w:tcBorders>
            <w:noWrap/>
            <w:vAlign w:val="bottom"/>
          </w:tcPr>
          <w:p>
            <w:pPr>
              <w:pStyle w:val="yTableNAmRight"/>
              <w:jc w:val="center"/>
            </w:pPr>
            <w:r>
              <w:t>15.025</w:t>
            </w:r>
          </w:p>
        </w:tc>
      </w:tr>
      <w:tr>
        <w:trPr>
          <w:cantSplit/>
        </w:trPr>
        <w:tc>
          <w:tcPr>
            <w:tcW w:w="2159" w:type="dxa"/>
            <w:tcBorders>
              <w:top w:val="nil"/>
              <w:left w:val="nil"/>
              <w:bottom w:val="nil"/>
              <w:right w:val="nil"/>
            </w:tcBorders>
            <w:noWrap/>
          </w:tcPr>
          <w:p>
            <w:pPr>
              <w:pStyle w:val="yTableNAm"/>
            </w:pPr>
            <w:r>
              <w:t>Collie</w:t>
            </w:r>
          </w:p>
        </w:tc>
        <w:tc>
          <w:tcPr>
            <w:tcW w:w="1985" w:type="dxa"/>
            <w:tcBorders>
              <w:top w:val="nil"/>
              <w:left w:val="nil"/>
              <w:bottom w:val="nil"/>
              <w:right w:val="nil"/>
            </w:tcBorders>
            <w:noWrap/>
            <w:vAlign w:val="bottom"/>
          </w:tcPr>
          <w:p>
            <w:pPr>
              <w:pStyle w:val="yTableNAmRight"/>
              <w:jc w:val="center"/>
            </w:pPr>
            <w:r>
              <w:t>18.814</w:t>
            </w:r>
          </w:p>
        </w:tc>
        <w:tc>
          <w:tcPr>
            <w:tcW w:w="1985" w:type="dxa"/>
            <w:tcBorders>
              <w:top w:val="nil"/>
              <w:left w:val="nil"/>
              <w:bottom w:val="nil"/>
              <w:right w:val="nil"/>
            </w:tcBorders>
            <w:noWrap/>
            <w:vAlign w:val="bottom"/>
          </w:tcPr>
          <w:p>
            <w:pPr>
              <w:pStyle w:val="yTableNAmRight"/>
              <w:jc w:val="center"/>
            </w:pPr>
            <w:r>
              <w:t>41.806</w:t>
            </w:r>
          </w:p>
        </w:tc>
      </w:tr>
      <w:tr>
        <w:trPr>
          <w:cantSplit/>
        </w:trPr>
        <w:tc>
          <w:tcPr>
            <w:tcW w:w="2159" w:type="dxa"/>
            <w:tcBorders>
              <w:top w:val="nil"/>
              <w:left w:val="nil"/>
              <w:bottom w:val="nil"/>
              <w:right w:val="nil"/>
            </w:tcBorders>
            <w:noWrap/>
          </w:tcPr>
          <w:p>
            <w:pPr>
              <w:pStyle w:val="yTableNAm"/>
            </w:pPr>
            <w:r>
              <w:t>Coral Bay</w:t>
            </w:r>
          </w:p>
        </w:tc>
        <w:tc>
          <w:tcPr>
            <w:tcW w:w="1985" w:type="dxa"/>
            <w:tcBorders>
              <w:top w:val="nil"/>
              <w:left w:val="nil"/>
              <w:bottom w:val="nil"/>
              <w:right w:val="nil"/>
            </w:tcBorders>
            <w:noWrap/>
            <w:vAlign w:val="bottom"/>
          </w:tcPr>
          <w:p>
            <w:pPr>
              <w:pStyle w:val="yTableNAmRight"/>
              <w:jc w:val="center"/>
            </w:pPr>
            <w:r>
              <w:t>348.407</w:t>
            </w:r>
          </w:p>
        </w:tc>
        <w:tc>
          <w:tcPr>
            <w:tcW w:w="1985" w:type="dxa"/>
            <w:tcBorders>
              <w:top w:val="nil"/>
              <w:left w:val="nil"/>
              <w:bottom w:val="nil"/>
              <w:right w:val="nil"/>
            </w:tcBorders>
            <w:noWrap/>
            <w:vAlign w:val="bottom"/>
          </w:tcPr>
          <w:p>
            <w:pPr>
              <w:pStyle w:val="yTableNAmRight"/>
              <w:jc w:val="center"/>
            </w:pPr>
            <w:r>
              <w:t>1 421.245</w:t>
            </w:r>
          </w:p>
        </w:tc>
      </w:tr>
      <w:tr>
        <w:trPr>
          <w:cantSplit/>
        </w:trPr>
        <w:tc>
          <w:tcPr>
            <w:tcW w:w="2159" w:type="dxa"/>
            <w:tcBorders>
              <w:top w:val="nil"/>
              <w:left w:val="nil"/>
              <w:bottom w:val="nil"/>
              <w:right w:val="nil"/>
            </w:tcBorders>
            <w:noWrap/>
          </w:tcPr>
          <w:p>
            <w:pPr>
              <w:pStyle w:val="yTableNAm"/>
            </w:pPr>
            <w:r>
              <w:t>Corrigin</w:t>
            </w:r>
          </w:p>
        </w:tc>
        <w:tc>
          <w:tcPr>
            <w:tcW w:w="1985" w:type="dxa"/>
            <w:tcBorders>
              <w:top w:val="nil"/>
              <w:left w:val="nil"/>
              <w:bottom w:val="nil"/>
              <w:right w:val="nil"/>
            </w:tcBorders>
            <w:noWrap/>
            <w:vAlign w:val="bottom"/>
          </w:tcPr>
          <w:p>
            <w:pPr>
              <w:pStyle w:val="yTableNAmRight"/>
              <w:jc w:val="center"/>
            </w:pPr>
            <w:r>
              <w:t>29.820</w:t>
            </w:r>
          </w:p>
        </w:tc>
        <w:tc>
          <w:tcPr>
            <w:tcW w:w="1985" w:type="dxa"/>
            <w:tcBorders>
              <w:top w:val="nil"/>
              <w:left w:val="nil"/>
              <w:bottom w:val="nil"/>
              <w:right w:val="nil"/>
            </w:tcBorders>
            <w:noWrap/>
            <w:vAlign w:val="bottom"/>
          </w:tcPr>
          <w:p>
            <w:pPr>
              <w:pStyle w:val="yTableNAmRight"/>
              <w:jc w:val="center"/>
            </w:pPr>
            <w:r>
              <w:t>124.282</w:t>
            </w:r>
          </w:p>
        </w:tc>
      </w:tr>
      <w:tr>
        <w:trPr>
          <w:cantSplit/>
        </w:trPr>
        <w:tc>
          <w:tcPr>
            <w:tcW w:w="2159" w:type="dxa"/>
            <w:tcBorders>
              <w:top w:val="nil"/>
              <w:left w:val="nil"/>
              <w:bottom w:val="nil"/>
              <w:right w:val="nil"/>
            </w:tcBorders>
            <w:noWrap/>
          </w:tcPr>
          <w:p>
            <w:pPr>
              <w:pStyle w:val="yTableNAm"/>
            </w:pPr>
            <w:r>
              <w:t>Cowaramup</w:t>
            </w:r>
          </w:p>
        </w:tc>
        <w:tc>
          <w:tcPr>
            <w:tcW w:w="1985" w:type="dxa"/>
            <w:tcBorders>
              <w:top w:val="nil"/>
              <w:left w:val="nil"/>
              <w:bottom w:val="nil"/>
              <w:right w:val="nil"/>
            </w:tcBorders>
            <w:noWrap/>
            <w:vAlign w:val="bottom"/>
          </w:tcPr>
          <w:p>
            <w:pPr>
              <w:pStyle w:val="yTableNAmRight"/>
              <w:jc w:val="center"/>
            </w:pPr>
            <w:r>
              <w:t>4.489</w:t>
            </w:r>
          </w:p>
        </w:tc>
        <w:tc>
          <w:tcPr>
            <w:tcW w:w="1985" w:type="dxa"/>
            <w:tcBorders>
              <w:top w:val="nil"/>
              <w:left w:val="nil"/>
              <w:bottom w:val="nil"/>
              <w:right w:val="nil"/>
            </w:tcBorders>
            <w:noWrap/>
            <w:vAlign w:val="bottom"/>
          </w:tcPr>
          <w:p>
            <w:pPr>
              <w:pStyle w:val="yTableNAmRight"/>
              <w:jc w:val="center"/>
            </w:pPr>
            <w:r>
              <w:t>4.296</w:t>
            </w:r>
          </w:p>
        </w:tc>
      </w:tr>
      <w:tr>
        <w:trPr>
          <w:cantSplit/>
        </w:trPr>
        <w:tc>
          <w:tcPr>
            <w:tcW w:w="2159" w:type="dxa"/>
            <w:tcBorders>
              <w:top w:val="nil"/>
              <w:left w:val="nil"/>
              <w:bottom w:val="nil"/>
              <w:right w:val="nil"/>
            </w:tcBorders>
            <w:noWrap/>
          </w:tcPr>
          <w:p>
            <w:pPr>
              <w:pStyle w:val="yTableNAm"/>
            </w:pPr>
            <w:r>
              <w:t>Cranbrook</w:t>
            </w:r>
          </w:p>
        </w:tc>
        <w:tc>
          <w:tcPr>
            <w:tcW w:w="1985" w:type="dxa"/>
            <w:tcBorders>
              <w:top w:val="nil"/>
              <w:left w:val="nil"/>
              <w:bottom w:val="nil"/>
              <w:right w:val="nil"/>
            </w:tcBorders>
            <w:noWrap/>
            <w:vAlign w:val="bottom"/>
          </w:tcPr>
          <w:p>
            <w:pPr>
              <w:pStyle w:val="yTableNAmRight"/>
              <w:jc w:val="center"/>
            </w:pPr>
            <w:r>
              <w:t>17.292</w:t>
            </w:r>
          </w:p>
        </w:tc>
        <w:tc>
          <w:tcPr>
            <w:tcW w:w="1985" w:type="dxa"/>
            <w:tcBorders>
              <w:top w:val="nil"/>
              <w:left w:val="nil"/>
              <w:bottom w:val="nil"/>
              <w:right w:val="nil"/>
            </w:tcBorders>
            <w:noWrap/>
            <w:vAlign w:val="bottom"/>
          </w:tcPr>
          <w:p>
            <w:pPr>
              <w:pStyle w:val="yTableNAmRight"/>
              <w:jc w:val="center"/>
            </w:pPr>
            <w:r>
              <w:t>88.584</w:t>
            </w:r>
          </w:p>
        </w:tc>
      </w:tr>
      <w:tr>
        <w:trPr>
          <w:cantSplit/>
        </w:trPr>
        <w:tc>
          <w:tcPr>
            <w:tcW w:w="2159" w:type="dxa"/>
            <w:tcBorders>
              <w:top w:val="nil"/>
              <w:left w:val="nil"/>
              <w:bottom w:val="nil"/>
              <w:right w:val="nil"/>
            </w:tcBorders>
            <w:noWrap/>
          </w:tcPr>
          <w:p>
            <w:pPr>
              <w:pStyle w:val="yTableNAm"/>
            </w:pPr>
            <w:r>
              <w:t>Cunderdin</w:t>
            </w:r>
          </w:p>
        </w:tc>
        <w:tc>
          <w:tcPr>
            <w:tcW w:w="1985" w:type="dxa"/>
            <w:tcBorders>
              <w:top w:val="nil"/>
              <w:left w:val="nil"/>
              <w:bottom w:val="nil"/>
              <w:right w:val="nil"/>
            </w:tcBorders>
            <w:noWrap/>
            <w:vAlign w:val="bottom"/>
          </w:tcPr>
          <w:p>
            <w:pPr>
              <w:pStyle w:val="yTableNAmRight"/>
              <w:jc w:val="center"/>
            </w:pPr>
            <w:r>
              <w:t>25.076</w:t>
            </w:r>
          </w:p>
        </w:tc>
        <w:tc>
          <w:tcPr>
            <w:tcW w:w="1985" w:type="dxa"/>
            <w:tcBorders>
              <w:top w:val="nil"/>
              <w:left w:val="nil"/>
              <w:bottom w:val="nil"/>
              <w:right w:val="nil"/>
            </w:tcBorders>
            <w:noWrap/>
            <w:vAlign w:val="bottom"/>
          </w:tcPr>
          <w:p>
            <w:pPr>
              <w:pStyle w:val="yTableNAmRight"/>
              <w:jc w:val="center"/>
            </w:pPr>
            <w:r>
              <w:t>67.425</w:t>
            </w:r>
          </w:p>
        </w:tc>
      </w:tr>
      <w:tr>
        <w:trPr>
          <w:cantSplit/>
        </w:trPr>
        <w:tc>
          <w:tcPr>
            <w:tcW w:w="2159" w:type="dxa"/>
            <w:tcBorders>
              <w:top w:val="nil"/>
              <w:left w:val="nil"/>
              <w:bottom w:val="nil"/>
              <w:right w:val="nil"/>
            </w:tcBorders>
            <w:noWrap/>
          </w:tcPr>
          <w:p>
            <w:pPr>
              <w:pStyle w:val="yTableNAm"/>
            </w:pPr>
            <w:r>
              <w:t>Dalyellup</w:t>
            </w:r>
          </w:p>
        </w:tc>
        <w:tc>
          <w:tcPr>
            <w:tcW w:w="1985" w:type="dxa"/>
            <w:tcBorders>
              <w:top w:val="nil"/>
              <w:left w:val="nil"/>
              <w:bottom w:val="nil"/>
              <w:right w:val="nil"/>
            </w:tcBorders>
            <w:noWrap/>
            <w:vAlign w:val="bottom"/>
          </w:tcPr>
          <w:p>
            <w:pPr>
              <w:pStyle w:val="yTableNAmRight"/>
              <w:jc w:val="center"/>
            </w:pPr>
            <w:r>
              <w:t>4.776</w:t>
            </w:r>
          </w:p>
        </w:tc>
        <w:tc>
          <w:tcPr>
            <w:tcW w:w="1985" w:type="dxa"/>
            <w:tcBorders>
              <w:top w:val="nil"/>
              <w:left w:val="nil"/>
              <w:bottom w:val="nil"/>
              <w:right w:val="nil"/>
            </w:tcBorders>
            <w:noWrap/>
            <w:vAlign w:val="bottom"/>
          </w:tcPr>
          <w:p>
            <w:pPr>
              <w:pStyle w:val="yTableNAmRight"/>
              <w:jc w:val="center"/>
            </w:pPr>
            <w:r>
              <w:t>6.273</w:t>
            </w:r>
          </w:p>
        </w:tc>
      </w:tr>
      <w:tr>
        <w:trPr>
          <w:cantSplit/>
        </w:trPr>
        <w:tc>
          <w:tcPr>
            <w:tcW w:w="2159" w:type="dxa"/>
            <w:tcBorders>
              <w:top w:val="nil"/>
              <w:left w:val="nil"/>
              <w:bottom w:val="nil"/>
              <w:right w:val="nil"/>
            </w:tcBorders>
            <w:noWrap/>
          </w:tcPr>
          <w:p>
            <w:pPr>
              <w:pStyle w:val="yTableNAm"/>
            </w:pPr>
            <w:r>
              <w:t>Dardanup</w:t>
            </w:r>
          </w:p>
        </w:tc>
        <w:tc>
          <w:tcPr>
            <w:tcW w:w="1985" w:type="dxa"/>
            <w:tcBorders>
              <w:top w:val="nil"/>
              <w:left w:val="nil"/>
              <w:bottom w:val="nil"/>
              <w:right w:val="nil"/>
            </w:tcBorders>
            <w:noWrap/>
            <w:vAlign w:val="bottom"/>
          </w:tcPr>
          <w:p>
            <w:pPr>
              <w:pStyle w:val="yTableNAmRight"/>
              <w:jc w:val="center"/>
            </w:pPr>
            <w:r>
              <w:t>19.872</w:t>
            </w:r>
          </w:p>
        </w:tc>
        <w:tc>
          <w:tcPr>
            <w:tcW w:w="1985" w:type="dxa"/>
            <w:tcBorders>
              <w:top w:val="nil"/>
              <w:left w:val="nil"/>
              <w:bottom w:val="nil"/>
              <w:right w:val="nil"/>
            </w:tcBorders>
            <w:noWrap/>
            <w:vAlign w:val="bottom"/>
          </w:tcPr>
          <w:p>
            <w:pPr>
              <w:pStyle w:val="yTableNAmRight"/>
              <w:jc w:val="center"/>
            </w:pPr>
            <w:r>
              <w:t>62.520</w:t>
            </w:r>
          </w:p>
        </w:tc>
      </w:tr>
      <w:tr>
        <w:trPr>
          <w:cantSplit/>
        </w:trPr>
        <w:tc>
          <w:tcPr>
            <w:tcW w:w="2159" w:type="dxa"/>
            <w:tcBorders>
              <w:top w:val="nil"/>
              <w:left w:val="nil"/>
              <w:bottom w:val="nil"/>
              <w:right w:val="nil"/>
            </w:tcBorders>
            <w:noWrap/>
          </w:tcPr>
          <w:p>
            <w:pPr>
              <w:pStyle w:val="yTableNAm"/>
            </w:pPr>
            <w:r>
              <w:t>Denham</w:t>
            </w:r>
          </w:p>
        </w:tc>
        <w:tc>
          <w:tcPr>
            <w:tcW w:w="1985" w:type="dxa"/>
            <w:tcBorders>
              <w:top w:val="nil"/>
              <w:left w:val="nil"/>
              <w:bottom w:val="nil"/>
              <w:right w:val="nil"/>
            </w:tcBorders>
            <w:noWrap/>
            <w:vAlign w:val="bottom"/>
          </w:tcPr>
          <w:p>
            <w:pPr>
              <w:pStyle w:val="yTableNAmRight"/>
              <w:jc w:val="center"/>
            </w:pPr>
            <w:r>
              <w:t>10.354</w:t>
            </w:r>
          </w:p>
        </w:tc>
        <w:tc>
          <w:tcPr>
            <w:tcW w:w="1985" w:type="dxa"/>
            <w:tcBorders>
              <w:top w:val="nil"/>
              <w:left w:val="nil"/>
              <w:bottom w:val="nil"/>
              <w:right w:val="nil"/>
            </w:tcBorders>
            <w:noWrap/>
            <w:vAlign w:val="bottom"/>
          </w:tcPr>
          <w:p>
            <w:pPr>
              <w:pStyle w:val="yTableNAmRight"/>
              <w:jc w:val="center"/>
            </w:pPr>
            <w:r>
              <w:t>20.501</w:t>
            </w:r>
          </w:p>
        </w:tc>
      </w:tr>
      <w:tr>
        <w:trPr>
          <w:cantSplit/>
        </w:trPr>
        <w:tc>
          <w:tcPr>
            <w:tcW w:w="2159" w:type="dxa"/>
            <w:tcBorders>
              <w:top w:val="nil"/>
              <w:left w:val="nil"/>
              <w:bottom w:val="nil"/>
              <w:right w:val="nil"/>
            </w:tcBorders>
            <w:noWrap/>
          </w:tcPr>
          <w:p>
            <w:pPr>
              <w:pStyle w:val="yTableNAm"/>
            </w:pPr>
            <w:r>
              <w:t>Denmark</w:t>
            </w:r>
          </w:p>
        </w:tc>
        <w:tc>
          <w:tcPr>
            <w:tcW w:w="1985" w:type="dxa"/>
            <w:tcBorders>
              <w:top w:val="nil"/>
              <w:left w:val="nil"/>
              <w:bottom w:val="nil"/>
              <w:right w:val="nil"/>
            </w:tcBorders>
            <w:noWrap/>
            <w:vAlign w:val="bottom"/>
          </w:tcPr>
          <w:p>
            <w:pPr>
              <w:pStyle w:val="yTableNAmRight"/>
              <w:jc w:val="center"/>
            </w:pPr>
            <w:r>
              <w:t>24.025</w:t>
            </w:r>
          </w:p>
        </w:tc>
        <w:tc>
          <w:tcPr>
            <w:tcW w:w="1985" w:type="dxa"/>
            <w:tcBorders>
              <w:top w:val="nil"/>
              <w:left w:val="nil"/>
              <w:bottom w:val="nil"/>
              <w:right w:val="nil"/>
            </w:tcBorders>
            <w:noWrap/>
            <w:vAlign w:val="bottom"/>
          </w:tcPr>
          <w:p>
            <w:pPr>
              <w:pStyle w:val="yTableNAmRight"/>
              <w:jc w:val="center"/>
            </w:pPr>
            <w:r>
              <w:t>56.715</w:t>
            </w:r>
          </w:p>
        </w:tc>
      </w:tr>
      <w:tr>
        <w:trPr>
          <w:cantSplit/>
        </w:trPr>
        <w:tc>
          <w:tcPr>
            <w:tcW w:w="2159" w:type="dxa"/>
            <w:tcBorders>
              <w:top w:val="nil"/>
              <w:left w:val="nil"/>
              <w:bottom w:val="nil"/>
              <w:right w:val="nil"/>
            </w:tcBorders>
            <w:noWrap/>
          </w:tcPr>
          <w:p>
            <w:pPr>
              <w:pStyle w:val="yTableNAm"/>
            </w:pPr>
            <w:r>
              <w:t>Derby</w:t>
            </w:r>
          </w:p>
        </w:tc>
        <w:tc>
          <w:tcPr>
            <w:tcW w:w="1985" w:type="dxa"/>
            <w:tcBorders>
              <w:top w:val="nil"/>
              <w:left w:val="nil"/>
              <w:bottom w:val="nil"/>
              <w:right w:val="nil"/>
            </w:tcBorders>
            <w:noWrap/>
            <w:vAlign w:val="bottom"/>
          </w:tcPr>
          <w:p>
            <w:pPr>
              <w:pStyle w:val="yTableNAmRight"/>
              <w:jc w:val="center"/>
            </w:pPr>
            <w:r>
              <w:t>11.672</w:t>
            </w:r>
          </w:p>
        </w:tc>
        <w:tc>
          <w:tcPr>
            <w:tcW w:w="1985" w:type="dxa"/>
            <w:tcBorders>
              <w:top w:val="nil"/>
              <w:left w:val="nil"/>
              <w:bottom w:val="nil"/>
              <w:right w:val="nil"/>
            </w:tcBorders>
            <w:noWrap/>
            <w:vAlign w:val="bottom"/>
          </w:tcPr>
          <w:p>
            <w:pPr>
              <w:pStyle w:val="yTableNAmRight"/>
              <w:jc w:val="center"/>
            </w:pPr>
            <w:r>
              <w:t>50.526</w:t>
            </w:r>
          </w:p>
        </w:tc>
      </w:tr>
      <w:tr>
        <w:trPr>
          <w:cantSplit/>
        </w:trPr>
        <w:tc>
          <w:tcPr>
            <w:tcW w:w="2159" w:type="dxa"/>
            <w:tcBorders>
              <w:top w:val="nil"/>
              <w:left w:val="nil"/>
              <w:bottom w:val="nil"/>
              <w:right w:val="nil"/>
            </w:tcBorders>
            <w:noWrap/>
          </w:tcPr>
          <w:p>
            <w:pPr>
              <w:pStyle w:val="yTableNAm"/>
            </w:pPr>
            <w:r>
              <w:t>Dongara/Denison</w:t>
            </w:r>
          </w:p>
        </w:tc>
        <w:tc>
          <w:tcPr>
            <w:tcW w:w="1985" w:type="dxa"/>
            <w:tcBorders>
              <w:top w:val="nil"/>
              <w:left w:val="nil"/>
              <w:bottom w:val="nil"/>
              <w:right w:val="nil"/>
            </w:tcBorders>
            <w:noWrap/>
            <w:vAlign w:val="bottom"/>
          </w:tcPr>
          <w:p>
            <w:pPr>
              <w:pStyle w:val="yTableNAmRight"/>
              <w:jc w:val="center"/>
            </w:pPr>
            <w:r>
              <w:t>17.115</w:t>
            </w:r>
          </w:p>
        </w:tc>
        <w:tc>
          <w:tcPr>
            <w:tcW w:w="1985" w:type="dxa"/>
            <w:tcBorders>
              <w:top w:val="nil"/>
              <w:left w:val="nil"/>
              <w:bottom w:val="nil"/>
              <w:right w:val="nil"/>
            </w:tcBorders>
            <w:noWrap/>
            <w:vAlign w:val="bottom"/>
          </w:tcPr>
          <w:p>
            <w:pPr>
              <w:pStyle w:val="yTableNAmRight"/>
              <w:jc w:val="center"/>
            </w:pPr>
            <w:r>
              <w:t>33.605</w:t>
            </w:r>
          </w:p>
        </w:tc>
      </w:tr>
      <w:tr>
        <w:trPr>
          <w:cantSplit/>
        </w:trPr>
        <w:tc>
          <w:tcPr>
            <w:tcW w:w="2159" w:type="dxa"/>
            <w:tcBorders>
              <w:top w:val="nil"/>
              <w:left w:val="nil"/>
              <w:bottom w:val="nil"/>
              <w:right w:val="nil"/>
            </w:tcBorders>
            <w:noWrap/>
          </w:tcPr>
          <w:p>
            <w:pPr>
              <w:pStyle w:val="yTableNAm"/>
            </w:pPr>
            <w:r>
              <w:t>Donnybrook</w:t>
            </w:r>
          </w:p>
        </w:tc>
        <w:tc>
          <w:tcPr>
            <w:tcW w:w="1985" w:type="dxa"/>
            <w:tcBorders>
              <w:top w:val="nil"/>
              <w:left w:val="nil"/>
              <w:bottom w:val="nil"/>
              <w:right w:val="nil"/>
            </w:tcBorders>
            <w:noWrap/>
            <w:vAlign w:val="bottom"/>
          </w:tcPr>
          <w:p>
            <w:pPr>
              <w:pStyle w:val="yTableNAmRight"/>
              <w:jc w:val="center"/>
            </w:pPr>
            <w:r>
              <w:t>36.319</w:t>
            </w:r>
          </w:p>
        </w:tc>
        <w:tc>
          <w:tcPr>
            <w:tcW w:w="1985" w:type="dxa"/>
            <w:tcBorders>
              <w:top w:val="nil"/>
              <w:left w:val="nil"/>
              <w:bottom w:val="nil"/>
              <w:right w:val="nil"/>
            </w:tcBorders>
            <w:noWrap/>
            <w:vAlign w:val="bottom"/>
          </w:tcPr>
          <w:p>
            <w:pPr>
              <w:pStyle w:val="yTableNAmRight"/>
              <w:jc w:val="center"/>
            </w:pPr>
            <w:r>
              <w:t>104.191</w:t>
            </w:r>
          </w:p>
        </w:tc>
      </w:tr>
      <w:tr>
        <w:trPr>
          <w:cantSplit/>
        </w:trPr>
        <w:tc>
          <w:tcPr>
            <w:tcW w:w="2159" w:type="dxa"/>
            <w:tcBorders>
              <w:top w:val="nil"/>
              <w:left w:val="nil"/>
              <w:bottom w:val="nil"/>
              <w:right w:val="nil"/>
            </w:tcBorders>
            <w:noWrap/>
          </w:tcPr>
          <w:p>
            <w:pPr>
              <w:pStyle w:val="yTableNAm"/>
            </w:pPr>
            <w:r>
              <w:t>Dunsborough</w:t>
            </w:r>
          </w:p>
        </w:tc>
        <w:tc>
          <w:tcPr>
            <w:tcW w:w="1985" w:type="dxa"/>
            <w:tcBorders>
              <w:top w:val="nil"/>
              <w:left w:val="nil"/>
              <w:bottom w:val="nil"/>
              <w:right w:val="nil"/>
            </w:tcBorders>
            <w:noWrap/>
            <w:vAlign w:val="bottom"/>
          </w:tcPr>
          <w:p>
            <w:pPr>
              <w:pStyle w:val="yTableNAmRight"/>
              <w:jc w:val="center"/>
            </w:pPr>
            <w:r>
              <w:t>5.296</w:t>
            </w:r>
          </w:p>
        </w:tc>
        <w:tc>
          <w:tcPr>
            <w:tcW w:w="1985" w:type="dxa"/>
            <w:tcBorders>
              <w:top w:val="nil"/>
              <w:left w:val="nil"/>
              <w:bottom w:val="nil"/>
              <w:right w:val="nil"/>
            </w:tcBorders>
            <w:noWrap/>
            <w:vAlign w:val="bottom"/>
          </w:tcPr>
          <w:p>
            <w:pPr>
              <w:pStyle w:val="yTableNAmRight"/>
              <w:jc w:val="center"/>
            </w:pPr>
            <w:r>
              <w:t>3.473</w:t>
            </w:r>
          </w:p>
        </w:tc>
      </w:tr>
      <w:tr>
        <w:trPr>
          <w:cantSplit/>
        </w:trPr>
        <w:tc>
          <w:tcPr>
            <w:tcW w:w="2159" w:type="dxa"/>
            <w:tcBorders>
              <w:top w:val="nil"/>
              <w:left w:val="nil"/>
              <w:bottom w:val="nil"/>
              <w:right w:val="nil"/>
            </w:tcBorders>
            <w:noWrap/>
          </w:tcPr>
          <w:p>
            <w:pPr>
              <w:pStyle w:val="yTableNAm"/>
            </w:pPr>
            <w:r>
              <w:t>Eaton</w:t>
            </w:r>
          </w:p>
        </w:tc>
        <w:tc>
          <w:tcPr>
            <w:tcW w:w="1985" w:type="dxa"/>
            <w:tcBorders>
              <w:top w:val="nil"/>
              <w:left w:val="nil"/>
              <w:bottom w:val="nil"/>
              <w:right w:val="nil"/>
            </w:tcBorders>
            <w:noWrap/>
            <w:vAlign w:val="bottom"/>
          </w:tcPr>
          <w:p>
            <w:pPr>
              <w:pStyle w:val="yTableNAmRight"/>
              <w:jc w:val="center"/>
            </w:pPr>
            <w:r>
              <w:t>7.812</w:t>
            </w:r>
          </w:p>
        </w:tc>
        <w:tc>
          <w:tcPr>
            <w:tcW w:w="1985" w:type="dxa"/>
            <w:tcBorders>
              <w:top w:val="nil"/>
              <w:left w:val="nil"/>
              <w:bottom w:val="nil"/>
              <w:right w:val="nil"/>
            </w:tcBorders>
            <w:noWrap/>
            <w:vAlign w:val="bottom"/>
          </w:tcPr>
          <w:p>
            <w:pPr>
              <w:pStyle w:val="yTableNAmRight"/>
              <w:jc w:val="center"/>
            </w:pPr>
            <w:r>
              <w:t>9.836</w:t>
            </w:r>
          </w:p>
        </w:tc>
      </w:tr>
      <w:tr>
        <w:trPr>
          <w:cantSplit/>
        </w:trPr>
        <w:tc>
          <w:tcPr>
            <w:tcW w:w="2159" w:type="dxa"/>
            <w:tcBorders>
              <w:top w:val="nil"/>
              <w:left w:val="nil"/>
              <w:bottom w:val="nil"/>
              <w:right w:val="nil"/>
            </w:tcBorders>
            <w:noWrap/>
          </w:tcPr>
          <w:p>
            <w:pPr>
              <w:pStyle w:val="yTableNAm"/>
            </w:pPr>
            <w:r>
              <w:t>Eneabba</w:t>
            </w:r>
          </w:p>
        </w:tc>
        <w:tc>
          <w:tcPr>
            <w:tcW w:w="1985" w:type="dxa"/>
            <w:tcBorders>
              <w:top w:val="nil"/>
              <w:left w:val="nil"/>
              <w:bottom w:val="nil"/>
              <w:right w:val="nil"/>
            </w:tcBorders>
            <w:noWrap/>
            <w:vAlign w:val="bottom"/>
          </w:tcPr>
          <w:p>
            <w:pPr>
              <w:pStyle w:val="yTableNAmRight"/>
              <w:jc w:val="center"/>
            </w:pPr>
            <w:r>
              <w:t>35.754</w:t>
            </w:r>
          </w:p>
        </w:tc>
        <w:tc>
          <w:tcPr>
            <w:tcW w:w="1985" w:type="dxa"/>
            <w:tcBorders>
              <w:top w:val="nil"/>
              <w:left w:val="nil"/>
              <w:bottom w:val="nil"/>
              <w:right w:val="nil"/>
            </w:tcBorders>
            <w:noWrap/>
            <w:vAlign w:val="bottom"/>
          </w:tcPr>
          <w:p>
            <w:pPr>
              <w:pStyle w:val="yTableNAmRight"/>
              <w:jc w:val="center"/>
            </w:pPr>
            <w:r>
              <w:t>277.596</w:t>
            </w:r>
          </w:p>
        </w:tc>
      </w:tr>
      <w:tr>
        <w:trPr>
          <w:cantSplit/>
        </w:trPr>
        <w:tc>
          <w:tcPr>
            <w:tcW w:w="2159" w:type="dxa"/>
            <w:tcBorders>
              <w:top w:val="nil"/>
              <w:left w:val="nil"/>
              <w:bottom w:val="nil"/>
              <w:right w:val="nil"/>
            </w:tcBorders>
            <w:noWrap/>
          </w:tcPr>
          <w:p>
            <w:pPr>
              <w:pStyle w:val="yTableNAm"/>
            </w:pPr>
            <w:r>
              <w:t>Esperance</w:t>
            </w:r>
          </w:p>
        </w:tc>
        <w:tc>
          <w:tcPr>
            <w:tcW w:w="1985" w:type="dxa"/>
            <w:tcBorders>
              <w:top w:val="nil"/>
              <w:left w:val="nil"/>
              <w:bottom w:val="nil"/>
              <w:right w:val="nil"/>
            </w:tcBorders>
            <w:noWrap/>
            <w:vAlign w:val="bottom"/>
          </w:tcPr>
          <w:p>
            <w:pPr>
              <w:pStyle w:val="yTableNAmRight"/>
              <w:jc w:val="center"/>
            </w:pPr>
            <w:r>
              <w:t>9.815</w:t>
            </w:r>
          </w:p>
        </w:tc>
        <w:tc>
          <w:tcPr>
            <w:tcW w:w="1985" w:type="dxa"/>
            <w:tcBorders>
              <w:top w:val="nil"/>
              <w:left w:val="nil"/>
              <w:bottom w:val="nil"/>
              <w:right w:val="nil"/>
            </w:tcBorders>
            <w:noWrap/>
            <w:vAlign w:val="bottom"/>
          </w:tcPr>
          <w:p>
            <w:pPr>
              <w:pStyle w:val="yTableNAmRight"/>
              <w:jc w:val="center"/>
            </w:pPr>
            <w:r>
              <w:t>15.007</w:t>
            </w:r>
          </w:p>
        </w:tc>
      </w:tr>
      <w:tr>
        <w:trPr>
          <w:cantSplit/>
        </w:trPr>
        <w:tc>
          <w:tcPr>
            <w:tcW w:w="2159" w:type="dxa"/>
            <w:tcBorders>
              <w:top w:val="nil"/>
              <w:left w:val="nil"/>
              <w:bottom w:val="nil"/>
              <w:right w:val="nil"/>
            </w:tcBorders>
            <w:noWrap/>
          </w:tcPr>
          <w:p>
            <w:pPr>
              <w:pStyle w:val="yTableNAm"/>
            </w:pPr>
            <w:r>
              <w:t>Exmouth</w:t>
            </w:r>
          </w:p>
        </w:tc>
        <w:tc>
          <w:tcPr>
            <w:tcW w:w="1985" w:type="dxa"/>
            <w:tcBorders>
              <w:top w:val="nil"/>
              <w:left w:val="nil"/>
              <w:bottom w:val="nil"/>
              <w:right w:val="nil"/>
            </w:tcBorders>
            <w:noWrap/>
            <w:vAlign w:val="bottom"/>
          </w:tcPr>
          <w:p>
            <w:pPr>
              <w:pStyle w:val="yTableNAmRight"/>
              <w:jc w:val="center"/>
            </w:pPr>
            <w:r>
              <w:t>3.197</w:t>
            </w:r>
          </w:p>
        </w:tc>
        <w:tc>
          <w:tcPr>
            <w:tcW w:w="1985" w:type="dxa"/>
            <w:tcBorders>
              <w:top w:val="nil"/>
              <w:left w:val="nil"/>
              <w:bottom w:val="nil"/>
              <w:right w:val="nil"/>
            </w:tcBorders>
            <w:noWrap/>
            <w:vAlign w:val="bottom"/>
          </w:tcPr>
          <w:p>
            <w:pPr>
              <w:pStyle w:val="yTableNAmRight"/>
              <w:jc w:val="center"/>
            </w:pPr>
            <w:r>
              <w:t>5.986</w:t>
            </w:r>
          </w:p>
        </w:tc>
      </w:tr>
      <w:tr>
        <w:trPr>
          <w:cantSplit/>
        </w:trPr>
        <w:tc>
          <w:tcPr>
            <w:tcW w:w="2159" w:type="dxa"/>
            <w:tcBorders>
              <w:top w:val="nil"/>
              <w:left w:val="nil"/>
              <w:bottom w:val="nil"/>
              <w:right w:val="nil"/>
            </w:tcBorders>
            <w:noWrap/>
          </w:tcPr>
          <w:p>
            <w:pPr>
              <w:pStyle w:val="yTableNAm"/>
            </w:pPr>
            <w:r>
              <w:lastRenderedPageBreak/>
              <w:t>Fitzroy Crossing</w:t>
            </w:r>
          </w:p>
        </w:tc>
        <w:tc>
          <w:tcPr>
            <w:tcW w:w="1985" w:type="dxa"/>
            <w:tcBorders>
              <w:top w:val="nil"/>
              <w:left w:val="nil"/>
              <w:bottom w:val="nil"/>
              <w:right w:val="nil"/>
            </w:tcBorders>
            <w:noWrap/>
            <w:vAlign w:val="bottom"/>
          </w:tcPr>
          <w:p>
            <w:pPr>
              <w:pStyle w:val="yTableNAmRight"/>
              <w:jc w:val="center"/>
            </w:pPr>
            <w:r>
              <w:t>8.791</w:t>
            </w:r>
          </w:p>
        </w:tc>
        <w:tc>
          <w:tcPr>
            <w:tcW w:w="1985" w:type="dxa"/>
            <w:tcBorders>
              <w:top w:val="nil"/>
              <w:left w:val="nil"/>
              <w:bottom w:val="nil"/>
              <w:right w:val="nil"/>
            </w:tcBorders>
            <w:noWrap/>
            <w:vAlign w:val="bottom"/>
          </w:tcPr>
          <w:p>
            <w:pPr>
              <w:pStyle w:val="yTableNAmRight"/>
              <w:jc w:val="center"/>
            </w:pPr>
            <w:r>
              <w:t>15.739</w:t>
            </w:r>
          </w:p>
        </w:tc>
      </w:tr>
      <w:tr>
        <w:trPr>
          <w:cantSplit/>
        </w:trPr>
        <w:tc>
          <w:tcPr>
            <w:tcW w:w="2159" w:type="dxa"/>
            <w:tcBorders>
              <w:top w:val="nil"/>
              <w:left w:val="nil"/>
              <w:bottom w:val="nil"/>
              <w:right w:val="nil"/>
            </w:tcBorders>
            <w:noWrap/>
          </w:tcPr>
          <w:p>
            <w:pPr>
              <w:pStyle w:val="yTableNAm"/>
            </w:pPr>
            <w:r>
              <w:t>Geraldton</w:t>
            </w:r>
          </w:p>
        </w:tc>
        <w:tc>
          <w:tcPr>
            <w:tcW w:w="1985" w:type="dxa"/>
            <w:tcBorders>
              <w:top w:val="nil"/>
              <w:left w:val="nil"/>
              <w:bottom w:val="nil"/>
              <w:right w:val="nil"/>
            </w:tcBorders>
            <w:noWrap/>
            <w:vAlign w:val="bottom"/>
          </w:tcPr>
          <w:p>
            <w:pPr>
              <w:pStyle w:val="yTableNAmRight"/>
              <w:jc w:val="center"/>
            </w:pPr>
            <w:r>
              <w:t>9.082</w:t>
            </w:r>
          </w:p>
        </w:tc>
        <w:tc>
          <w:tcPr>
            <w:tcW w:w="1985" w:type="dxa"/>
            <w:tcBorders>
              <w:top w:val="nil"/>
              <w:left w:val="nil"/>
              <w:bottom w:val="nil"/>
              <w:right w:val="nil"/>
            </w:tcBorders>
            <w:noWrap/>
            <w:vAlign w:val="bottom"/>
          </w:tcPr>
          <w:p>
            <w:pPr>
              <w:pStyle w:val="yTableNAmRight"/>
              <w:jc w:val="center"/>
            </w:pPr>
            <w:r>
              <w:t>18.340</w:t>
            </w:r>
          </w:p>
        </w:tc>
      </w:tr>
      <w:tr>
        <w:trPr>
          <w:cantSplit/>
        </w:trPr>
        <w:tc>
          <w:tcPr>
            <w:tcW w:w="2159" w:type="dxa"/>
            <w:tcBorders>
              <w:top w:val="nil"/>
              <w:left w:val="nil"/>
              <w:bottom w:val="nil"/>
              <w:right w:val="nil"/>
            </w:tcBorders>
            <w:noWrap/>
          </w:tcPr>
          <w:p>
            <w:pPr>
              <w:pStyle w:val="yTableNAm"/>
            </w:pPr>
            <w:r>
              <w:t>Gnowangerup</w:t>
            </w:r>
          </w:p>
        </w:tc>
        <w:tc>
          <w:tcPr>
            <w:tcW w:w="1985" w:type="dxa"/>
            <w:tcBorders>
              <w:top w:val="nil"/>
              <w:left w:val="nil"/>
              <w:bottom w:val="nil"/>
              <w:right w:val="nil"/>
            </w:tcBorders>
            <w:noWrap/>
            <w:vAlign w:val="bottom"/>
          </w:tcPr>
          <w:p>
            <w:pPr>
              <w:pStyle w:val="yTableNAmRight"/>
              <w:jc w:val="center"/>
            </w:pPr>
            <w:r>
              <w:t>18.027</w:t>
            </w:r>
          </w:p>
        </w:tc>
        <w:tc>
          <w:tcPr>
            <w:tcW w:w="1985" w:type="dxa"/>
            <w:tcBorders>
              <w:top w:val="nil"/>
              <w:left w:val="nil"/>
              <w:bottom w:val="nil"/>
              <w:right w:val="nil"/>
            </w:tcBorders>
            <w:noWrap/>
            <w:vAlign w:val="bottom"/>
          </w:tcPr>
          <w:p>
            <w:pPr>
              <w:pStyle w:val="yTableNAmRight"/>
              <w:jc w:val="center"/>
            </w:pPr>
            <w:r>
              <w:t>52.951</w:t>
            </w:r>
          </w:p>
        </w:tc>
      </w:tr>
      <w:tr>
        <w:trPr>
          <w:cantSplit/>
        </w:trPr>
        <w:tc>
          <w:tcPr>
            <w:tcW w:w="2159" w:type="dxa"/>
            <w:tcBorders>
              <w:top w:val="nil"/>
              <w:left w:val="nil"/>
              <w:bottom w:val="nil"/>
              <w:right w:val="nil"/>
            </w:tcBorders>
            <w:noWrap/>
          </w:tcPr>
          <w:p>
            <w:pPr>
              <w:pStyle w:val="yTableNAm"/>
            </w:pPr>
            <w:r>
              <w:t>Greenhead</w:t>
            </w:r>
          </w:p>
        </w:tc>
        <w:tc>
          <w:tcPr>
            <w:tcW w:w="1985" w:type="dxa"/>
            <w:tcBorders>
              <w:top w:val="nil"/>
              <w:left w:val="nil"/>
              <w:bottom w:val="nil"/>
              <w:right w:val="nil"/>
            </w:tcBorders>
            <w:noWrap/>
            <w:vAlign w:val="bottom"/>
          </w:tcPr>
          <w:p>
            <w:pPr>
              <w:pStyle w:val="yTableNAmRight"/>
              <w:jc w:val="center"/>
            </w:pPr>
            <w:r>
              <w:t>9.053</w:t>
            </w:r>
          </w:p>
        </w:tc>
        <w:tc>
          <w:tcPr>
            <w:tcW w:w="1985" w:type="dxa"/>
            <w:tcBorders>
              <w:top w:val="nil"/>
              <w:left w:val="nil"/>
              <w:bottom w:val="nil"/>
              <w:right w:val="nil"/>
            </w:tcBorders>
            <w:noWrap/>
            <w:vAlign w:val="bottom"/>
          </w:tcPr>
          <w:p>
            <w:pPr>
              <w:pStyle w:val="yTableNAmRight"/>
              <w:jc w:val="center"/>
            </w:pPr>
            <w:r>
              <w:t>21.288</w:t>
            </w:r>
          </w:p>
        </w:tc>
      </w:tr>
      <w:tr>
        <w:trPr>
          <w:cantSplit/>
        </w:trPr>
        <w:tc>
          <w:tcPr>
            <w:tcW w:w="2159" w:type="dxa"/>
            <w:tcBorders>
              <w:top w:val="nil"/>
              <w:left w:val="nil"/>
              <w:bottom w:val="nil"/>
              <w:right w:val="nil"/>
            </w:tcBorders>
            <w:noWrap/>
          </w:tcPr>
          <w:p>
            <w:pPr>
              <w:pStyle w:val="yTableNAm"/>
            </w:pPr>
            <w:r>
              <w:t>Halls Creek</w:t>
            </w:r>
          </w:p>
        </w:tc>
        <w:tc>
          <w:tcPr>
            <w:tcW w:w="1985" w:type="dxa"/>
            <w:tcBorders>
              <w:top w:val="nil"/>
              <w:left w:val="nil"/>
              <w:bottom w:val="nil"/>
              <w:right w:val="nil"/>
            </w:tcBorders>
            <w:noWrap/>
            <w:vAlign w:val="bottom"/>
          </w:tcPr>
          <w:p>
            <w:pPr>
              <w:pStyle w:val="yTableNAmRight"/>
              <w:jc w:val="center"/>
            </w:pPr>
            <w:r>
              <w:t>15.318</w:t>
            </w:r>
          </w:p>
        </w:tc>
        <w:tc>
          <w:tcPr>
            <w:tcW w:w="1985" w:type="dxa"/>
            <w:tcBorders>
              <w:top w:val="nil"/>
              <w:left w:val="nil"/>
              <w:bottom w:val="nil"/>
              <w:right w:val="nil"/>
            </w:tcBorders>
            <w:noWrap/>
            <w:vAlign w:val="bottom"/>
          </w:tcPr>
          <w:p>
            <w:pPr>
              <w:pStyle w:val="yTableNAmRight"/>
              <w:jc w:val="center"/>
            </w:pPr>
            <w:r>
              <w:t>80.407</w:t>
            </w:r>
          </w:p>
        </w:tc>
      </w:tr>
      <w:tr>
        <w:trPr>
          <w:cantSplit/>
        </w:trPr>
        <w:tc>
          <w:tcPr>
            <w:tcW w:w="2159" w:type="dxa"/>
            <w:tcBorders>
              <w:top w:val="nil"/>
              <w:left w:val="nil"/>
              <w:bottom w:val="nil"/>
              <w:right w:val="nil"/>
            </w:tcBorders>
            <w:noWrap/>
          </w:tcPr>
          <w:p>
            <w:pPr>
              <w:pStyle w:val="yTableNAm"/>
            </w:pPr>
            <w:r>
              <w:t>Harvey</w:t>
            </w:r>
          </w:p>
        </w:tc>
        <w:tc>
          <w:tcPr>
            <w:tcW w:w="1985" w:type="dxa"/>
            <w:tcBorders>
              <w:top w:val="nil"/>
              <w:left w:val="nil"/>
              <w:bottom w:val="nil"/>
              <w:right w:val="nil"/>
            </w:tcBorders>
            <w:noWrap/>
            <w:vAlign w:val="bottom"/>
          </w:tcPr>
          <w:p>
            <w:pPr>
              <w:pStyle w:val="yTableNAmRight"/>
              <w:jc w:val="center"/>
            </w:pPr>
            <w:r>
              <w:t>10.502</w:t>
            </w:r>
          </w:p>
        </w:tc>
        <w:tc>
          <w:tcPr>
            <w:tcW w:w="1985" w:type="dxa"/>
            <w:tcBorders>
              <w:top w:val="nil"/>
              <w:left w:val="nil"/>
              <w:bottom w:val="nil"/>
              <w:right w:val="nil"/>
            </w:tcBorders>
            <w:noWrap/>
            <w:vAlign w:val="bottom"/>
          </w:tcPr>
          <w:p>
            <w:pPr>
              <w:pStyle w:val="yTableNAmRight"/>
              <w:jc w:val="center"/>
            </w:pPr>
            <w:r>
              <w:t>18.267</w:t>
            </w:r>
          </w:p>
        </w:tc>
      </w:tr>
      <w:tr>
        <w:trPr>
          <w:cantSplit/>
        </w:trPr>
        <w:tc>
          <w:tcPr>
            <w:tcW w:w="2159" w:type="dxa"/>
            <w:tcBorders>
              <w:top w:val="nil"/>
              <w:left w:val="nil"/>
              <w:bottom w:val="nil"/>
              <w:right w:val="nil"/>
            </w:tcBorders>
            <w:noWrap/>
          </w:tcPr>
          <w:p>
            <w:pPr>
              <w:pStyle w:val="yTableNAm"/>
            </w:pPr>
            <w:r>
              <w:t>Hopetoun</w:t>
            </w:r>
          </w:p>
        </w:tc>
        <w:tc>
          <w:tcPr>
            <w:tcW w:w="1985" w:type="dxa"/>
            <w:tcBorders>
              <w:top w:val="nil"/>
              <w:left w:val="nil"/>
              <w:bottom w:val="nil"/>
              <w:right w:val="nil"/>
            </w:tcBorders>
            <w:noWrap/>
            <w:vAlign w:val="bottom"/>
          </w:tcPr>
          <w:p>
            <w:pPr>
              <w:pStyle w:val="yTableNAmRight"/>
              <w:jc w:val="center"/>
            </w:pPr>
            <w:r>
              <w:t>50.555</w:t>
            </w:r>
          </w:p>
        </w:tc>
        <w:tc>
          <w:tcPr>
            <w:tcW w:w="1985" w:type="dxa"/>
            <w:tcBorders>
              <w:top w:val="nil"/>
              <w:left w:val="nil"/>
              <w:bottom w:val="nil"/>
              <w:right w:val="nil"/>
            </w:tcBorders>
            <w:noWrap/>
            <w:vAlign w:val="bottom"/>
          </w:tcPr>
          <w:p>
            <w:pPr>
              <w:pStyle w:val="yTableNAmRight"/>
              <w:jc w:val="center"/>
            </w:pPr>
            <w:r>
              <w:t>140.598</w:t>
            </w:r>
          </w:p>
        </w:tc>
      </w:tr>
      <w:tr>
        <w:trPr>
          <w:cantSplit/>
        </w:trPr>
        <w:tc>
          <w:tcPr>
            <w:tcW w:w="2159" w:type="dxa"/>
            <w:tcBorders>
              <w:top w:val="nil"/>
              <w:left w:val="nil"/>
              <w:bottom w:val="nil"/>
              <w:right w:val="nil"/>
            </w:tcBorders>
            <w:noWrap/>
          </w:tcPr>
          <w:p>
            <w:pPr>
              <w:pStyle w:val="yTableNAm"/>
            </w:pPr>
            <w:r>
              <w:t>Horrocks</w:t>
            </w:r>
          </w:p>
        </w:tc>
        <w:tc>
          <w:tcPr>
            <w:tcW w:w="1985" w:type="dxa"/>
            <w:tcBorders>
              <w:top w:val="nil"/>
              <w:left w:val="nil"/>
              <w:bottom w:val="nil"/>
              <w:right w:val="nil"/>
            </w:tcBorders>
            <w:noWrap/>
            <w:vAlign w:val="bottom"/>
          </w:tcPr>
          <w:p>
            <w:pPr>
              <w:pStyle w:val="yTableNAmRight"/>
              <w:jc w:val="center"/>
            </w:pPr>
            <w:r>
              <w:t>26.696</w:t>
            </w:r>
          </w:p>
        </w:tc>
        <w:tc>
          <w:tcPr>
            <w:tcW w:w="1985" w:type="dxa"/>
            <w:tcBorders>
              <w:top w:val="nil"/>
              <w:left w:val="nil"/>
              <w:bottom w:val="nil"/>
              <w:right w:val="nil"/>
            </w:tcBorders>
            <w:noWrap/>
            <w:vAlign w:val="bottom"/>
          </w:tcPr>
          <w:p>
            <w:pPr>
              <w:pStyle w:val="yTableNAmRight"/>
              <w:jc w:val="center"/>
            </w:pPr>
            <w:r>
              <w:t>45.572</w:t>
            </w:r>
          </w:p>
        </w:tc>
      </w:tr>
      <w:tr>
        <w:trPr>
          <w:cantSplit/>
        </w:trPr>
        <w:tc>
          <w:tcPr>
            <w:tcW w:w="2159" w:type="dxa"/>
            <w:tcBorders>
              <w:top w:val="nil"/>
              <w:left w:val="nil"/>
              <w:bottom w:val="nil"/>
              <w:right w:val="nil"/>
            </w:tcBorders>
            <w:noWrap/>
          </w:tcPr>
          <w:p>
            <w:pPr>
              <w:pStyle w:val="yTableNAm"/>
            </w:pPr>
            <w:r>
              <w:t>Hyden</w:t>
            </w:r>
          </w:p>
        </w:tc>
        <w:tc>
          <w:tcPr>
            <w:tcW w:w="1985" w:type="dxa"/>
            <w:tcBorders>
              <w:top w:val="nil"/>
              <w:left w:val="nil"/>
              <w:bottom w:val="nil"/>
              <w:right w:val="nil"/>
            </w:tcBorders>
            <w:noWrap/>
            <w:vAlign w:val="bottom"/>
          </w:tcPr>
          <w:p>
            <w:pPr>
              <w:pStyle w:val="yTableNAmRight"/>
              <w:jc w:val="center"/>
            </w:pPr>
            <w:r>
              <w:t>84.607</w:t>
            </w:r>
          </w:p>
        </w:tc>
        <w:tc>
          <w:tcPr>
            <w:tcW w:w="1985" w:type="dxa"/>
            <w:tcBorders>
              <w:top w:val="nil"/>
              <w:left w:val="nil"/>
              <w:bottom w:val="nil"/>
              <w:right w:val="nil"/>
            </w:tcBorders>
            <w:noWrap/>
            <w:vAlign w:val="bottom"/>
          </w:tcPr>
          <w:p>
            <w:pPr>
              <w:pStyle w:val="yTableNAmRight"/>
              <w:jc w:val="center"/>
            </w:pPr>
            <w:r>
              <w:t>393.523</w:t>
            </w:r>
          </w:p>
        </w:tc>
      </w:tr>
      <w:tr>
        <w:trPr>
          <w:cantSplit/>
        </w:trPr>
        <w:tc>
          <w:tcPr>
            <w:tcW w:w="2159" w:type="dxa"/>
            <w:tcBorders>
              <w:top w:val="nil"/>
              <w:left w:val="nil"/>
              <w:bottom w:val="nil"/>
              <w:right w:val="nil"/>
            </w:tcBorders>
            <w:noWrap/>
          </w:tcPr>
          <w:p>
            <w:pPr>
              <w:pStyle w:val="yTableNAm"/>
            </w:pPr>
            <w:r>
              <w:t>Jurien</w:t>
            </w:r>
          </w:p>
        </w:tc>
        <w:tc>
          <w:tcPr>
            <w:tcW w:w="1985" w:type="dxa"/>
            <w:tcBorders>
              <w:top w:val="nil"/>
              <w:left w:val="nil"/>
              <w:bottom w:val="nil"/>
              <w:right w:val="nil"/>
            </w:tcBorders>
            <w:noWrap/>
            <w:vAlign w:val="bottom"/>
          </w:tcPr>
          <w:p>
            <w:pPr>
              <w:pStyle w:val="yTableNAmRight"/>
              <w:jc w:val="center"/>
            </w:pPr>
            <w:r>
              <w:t>4.618</w:t>
            </w:r>
          </w:p>
        </w:tc>
        <w:tc>
          <w:tcPr>
            <w:tcW w:w="1985" w:type="dxa"/>
            <w:tcBorders>
              <w:top w:val="nil"/>
              <w:left w:val="nil"/>
              <w:bottom w:val="nil"/>
              <w:right w:val="nil"/>
            </w:tcBorders>
            <w:noWrap/>
            <w:vAlign w:val="bottom"/>
          </w:tcPr>
          <w:p>
            <w:pPr>
              <w:pStyle w:val="yTableNAmRight"/>
              <w:jc w:val="center"/>
            </w:pPr>
            <w:r>
              <w:t>10.984</w:t>
            </w:r>
          </w:p>
        </w:tc>
      </w:tr>
      <w:tr>
        <w:trPr>
          <w:cantSplit/>
        </w:trPr>
        <w:tc>
          <w:tcPr>
            <w:tcW w:w="2159" w:type="dxa"/>
            <w:tcBorders>
              <w:top w:val="nil"/>
              <w:left w:val="nil"/>
              <w:bottom w:val="nil"/>
              <w:right w:val="nil"/>
            </w:tcBorders>
            <w:noWrap/>
          </w:tcPr>
          <w:p>
            <w:pPr>
              <w:pStyle w:val="yTableNAm"/>
            </w:pPr>
            <w:r>
              <w:t>Kalbarri</w:t>
            </w:r>
          </w:p>
        </w:tc>
        <w:tc>
          <w:tcPr>
            <w:tcW w:w="1985" w:type="dxa"/>
            <w:tcBorders>
              <w:top w:val="nil"/>
              <w:left w:val="nil"/>
              <w:bottom w:val="nil"/>
              <w:right w:val="nil"/>
            </w:tcBorders>
            <w:noWrap/>
            <w:vAlign w:val="bottom"/>
          </w:tcPr>
          <w:p>
            <w:pPr>
              <w:pStyle w:val="yTableNAmRight"/>
              <w:jc w:val="center"/>
            </w:pPr>
            <w:r>
              <w:t>11.216</w:t>
            </w:r>
          </w:p>
        </w:tc>
        <w:tc>
          <w:tcPr>
            <w:tcW w:w="1985" w:type="dxa"/>
            <w:tcBorders>
              <w:top w:val="nil"/>
              <w:left w:val="nil"/>
              <w:bottom w:val="nil"/>
              <w:right w:val="nil"/>
            </w:tcBorders>
            <w:noWrap/>
            <w:vAlign w:val="bottom"/>
          </w:tcPr>
          <w:p>
            <w:pPr>
              <w:pStyle w:val="yTableNAmRight"/>
              <w:jc w:val="center"/>
            </w:pPr>
            <w:r>
              <w:t>24.261</w:t>
            </w:r>
          </w:p>
        </w:tc>
      </w:tr>
      <w:tr>
        <w:trPr>
          <w:cantSplit/>
        </w:trPr>
        <w:tc>
          <w:tcPr>
            <w:tcW w:w="2159" w:type="dxa"/>
            <w:tcBorders>
              <w:top w:val="nil"/>
              <w:left w:val="nil"/>
              <w:bottom w:val="nil"/>
              <w:right w:val="nil"/>
            </w:tcBorders>
            <w:noWrap/>
          </w:tcPr>
          <w:p>
            <w:pPr>
              <w:pStyle w:val="yTableNAm"/>
            </w:pPr>
            <w:r>
              <w:t>Kambalda</w:t>
            </w:r>
          </w:p>
        </w:tc>
        <w:tc>
          <w:tcPr>
            <w:tcW w:w="1985" w:type="dxa"/>
            <w:tcBorders>
              <w:top w:val="nil"/>
              <w:left w:val="nil"/>
              <w:bottom w:val="nil"/>
              <w:right w:val="nil"/>
            </w:tcBorders>
            <w:noWrap/>
            <w:vAlign w:val="bottom"/>
          </w:tcPr>
          <w:p>
            <w:pPr>
              <w:pStyle w:val="yTableNAmRight"/>
              <w:jc w:val="center"/>
            </w:pPr>
            <w:r>
              <w:t>8.739</w:t>
            </w:r>
          </w:p>
        </w:tc>
        <w:tc>
          <w:tcPr>
            <w:tcW w:w="1985" w:type="dxa"/>
            <w:tcBorders>
              <w:top w:val="nil"/>
              <w:left w:val="nil"/>
              <w:bottom w:val="nil"/>
              <w:right w:val="nil"/>
            </w:tcBorders>
            <w:noWrap/>
            <w:vAlign w:val="bottom"/>
          </w:tcPr>
          <w:p>
            <w:pPr>
              <w:pStyle w:val="yTableNAmRight"/>
              <w:jc w:val="center"/>
            </w:pPr>
            <w:r>
              <w:t>62.916</w:t>
            </w:r>
          </w:p>
        </w:tc>
      </w:tr>
      <w:tr>
        <w:trPr>
          <w:cantSplit/>
        </w:trPr>
        <w:tc>
          <w:tcPr>
            <w:tcW w:w="2159" w:type="dxa"/>
            <w:tcBorders>
              <w:top w:val="nil"/>
              <w:left w:val="nil"/>
              <w:bottom w:val="nil"/>
              <w:right w:val="nil"/>
            </w:tcBorders>
            <w:noWrap/>
          </w:tcPr>
          <w:p>
            <w:pPr>
              <w:pStyle w:val="yTableNAm"/>
            </w:pPr>
            <w:r>
              <w:t>Karratha</w:t>
            </w:r>
          </w:p>
        </w:tc>
        <w:tc>
          <w:tcPr>
            <w:tcW w:w="1985" w:type="dxa"/>
            <w:tcBorders>
              <w:top w:val="nil"/>
              <w:left w:val="nil"/>
              <w:bottom w:val="nil"/>
              <w:right w:val="nil"/>
            </w:tcBorders>
            <w:noWrap/>
            <w:vAlign w:val="bottom"/>
          </w:tcPr>
          <w:p>
            <w:pPr>
              <w:pStyle w:val="yTableNAmRight"/>
              <w:jc w:val="center"/>
            </w:pPr>
            <w:r>
              <w:t>2.630</w:t>
            </w:r>
          </w:p>
        </w:tc>
        <w:tc>
          <w:tcPr>
            <w:tcW w:w="1985" w:type="dxa"/>
            <w:tcBorders>
              <w:top w:val="nil"/>
              <w:left w:val="nil"/>
              <w:bottom w:val="nil"/>
              <w:right w:val="nil"/>
            </w:tcBorders>
            <w:noWrap/>
            <w:vAlign w:val="bottom"/>
          </w:tcPr>
          <w:p>
            <w:pPr>
              <w:pStyle w:val="yTableNAmRight"/>
              <w:jc w:val="center"/>
            </w:pPr>
            <w:r>
              <w:t>6.949</w:t>
            </w:r>
          </w:p>
        </w:tc>
      </w:tr>
      <w:tr>
        <w:trPr>
          <w:cantSplit/>
        </w:trPr>
        <w:tc>
          <w:tcPr>
            <w:tcW w:w="2159" w:type="dxa"/>
            <w:tcBorders>
              <w:top w:val="nil"/>
              <w:left w:val="nil"/>
              <w:bottom w:val="nil"/>
              <w:right w:val="nil"/>
            </w:tcBorders>
            <w:noWrap/>
          </w:tcPr>
          <w:p>
            <w:pPr>
              <w:pStyle w:val="yTableNAm"/>
            </w:pPr>
            <w:r>
              <w:t>Katanning</w:t>
            </w:r>
          </w:p>
        </w:tc>
        <w:tc>
          <w:tcPr>
            <w:tcW w:w="1985" w:type="dxa"/>
            <w:tcBorders>
              <w:top w:val="nil"/>
              <w:left w:val="nil"/>
              <w:bottom w:val="nil"/>
              <w:right w:val="nil"/>
            </w:tcBorders>
            <w:noWrap/>
            <w:vAlign w:val="bottom"/>
          </w:tcPr>
          <w:p>
            <w:pPr>
              <w:pStyle w:val="yTableNAmRight"/>
              <w:jc w:val="center"/>
            </w:pPr>
            <w:r>
              <w:t>16.781</w:t>
            </w:r>
          </w:p>
        </w:tc>
        <w:tc>
          <w:tcPr>
            <w:tcW w:w="1985" w:type="dxa"/>
            <w:tcBorders>
              <w:top w:val="nil"/>
              <w:left w:val="nil"/>
              <w:bottom w:val="nil"/>
              <w:right w:val="nil"/>
            </w:tcBorders>
            <w:noWrap/>
            <w:vAlign w:val="bottom"/>
          </w:tcPr>
          <w:p>
            <w:pPr>
              <w:pStyle w:val="yTableNAmRight"/>
              <w:jc w:val="center"/>
            </w:pPr>
            <w:r>
              <w:t>87.306</w:t>
            </w:r>
          </w:p>
        </w:tc>
      </w:tr>
      <w:tr>
        <w:trPr>
          <w:cantSplit/>
        </w:trPr>
        <w:tc>
          <w:tcPr>
            <w:tcW w:w="2159" w:type="dxa"/>
            <w:tcBorders>
              <w:top w:val="nil"/>
              <w:left w:val="nil"/>
              <w:bottom w:val="nil"/>
              <w:right w:val="nil"/>
            </w:tcBorders>
            <w:noWrap/>
          </w:tcPr>
          <w:p>
            <w:pPr>
              <w:pStyle w:val="yTableNAm"/>
            </w:pPr>
            <w:r>
              <w:t>Kellerberrin</w:t>
            </w:r>
          </w:p>
        </w:tc>
        <w:tc>
          <w:tcPr>
            <w:tcW w:w="1985" w:type="dxa"/>
            <w:tcBorders>
              <w:top w:val="nil"/>
              <w:left w:val="nil"/>
              <w:bottom w:val="nil"/>
              <w:right w:val="nil"/>
            </w:tcBorders>
            <w:noWrap/>
            <w:vAlign w:val="bottom"/>
          </w:tcPr>
          <w:p>
            <w:pPr>
              <w:pStyle w:val="yTableNAmRight"/>
              <w:jc w:val="center"/>
            </w:pPr>
            <w:r>
              <w:t>31.737</w:t>
            </w:r>
          </w:p>
        </w:tc>
        <w:tc>
          <w:tcPr>
            <w:tcW w:w="1985" w:type="dxa"/>
            <w:tcBorders>
              <w:top w:val="nil"/>
              <w:left w:val="nil"/>
              <w:bottom w:val="nil"/>
              <w:right w:val="nil"/>
            </w:tcBorders>
            <w:noWrap/>
            <w:vAlign w:val="bottom"/>
          </w:tcPr>
          <w:p>
            <w:pPr>
              <w:pStyle w:val="yTableNAmRight"/>
              <w:jc w:val="center"/>
            </w:pPr>
            <w:r>
              <w:t>312.973</w:t>
            </w:r>
          </w:p>
        </w:tc>
      </w:tr>
      <w:tr>
        <w:trPr>
          <w:cantSplit/>
        </w:trPr>
        <w:tc>
          <w:tcPr>
            <w:tcW w:w="2159" w:type="dxa"/>
            <w:tcBorders>
              <w:top w:val="nil"/>
              <w:left w:val="nil"/>
              <w:bottom w:val="nil"/>
              <w:right w:val="nil"/>
            </w:tcBorders>
            <w:noWrap/>
          </w:tcPr>
          <w:p>
            <w:pPr>
              <w:pStyle w:val="yTableNAm"/>
            </w:pPr>
            <w:r>
              <w:t>Kojonup</w:t>
            </w:r>
          </w:p>
        </w:tc>
        <w:tc>
          <w:tcPr>
            <w:tcW w:w="1985" w:type="dxa"/>
            <w:tcBorders>
              <w:top w:val="nil"/>
              <w:left w:val="nil"/>
              <w:bottom w:val="nil"/>
              <w:right w:val="nil"/>
            </w:tcBorders>
            <w:noWrap/>
            <w:vAlign w:val="bottom"/>
          </w:tcPr>
          <w:p>
            <w:pPr>
              <w:pStyle w:val="yTableNAmRight"/>
              <w:jc w:val="center"/>
            </w:pPr>
            <w:r>
              <w:t>19.277</w:t>
            </w:r>
          </w:p>
        </w:tc>
        <w:tc>
          <w:tcPr>
            <w:tcW w:w="1985" w:type="dxa"/>
            <w:tcBorders>
              <w:top w:val="nil"/>
              <w:left w:val="nil"/>
              <w:bottom w:val="nil"/>
              <w:right w:val="nil"/>
            </w:tcBorders>
            <w:noWrap/>
            <w:vAlign w:val="bottom"/>
          </w:tcPr>
          <w:p>
            <w:pPr>
              <w:pStyle w:val="yTableNAmRight"/>
              <w:jc w:val="center"/>
            </w:pPr>
            <w:r>
              <w:t>74.927</w:t>
            </w:r>
          </w:p>
        </w:tc>
      </w:tr>
      <w:tr>
        <w:trPr>
          <w:cantSplit/>
        </w:trPr>
        <w:tc>
          <w:tcPr>
            <w:tcW w:w="2159" w:type="dxa"/>
            <w:tcBorders>
              <w:top w:val="nil"/>
              <w:left w:val="nil"/>
              <w:bottom w:val="nil"/>
              <w:right w:val="nil"/>
            </w:tcBorders>
            <w:noWrap/>
          </w:tcPr>
          <w:p>
            <w:pPr>
              <w:pStyle w:val="yTableNAm"/>
            </w:pPr>
            <w:r>
              <w:t>Kulin</w:t>
            </w:r>
          </w:p>
        </w:tc>
        <w:tc>
          <w:tcPr>
            <w:tcW w:w="1985" w:type="dxa"/>
            <w:tcBorders>
              <w:top w:val="nil"/>
              <w:left w:val="nil"/>
              <w:bottom w:val="nil"/>
              <w:right w:val="nil"/>
            </w:tcBorders>
            <w:noWrap/>
            <w:vAlign w:val="bottom"/>
          </w:tcPr>
          <w:p>
            <w:pPr>
              <w:pStyle w:val="yTableNAmRight"/>
              <w:jc w:val="center"/>
            </w:pPr>
            <w:r>
              <w:t>43.826</w:t>
            </w:r>
          </w:p>
        </w:tc>
        <w:tc>
          <w:tcPr>
            <w:tcW w:w="1985" w:type="dxa"/>
            <w:tcBorders>
              <w:top w:val="nil"/>
              <w:left w:val="nil"/>
              <w:bottom w:val="nil"/>
              <w:right w:val="nil"/>
            </w:tcBorders>
            <w:noWrap/>
            <w:vAlign w:val="bottom"/>
          </w:tcPr>
          <w:p>
            <w:pPr>
              <w:pStyle w:val="yTableNAmRight"/>
              <w:jc w:val="center"/>
            </w:pPr>
            <w:r>
              <w:t>417.901</w:t>
            </w:r>
          </w:p>
        </w:tc>
      </w:tr>
      <w:tr>
        <w:trPr>
          <w:cantSplit/>
        </w:trPr>
        <w:tc>
          <w:tcPr>
            <w:tcW w:w="2159" w:type="dxa"/>
            <w:tcBorders>
              <w:top w:val="nil"/>
              <w:left w:val="nil"/>
              <w:bottom w:val="nil"/>
              <w:right w:val="nil"/>
            </w:tcBorders>
            <w:noWrap/>
          </w:tcPr>
          <w:p>
            <w:pPr>
              <w:pStyle w:val="yTableNAm"/>
            </w:pPr>
            <w:r>
              <w:t>Kununurra</w:t>
            </w:r>
          </w:p>
        </w:tc>
        <w:tc>
          <w:tcPr>
            <w:tcW w:w="1985" w:type="dxa"/>
            <w:tcBorders>
              <w:top w:val="nil"/>
              <w:left w:val="nil"/>
              <w:bottom w:val="nil"/>
              <w:right w:val="nil"/>
            </w:tcBorders>
            <w:noWrap/>
            <w:vAlign w:val="bottom"/>
          </w:tcPr>
          <w:p>
            <w:pPr>
              <w:pStyle w:val="yTableNAmRight"/>
              <w:jc w:val="center"/>
            </w:pPr>
            <w:r>
              <w:t>8.852</w:t>
            </w:r>
          </w:p>
        </w:tc>
        <w:tc>
          <w:tcPr>
            <w:tcW w:w="1985" w:type="dxa"/>
            <w:tcBorders>
              <w:top w:val="nil"/>
              <w:left w:val="nil"/>
              <w:bottom w:val="nil"/>
              <w:right w:val="nil"/>
            </w:tcBorders>
            <w:noWrap/>
            <w:vAlign w:val="bottom"/>
          </w:tcPr>
          <w:p>
            <w:pPr>
              <w:pStyle w:val="yTableNAmRight"/>
              <w:jc w:val="center"/>
            </w:pPr>
            <w:r>
              <w:t>18.383</w:t>
            </w:r>
          </w:p>
        </w:tc>
      </w:tr>
      <w:tr>
        <w:trPr>
          <w:cantSplit/>
        </w:trPr>
        <w:tc>
          <w:tcPr>
            <w:tcW w:w="2159" w:type="dxa"/>
            <w:tcBorders>
              <w:top w:val="nil"/>
              <w:left w:val="nil"/>
              <w:bottom w:val="nil"/>
              <w:right w:val="nil"/>
            </w:tcBorders>
            <w:noWrap/>
          </w:tcPr>
          <w:p>
            <w:pPr>
              <w:pStyle w:val="yTableNAm"/>
            </w:pPr>
            <w:r>
              <w:t>Lancelin</w:t>
            </w:r>
          </w:p>
        </w:tc>
        <w:tc>
          <w:tcPr>
            <w:tcW w:w="1985" w:type="dxa"/>
            <w:tcBorders>
              <w:top w:val="nil"/>
              <w:left w:val="nil"/>
              <w:bottom w:val="nil"/>
              <w:right w:val="nil"/>
            </w:tcBorders>
            <w:noWrap/>
            <w:vAlign w:val="bottom"/>
          </w:tcPr>
          <w:p>
            <w:pPr>
              <w:pStyle w:val="yTableNAmRight"/>
              <w:jc w:val="center"/>
            </w:pPr>
            <w:r>
              <w:t>17.165</w:t>
            </w:r>
          </w:p>
        </w:tc>
        <w:tc>
          <w:tcPr>
            <w:tcW w:w="1985" w:type="dxa"/>
            <w:tcBorders>
              <w:top w:val="nil"/>
              <w:left w:val="nil"/>
              <w:bottom w:val="nil"/>
              <w:right w:val="nil"/>
            </w:tcBorders>
            <w:noWrap/>
            <w:vAlign w:val="bottom"/>
          </w:tcPr>
          <w:p>
            <w:pPr>
              <w:pStyle w:val="yTableNAmRight"/>
              <w:jc w:val="center"/>
            </w:pPr>
            <w:r>
              <w:t>16.598</w:t>
            </w:r>
          </w:p>
        </w:tc>
      </w:tr>
      <w:tr>
        <w:trPr>
          <w:cantSplit/>
        </w:trPr>
        <w:tc>
          <w:tcPr>
            <w:tcW w:w="2159" w:type="dxa"/>
            <w:tcBorders>
              <w:top w:val="nil"/>
              <w:left w:val="nil"/>
              <w:bottom w:val="nil"/>
              <w:right w:val="nil"/>
            </w:tcBorders>
            <w:noWrap/>
          </w:tcPr>
          <w:p>
            <w:pPr>
              <w:pStyle w:val="yTableNAm"/>
            </w:pPr>
            <w:r>
              <w:lastRenderedPageBreak/>
              <w:t>Laverton</w:t>
            </w:r>
          </w:p>
        </w:tc>
        <w:tc>
          <w:tcPr>
            <w:tcW w:w="1985" w:type="dxa"/>
            <w:tcBorders>
              <w:top w:val="nil"/>
              <w:left w:val="nil"/>
              <w:bottom w:val="nil"/>
              <w:right w:val="nil"/>
            </w:tcBorders>
            <w:noWrap/>
            <w:vAlign w:val="bottom"/>
          </w:tcPr>
          <w:p>
            <w:pPr>
              <w:pStyle w:val="yTableNAmRight"/>
              <w:jc w:val="center"/>
            </w:pPr>
            <w:r>
              <w:t>26.837</w:t>
            </w:r>
          </w:p>
        </w:tc>
        <w:tc>
          <w:tcPr>
            <w:tcW w:w="1985" w:type="dxa"/>
            <w:tcBorders>
              <w:top w:val="nil"/>
              <w:left w:val="nil"/>
              <w:bottom w:val="nil"/>
              <w:right w:val="nil"/>
            </w:tcBorders>
            <w:noWrap/>
            <w:vAlign w:val="bottom"/>
          </w:tcPr>
          <w:p>
            <w:pPr>
              <w:pStyle w:val="yTableNAmRight"/>
              <w:jc w:val="center"/>
            </w:pPr>
            <w:r>
              <w:t>762.232</w:t>
            </w:r>
          </w:p>
        </w:tc>
      </w:tr>
      <w:tr>
        <w:trPr>
          <w:cantSplit/>
        </w:trPr>
        <w:tc>
          <w:tcPr>
            <w:tcW w:w="2159" w:type="dxa"/>
            <w:tcBorders>
              <w:top w:val="nil"/>
              <w:left w:val="nil"/>
              <w:bottom w:val="nil"/>
              <w:right w:val="nil"/>
            </w:tcBorders>
            <w:noWrap/>
          </w:tcPr>
          <w:p>
            <w:pPr>
              <w:pStyle w:val="yTableNAm"/>
            </w:pPr>
            <w:r>
              <w:t>Ledge Point</w:t>
            </w:r>
          </w:p>
        </w:tc>
        <w:tc>
          <w:tcPr>
            <w:tcW w:w="1985" w:type="dxa"/>
            <w:tcBorders>
              <w:top w:val="nil"/>
              <w:left w:val="nil"/>
              <w:bottom w:val="nil"/>
              <w:right w:val="nil"/>
            </w:tcBorders>
            <w:noWrap/>
            <w:vAlign w:val="bottom"/>
          </w:tcPr>
          <w:p>
            <w:pPr>
              <w:pStyle w:val="yTableNAmRight"/>
              <w:jc w:val="center"/>
            </w:pPr>
            <w:r>
              <w:t>7.230</w:t>
            </w:r>
          </w:p>
        </w:tc>
        <w:tc>
          <w:tcPr>
            <w:tcW w:w="1985" w:type="dxa"/>
            <w:tcBorders>
              <w:top w:val="nil"/>
              <w:left w:val="nil"/>
              <w:bottom w:val="nil"/>
              <w:right w:val="nil"/>
            </w:tcBorders>
            <w:noWrap/>
            <w:vAlign w:val="bottom"/>
          </w:tcPr>
          <w:p>
            <w:pPr>
              <w:pStyle w:val="yTableNAmRight"/>
              <w:jc w:val="center"/>
            </w:pPr>
            <w:r>
              <w:t>13.583</w:t>
            </w:r>
          </w:p>
        </w:tc>
      </w:tr>
      <w:tr>
        <w:trPr>
          <w:cantSplit/>
        </w:trPr>
        <w:tc>
          <w:tcPr>
            <w:tcW w:w="2159" w:type="dxa"/>
            <w:tcBorders>
              <w:top w:val="nil"/>
              <w:left w:val="nil"/>
              <w:bottom w:val="nil"/>
              <w:right w:val="nil"/>
            </w:tcBorders>
            <w:noWrap/>
          </w:tcPr>
          <w:p>
            <w:pPr>
              <w:pStyle w:val="yTableNAm"/>
            </w:pPr>
            <w:r>
              <w:t>Leeman</w:t>
            </w:r>
          </w:p>
        </w:tc>
        <w:tc>
          <w:tcPr>
            <w:tcW w:w="1985" w:type="dxa"/>
            <w:tcBorders>
              <w:top w:val="nil"/>
              <w:left w:val="nil"/>
              <w:bottom w:val="nil"/>
              <w:right w:val="nil"/>
            </w:tcBorders>
            <w:noWrap/>
            <w:vAlign w:val="bottom"/>
          </w:tcPr>
          <w:p>
            <w:pPr>
              <w:pStyle w:val="yTableNAmRight"/>
              <w:jc w:val="center"/>
            </w:pPr>
            <w:r>
              <w:t>16.208</w:t>
            </w:r>
          </w:p>
        </w:tc>
        <w:tc>
          <w:tcPr>
            <w:tcW w:w="1985" w:type="dxa"/>
            <w:tcBorders>
              <w:top w:val="nil"/>
              <w:left w:val="nil"/>
              <w:bottom w:val="nil"/>
              <w:right w:val="nil"/>
            </w:tcBorders>
            <w:noWrap/>
            <w:vAlign w:val="bottom"/>
          </w:tcPr>
          <w:p>
            <w:pPr>
              <w:pStyle w:val="yTableNAmRight"/>
              <w:jc w:val="center"/>
            </w:pPr>
            <w:r>
              <w:t>31.924</w:t>
            </w:r>
          </w:p>
        </w:tc>
      </w:tr>
      <w:tr>
        <w:trPr>
          <w:cantSplit/>
        </w:trPr>
        <w:tc>
          <w:tcPr>
            <w:tcW w:w="2159" w:type="dxa"/>
            <w:tcBorders>
              <w:top w:val="nil"/>
              <w:left w:val="nil"/>
              <w:bottom w:val="nil"/>
              <w:right w:val="nil"/>
            </w:tcBorders>
            <w:noWrap/>
          </w:tcPr>
          <w:p>
            <w:pPr>
              <w:pStyle w:val="yTableNAm"/>
            </w:pPr>
            <w:r>
              <w:t>Leonora</w:t>
            </w:r>
          </w:p>
        </w:tc>
        <w:tc>
          <w:tcPr>
            <w:tcW w:w="1985" w:type="dxa"/>
            <w:tcBorders>
              <w:top w:val="nil"/>
              <w:left w:val="nil"/>
              <w:bottom w:val="nil"/>
              <w:right w:val="nil"/>
            </w:tcBorders>
            <w:noWrap/>
            <w:vAlign w:val="bottom"/>
          </w:tcPr>
          <w:p>
            <w:pPr>
              <w:pStyle w:val="yTableNAmRight"/>
              <w:jc w:val="center"/>
            </w:pPr>
            <w:r>
              <w:t>2.579</w:t>
            </w:r>
          </w:p>
        </w:tc>
        <w:tc>
          <w:tcPr>
            <w:tcW w:w="1985" w:type="dxa"/>
            <w:tcBorders>
              <w:top w:val="nil"/>
              <w:left w:val="nil"/>
              <w:bottom w:val="nil"/>
              <w:right w:val="nil"/>
            </w:tcBorders>
            <w:noWrap/>
            <w:vAlign w:val="bottom"/>
          </w:tcPr>
          <w:p>
            <w:pPr>
              <w:pStyle w:val="yTableNAmRight"/>
              <w:jc w:val="center"/>
            </w:pPr>
            <w:r>
              <w:t>44.236</w:t>
            </w:r>
          </w:p>
        </w:tc>
      </w:tr>
      <w:tr>
        <w:trPr>
          <w:cantSplit/>
        </w:trPr>
        <w:tc>
          <w:tcPr>
            <w:tcW w:w="2159" w:type="dxa"/>
            <w:tcBorders>
              <w:top w:val="nil"/>
              <w:left w:val="nil"/>
              <w:bottom w:val="nil"/>
              <w:right w:val="nil"/>
            </w:tcBorders>
            <w:noWrap/>
          </w:tcPr>
          <w:p>
            <w:pPr>
              <w:pStyle w:val="yTableNAm"/>
            </w:pPr>
            <w:r>
              <w:t>Mandurah</w:t>
            </w:r>
          </w:p>
        </w:tc>
        <w:tc>
          <w:tcPr>
            <w:tcW w:w="1985" w:type="dxa"/>
            <w:tcBorders>
              <w:top w:val="nil"/>
              <w:left w:val="nil"/>
              <w:bottom w:val="nil"/>
              <w:right w:val="nil"/>
            </w:tcBorders>
            <w:noWrap/>
            <w:vAlign w:val="bottom"/>
          </w:tcPr>
          <w:p>
            <w:pPr>
              <w:pStyle w:val="yTableNAmRight"/>
              <w:jc w:val="center"/>
            </w:pPr>
            <w:r>
              <w:t>8.141</w:t>
            </w:r>
          </w:p>
        </w:tc>
        <w:tc>
          <w:tcPr>
            <w:tcW w:w="1985" w:type="dxa"/>
            <w:tcBorders>
              <w:top w:val="nil"/>
              <w:left w:val="nil"/>
              <w:bottom w:val="nil"/>
              <w:right w:val="nil"/>
            </w:tcBorders>
            <w:noWrap/>
            <w:vAlign w:val="bottom"/>
          </w:tcPr>
          <w:p>
            <w:pPr>
              <w:pStyle w:val="yTableNAmRight"/>
              <w:jc w:val="center"/>
            </w:pPr>
            <w:r>
              <w:t>7.302</w:t>
            </w:r>
          </w:p>
        </w:tc>
      </w:tr>
      <w:tr>
        <w:trPr>
          <w:cantSplit/>
        </w:trPr>
        <w:tc>
          <w:tcPr>
            <w:tcW w:w="2159" w:type="dxa"/>
            <w:tcBorders>
              <w:top w:val="nil"/>
              <w:left w:val="nil"/>
              <w:bottom w:val="nil"/>
              <w:right w:val="nil"/>
            </w:tcBorders>
            <w:noWrap/>
          </w:tcPr>
          <w:p>
            <w:pPr>
              <w:pStyle w:val="yTableNAm"/>
            </w:pPr>
            <w:r>
              <w:t>Manjimup</w:t>
            </w:r>
          </w:p>
        </w:tc>
        <w:tc>
          <w:tcPr>
            <w:tcW w:w="1985" w:type="dxa"/>
            <w:tcBorders>
              <w:top w:val="nil"/>
              <w:left w:val="nil"/>
              <w:bottom w:val="nil"/>
              <w:right w:val="nil"/>
            </w:tcBorders>
            <w:noWrap/>
            <w:vAlign w:val="bottom"/>
          </w:tcPr>
          <w:p>
            <w:pPr>
              <w:pStyle w:val="yTableNAmRight"/>
              <w:jc w:val="center"/>
            </w:pPr>
            <w:r>
              <w:t>18.698</w:t>
            </w:r>
          </w:p>
        </w:tc>
        <w:tc>
          <w:tcPr>
            <w:tcW w:w="1985" w:type="dxa"/>
            <w:tcBorders>
              <w:top w:val="nil"/>
              <w:left w:val="nil"/>
              <w:bottom w:val="nil"/>
              <w:right w:val="nil"/>
            </w:tcBorders>
            <w:noWrap/>
            <w:vAlign w:val="bottom"/>
          </w:tcPr>
          <w:p>
            <w:pPr>
              <w:pStyle w:val="yTableNAmRight"/>
              <w:jc w:val="center"/>
            </w:pPr>
            <w:r>
              <w:t>42.512</w:t>
            </w:r>
          </w:p>
        </w:tc>
      </w:tr>
      <w:tr>
        <w:trPr>
          <w:cantSplit/>
        </w:trPr>
        <w:tc>
          <w:tcPr>
            <w:tcW w:w="2159" w:type="dxa"/>
            <w:tcBorders>
              <w:top w:val="nil"/>
              <w:left w:val="nil"/>
              <w:bottom w:val="nil"/>
              <w:right w:val="nil"/>
            </w:tcBorders>
            <w:noWrap/>
          </w:tcPr>
          <w:p>
            <w:pPr>
              <w:pStyle w:val="yTableNAm"/>
            </w:pPr>
            <w:r>
              <w:t>Margaret River</w:t>
            </w:r>
          </w:p>
        </w:tc>
        <w:tc>
          <w:tcPr>
            <w:tcW w:w="1985" w:type="dxa"/>
            <w:tcBorders>
              <w:top w:val="nil"/>
              <w:left w:val="nil"/>
              <w:bottom w:val="nil"/>
              <w:right w:val="nil"/>
            </w:tcBorders>
            <w:noWrap/>
            <w:vAlign w:val="bottom"/>
          </w:tcPr>
          <w:p>
            <w:pPr>
              <w:pStyle w:val="yTableNAmRight"/>
              <w:jc w:val="center"/>
            </w:pPr>
            <w:r>
              <w:t>11.232</w:t>
            </w:r>
          </w:p>
        </w:tc>
        <w:tc>
          <w:tcPr>
            <w:tcW w:w="1985" w:type="dxa"/>
            <w:tcBorders>
              <w:top w:val="nil"/>
              <w:left w:val="nil"/>
              <w:bottom w:val="nil"/>
              <w:right w:val="nil"/>
            </w:tcBorders>
            <w:noWrap/>
            <w:vAlign w:val="bottom"/>
          </w:tcPr>
          <w:p>
            <w:pPr>
              <w:pStyle w:val="yTableNAmRight"/>
              <w:jc w:val="center"/>
            </w:pPr>
            <w:r>
              <w:t>25.714</w:t>
            </w:r>
          </w:p>
        </w:tc>
      </w:tr>
      <w:tr>
        <w:trPr>
          <w:cantSplit/>
        </w:trPr>
        <w:tc>
          <w:tcPr>
            <w:tcW w:w="2159" w:type="dxa"/>
            <w:tcBorders>
              <w:top w:val="nil"/>
              <w:left w:val="nil"/>
              <w:bottom w:val="nil"/>
              <w:right w:val="nil"/>
            </w:tcBorders>
            <w:noWrap/>
          </w:tcPr>
          <w:p>
            <w:pPr>
              <w:pStyle w:val="yTableNAm"/>
            </w:pPr>
            <w:r>
              <w:t>Meckering</w:t>
            </w:r>
          </w:p>
        </w:tc>
        <w:tc>
          <w:tcPr>
            <w:tcW w:w="1985" w:type="dxa"/>
            <w:tcBorders>
              <w:top w:val="nil"/>
              <w:left w:val="nil"/>
              <w:bottom w:val="nil"/>
              <w:right w:val="nil"/>
            </w:tcBorders>
            <w:noWrap/>
            <w:vAlign w:val="bottom"/>
          </w:tcPr>
          <w:p>
            <w:pPr>
              <w:pStyle w:val="yTableNAmRight"/>
              <w:jc w:val="center"/>
            </w:pPr>
            <w:r>
              <w:t>103.331</w:t>
            </w:r>
          </w:p>
        </w:tc>
        <w:tc>
          <w:tcPr>
            <w:tcW w:w="1985" w:type="dxa"/>
            <w:tcBorders>
              <w:top w:val="nil"/>
              <w:left w:val="nil"/>
              <w:bottom w:val="nil"/>
              <w:right w:val="nil"/>
            </w:tcBorders>
            <w:noWrap/>
            <w:vAlign w:val="bottom"/>
          </w:tcPr>
          <w:p>
            <w:pPr>
              <w:pStyle w:val="yTableNAmRight"/>
              <w:jc w:val="center"/>
            </w:pPr>
            <w:r>
              <w:t>502.122</w:t>
            </w:r>
          </w:p>
        </w:tc>
      </w:tr>
      <w:tr>
        <w:trPr>
          <w:cantSplit/>
        </w:trPr>
        <w:tc>
          <w:tcPr>
            <w:tcW w:w="2159" w:type="dxa"/>
            <w:tcBorders>
              <w:top w:val="nil"/>
              <w:left w:val="nil"/>
              <w:bottom w:val="nil"/>
              <w:right w:val="nil"/>
            </w:tcBorders>
            <w:noWrap/>
          </w:tcPr>
          <w:p>
            <w:pPr>
              <w:pStyle w:val="yTableNAm"/>
            </w:pPr>
            <w:r>
              <w:t>Merredin</w:t>
            </w:r>
          </w:p>
        </w:tc>
        <w:tc>
          <w:tcPr>
            <w:tcW w:w="1985" w:type="dxa"/>
            <w:tcBorders>
              <w:top w:val="nil"/>
              <w:left w:val="nil"/>
              <w:bottom w:val="nil"/>
              <w:right w:val="nil"/>
            </w:tcBorders>
            <w:noWrap/>
            <w:vAlign w:val="bottom"/>
          </w:tcPr>
          <w:p>
            <w:pPr>
              <w:pStyle w:val="yTableNAmRight"/>
              <w:jc w:val="center"/>
            </w:pPr>
            <w:r>
              <w:t>16.433</w:t>
            </w:r>
          </w:p>
        </w:tc>
        <w:tc>
          <w:tcPr>
            <w:tcW w:w="1985" w:type="dxa"/>
            <w:tcBorders>
              <w:top w:val="nil"/>
              <w:left w:val="nil"/>
              <w:bottom w:val="nil"/>
              <w:right w:val="nil"/>
            </w:tcBorders>
            <w:noWrap/>
            <w:vAlign w:val="bottom"/>
          </w:tcPr>
          <w:p>
            <w:pPr>
              <w:pStyle w:val="yTableNAmRight"/>
              <w:jc w:val="center"/>
            </w:pPr>
            <w:r>
              <w:t>65.493</w:t>
            </w:r>
          </w:p>
        </w:tc>
      </w:tr>
      <w:tr>
        <w:trPr>
          <w:cantSplit/>
        </w:trPr>
        <w:tc>
          <w:tcPr>
            <w:tcW w:w="2159" w:type="dxa"/>
            <w:tcBorders>
              <w:top w:val="nil"/>
              <w:left w:val="nil"/>
              <w:bottom w:val="nil"/>
              <w:right w:val="nil"/>
            </w:tcBorders>
            <w:noWrap/>
          </w:tcPr>
          <w:p>
            <w:pPr>
              <w:pStyle w:val="yTableNAm"/>
            </w:pPr>
            <w:r>
              <w:t>Mount Barker</w:t>
            </w:r>
          </w:p>
        </w:tc>
        <w:tc>
          <w:tcPr>
            <w:tcW w:w="1985" w:type="dxa"/>
            <w:tcBorders>
              <w:top w:val="nil"/>
              <w:left w:val="nil"/>
              <w:bottom w:val="nil"/>
              <w:right w:val="nil"/>
            </w:tcBorders>
            <w:noWrap/>
            <w:vAlign w:val="bottom"/>
          </w:tcPr>
          <w:p>
            <w:pPr>
              <w:pStyle w:val="yTableNAmRight"/>
              <w:jc w:val="center"/>
            </w:pPr>
            <w:r>
              <w:t>15.605</w:t>
            </w:r>
          </w:p>
        </w:tc>
        <w:tc>
          <w:tcPr>
            <w:tcW w:w="1985" w:type="dxa"/>
            <w:tcBorders>
              <w:top w:val="nil"/>
              <w:left w:val="nil"/>
              <w:bottom w:val="nil"/>
              <w:right w:val="nil"/>
            </w:tcBorders>
            <w:noWrap/>
            <w:vAlign w:val="bottom"/>
          </w:tcPr>
          <w:p>
            <w:pPr>
              <w:pStyle w:val="yTableNAmRight"/>
              <w:jc w:val="center"/>
            </w:pPr>
            <w:r>
              <w:t>36.066</w:t>
            </w:r>
          </w:p>
        </w:tc>
      </w:tr>
      <w:tr>
        <w:trPr>
          <w:cantSplit/>
        </w:trPr>
        <w:tc>
          <w:tcPr>
            <w:tcW w:w="2159" w:type="dxa"/>
            <w:tcBorders>
              <w:top w:val="nil"/>
              <w:left w:val="nil"/>
              <w:bottom w:val="nil"/>
              <w:right w:val="nil"/>
            </w:tcBorders>
            <w:noWrap/>
          </w:tcPr>
          <w:p>
            <w:pPr>
              <w:pStyle w:val="yTableNAm"/>
            </w:pPr>
            <w:r>
              <w:t>Mukinbudin</w:t>
            </w:r>
          </w:p>
        </w:tc>
        <w:tc>
          <w:tcPr>
            <w:tcW w:w="1985" w:type="dxa"/>
            <w:tcBorders>
              <w:top w:val="nil"/>
              <w:left w:val="nil"/>
              <w:bottom w:val="nil"/>
              <w:right w:val="nil"/>
            </w:tcBorders>
            <w:noWrap/>
            <w:vAlign w:val="bottom"/>
          </w:tcPr>
          <w:p>
            <w:pPr>
              <w:pStyle w:val="yTableNAmRight"/>
              <w:jc w:val="center"/>
            </w:pPr>
            <w:r>
              <w:t>35.238</w:t>
            </w:r>
          </w:p>
        </w:tc>
        <w:tc>
          <w:tcPr>
            <w:tcW w:w="1985" w:type="dxa"/>
            <w:tcBorders>
              <w:top w:val="nil"/>
              <w:left w:val="nil"/>
              <w:bottom w:val="nil"/>
              <w:right w:val="nil"/>
            </w:tcBorders>
            <w:noWrap/>
            <w:vAlign w:val="bottom"/>
          </w:tcPr>
          <w:p>
            <w:pPr>
              <w:pStyle w:val="yTableNAmRight"/>
              <w:jc w:val="center"/>
            </w:pPr>
            <w:r>
              <w:t>438.039</w:t>
            </w:r>
          </w:p>
        </w:tc>
      </w:tr>
      <w:tr>
        <w:trPr>
          <w:cantSplit/>
        </w:trPr>
        <w:tc>
          <w:tcPr>
            <w:tcW w:w="2159" w:type="dxa"/>
            <w:tcBorders>
              <w:top w:val="nil"/>
              <w:left w:val="nil"/>
              <w:bottom w:val="nil"/>
              <w:right w:val="nil"/>
            </w:tcBorders>
            <w:noWrap/>
          </w:tcPr>
          <w:p>
            <w:pPr>
              <w:pStyle w:val="yTableNAm"/>
            </w:pPr>
            <w:r>
              <w:t>Nannup</w:t>
            </w:r>
          </w:p>
        </w:tc>
        <w:tc>
          <w:tcPr>
            <w:tcW w:w="1985" w:type="dxa"/>
            <w:tcBorders>
              <w:top w:val="nil"/>
              <w:left w:val="nil"/>
              <w:bottom w:val="nil"/>
              <w:right w:val="nil"/>
            </w:tcBorders>
            <w:noWrap/>
            <w:vAlign w:val="bottom"/>
          </w:tcPr>
          <w:p>
            <w:pPr>
              <w:pStyle w:val="yTableNAmRight"/>
              <w:jc w:val="center"/>
            </w:pPr>
            <w:r>
              <w:t>11.158</w:t>
            </w:r>
          </w:p>
        </w:tc>
        <w:tc>
          <w:tcPr>
            <w:tcW w:w="1985" w:type="dxa"/>
            <w:tcBorders>
              <w:top w:val="nil"/>
              <w:left w:val="nil"/>
              <w:bottom w:val="nil"/>
              <w:right w:val="nil"/>
            </w:tcBorders>
            <w:noWrap/>
            <w:vAlign w:val="bottom"/>
          </w:tcPr>
          <w:p>
            <w:pPr>
              <w:pStyle w:val="yTableNAmRight"/>
              <w:jc w:val="center"/>
            </w:pPr>
            <w:r>
              <w:t>24.389</w:t>
            </w:r>
          </w:p>
        </w:tc>
      </w:tr>
      <w:tr>
        <w:trPr>
          <w:cantSplit/>
        </w:trPr>
        <w:tc>
          <w:tcPr>
            <w:tcW w:w="2159" w:type="dxa"/>
            <w:tcBorders>
              <w:top w:val="nil"/>
              <w:left w:val="nil"/>
              <w:bottom w:val="nil"/>
              <w:right w:val="nil"/>
            </w:tcBorders>
            <w:noWrap/>
          </w:tcPr>
          <w:p>
            <w:pPr>
              <w:pStyle w:val="yTableNAm"/>
            </w:pPr>
            <w:r>
              <w:t>Narembeen</w:t>
            </w:r>
          </w:p>
        </w:tc>
        <w:tc>
          <w:tcPr>
            <w:tcW w:w="1985" w:type="dxa"/>
            <w:tcBorders>
              <w:top w:val="nil"/>
              <w:left w:val="nil"/>
              <w:bottom w:val="nil"/>
              <w:right w:val="nil"/>
            </w:tcBorders>
            <w:noWrap/>
            <w:vAlign w:val="bottom"/>
          </w:tcPr>
          <w:p>
            <w:pPr>
              <w:pStyle w:val="yTableNAmRight"/>
              <w:jc w:val="center"/>
            </w:pPr>
            <w:r>
              <w:t>33.480</w:t>
            </w:r>
          </w:p>
        </w:tc>
        <w:tc>
          <w:tcPr>
            <w:tcW w:w="1985" w:type="dxa"/>
            <w:tcBorders>
              <w:top w:val="nil"/>
              <w:left w:val="nil"/>
              <w:bottom w:val="nil"/>
              <w:right w:val="nil"/>
            </w:tcBorders>
            <w:noWrap/>
            <w:vAlign w:val="bottom"/>
          </w:tcPr>
          <w:p>
            <w:pPr>
              <w:pStyle w:val="yTableNAmRight"/>
              <w:jc w:val="center"/>
            </w:pPr>
            <w:r>
              <w:t>274.131</w:t>
            </w:r>
          </w:p>
        </w:tc>
      </w:tr>
      <w:tr>
        <w:trPr>
          <w:cantSplit/>
        </w:trPr>
        <w:tc>
          <w:tcPr>
            <w:tcW w:w="2159" w:type="dxa"/>
            <w:tcBorders>
              <w:top w:val="nil"/>
              <w:left w:val="nil"/>
              <w:bottom w:val="nil"/>
              <w:right w:val="nil"/>
            </w:tcBorders>
            <w:noWrap/>
          </w:tcPr>
          <w:p>
            <w:pPr>
              <w:pStyle w:val="yTableNAm"/>
            </w:pPr>
            <w:r>
              <w:t>Narrogin</w:t>
            </w:r>
          </w:p>
        </w:tc>
        <w:tc>
          <w:tcPr>
            <w:tcW w:w="1985" w:type="dxa"/>
            <w:tcBorders>
              <w:top w:val="nil"/>
              <w:left w:val="nil"/>
              <w:bottom w:val="nil"/>
              <w:right w:val="nil"/>
            </w:tcBorders>
            <w:noWrap/>
            <w:vAlign w:val="bottom"/>
          </w:tcPr>
          <w:p>
            <w:pPr>
              <w:pStyle w:val="yTableNAmRight"/>
              <w:jc w:val="center"/>
            </w:pPr>
            <w:r>
              <w:t>12.520</w:t>
            </w:r>
          </w:p>
        </w:tc>
        <w:tc>
          <w:tcPr>
            <w:tcW w:w="1985" w:type="dxa"/>
            <w:tcBorders>
              <w:top w:val="nil"/>
              <w:left w:val="nil"/>
              <w:bottom w:val="nil"/>
              <w:right w:val="nil"/>
            </w:tcBorders>
            <w:noWrap/>
            <w:vAlign w:val="bottom"/>
          </w:tcPr>
          <w:p>
            <w:pPr>
              <w:pStyle w:val="yTableNAmRight"/>
              <w:jc w:val="center"/>
            </w:pPr>
            <w:r>
              <w:t>23.202</w:t>
            </w:r>
          </w:p>
        </w:tc>
      </w:tr>
      <w:tr>
        <w:trPr>
          <w:cantSplit/>
        </w:trPr>
        <w:tc>
          <w:tcPr>
            <w:tcW w:w="2159" w:type="dxa"/>
            <w:tcBorders>
              <w:top w:val="nil"/>
              <w:left w:val="nil"/>
              <w:bottom w:val="nil"/>
              <w:right w:val="nil"/>
            </w:tcBorders>
            <w:noWrap/>
          </w:tcPr>
          <w:p>
            <w:pPr>
              <w:pStyle w:val="yTableNAm"/>
            </w:pPr>
            <w:r>
              <w:t>Newdegate</w:t>
            </w:r>
          </w:p>
        </w:tc>
        <w:tc>
          <w:tcPr>
            <w:tcW w:w="1985" w:type="dxa"/>
            <w:tcBorders>
              <w:top w:val="nil"/>
              <w:left w:val="nil"/>
              <w:bottom w:val="nil"/>
              <w:right w:val="nil"/>
            </w:tcBorders>
            <w:noWrap/>
            <w:vAlign w:val="bottom"/>
          </w:tcPr>
          <w:p>
            <w:pPr>
              <w:pStyle w:val="yTableNAmRight"/>
              <w:jc w:val="center"/>
            </w:pPr>
            <w:r>
              <w:t>41.513</w:t>
            </w:r>
          </w:p>
        </w:tc>
        <w:tc>
          <w:tcPr>
            <w:tcW w:w="1985" w:type="dxa"/>
            <w:tcBorders>
              <w:top w:val="nil"/>
              <w:left w:val="nil"/>
              <w:bottom w:val="nil"/>
              <w:right w:val="nil"/>
            </w:tcBorders>
            <w:noWrap/>
            <w:vAlign w:val="bottom"/>
          </w:tcPr>
          <w:p>
            <w:pPr>
              <w:pStyle w:val="yTableNAmRight"/>
              <w:jc w:val="center"/>
            </w:pPr>
            <w:r>
              <w:t>381.180</w:t>
            </w:r>
          </w:p>
        </w:tc>
      </w:tr>
      <w:tr>
        <w:trPr>
          <w:cantSplit/>
        </w:trPr>
        <w:tc>
          <w:tcPr>
            <w:tcW w:w="2159" w:type="dxa"/>
            <w:tcBorders>
              <w:top w:val="nil"/>
              <w:left w:val="nil"/>
              <w:bottom w:val="nil"/>
              <w:right w:val="nil"/>
            </w:tcBorders>
            <w:noWrap/>
          </w:tcPr>
          <w:p>
            <w:pPr>
              <w:pStyle w:val="yTableNAm"/>
            </w:pPr>
            <w:r>
              <w:t>Newman</w:t>
            </w:r>
          </w:p>
        </w:tc>
        <w:tc>
          <w:tcPr>
            <w:tcW w:w="1985" w:type="dxa"/>
            <w:tcBorders>
              <w:top w:val="nil"/>
              <w:left w:val="nil"/>
              <w:bottom w:val="nil"/>
              <w:right w:val="nil"/>
            </w:tcBorders>
            <w:noWrap/>
            <w:vAlign w:val="bottom"/>
          </w:tcPr>
          <w:p>
            <w:pPr>
              <w:pStyle w:val="yTableNAmRight"/>
              <w:jc w:val="center"/>
            </w:pPr>
            <w:r>
              <w:t>1.227</w:t>
            </w:r>
          </w:p>
        </w:tc>
        <w:tc>
          <w:tcPr>
            <w:tcW w:w="1985" w:type="dxa"/>
            <w:tcBorders>
              <w:top w:val="nil"/>
              <w:left w:val="nil"/>
              <w:bottom w:val="nil"/>
              <w:right w:val="nil"/>
            </w:tcBorders>
            <w:noWrap/>
            <w:vAlign w:val="bottom"/>
          </w:tcPr>
          <w:p>
            <w:pPr>
              <w:pStyle w:val="yTableNAmRight"/>
              <w:jc w:val="center"/>
            </w:pPr>
            <w:r>
              <w:t>1.066</w:t>
            </w:r>
          </w:p>
        </w:tc>
      </w:tr>
      <w:tr>
        <w:trPr>
          <w:cantSplit/>
        </w:trPr>
        <w:tc>
          <w:tcPr>
            <w:tcW w:w="2159" w:type="dxa"/>
            <w:tcBorders>
              <w:top w:val="nil"/>
              <w:left w:val="nil"/>
              <w:bottom w:val="nil"/>
              <w:right w:val="nil"/>
            </w:tcBorders>
            <w:noWrap/>
          </w:tcPr>
          <w:p>
            <w:pPr>
              <w:pStyle w:val="yTableNAm"/>
            </w:pPr>
            <w:r>
              <w:t>Northam</w:t>
            </w:r>
          </w:p>
        </w:tc>
        <w:tc>
          <w:tcPr>
            <w:tcW w:w="1985" w:type="dxa"/>
            <w:tcBorders>
              <w:top w:val="nil"/>
              <w:left w:val="nil"/>
              <w:bottom w:val="nil"/>
              <w:right w:val="nil"/>
            </w:tcBorders>
            <w:noWrap/>
            <w:vAlign w:val="bottom"/>
          </w:tcPr>
          <w:p>
            <w:pPr>
              <w:pStyle w:val="yTableNAmRight"/>
              <w:jc w:val="center"/>
            </w:pPr>
            <w:r>
              <w:t>12.951</w:t>
            </w:r>
          </w:p>
        </w:tc>
        <w:tc>
          <w:tcPr>
            <w:tcW w:w="1985" w:type="dxa"/>
            <w:tcBorders>
              <w:top w:val="nil"/>
              <w:left w:val="nil"/>
              <w:bottom w:val="nil"/>
              <w:right w:val="nil"/>
            </w:tcBorders>
            <w:noWrap/>
            <w:vAlign w:val="bottom"/>
          </w:tcPr>
          <w:p>
            <w:pPr>
              <w:pStyle w:val="yTableNAmRight"/>
              <w:jc w:val="center"/>
            </w:pPr>
            <w:r>
              <w:t>41.600</w:t>
            </w:r>
          </w:p>
        </w:tc>
      </w:tr>
      <w:tr>
        <w:trPr>
          <w:cantSplit/>
        </w:trPr>
        <w:tc>
          <w:tcPr>
            <w:tcW w:w="2159" w:type="dxa"/>
            <w:tcBorders>
              <w:top w:val="nil"/>
              <w:left w:val="nil"/>
              <w:bottom w:val="nil"/>
              <w:right w:val="nil"/>
            </w:tcBorders>
            <w:noWrap/>
          </w:tcPr>
          <w:p>
            <w:pPr>
              <w:pStyle w:val="yTableNAm"/>
            </w:pPr>
            <w:r>
              <w:t>Onslow</w:t>
            </w:r>
          </w:p>
        </w:tc>
        <w:tc>
          <w:tcPr>
            <w:tcW w:w="1985" w:type="dxa"/>
            <w:tcBorders>
              <w:top w:val="nil"/>
              <w:left w:val="nil"/>
              <w:bottom w:val="nil"/>
              <w:right w:val="nil"/>
            </w:tcBorders>
            <w:noWrap/>
            <w:vAlign w:val="bottom"/>
          </w:tcPr>
          <w:p>
            <w:pPr>
              <w:pStyle w:val="yTableNAmRight"/>
              <w:jc w:val="center"/>
            </w:pPr>
            <w:r>
              <w:t>3.637</w:t>
            </w:r>
          </w:p>
        </w:tc>
        <w:tc>
          <w:tcPr>
            <w:tcW w:w="1985" w:type="dxa"/>
            <w:tcBorders>
              <w:top w:val="nil"/>
              <w:left w:val="nil"/>
              <w:bottom w:val="nil"/>
              <w:right w:val="nil"/>
            </w:tcBorders>
            <w:noWrap/>
            <w:vAlign w:val="bottom"/>
          </w:tcPr>
          <w:p>
            <w:pPr>
              <w:pStyle w:val="yTableNAmRight"/>
              <w:jc w:val="center"/>
            </w:pPr>
            <w:r>
              <w:t>9.526</w:t>
            </w:r>
          </w:p>
        </w:tc>
      </w:tr>
      <w:tr>
        <w:trPr>
          <w:cantSplit/>
        </w:trPr>
        <w:tc>
          <w:tcPr>
            <w:tcW w:w="2159" w:type="dxa"/>
            <w:tcBorders>
              <w:top w:val="nil"/>
              <w:left w:val="nil"/>
              <w:bottom w:val="nil"/>
              <w:right w:val="nil"/>
            </w:tcBorders>
            <w:noWrap/>
          </w:tcPr>
          <w:p>
            <w:pPr>
              <w:pStyle w:val="yTableNAm"/>
            </w:pPr>
            <w:r>
              <w:t>Pemberton</w:t>
            </w:r>
          </w:p>
        </w:tc>
        <w:tc>
          <w:tcPr>
            <w:tcW w:w="1985" w:type="dxa"/>
            <w:tcBorders>
              <w:top w:val="nil"/>
              <w:left w:val="nil"/>
              <w:bottom w:val="nil"/>
              <w:right w:val="nil"/>
            </w:tcBorders>
            <w:noWrap/>
            <w:vAlign w:val="bottom"/>
          </w:tcPr>
          <w:p>
            <w:pPr>
              <w:pStyle w:val="yTableNAmRight"/>
              <w:jc w:val="center"/>
            </w:pPr>
            <w:r>
              <w:t>34.557</w:t>
            </w:r>
          </w:p>
        </w:tc>
        <w:tc>
          <w:tcPr>
            <w:tcW w:w="1985" w:type="dxa"/>
            <w:tcBorders>
              <w:top w:val="nil"/>
              <w:left w:val="nil"/>
              <w:bottom w:val="nil"/>
              <w:right w:val="nil"/>
            </w:tcBorders>
            <w:noWrap/>
            <w:vAlign w:val="bottom"/>
          </w:tcPr>
          <w:p>
            <w:pPr>
              <w:pStyle w:val="yTableNAmRight"/>
              <w:jc w:val="center"/>
            </w:pPr>
            <w:r>
              <w:t>121.849</w:t>
            </w:r>
          </w:p>
        </w:tc>
      </w:tr>
      <w:tr>
        <w:trPr>
          <w:cantSplit/>
        </w:trPr>
        <w:tc>
          <w:tcPr>
            <w:tcW w:w="2159" w:type="dxa"/>
            <w:tcBorders>
              <w:top w:val="nil"/>
              <w:left w:val="nil"/>
              <w:bottom w:val="nil"/>
              <w:right w:val="nil"/>
            </w:tcBorders>
            <w:noWrap/>
          </w:tcPr>
          <w:p>
            <w:pPr>
              <w:pStyle w:val="yTableNAm"/>
            </w:pPr>
            <w:r>
              <w:lastRenderedPageBreak/>
              <w:t>Pingelly</w:t>
            </w:r>
          </w:p>
        </w:tc>
        <w:tc>
          <w:tcPr>
            <w:tcW w:w="1985" w:type="dxa"/>
            <w:tcBorders>
              <w:top w:val="nil"/>
              <w:left w:val="nil"/>
              <w:bottom w:val="nil"/>
              <w:right w:val="nil"/>
            </w:tcBorders>
            <w:noWrap/>
            <w:vAlign w:val="bottom"/>
          </w:tcPr>
          <w:p>
            <w:pPr>
              <w:pStyle w:val="yTableNAmRight"/>
              <w:jc w:val="center"/>
            </w:pPr>
            <w:r>
              <w:t>21.384</w:t>
            </w:r>
          </w:p>
        </w:tc>
        <w:tc>
          <w:tcPr>
            <w:tcW w:w="1985" w:type="dxa"/>
            <w:tcBorders>
              <w:top w:val="nil"/>
              <w:left w:val="nil"/>
              <w:bottom w:val="nil"/>
              <w:right w:val="nil"/>
            </w:tcBorders>
            <w:noWrap/>
            <w:vAlign w:val="bottom"/>
          </w:tcPr>
          <w:p>
            <w:pPr>
              <w:pStyle w:val="yTableNAmRight"/>
              <w:jc w:val="center"/>
            </w:pPr>
            <w:r>
              <w:t>101.117</w:t>
            </w:r>
          </w:p>
        </w:tc>
      </w:tr>
      <w:tr>
        <w:trPr>
          <w:cantSplit/>
        </w:trPr>
        <w:tc>
          <w:tcPr>
            <w:tcW w:w="2159" w:type="dxa"/>
            <w:tcBorders>
              <w:top w:val="nil"/>
              <w:left w:val="nil"/>
              <w:bottom w:val="nil"/>
              <w:right w:val="nil"/>
            </w:tcBorders>
            <w:noWrap/>
          </w:tcPr>
          <w:p>
            <w:pPr>
              <w:pStyle w:val="yTableNAm"/>
            </w:pPr>
            <w:r>
              <w:t>Pinjarra</w:t>
            </w:r>
          </w:p>
        </w:tc>
        <w:tc>
          <w:tcPr>
            <w:tcW w:w="1985" w:type="dxa"/>
            <w:tcBorders>
              <w:top w:val="nil"/>
              <w:left w:val="nil"/>
              <w:bottom w:val="nil"/>
              <w:right w:val="nil"/>
            </w:tcBorders>
            <w:noWrap/>
            <w:vAlign w:val="bottom"/>
          </w:tcPr>
          <w:p>
            <w:pPr>
              <w:pStyle w:val="yTableNAmRight"/>
              <w:jc w:val="center"/>
            </w:pPr>
            <w:r>
              <w:t>11.976</w:t>
            </w:r>
          </w:p>
        </w:tc>
        <w:tc>
          <w:tcPr>
            <w:tcW w:w="1985" w:type="dxa"/>
            <w:tcBorders>
              <w:top w:val="nil"/>
              <w:left w:val="nil"/>
              <w:bottom w:val="nil"/>
              <w:right w:val="nil"/>
            </w:tcBorders>
            <w:noWrap/>
            <w:vAlign w:val="bottom"/>
          </w:tcPr>
          <w:p>
            <w:pPr>
              <w:pStyle w:val="yTableNAmRight"/>
              <w:jc w:val="center"/>
            </w:pPr>
            <w:r>
              <w:t>11.106</w:t>
            </w:r>
          </w:p>
        </w:tc>
      </w:tr>
      <w:tr>
        <w:trPr>
          <w:cantSplit/>
        </w:trPr>
        <w:tc>
          <w:tcPr>
            <w:tcW w:w="2159" w:type="dxa"/>
            <w:tcBorders>
              <w:top w:val="nil"/>
              <w:left w:val="nil"/>
              <w:bottom w:val="nil"/>
              <w:right w:val="nil"/>
            </w:tcBorders>
            <w:noWrap/>
          </w:tcPr>
          <w:p>
            <w:pPr>
              <w:pStyle w:val="yTableNAm"/>
            </w:pPr>
            <w:r>
              <w:t>Port Hedland</w:t>
            </w:r>
          </w:p>
        </w:tc>
        <w:tc>
          <w:tcPr>
            <w:tcW w:w="1985" w:type="dxa"/>
            <w:tcBorders>
              <w:top w:val="nil"/>
              <w:left w:val="nil"/>
              <w:bottom w:val="nil"/>
              <w:right w:val="nil"/>
            </w:tcBorders>
            <w:noWrap/>
            <w:vAlign w:val="bottom"/>
          </w:tcPr>
          <w:p>
            <w:pPr>
              <w:pStyle w:val="yTableNAmRight"/>
              <w:jc w:val="center"/>
            </w:pPr>
            <w:r>
              <w:t>6.145</w:t>
            </w:r>
          </w:p>
        </w:tc>
        <w:tc>
          <w:tcPr>
            <w:tcW w:w="1985" w:type="dxa"/>
            <w:tcBorders>
              <w:top w:val="nil"/>
              <w:left w:val="nil"/>
              <w:bottom w:val="nil"/>
              <w:right w:val="nil"/>
            </w:tcBorders>
            <w:noWrap/>
            <w:vAlign w:val="bottom"/>
          </w:tcPr>
          <w:p>
            <w:pPr>
              <w:pStyle w:val="yTableNAmRight"/>
              <w:jc w:val="center"/>
            </w:pPr>
            <w:r>
              <w:t>20.478</w:t>
            </w:r>
          </w:p>
        </w:tc>
      </w:tr>
      <w:tr>
        <w:trPr>
          <w:cantSplit/>
        </w:trPr>
        <w:tc>
          <w:tcPr>
            <w:tcW w:w="2159" w:type="dxa"/>
            <w:tcBorders>
              <w:top w:val="nil"/>
              <w:left w:val="nil"/>
              <w:bottom w:val="nil"/>
              <w:right w:val="nil"/>
            </w:tcBorders>
            <w:noWrap/>
          </w:tcPr>
          <w:p>
            <w:pPr>
              <w:pStyle w:val="yTableNAm"/>
            </w:pPr>
            <w:r>
              <w:t>Prevelly</w:t>
            </w:r>
          </w:p>
        </w:tc>
        <w:tc>
          <w:tcPr>
            <w:tcW w:w="1985" w:type="dxa"/>
            <w:tcBorders>
              <w:top w:val="nil"/>
              <w:left w:val="nil"/>
              <w:bottom w:val="nil"/>
              <w:right w:val="nil"/>
            </w:tcBorders>
            <w:noWrap/>
            <w:vAlign w:val="bottom"/>
          </w:tcPr>
          <w:p>
            <w:pPr>
              <w:pStyle w:val="yTableNAmRight"/>
              <w:jc w:val="center"/>
            </w:pPr>
            <w:r>
              <w:t>8.195</w:t>
            </w:r>
          </w:p>
        </w:tc>
        <w:tc>
          <w:tcPr>
            <w:tcW w:w="1985" w:type="dxa"/>
            <w:tcBorders>
              <w:top w:val="nil"/>
              <w:left w:val="nil"/>
              <w:bottom w:val="nil"/>
              <w:right w:val="nil"/>
            </w:tcBorders>
            <w:noWrap/>
            <w:vAlign w:val="bottom"/>
          </w:tcPr>
          <w:p>
            <w:pPr>
              <w:pStyle w:val="yTableNAmRight"/>
              <w:jc w:val="center"/>
            </w:pPr>
            <w:r>
              <w:t>11.699</w:t>
            </w:r>
          </w:p>
        </w:tc>
      </w:tr>
      <w:tr>
        <w:trPr>
          <w:cantSplit/>
        </w:trPr>
        <w:tc>
          <w:tcPr>
            <w:tcW w:w="2159" w:type="dxa"/>
            <w:tcBorders>
              <w:top w:val="nil"/>
              <w:left w:val="nil"/>
              <w:bottom w:val="nil"/>
              <w:right w:val="nil"/>
            </w:tcBorders>
            <w:noWrap/>
          </w:tcPr>
          <w:p>
            <w:pPr>
              <w:pStyle w:val="yTableNAm"/>
            </w:pPr>
            <w:r>
              <w:t>Quairading</w:t>
            </w:r>
          </w:p>
        </w:tc>
        <w:tc>
          <w:tcPr>
            <w:tcW w:w="1985" w:type="dxa"/>
            <w:tcBorders>
              <w:top w:val="nil"/>
              <w:left w:val="nil"/>
              <w:bottom w:val="nil"/>
              <w:right w:val="nil"/>
            </w:tcBorders>
            <w:noWrap/>
            <w:vAlign w:val="bottom"/>
          </w:tcPr>
          <w:p>
            <w:pPr>
              <w:pStyle w:val="yTableNAmRight"/>
              <w:jc w:val="center"/>
            </w:pPr>
            <w:r>
              <w:t>28.480</w:t>
            </w:r>
          </w:p>
        </w:tc>
        <w:tc>
          <w:tcPr>
            <w:tcW w:w="1985" w:type="dxa"/>
            <w:tcBorders>
              <w:top w:val="nil"/>
              <w:left w:val="nil"/>
              <w:bottom w:val="nil"/>
              <w:right w:val="nil"/>
            </w:tcBorders>
            <w:noWrap/>
            <w:vAlign w:val="bottom"/>
          </w:tcPr>
          <w:p>
            <w:pPr>
              <w:pStyle w:val="yTableNAmRight"/>
              <w:jc w:val="center"/>
            </w:pPr>
            <w:r>
              <w:t>84.177</w:t>
            </w:r>
          </w:p>
        </w:tc>
      </w:tr>
      <w:tr>
        <w:trPr>
          <w:cantSplit/>
        </w:trPr>
        <w:tc>
          <w:tcPr>
            <w:tcW w:w="2159" w:type="dxa"/>
            <w:tcBorders>
              <w:top w:val="nil"/>
              <w:left w:val="nil"/>
              <w:bottom w:val="nil"/>
              <w:right w:val="nil"/>
            </w:tcBorders>
            <w:noWrap/>
          </w:tcPr>
          <w:p>
            <w:pPr>
              <w:pStyle w:val="yTableNAm"/>
            </w:pPr>
            <w:r>
              <w:t>Roebourne</w:t>
            </w:r>
          </w:p>
        </w:tc>
        <w:tc>
          <w:tcPr>
            <w:tcW w:w="1985" w:type="dxa"/>
            <w:tcBorders>
              <w:top w:val="nil"/>
              <w:left w:val="nil"/>
              <w:bottom w:val="nil"/>
              <w:right w:val="nil"/>
            </w:tcBorders>
            <w:noWrap/>
            <w:vAlign w:val="bottom"/>
          </w:tcPr>
          <w:p>
            <w:pPr>
              <w:pStyle w:val="yTableNAmRight"/>
              <w:jc w:val="center"/>
            </w:pPr>
            <w:r>
              <w:t>30.559</w:t>
            </w:r>
          </w:p>
        </w:tc>
        <w:tc>
          <w:tcPr>
            <w:tcW w:w="1985" w:type="dxa"/>
            <w:tcBorders>
              <w:top w:val="nil"/>
              <w:left w:val="nil"/>
              <w:bottom w:val="nil"/>
              <w:right w:val="nil"/>
            </w:tcBorders>
            <w:noWrap/>
            <w:vAlign w:val="bottom"/>
          </w:tcPr>
          <w:p>
            <w:pPr>
              <w:pStyle w:val="yTableNAmRight"/>
              <w:jc w:val="center"/>
            </w:pPr>
            <w:r>
              <w:t>323.384</w:t>
            </w:r>
          </w:p>
        </w:tc>
      </w:tr>
      <w:tr>
        <w:trPr>
          <w:cantSplit/>
        </w:trPr>
        <w:tc>
          <w:tcPr>
            <w:tcW w:w="2159" w:type="dxa"/>
            <w:tcBorders>
              <w:top w:val="nil"/>
              <w:left w:val="nil"/>
              <w:bottom w:val="nil"/>
              <w:right w:val="nil"/>
            </w:tcBorders>
            <w:noWrap/>
          </w:tcPr>
          <w:p>
            <w:pPr>
              <w:pStyle w:val="yTableNAm"/>
            </w:pPr>
            <w:r>
              <w:t>Seabird</w:t>
            </w:r>
          </w:p>
        </w:tc>
        <w:tc>
          <w:tcPr>
            <w:tcW w:w="1985" w:type="dxa"/>
            <w:tcBorders>
              <w:top w:val="nil"/>
              <w:left w:val="nil"/>
              <w:bottom w:val="nil"/>
              <w:right w:val="nil"/>
            </w:tcBorders>
            <w:noWrap/>
            <w:vAlign w:val="bottom"/>
          </w:tcPr>
          <w:p>
            <w:pPr>
              <w:pStyle w:val="yTableNAmRight"/>
              <w:jc w:val="center"/>
            </w:pPr>
            <w:r>
              <w:t>60.670</w:t>
            </w:r>
          </w:p>
        </w:tc>
        <w:tc>
          <w:tcPr>
            <w:tcW w:w="1985" w:type="dxa"/>
            <w:tcBorders>
              <w:top w:val="nil"/>
              <w:left w:val="nil"/>
              <w:bottom w:val="nil"/>
              <w:right w:val="nil"/>
            </w:tcBorders>
            <w:noWrap/>
            <w:vAlign w:val="bottom"/>
          </w:tcPr>
          <w:p>
            <w:pPr>
              <w:pStyle w:val="yTableNAmRight"/>
              <w:jc w:val="center"/>
            </w:pPr>
            <w:r>
              <w:t>172.660</w:t>
            </w:r>
          </w:p>
        </w:tc>
      </w:tr>
      <w:tr>
        <w:trPr>
          <w:cantSplit/>
        </w:trPr>
        <w:tc>
          <w:tcPr>
            <w:tcW w:w="2159" w:type="dxa"/>
            <w:tcBorders>
              <w:top w:val="nil"/>
              <w:left w:val="nil"/>
              <w:bottom w:val="nil"/>
              <w:right w:val="nil"/>
            </w:tcBorders>
            <w:noWrap/>
          </w:tcPr>
          <w:p>
            <w:pPr>
              <w:pStyle w:val="yTableNAm"/>
            </w:pPr>
            <w:r>
              <w:t>Tambellup</w:t>
            </w:r>
          </w:p>
        </w:tc>
        <w:tc>
          <w:tcPr>
            <w:tcW w:w="1985" w:type="dxa"/>
            <w:tcBorders>
              <w:top w:val="nil"/>
              <w:left w:val="nil"/>
              <w:bottom w:val="nil"/>
              <w:right w:val="nil"/>
            </w:tcBorders>
            <w:noWrap/>
            <w:vAlign w:val="bottom"/>
          </w:tcPr>
          <w:p>
            <w:pPr>
              <w:pStyle w:val="yTableNAmRight"/>
              <w:jc w:val="center"/>
            </w:pPr>
            <w:r>
              <w:t>53.514</w:t>
            </w:r>
          </w:p>
        </w:tc>
        <w:tc>
          <w:tcPr>
            <w:tcW w:w="1985" w:type="dxa"/>
            <w:tcBorders>
              <w:top w:val="nil"/>
              <w:left w:val="nil"/>
              <w:bottom w:val="nil"/>
              <w:right w:val="nil"/>
            </w:tcBorders>
            <w:noWrap/>
            <w:vAlign w:val="bottom"/>
          </w:tcPr>
          <w:p>
            <w:pPr>
              <w:pStyle w:val="yTableNAmRight"/>
              <w:jc w:val="center"/>
            </w:pPr>
            <w:r>
              <w:t>307.229</w:t>
            </w:r>
          </w:p>
        </w:tc>
      </w:tr>
      <w:tr>
        <w:trPr>
          <w:cantSplit/>
        </w:trPr>
        <w:tc>
          <w:tcPr>
            <w:tcW w:w="2159" w:type="dxa"/>
            <w:tcBorders>
              <w:top w:val="nil"/>
              <w:left w:val="nil"/>
              <w:bottom w:val="nil"/>
              <w:right w:val="nil"/>
            </w:tcBorders>
            <w:noWrap/>
          </w:tcPr>
          <w:p>
            <w:pPr>
              <w:pStyle w:val="yTableNAm"/>
            </w:pPr>
            <w:r>
              <w:t>Three Springs</w:t>
            </w:r>
          </w:p>
        </w:tc>
        <w:tc>
          <w:tcPr>
            <w:tcW w:w="1985" w:type="dxa"/>
            <w:tcBorders>
              <w:top w:val="nil"/>
              <w:left w:val="nil"/>
              <w:bottom w:val="nil"/>
              <w:right w:val="nil"/>
            </w:tcBorders>
            <w:noWrap/>
            <w:vAlign w:val="bottom"/>
          </w:tcPr>
          <w:p>
            <w:pPr>
              <w:pStyle w:val="yTableNAmRight"/>
              <w:jc w:val="center"/>
            </w:pPr>
            <w:r>
              <w:t>5.353</w:t>
            </w:r>
          </w:p>
        </w:tc>
        <w:tc>
          <w:tcPr>
            <w:tcW w:w="1985" w:type="dxa"/>
            <w:tcBorders>
              <w:top w:val="nil"/>
              <w:left w:val="nil"/>
              <w:bottom w:val="nil"/>
              <w:right w:val="nil"/>
            </w:tcBorders>
            <w:noWrap/>
            <w:vAlign w:val="bottom"/>
          </w:tcPr>
          <w:p>
            <w:pPr>
              <w:pStyle w:val="yTableNAmRight"/>
              <w:jc w:val="center"/>
            </w:pPr>
            <w:r>
              <w:t>84.426</w:t>
            </w:r>
          </w:p>
        </w:tc>
      </w:tr>
      <w:tr>
        <w:trPr>
          <w:cantSplit/>
        </w:trPr>
        <w:tc>
          <w:tcPr>
            <w:tcW w:w="2159" w:type="dxa"/>
            <w:tcBorders>
              <w:top w:val="nil"/>
              <w:left w:val="nil"/>
              <w:bottom w:val="nil"/>
              <w:right w:val="nil"/>
            </w:tcBorders>
            <w:noWrap/>
          </w:tcPr>
          <w:p>
            <w:pPr>
              <w:pStyle w:val="yTableNAm"/>
            </w:pPr>
            <w:r>
              <w:t>Toodyay</w:t>
            </w:r>
          </w:p>
        </w:tc>
        <w:tc>
          <w:tcPr>
            <w:tcW w:w="1985" w:type="dxa"/>
            <w:tcBorders>
              <w:top w:val="nil"/>
              <w:left w:val="nil"/>
              <w:bottom w:val="nil"/>
              <w:right w:val="nil"/>
            </w:tcBorders>
            <w:noWrap/>
            <w:vAlign w:val="bottom"/>
          </w:tcPr>
          <w:p>
            <w:pPr>
              <w:pStyle w:val="yTableNAmRight"/>
              <w:jc w:val="center"/>
            </w:pPr>
            <w:r>
              <w:t>10.110</w:t>
            </w:r>
          </w:p>
        </w:tc>
        <w:tc>
          <w:tcPr>
            <w:tcW w:w="1985" w:type="dxa"/>
            <w:tcBorders>
              <w:top w:val="nil"/>
              <w:left w:val="nil"/>
              <w:bottom w:val="nil"/>
              <w:right w:val="nil"/>
            </w:tcBorders>
            <w:noWrap/>
            <w:vAlign w:val="bottom"/>
          </w:tcPr>
          <w:p>
            <w:pPr>
              <w:pStyle w:val="yTableNAmRight"/>
              <w:jc w:val="center"/>
            </w:pPr>
            <w:r>
              <w:t>37.138</w:t>
            </w:r>
          </w:p>
        </w:tc>
      </w:tr>
      <w:tr>
        <w:trPr>
          <w:cantSplit/>
        </w:trPr>
        <w:tc>
          <w:tcPr>
            <w:tcW w:w="2159" w:type="dxa"/>
            <w:tcBorders>
              <w:top w:val="nil"/>
              <w:left w:val="nil"/>
              <w:bottom w:val="nil"/>
              <w:right w:val="nil"/>
            </w:tcBorders>
            <w:noWrap/>
          </w:tcPr>
          <w:p>
            <w:pPr>
              <w:pStyle w:val="yTableNAm"/>
            </w:pPr>
            <w:r>
              <w:t>Wagin</w:t>
            </w:r>
          </w:p>
        </w:tc>
        <w:tc>
          <w:tcPr>
            <w:tcW w:w="1985" w:type="dxa"/>
            <w:tcBorders>
              <w:top w:val="nil"/>
              <w:left w:val="nil"/>
              <w:bottom w:val="nil"/>
              <w:right w:val="nil"/>
            </w:tcBorders>
            <w:noWrap/>
            <w:vAlign w:val="bottom"/>
          </w:tcPr>
          <w:p>
            <w:pPr>
              <w:pStyle w:val="yTableNAmRight"/>
              <w:jc w:val="center"/>
            </w:pPr>
            <w:r>
              <w:t>13.723</w:t>
            </w:r>
          </w:p>
        </w:tc>
        <w:tc>
          <w:tcPr>
            <w:tcW w:w="1985" w:type="dxa"/>
            <w:tcBorders>
              <w:top w:val="nil"/>
              <w:left w:val="nil"/>
              <w:bottom w:val="nil"/>
              <w:right w:val="nil"/>
            </w:tcBorders>
            <w:noWrap/>
            <w:vAlign w:val="bottom"/>
          </w:tcPr>
          <w:p>
            <w:pPr>
              <w:pStyle w:val="yTableNAmRight"/>
              <w:jc w:val="center"/>
            </w:pPr>
            <w:r>
              <w:t>75.825</w:t>
            </w:r>
          </w:p>
        </w:tc>
      </w:tr>
      <w:tr>
        <w:trPr>
          <w:cantSplit/>
        </w:trPr>
        <w:tc>
          <w:tcPr>
            <w:tcW w:w="2159" w:type="dxa"/>
            <w:tcBorders>
              <w:top w:val="nil"/>
              <w:left w:val="nil"/>
              <w:bottom w:val="nil"/>
              <w:right w:val="nil"/>
            </w:tcBorders>
            <w:noWrap/>
          </w:tcPr>
          <w:p>
            <w:pPr>
              <w:pStyle w:val="yTableNAm"/>
            </w:pPr>
            <w:r>
              <w:t>Walpole</w:t>
            </w:r>
          </w:p>
        </w:tc>
        <w:tc>
          <w:tcPr>
            <w:tcW w:w="1985" w:type="dxa"/>
            <w:tcBorders>
              <w:top w:val="nil"/>
              <w:left w:val="nil"/>
              <w:bottom w:val="nil"/>
              <w:right w:val="nil"/>
            </w:tcBorders>
            <w:noWrap/>
            <w:vAlign w:val="bottom"/>
          </w:tcPr>
          <w:p>
            <w:pPr>
              <w:pStyle w:val="yTableNAmRight"/>
              <w:jc w:val="center"/>
            </w:pPr>
            <w:r>
              <w:t>25.088</w:t>
            </w:r>
          </w:p>
        </w:tc>
        <w:tc>
          <w:tcPr>
            <w:tcW w:w="1985" w:type="dxa"/>
            <w:tcBorders>
              <w:top w:val="nil"/>
              <w:left w:val="nil"/>
              <w:bottom w:val="nil"/>
              <w:right w:val="nil"/>
            </w:tcBorders>
            <w:noWrap/>
            <w:vAlign w:val="bottom"/>
          </w:tcPr>
          <w:p>
            <w:pPr>
              <w:pStyle w:val="yTableNAmRight"/>
              <w:jc w:val="center"/>
            </w:pPr>
            <w:r>
              <w:t>47.153</w:t>
            </w:r>
          </w:p>
        </w:tc>
      </w:tr>
      <w:tr>
        <w:trPr>
          <w:cantSplit/>
        </w:trPr>
        <w:tc>
          <w:tcPr>
            <w:tcW w:w="2159" w:type="dxa"/>
            <w:tcBorders>
              <w:top w:val="nil"/>
              <w:left w:val="nil"/>
              <w:bottom w:val="nil"/>
              <w:right w:val="nil"/>
            </w:tcBorders>
            <w:noWrap/>
          </w:tcPr>
          <w:p>
            <w:pPr>
              <w:pStyle w:val="yTableNAm"/>
            </w:pPr>
            <w:r>
              <w:t>Waroona</w:t>
            </w:r>
          </w:p>
        </w:tc>
        <w:tc>
          <w:tcPr>
            <w:tcW w:w="1985" w:type="dxa"/>
            <w:tcBorders>
              <w:top w:val="nil"/>
              <w:left w:val="nil"/>
              <w:bottom w:val="nil"/>
              <w:right w:val="nil"/>
            </w:tcBorders>
            <w:noWrap/>
            <w:vAlign w:val="bottom"/>
          </w:tcPr>
          <w:p>
            <w:pPr>
              <w:pStyle w:val="yTableNAmRight"/>
              <w:jc w:val="center"/>
            </w:pPr>
            <w:r>
              <w:t>8.583</w:t>
            </w:r>
          </w:p>
        </w:tc>
        <w:tc>
          <w:tcPr>
            <w:tcW w:w="1985" w:type="dxa"/>
            <w:tcBorders>
              <w:top w:val="nil"/>
              <w:left w:val="nil"/>
              <w:bottom w:val="nil"/>
              <w:right w:val="nil"/>
            </w:tcBorders>
            <w:noWrap/>
            <w:vAlign w:val="bottom"/>
          </w:tcPr>
          <w:p>
            <w:pPr>
              <w:pStyle w:val="yTableNAmRight"/>
              <w:jc w:val="center"/>
            </w:pPr>
            <w:r>
              <w:t>21.594</w:t>
            </w:r>
          </w:p>
        </w:tc>
      </w:tr>
      <w:tr>
        <w:trPr>
          <w:cantSplit/>
        </w:trPr>
        <w:tc>
          <w:tcPr>
            <w:tcW w:w="2159" w:type="dxa"/>
            <w:tcBorders>
              <w:top w:val="nil"/>
              <w:left w:val="nil"/>
              <w:bottom w:val="nil"/>
              <w:right w:val="nil"/>
            </w:tcBorders>
            <w:noWrap/>
          </w:tcPr>
          <w:p>
            <w:pPr>
              <w:pStyle w:val="yTableNAm"/>
            </w:pPr>
            <w:r>
              <w:t>Wickham</w:t>
            </w:r>
          </w:p>
        </w:tc>
        <w:tc>
          <w:tcPr>
            <w:tcW w:w="1985" w:type="dxa"/>
            <w:tcBorders>
              <w:top w:val="nil"/>
              <w:left w:val="nil"/>
              <w:bottom w:val="nil"/>
              <w:right w:val="nil"/>
            </w:tcBorders>
            <w:noWrap/>
            <w:vAlign w:val="bottom"/>
          </w:tcPr>
          <w:p>
            <w:pPr>
              <w:pStyle w:val="yTableNAmRight"/>
              <w:jc w:val="center"/>
            </w:pPr>
            <w:r>
              <w:t>7.927</w:t>
            </w:r>
          </w:p>
        </w:tc>
        <w:tc>
          <w:tcPr>
            <w:tcW w:w="1985" w:type="dxa"/>
            <w:tcBorders>
              <w:top w:val="nil"/>
              <w:left w:val="nil"/>
              <w:bottom w:val="nil"/>
              <w:right w:val="nil"/>
            </w:tcBorders>
            <w:noWrap/>
            <w:vAlign w:val="bottom"/>
          </w:tcPr>
          <w:p>
            <w:pPr>
              <w:pStyle w:val="yTableNAmRight"/>
              <w:jc w:val="center"/>
            </w:pPr>
            <w:r>
              <w:t>97.146</w:t>
            </w:r>
          </w:p>
        </w:tc>
      </w:tr>
      <w:tr>
        <w:trPr>
          <w:cantSplit/>
        </w:trPr>
        <w:tc>
          <w:tcPr>
            <w:tcW w:w="2159" w:type="dxa"/>
            <w:tcBorders>
              <w:top w:val="nil"/>
              <w:left w:val="nil"/>
              <w:bottom w:val="nil"/>
              <w:right w:val="nil"/>
            </w:tcBorders>
            <w:noWrap/>
          </w:tcPr>
          <w:p>
            <w:pPr>
              <w:pStyle w:val="yTableNAm"/>
            </w:pPr>
            <w:r>
              <w:t>Williams</w:t>
            </w:r>
          </w:p>
        </w:tc>
        <w:tc>
          <w:tcPr>
            <w:tcW w:w="1985" w:type="dxa"/>
            <w:tcBorders>
              <w:top w:val="nil"/>
              <w:left w:val="nil"/>
              <w:bottom w:val="nil"/>
              <w:right w:val="nil"/>
            </w:tcBorders>
            <w:noWrap/>
            <w:vAlign w:val="bottom"/>
          </w:tcPr>
          <w:p>
            <w:pPr>
              <w:pStyle w:val="yTableNAmRight"/>
              <w:jc w:val="center"/>
            </w:pPr>
            <w:r>
              <w:t>24.402</w:t>
            </w:r>
          </w:p>
        </w:tc>
        <w:tc>
          <w:tcPr>
            <w:tcW w:w="1985" w:type="dxa"/>
            <w:tcBorders>
              <w:top w:val="nil"/>
              <w:left w:val="nil"/>
              <w:bottom w:val="nil"/>
              <w:right w:val="nil"/>
            </w:tcBorders>
            <w:noWrap/>
            <w:vAlign w:val="bottom"/>
          </w:tcPr>
          <w:p>
            <w:pPr>
              <w:pStyle w:val="yTableNAmRight"/>
              <w:jc w:val="center"/>
            </w:pPr>
            <w:r>
              <w:t>95.982</w:t>
            </w:r>
          </w:p>
        </w:tc>
      </w:tr>
      <w:tr>
        <w:trPr>
          <w:cantSplit/>
        </w:trPr>
        <w:tc>
          <w:tcPr>
            <w:tcW w:w="2159" w:type="dxa"/>
            <w:tcBorders>
              <w:top w:val="nil"/>
              <w:left w:val="nil"/>
              <w:bottom w:val="nil"/>
              <w:right w:val="nil"/>
            </w:tcBorders>
            <w:noWrap/>
          </w:tcPr>
          <w:p>
            <w:pPr>
              <w:pStyle w:val="yTableNAm"/>
            </w:pPr>
            <w:r>
              <w:t>Wiluna</w:t>
            </w:r>
          </w:p>
        </w:tc>
        <w:tc>
          <w:tcPr>
            <w:tcW w:w="1985" w:type="dxa"/>
            <w:tcBorders>
              <w:top w:val="nil"/>
              <w:left w:val="nil"/>
              <w:bottom w:val="nil"/>
              <w:right w:val="nil"/>
            </w:tcBorders>
            <w:noWrap/>
            <w:vAlign w:val="bottom"/>
          </w:tcPr>
          <w:p>
            <w:pPr>
              <w:pStyle w:val="yTableNAmRight"/>
              <w:jc w:val="center"/>
            </w:pPr>
            <w:r>
              <w:t>15.739</w:t>
            </w:r>
          </w:p>
        </w:tc>
        <w:tc>
          <w:tcPr>
            <w:tcW w:w="1985" w:type="dxa"/>
            <w:tcBorders>
              <w:top w:val="nil"/>
              <w:left w:val="nil"/>
              <w:bottom w:val="nil"/>
              <w:right w:val="nil"/>
            </w:tcBorders>
            <w:noWrap/>
            <w:vAlign w:val="bottom"/>
          </w:tcPr>
          <w:p>
            <w:pPr>
              <w:pStyle w:val="yTableNAmRight"/>
              <w:jc w:val="center"/>
            </w:pPr>
            <w:r>
              <w:t>15.062</w:t>
            </w:r>
          </w:p>
        </w:tc>
      </w:tr>
      <w:tr>
        <w:trPr>
          <w:cantSplit/>
        </w:trPr>
        <w:tc>
          <w:tcPr>
            <w:tcW w:w="2159" w:type="dxa"/>
            <w:tcBorders>
              <w:top w:val="nil"/>
              <w:left w:val="nil"/>
              <w:bottom w:val="nil"/>
              <w:right w:val="nil"/>
            </w:tcBorders>
            <w:noWrap/>
          </w:tcPr>
          <w:p>
            <w:pPr>
              <w:pStyle w:val="yTableNAm"/>
            </w:pPr>
            <w:r>
              <w:t>Wongan Hills</w:t>
            </w:r>
          </w:p>
        </w:tc>
        <w:tc>
          <w:tcPr>
            <w:tcW w:w="1985" w:type="dxa"/>
            <w:tcBorders>
              <w:top w:val="nil"/>
              <w:left w:val="nil"/>
              <w:bottom w:val="nil"/>
              <w:right w:val="nil"/>
            </w:tcBorders>
            <w:noWrap/>
            <w:vAlign w:val="bottom"/>
          </w:tcPr>
          <w:p>
            <w:pPr>
              <w:pStyle w:val="yTableNAmRight"/>
              <w:jc w:val="center"/>
            </w:pPr>
            <w:r>
              <w:t>19.582</w:t>
            </w:r>
          </w:p>
        </w:tc>
        <w:tc>
          <w:tcPr>
            <w:tcW w:w="1985" w:type="dxa"/>
            <w:tcBorders>
              <w:top w:val="nil"/>
              <w:left w:val="nil"/>
              <w:bottom w:val="nil"/>
              <w:right w:val="nil"/>
            </w:tcBorders>
            <w:noWrap/>
            <w:vAlign w:val="bottom"/>
          </w:tcPr>
          <w:p>
            <w:pPr>
              <w:pStyle w:val="yTableNAmRight"/>
              <w:jc w:val="center"/>
            </w:pPr>
            <w:r>
              <w:t>53.959</w:t>
            </w:r>
          </w:p>
        </w:tc>
      </w:tr>
      <w:tr>
        <w:trPr>
          <w:cantSplit/>
        </w:trPr>
        <w:tc>
          <w:tcPr>
            <w:tcW w:w="2159" w:type="dxa"/>
            <w:tcBorders>
              <w:top w:val="nil"/>
              <w:left w:val="nil"/>
              <w:bottom w:val="nil"/>
              <w:right w:val="nil"/>
            </w:tcBorders>
            <w:noWrap/>
          </w:tcPr>
          <w:p>
            <w:pPr>
              <w:pStyle w:val="yTableNAm"/>
            </w:pPr>
            <w:r>
              <w:t>Wundowie</w:t>
            </w:r>
          </w:p>
        </w:tc>
        <w:tc>
          <w:tcPr>
            <w:tcW w:w="1985" w:type="dxa"/>
            <w:tcBorders>
              <w:top w:val="nil"/>
              <w:left w:val="nil"/>
              <w:bottom w:val="nil"/>
              <w:right w:val="nil"/>
            </w:tcBorders>
            <w:noWrap/>
            <w:vAlign w:val="bottom"/>
          </w:tcPr>
          <w:p>
            <w:pPr>
              <w:pStyle w:val="yTableNAmRight"/>
              <w:jc w:val="center"/>
            </w:pPr>
            <w:r>
              <w:t>17.412</w:t>
            </w:r>
          </w:p>
        </w:tc>
        <w:tc>
          <w:tcPr>
            <w:tcW w:w="1985" w:type="dxa"/>
            <w:tcBorders>
              <w:top w:val="nil"/>
              <w:left w:val="nil"/>
              <w:bottom w:val="nil"/>
              <w:right w:val="nil"/>
            </w:tcBorders>
            <w:noWrap/>
            <w:vAlign w:val="bottom"/>
          </w:tcPr>
          <w:p>
            <w:pPr>
              <w:pStyle w:val="yTableNAmRight"/>
              <w:jc w:val="center"/>
            </w:pPr>
            <w:r>
              <w:t>54.333</w:t>
            </w:r>
          </w:p>
        </w:tc>
      </w:tr>
      <w:tr>
        <w:trPr>
          <w:cantSplit/>
        </w:trPr>
        <w:tc>
          <w:tcPr>
            <w:tcW w:w="2159" w:type="dxa"/>
            <w:tcBorders>
              <w:top w:val="nil"/>
              <w:left w:val="nil"/>
              <w:bottom w:val="nil"/>
              <w:right w:val="nil"/>
            </w:tcBorders>
            <w:noWrap/>
          </w:tcPr>
          <w:p>
            <w:pPr>
              <w:pStyle w:val="yTableNAm"/>
            </w:pPr>
            <w:r>
              <w:t>Wyalkatchem</w:t>
            </w:r>
          </w:p>
        </w:tc>
        <w:tc>
          <w:tcPr>
            <w:tcW w:w="1985" w:type="dxa"/>
            <w:tcBorders>
              <w:top w:val="nil"/>
              <w:left w:val="nil"/>
              <w:bottom w:val="nil"/>
              <w:right w:val="nil"/>
            </w:tcBorders>
            <w:noWrap/>
            <w:vAlign w:val="bottom"/>
          </w:tcPr>
          <w:p>
            <w:pPr>
              <w:pStyle w:val="yTableNAmRight"/>
              <w:jc w:val="center"/>
            </w:pPr>
            <w:r>
              <w:t>41.511</w:t>
            </w:r>
          </w:p>
        </w:tc>
        <w:tc>
          <w:tcPr>
            <w:tcW w:w="1985" w:type="dxa"/>
            <w:tcBorders>
              <w:top w:val="nil"/>
              <w:left w:val="nil"/>
              <w:bottom w:val="nil"/>
              <w:right w:val="nil"/>
            </w:tcBorders>
            <w:noWrap/>
            <w:vAlign w:val="bottom"/>
          </w:tcPr>
          <w:p>
            <w:pPr>
              <w:pStyle w:val="yTableNAmRight"/>
              <w:jc w:val="center"/>
            </w:pPr>
            <w:r>
              <w:t>254.508</w:t>
            </w:r>
          </w:p>
        </w:tc>
      </w:tr>
      <w:tr>
        <w:trPr>
          <w:cantSplit/>
        </w:trPr>
        <w:tc>
          <w:tcPr>
            <w:tcW w:w="2159" w:type="dxa"/>
            <w:tcBorders>
              <w:top w:val="nil"/>
              <w:left w:val="nil"/>
              <w:bottom w:val="nil"/>
              <w:right w:val="nil"/>
            </w:tcBorders>
            <w:noWrap/>
          </w:tcPr>
          <w:p>
            <w:pPr>
              <w:pStyle w:val="yTableNAm"/>
            </w:pPr>
            <w:r>
              <w:lastRenderedPageBreak/>
              <w:t>Wyndham</w:t>
            </w:r>
          </w:p>
        </w:tc>
        <w:tc>
          <w:tcPr>
            <w:tcW w:w="1985" w:type="dxa"/>
            <w:tcBorders>
              <w:top w:val="nil"/>
              <w:left w:val="nil"/>
              <w:bottom w:val="nil"/>
              <w:right w:val="nil"/>
            </w:tcBorders>
            <w:noWrap/>
            <w:vAlign w:val="bottom"/>
          </w:tcPr>
          <w:p>
            <w:pPr>
              <w:pStyle w:val="yTableNAmRight"/>
              <w:jc w:val="center"/>
            </w:pPr>
            <w:r>
              <w:t>54.854</w:t>
            </w:r>
          </w:p>
        </w:tc>
        <w:tc>
          <w:tcPr>
            <w:tcW w:w="1985" w:type="dxa"/>
            <w:tcBorders>
              <w:top w:val="nil"/>
              <w:left w:val="nil"/>
              <w:bottom w:val="nil"/>
              <w:right w:val="nil"/>
            </w:tcBorders>
            <w:noWrap/>
            <w:vAlign w:val="bottom"/>
          </w:tcPr>
          <w:p>
            <w:pPr>
              <w:pStyle w:val="yTableNAmRight"/>
              <w:jc w:val="center"/>
            </w:pPr>
            <w:r>
              <w:t>262.597</w:t>
            </w:r>
          </w:p>
        </w:tc>
      </w:tr>
      <w:tr>
        <w:trPr>
          <w:cantSplit/>
        </w:trPr>
        <w:tc>
          <w:tcPr>
            <w:tcW w:w="2159" w:type="dxa"/>
            <w:tcBorders>
              <w:top w:val="nil"/>
              <w:left w:val="nil"/>
              <w:bottom w:val="nil"/>
              <w:right w:val="nil"/>
            </w:tcBorders>
            <w:noWrap/>
          </w:tcPr>
          <w:p>
            <w:pPr>
              <w:pStyle w:val="yTableNAm"/>
            </w:pPr>
            <w:r>
              <w:t>York</w:t>
            </w:r>
          </w:p>
        </w:tc>
        <w:tc>
          <w:tcPr>
            <w:tcW w:w="1985" w:type="dxa"/>
            <w:tcBorders>
              <w:top w:val="nil"/>
              <w:left w:val="nil"/>
              <w:bottom w:val="nil"/>
              <w:right w:val="nil"/>
            </w:tcBorders>
            <w:noWrap/>
            <w:vAlign w:val="bottom"/>
          </w:tcPr>
          <w:p>
            <w:pPr>
              <w:pStyle w:val="yTableNAmRight"/>
              <w:jc w:val="center"/>
            </w:pPr>
            <w:r>
              <w:t>1.544</w:t>
            </w:r>
          </w:p>
        </w:tc>
        <w:tc>
          <w:tcPr>
            <w:tcW w:w="1985" w:type="dxa"/>
            <w:tcBorders>
              <w:top w:val="nil"/>
              <w:left w:val="nil"/>
              <w:bottom w:val="nil"/>
              <w:right w:val="nil"/>
            </w:tcBorders>
            <w:noWrap/>
            <w:vAlign w:val="bottom"/>
          </w:tcPr>
          <w:p>
            <w:pPr>
              <w:pStyle w:val="yTableNAmRight"/>
              <w:jc w:val="center"/>
            </w:pPr>
            <w:r>
              <w:t>4.051</w:t>
            </w:r>
          </w:p>
        </w:tc>
      </w:tr>
      <w:tr>
        <w:trPr>
          <w:cantSplit/>
        </w:trPr>
        <w:tc>
          <w:tcPr>
            <w:tcW w:w="2159" w:type="dxa"/>
            <w:tcBorders>
              <w:top w:val="nil"/>
              <w:left w:val="nil"/>
              <w:bottom w:val="single" w:sz="4" w:space="0" w:color="auto"/>
              <w:right w:val="nil"/>
            </w:tcBorders>
            <w:noWrap/>
          </w:tcPr>
          <w:p>
            <w:pPr>
              <w:pStyle w:val="yTableNAm"/>
            </w:pPr>
            <w:r>
              <w:t>Yunderup</w:t>
            </w:r>
          </w:p>
        </w:tc>
        <w:tc>
          <w:tcPr>
            <w:tcW w:w="1985" w:type="dxa"/>
            <w:tcBorders>
              <w:top w:val="nil"/>
              <w:left w:val="nil"/>
              <w:bottom w:val="single" w:sz="4" w:space="0" w:color="auto"/>
              <w:right w:val="nil"/>
            </w:tcBorders>
            <w:noWrap/>
            <w:vAlign w:val="bottom"/>
          </w:tcPr>
          <w:p>
            <w:pPr>
              <w:pStyle w:val="yTableNAmRight"/>
              <w:jc w:val="center"/>
            </w:pPr>
            <w:r>
              <w:t>7.318</w:t>
            </w:r>
          </w:p>
        </w:tc>
        <w:tc>
          <w:tcPr>
            <w:tcW w:w="1985" w:type="dxa"/>
            <w:tcBorders>
              <w:top w:val="nil"/>
              <w:left w:val="nil"/>
              <w:bottom w:val="single" w:sz="4" w:space="0" w:color="auto"/>
              <w:right w:val="nil"/>
            </w:tcBorders>
            <w:noWrap/>
            <w:vAlign w:val="bottom"/>
          </w:tcPr>
          <w:p>
            <w:pPr>
              <w:pStyle w:val="yTableNAmRight"/>
              <w:jc w:val="center"/>
            </w:pPr>
            <w:r>
              <w:t>7.777</w:t>
            </w:r>
          </w:p>
        </w:tc>
      </w:tr>
    </w:tbl>
    <w:p>
      <w:pPr>
        <w:pStyle w:val="yFootnotesection"/>
      </w:pPr>
      <w:bookmarkStart w:id="374" w:name="_Toc105571105"/>
      <w:bookmarkStart w:id="375" w:name="_Toc105573920"/>
      <w:bookmarkStart w:id="376" w:name="_Toc105574288"/>
      <w:r>
        <w:tab/>
        <w:t>[Division 1 inserted: SL 2022/82 r. 19.]</w:t>
      </w:r>
    </w:p>
    <w:p>
      <w:pPr>
        <w:pStyle w:val="yHeading3"/>
      </w:pPr>
      <w:bookmarkStart w:id="377" w:name="_Toc106869207"/>
      <w:bookmarkStart w:id="378" w:name="_Toc106872085"/>
      <w:bookmarkStart w:id="379" w:name="_Toc107232299"/>
      <w:r>
        <w:rPr>
          <w:rStyle w:val="CharSDivNo"/>
        </w:rPr>
        <w:t>Division 2</w:t>
      </w:r>
      <w:r>
        <w:t> — </w:t>
      </w:r>
      <w:r>
        <w:rPr>
          <w:rStyle w:val="CharSDivText"/>
        </w:rPr>
        <w:t>Combined charges for certain non</w:t>
      </w:r>
      <w:r>
        <w:rPr>
          <w:rStyle w:val="CharSDivText"/>
        </w:rPr>
        <w:noBreakHyphen/>
        <w:t>residential property</w:t>
      </w:r>
      <w:bookmarkEnd w:id="374"/>
      <w:bookmarkEnd w:id="375"/>
      <w:bookmarkEnd w:id="376"/>
      <w:bookmarkEnd w:id="377"/>
      <w:bookmarkEnd w:id="378"/>
      <w:bookmarkEnd w:id="379"/>
    </w:p>
    <w:p>
      <w:pPr>
        <w:pStyle w:val="yFootnoteheading"/>
      </w:pPr>
      <w:bookmarkStart w:id="380" w:name="_Toc105571106"/>
      <w:bookmarkStart w:id="381" w:name="_Toc105573921"/>
      <w:bookmarkStart w:id="382" w:name="_Toc105574289"/>
      <w:r>
        <w:tab/>
        <w:t>[Heading inserted: SL 2022/82 r. 19.]</w:t>
      </w:r>
    </w:p>
    <w:p>
      <w:pPr>
        <w:pStyle w:val="yHeading4"/>
      </w:pPr>
      <w:bookmarkStart w:id="383" w:name="_Toc106869208"/>
      <w:bookmarkStart w:id="384" w:name="_Toc106872086"/>
      <w:bookmarkStart w:id="385" w:name="_Toc107232300"/>
      <w:r>
        <w:t>Subdivision 1 — Preliminary</w:t>
      </w:r>
      <w:bookmarkEnd w:id="380"/>
      <w:bookmarkEnd w:id="381"/>
      <w:bookmarkEnd w:id="382"/>
      <w:bookmarkEnd w:id="383"/>
      <w:bookmarkEnd w:id="384"/>
      <w:bookmarkEnd w:id="385"/>
    </w:p>
    <w:p>
      <w:pPr>
        <w:pStyle w:val="yFootnoteheading"/>
      </w:pPr>
      <w:bookmarkStart w:id="386" w:name="_Toc105574290"/>
      <w:r>
        <w:tab/>
        <w:t>[Heading inserted: SL 2022/82 r. 19.]</w:t>
      </w:r>
    </w:p>
    <w:p>
      <w:pPr>
        <w:pStyle w:val="yHeading5"/>
      </w:pPr>
      <w:bookmarkStart w:id="387" w:name="_Toc107232301"/>
      <w:r>
        <w:t>13.</w:t>
      </w:r>
      <w:r>
        <w:tab/>
        <w:t>Combined charges for 2022/23 and subsequent years</w:t>
      </w:r>
      <w:bookmarkEnd w:id="386"/>
      <w:bookmarkEnd w:id="387"/>
    </w:p>
    <w:p>
      <w:pPr>
        <w:pStyle w:val="ySubsection"/>
        <w:tabs>
          <w:tab w:val="right" w:leader="dot" w:pos="6804"/>
        </w:tabs>
      </w:pPr>
      <w:r>
        <w:tab/>
      </w:r>
      <w:r>
        <w:tab/>
        <w:t>The charges set out in this Division apply for sewerage services provided and wastewater discharged in the 2022/23 financial year and each subsequent year.</w:t>
      </w:r>
    </w:p>
    <w:p>
      <w:pPr>
        <w:pStyle w:val="yHeading4"/>
      </w:pPr>
      <w:bookmarkStart w:id="388" w:name="_Toc105571108"/>
      <w:bookmarkStart w:id="389" w:name="_Toc105573923"/>
      <w:bookmarkStart w:id="390" w:name="_Toc105574291"/>
      <w:bookmarkStart w:id="391" w:name="_Toc106869210"/>
      <w:bookmarkStart w:id="392" w:name="_Toc106872088"/>
      <w:bookmarkStart w:id="393" w:name="_Toc107232302"/>
      <w:r>
        <w:t>Subdivision 2 — Combined charges: metropolitan</w:t>
      </w:r>
      <w:bookmarkEnd w:id="388"/>
      <w:bookmarkEnd w:id="389"/>
      <w:bookmarkEnd w:id="390"/>
      <w:bookmarkEnd w:id="391"/>
      <w:bookmarkEnd w:id="392"/>
      <w:bookmarkEnd w:id="393"/>
    </w:p>
    <w:p>
      <w:pPr>
        <w:pStyle w:val="yFootnoteheading"/>
      </w:pPr>
      <w:bookmarkStart w:id="394" w:name="_Toc105574292"/>
      <w:r>
        <w:tab/>
        <w:t>[Heading inserted: SL 2022/82 r. 19.]</w:t>
      </w:r>
    </w:p>
    <w:p>
      <w:pPr>
        <w:pStyle w:val="yHeading5"/>
      </w:pPr>
      <w:bookmarkStart w:id="395" w:name="_Toc107232303"/>
      <w:r>
        <w:t>14.</w:t>
      </w:r>
      <w:r>
        <w:tab/>
        <w:t>Metropolitan non</w:t>
      </w:r>
      <w:r>
        <w:noBreakHyphen/>
        <w:t>residential</w:t>
      </w:r>
      <w:bookmarkEnd w:id="394"/>
      <w:bookmarkEnd w:id="395"/>
    </w:p>
    <w:p>
      <w:pPr>
        <w:pStyle w:val="ySubsection"/>
        <w:tabs>
          <w:tab w:val="right" w:leader="dot" w:pos="6804"/>
        </w:tabs>
      </w:pPr>
      <w:r>
        <w:tab/>
      </w:r>
      <w:r>
        <w:tab/>
        <w:t>For land in the metropolitan area that —</w:t>
      </w:r>
    </w:p>
    <w:p>
      <w:pPr>
        <w:pStyle w:val="yIndenta"/>
        <w:tabs>
          <w:tab w:val="right" w:leader="dot" w:pos="6804"/>
        </w:tabs>
      </w:pPr>
      <w:r>
        <w:tab/>
        <w:t>(a)</w:t>
      </w:r>
      <w:r>
        <w:tab/>
        <w:t>is not contained in a residential property; and</w:t>
      </w:r>
    </w:p>
    <w:p>
      <w:pPr>
        <w:pStyle w:val="yIndenta"/>
        <w:tabs>
          <w:tab w:val="right" w:leader="dot" w:pos="6804"/>
        </w:tabs>
      </w:pPr>
      <w:r>
        <w:tab/>
        <w:t>(b)</w:t>
      </w:r>
      <w:r>
        <w:tab/>
        <w:t>is not covered by item 3, 4, 5, 6, 15, 16, 17 or 18,</w:t>
      </w:r>
    </w:p>
    <w:p>
      <w:pPr>
        <w:pStyle w:val="ySubsection"/>
        <w:tabs>
          <w:tab w:val="right" w:leader="dot" w:pos="6804"/>
        </w:tabs>
      </w:pPr>
      <w:r>
        <w:tab/>
      </w:r>
      <w:r>
        <w:tab/>
        <w:t>the charge is —</w:t>
      </w:r>
    </w:p>
    <w:p>
      <w:pPr>
        <w:pStyle w:val="Equation"/>
        <w:spacing w:before="120"/>
        <w:ind w:left="879"/>
        <w:rPr>
          <w:b/>
          <w:sz w:val="22"/>
        </w:rPr>
      </w:pPr>
      <m:oMathPara>
        <m:oMathParaPr>
          <m:jc m:val="left"/>
        </m:oMathParaPr>
        <m:oMath>
          <m:r>
            <m:rPr>
              <m:sty m:val="b"/>
            </m:rPr>
            <w:rPr>
              <w:rFonts w:ascii="Cambria Math" w:hAnsi="Cambria Math"/>
              <w:sz w:val="22"/>
            </w:rPr>
            <m:t>P+Q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P</w:t>
      </w:r>
      <w:r>
        <w:tab/>
        <w:t>is the service charge calculated in accordance with item 19;</w:t>
      </w:r>
    </w:p>
    <w:p>
      <w:pPr>
        <w:pStyle w:val="yMiscellaneousBody"/>
        <w:tabs>
          <w:tab w:val="left" w:pos="284"/>
          <w:tab w:val="left" w:pos="1985"/>
        </w:tabs>
        <w:ind w:left="1304" w:hanging="425"/>
      </w:pPr>
      <w:r>
        <w:rPr>
          <w:b/>
        </w:rPr>
        <w:t>Q</w:t>
      </w:r>
      <w:r>
        <w:tab/>
        <w:t>is the discharge charge calculated in accordance with item  20.</w:t>
      </w:r>
    </w:p>
    <w:p>
      <w:pPr>
        <w:pStyle w:val="yHeading5"/>
      </w:pPr>
      <w:bookmarkStart w:id="396" w:name="_Toc105574293"/>
      <w:bookmarkStart w:id="397" w:name="_Toc107232304"/>
      <w:r>
        <w:lastRenderedPageBreak/>
        <w:t>15.</w:t>
      </w:r>
      <w:r>
        <w:tab/>
        <w:t>Metropolitan government trading organisation and non</w:t>
      </w:r>
      <w:r>
        <w:noBreakHyphen/>
        <w:t>commercial government property</w:t>
      </w:r>
      <w:bookmarkEnd w:id="396"/>
      <w:bookmarkEnd w:id="397"/>
    </w:p>
    <w:p>
      <w:pPr>
        <w:pStyle w:val="ySubsection"/>
        <w:tabs>
          <w:tab w:val="right" w:leader="dot" w:pos="6804"/>
        </w:tabs>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is the charge according to the number of connected major fixtures calculated in accordance with item  19;</w:t>
      </w:r>
    </w:p>
    <w:p>
      <w:pPr>
        <w:pStyle w:val="yMiscellaneousBody"/>
        <w:tabs>
          <w:tab w:val="left" w:pos="284"/>
          <w:tab w:val="left" w:pos="1985"/>
        </w:tabs>
        <w:ind w:left="1305" w:hanging="425"/>
      </w:pPr>
      <w:r>
        <w:rPr>
          <w:b/>
        </w:rPr>
        <w:t>Q</w:t>
      </w:r>
      <w:r>
        <w:tab/>
        <w:t>is the discharge charge calculated in accordance with item 20.</w:t>
      </w:r>
    </w:p>
    <w:p>
      <w:pPr>
        <w:pStyle w:val="ySubsection"/>
        <w:tabs>
          <w:tab w:val="right" w:leader="dot" w:pos="6804"/>
        </w:tabs>
      </w:pPr>
      <w:r>
        <w:tab/>
        <w:t>(2)</w:t>
      </w:r>
      <w:r>
        <w:tab/>
        <w:t>Sub</w:t>
      </w:r>
      <w:r>
        <w:noBreakHyphen/>
        <w:t>item (1) does not apply to public land.</w:t>
      </w:r>
    </w:p>
    <w:p>
      <w:pPr>
        <w:pStyle w:val="yHeading5"/>
      </w:pPr>
      <w:bookmarkStart w:id="398" w:name="_Toc105574294"/>
      <w:bookmarkStart w:id="399" w:name="_Toc107232305"/>
      <w:r>
        <w:t>16.</w:t>
      </w:r>
      <w:r>
        <w:tab/>
        <w:t>Metropolitan non</w:t>
      </w:r>
      <w:r>
        <w:noBreakHyphen/>
        <w:t>strata titled caravan park with long</w:t>
      </w:r>
      <w:r>
        <w:noBreakHyphen/>
        <w:t>term residential caravan bays</w:t>
      </w:r>
      <w:bookmarkEnd w:id="398"/>
      <w:bookmarkEnd w:id="399"/>
    </w:p>
    <w:p>
      <w:pPr>
        <w:pStyle w:val="ySubsection"/>
        <w:tabs>
          <w:tab w:val="right" w:leader="dot" w:pos="6804"/>
        </w:tabs>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is </w:t>
      </w:r>
      <w:r>
        <w:rPr>
          <w:szCs w:val="22"/>
        </w:rPr>
        <w:t>$</w:t>
      </w:r>
      <w:r>
        <w:t>351.66 for each long</w:t>
      </w:r>
      <w:r>
        <w:noBreakHyphen/>
        <w:t>term residential caravan bay;</w:t>
      </w:r>
    </w:p>
    <w:p>
      <w:pPr>
        <w:pStyle w:val="yMiscellaneousBody"/>
        <w:tabs>
          <w:tab w:val="left" w:pos="284"/>
          <w:tab w:val="left" w:pos="1985"/>
        </w:tabs>
        <w:ind w:left="1305" w:hanging="425"/>
      </w:pPr>
      <w:r>
        <w:rPr>
          <w:b/>
        </w:rPr>
        <w:t>AB</w:t>
      </w:r>
      <w:r>
        <w:tab/>
        <w:t>is, for those parts of the caravan park not contained in long</w:t>
      </w:r>
      <w:r>
        <w:noBreakHyphen/>
        <w:t xml:space="preserve">term residential caravan bays — </w:t>
      </w:r>
    </w:p>
    <w:p>
      <w:pPr>
        <w:pStyle w:val="Equation"/>
        <w:keepNext/>
        <w:spacing w:before="120"/>
        <w:ind w:left="880"/>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ind w:left="1305" w:hanging="425"/>
      </w:pPr>
      <w:r>
        <w:t xml:space="preserve">where — </w:t>
      </w:r>
    </w:p>
    <w:p>
      <w:pPr>
        <w:pStyle w:val="yMiscellaneousBody"/>
        <w:tabs>
          <w:tab w:val="left" w:pos="284"/>
          <w:tab w:val="left" w:pos="1985"/>
        </w:tabs>
        <w:ind w:left="1305" w:hanging="425"/>
      </w:pPr>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pPr>
        <w:pStyle w:val="yMiscellaneousBody"/>
        <w:tabs>
          <w:tab w:val="left" w:pos="284"/>
          <w:tab w:val="left" w:pos="1985"/>
        </w:tabs>
        <w:ind w:left="1305" w:hanging="425"/>
        <w:rPr>
          <w:bCs/>
        </w:rPr>
      </w:pPr>
      <w:r>
        <w:rPr>
          <w:b/>
        </w:rPr>
        <w:t>Q</w:t>
      </w:r>
      <w:r>
        <w:tab/>
        <w:t>is the</w:t>
      </w:r>
      <w:r>
        <w:rPr>
          <w:bCs/>
        </w:rPr>
        <w:t xml:space="preserve"> discharge charge calculated in accordance with item 20.</w:t>
      </w:r>
    </w:p>
    <w:p>
      <w:pPr>
        <w:pStyle w:val="yHeading5"/>
      </w:pPr>
      <w:bookmarkStart w:id="400" w:name="_Toc105574295"/>
      <w:bookmarkStart w:id="401" w:name="_Toc107232306"/>
      <w:r>
        <w:lastRenderedPageBreak/>
        <w:t>17.</w:t>
      </w:r>
      <w:r>
        <w:tab/>
        <w:t>Metropolitan nursing home</w:t>
      </w:r>
      <w:bookmarkEnd w:id="400"/>
      <w:bookmarkEnd w:id="401"/>
    </w:p>
    <w:p>
      <w:pPr>
        <w:pStyle w:val="ySubsection"/>
        <w:tabs>
          <w:tab w:val="right" w:leader="dot" w:pos="6804"/>
        </w:tabs>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20;</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$198.99.</w:t>
      </w:r>
    </w:p>
    <w:p>
      <w:pPr>
        <w:pStyle w:val="yHeading5"/>
      </w:pPr>
      <w:bookmarkStart w:id="402" w:name="_Toc105574296"/>
      <w:bookmarkStart w:id="403" w:name="_Toc107232307"/>
      <w:r>
        <w:t>18.</w:t>
      </w:r>
      <w:r>
        <w:tab/>
        <w:t>Certain metropolitan units</w:t>
      </w:r>
      <w:bookmarkEnd w:id="402"/>
      <w:bookmarkEnd w:id="403"/>
      <w:r>
        <w:t xml:space="preserve"> </w:t>
      </w:r>
    </w:p>
    <w:p>
      <w:pPr>
        <w:pStyle w:val="ySubsection"/>
        <w:tabs>
          <w:tab w:val="right" w:leader="dot" w:pos="6804"/>
        </w:tabs>
      </w:pPr>
      <w:r>
        <w:tab/>
      </w:r>
      <w:r>
        <w:tab/>
        <w:t>For land in the metropolitan area —</w:t>
      </w:r>
    </w:p>
    <w:p>
      <w:pPr>
        <w:pStyle w:val="yIndenta"/>
        <w:tabs>
          <w:tab w:val="right" w:leader="dot" w:pos="6804"/>
        </w:tabs>
      </w:pPr>
      <w:r>
        <w:tab/>
        <w:t>(a)</w:t>
      </w:r>
      <w:r>
        <w:tab/>
        <w:t>that is contained in a lot; and</w:t>
      </w:r>
    </w:p>
    <w:p>
      <w:pPr>
        <w:pStyle w:val="yIndenta"/>
        <w:tabs>
          <w:tab w:val="right" w:leader="dot" w:pos="6804"/>
        </w:tabs>
      </w:pPr>
      <w:r>
        <w:tab/>
        <w:t>(b)</w:t>
      </w:r>
      <w:r>
        <w:tab/>
        <w:t>that is classified as non</w:t>
      </w:r>
      <w:r>
        <w:noBreakHyphen/>
        <w:t>residential; and</w:t>
      </w:r>
    </w:p>
    <w:p>
      <w:pPr>
        <w:pStyle w:val="yIndenta"/>
        <w:tabs>
          <w:tab w:val="right" w:leader="dot" w:pos="6804"/>
        </w:tabs>
      </w:pPr>
      <w:r>
        <w:tab/>
        <w:t>(c)</w:t>
      </w:r>
      <w:r>
        <w:tab/>
        <w:t>that is not covered by item 5 or 6; and</w:t>
      </w:r>
    </w:p>
    <w:p>
      <w:pPr>
        <w:pStyle w:val="yIndenta"/>
        <w:tabs>
          <w:tab w:val="right" w:leader="dot" w:pos="6804"/>
        </w:tabs>
      </w:pPr>
      <w:r>
        <w:tab/>
        <w:t>(d)</w:t>
      </w:r>
      <w:r>
        <w:tab/>
        <w:t>that shares one or more major fixtures, that discharge into a sewer of the Water Corporation, with other such land and has no other major fixtures that discharge into such a sewer; and</w:t>
      </w:r>
    </w:p>
    <w:p>
      <w:pPr>
        <w:pStyle w:val="yIndenta"/>
        <w:tabs>
          <w:tab w:val="right" w:leader="dot" w:pos="6804"/>
        </w:tabs>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 $683.62;</w:t>
      </w:r>
    </w:p>
    <w:p>
      <w:pPr>
        <w:pStyle w:val="yMiscellaneousBody"/>
        <w:tabs>
          <w:tab w:val="left" w:pos="284"/>
          <w:tab w:val="left" w:pos="1985"/>
        </w:tabs>
        <w:ind w:left="1305" w:hanging="425"/>
      </w:pPr>
      <w:r>
        <w:rPr>
          <w:b/>
        </w:rPr>
        <w:t>Q</w:t>
      </w:r>
      <w:r>
        <w:tab/>
        <w:t>is the discharge charge calculated in accordance with item 20.</w:t>
      </w:r>
    </w:p>
    <w:p>
      <w:pPr>
        <w:pStyle w:val="yHeading4"/>
      </w:pPr>
      <w:bookmarkStart w:id="404" w:name="_Toc105571114"/>
      <w:bookmarkStart w:id="405" w:name="_Toc105573929"/>
      <w:bookmarkStart w:id="406" w:name="_Toc105574297"/>
      <w:bookmarkStart w:id="407" w:name="_Toc106869216"/>
      <w:bookmarkStart w:id="408" w:name="_Toc106872094"/>
      <w:bookmarkStart w:id="409" w:name="_Toc107232308"/>
      <w:r>
        <w:lastRenderedPageBreak/>
        <w:t>Subdivision 3 — Calculation of certain factors for the purposes of Subdivision 2</w:t>
      </w:r>
      <w:bookmarkEnd w:id="404"/>
      <w:bookmarkEnd w:id="405"/>
      <w:bookmarkEnd w:id="406"/>
      <w:bookmarkEnd w:id="407"/>
      <w:bookmarkEnd w:id="408"/>
      <w:bookmarkEnd w:id="409"/>
    </w:p>
    <w:p>
      <w:pPr>
        <w:pStyle w:val="yFootnoteheading"/>
        <w:keepNext/>
      </w:pPr>
      <w:bookmarkStart w:id="410" w:name="_Toc105574298"/>
      <w:r>
        <w:tab/>
        <w:t>[Heading inserted: SL 2022/82 r. 19.]</w:t>
      </w:r>
    </w:p>
    <w:p>
      <w:pPr>
        <w:pStyle w:val="yHeading5"/>
      </w:pPr>
      <w:bookmarkStart w:id="411" w:name="_Toc107232309"/>
      <w:r>
        <w:t>19.</w:t>
      </w:r>
      <w:r>
        <w:tab/>
        <w:t>Service charge</w:t>
      </w:r>
      <w:bookmarkEnd w:id="410"/>
      <w:bookmarkEnd w:id="411"/>
    </w:p>
    <w:p>
      <w:pPr>
        <w:pStyle w:val="ySubsection"/>
        <w:tabs>
          <w:tab w:val="right" w:leader="dot" w:pos="6804"/>
        </w:tabs>
      </w:pPr>
      <w:r>
        <w:tab/>
      </w:r>
      <w:r>
        <w:tab/>
        <w:t>The service charge (</w:t>
      </w:r>
      <w:r>
        <w:rPr>
          <w:b/>
          <w:i/>
        </w:rPr>
        <w:t>P</w:t>
      </w:r>
      <w:r>
        <w:t>) is the charge, according to the number of major fixtures for the land, that is the sum of the charges for each fixture as set out in the Table.</w:t>
      </w:r>
    </w:p>
    <w:p>
      <w:pPr>
        <w:pStyle w:val="yTHeadingNAmLeft1c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trPr>
          <w:tblHeader/>
        </w:trPr>
        <w:tc>
          <w:tcPr>
            <w:tcW w:w="2154" w:type="dxa"/>
            <w:tcBorders>
              <w:top w:val="single" w:sz="4" w:space="0" w:color="auto"/>
              <w:bottom w:val="single" w:sz="4" w:space="0" w:color="auto"/>
            </w:tcBorders>
            <w:noWrap/>
          </w:tcPr>
          <w:p>
            <w:pPr>
              <w:pStyle w:val="zyTableNAm"/>
              <w:jc w:val="center"/>
              <w:rPr>
                <w:b/>
              </w:rPr>
            </w:pPr>
          </w:p>
        </w:tc>
        <w:tc>
          <w:tcPr>
            <w:tcW w:w="2268" w:type="dxa"/>
            <w:tcBorders>
              <w:top w:val="single" w:sz="4" w:space="0" w:color="auto"/>
              <w:bottom w:val="single" w:sz="4" w:space="0" w:color="auto"/>
            </w:tcBorders>
            <w:noWrap/>
          </w:tcPr>
          <w:p>
            <w:pPr>
              <w:pStyle w:val="yTableNAm"/>
              <w:jc w:val="center"/>
              <w:rPr>
                <w:b/>
                <w:bCs/>
              </w:rPr>
            </w:pPr>
            <w:r>
              <w:rPr>
                <w:b/>
                <w:bCs/>
              </w:rPr>
              <w:t>Charge</w:t>
            </w:r>
            <w:r>
              <w:rPr>
                <w:b/>
                <w:bCs/>
              </w:rPr>
              <w:br/>
              <w:t>$</w:t>
            </w:r>
          </w:p>
        </w:tc>
      </w:tr>
      <w:tr>
        <w:tc>
          <w:tcPr>
            <w:tcW w:w="2154" w:type="dxa"/>
            <w:noWrap/>
            <w:tcMar>
              <w:left w:w="482" w:type="dxa"/>
            </w:tcMar>
          </w:tcPr>
          <w:p>
            <w:pPr>
              <w:pStyle w:val="yTableNAmLeft-065cm"/>
              <w:ind w:left="56"/>
              <w:jc w:val="both"/>
            </w:pPr>
            <w:r>
              <w:t>1</w:t>
            </w:r>
            <w:r>
              <w:rPr>
                <w:vertAlign w:val="superscript"/>
              </w:rPr>
              <w:t>st</w:t>
            </w:r>
            <w:r>
              <w:tab/>
              <w:t>fixture</w:t>
            </w:r>
          </w:p>
        </w:tc>
        <w:tc>
          <w:tcPr>
            <w:tcW w:w="2268" w:type="dxa"/>
            <w:noWrap/>
            <w:vAlign w:val="bottom"/>
          </w:tcPr>
          <w:p>
            <w:pPr>
              <w:pStyle w:val="yTableNAmLeft-065cm"/>
              <w:jc w:val="center"/>
            </w:pPr>
            <w:r>
              <w:rPr>
                <w:szCs w:val="22"/>
              </w:rPr>
              <w:t>1 099.70</w:t>
            </w:r>
          </w:p>
        </w:tc>
      </w:tr>
      <w:tr>
        <w:tc>
          <w:tcPr>
            <w:tcW w:w="2154" w:type="dxa"/>
            <w:noWrap/>
            <w:tcMar>
              <w:left w:w="482" w:type="dxa"/>
            </w:tcMar>
          </w:tcPr>
          <w:p>
            <w:pPr>
              <w:pStyle w:val="yTableNAmLeft-065cm"/>
              <w:ind w:left="56"/>
              <w:jc w:val="both"/>
            </w:pPr>
            <w:r>
              <w:t>2</w:t>
            </w:r>
            <w:r>
              <w:rPr>
                <w:vertAlign w:val="superscript"/>
              </w:rPr>
              <w:t>nd</w:t>
            </w:r>
            <w:r>
              <w:tab/>
              <w:t>fixture</w:t>
            </w:r>
          </w:p>
        </w:tc>
        <w:tc>
          <w:tcPr>
            <w:tcW w:w="2268" w:type="dxa"/>
            <w:noWrap/>
            <w:vAlign w:val="bottom"/>
          </w:tcPr>
          <w:p>
            <w:pPr>
              <w:pStyle w:val="yTableNAmLeft-065cm"/>
              <w:jc w:val="center"/>
            </w:pPr>
            <w:r>
              <w:rPr>
                <w:szCs w:val="22"/>
              </w:rPr>
              <w:t>470.73</w:t>
            </w:r>
          </w:p>
        </w:tc>
      </w:tr>
      <w:tr>
        <w:tc>
          <w:tcPr>
            <w:tcW w:w="2154" w:type="dxa"/>
            <w:noWrap/>
            <w:tcMar>
              <w:left w:w="482" w:type="dxa"/>
            </w:tcMar>
          </w:tcPr>
          <w:p>
            <w:pPr>
              <w:pStyle w:val="yTableNAmLeft-065cm"/>
              <w:ind w:left="56"/>
              <w:jc w:val="both"/>
            </w:pPr>
            <w:r>
              <w:t>3</w:t>
            </w:r>
            <w:r>
              <w:rPr>
                <w:vertAlign w:val="superscript"/>
              </w:rPr>
              <w:t>rd</w:t>
            </w:r>
            <w:r>
              <w:tab/>
              <w:t>fixture</w:t>
            </w:r>
          </w:p>
        </w:tc>
        <w:tc>
          <w:tcPr>
            <w:tcW w:w="2268" w:type="dxa"/>
            <w:noWrap/>
            <w:vAlign w:val="bottom"/>
          </w:tcPr>
          <w:p>
            <w:pPr>
              <w:pStyle w:val="yTableNAmLeft-065cm"/>
              <w:jc w:val="center"/>
            </w:pPr>
            <w:r>
              <w:rPr>
                <w:szCs w:val="22"/>
              </w:rPr>
              <w:t>628.65</w:t>
            </w:r>
          </w:p>
        </w:tc>
      </w:tr>
      <w:tr>
        <w:tc>
          <w:tcPr>
            <w:tcW w:w="2154" w:type="dxa"/>
            <w:tcBorders>
              <w:bottom w:val="single" w:sz="4" w:space="0" w:color="auto"/>
            </w:tcBorders>
            <w:noWrap/>
            <w:tcMar>
              <w:left w:w="482" w:type="dxa"/>
            </w:tcMar>
          </w:tcPr>
          <w:p>
            <w:pPr>
              <w:pStyle w:val="yTableNAmLeft-065cm"/>
              <w:ind w:left="56"/>
            </w:pPr>
            <w:r>
              <w:t>4</w:t>
            </w:r>
            <w:r>
              <w:rPr>
                <w:vertAlign w:val="superscript"/>
              </w:rPr>
              <w:t>th</w:t>
            </w:r>
            <w:r>
              <w:tab/>
              <w:t>and subsequent fixtures</w:t>
            </w:r>
          </w:p>
        </w:tc>
        <w:tc>
          <w:tcPr>
            <w:tcW w:w="2268" w:type="dxa"/>
            <w:tcBorders>
              <w:bottom w:val="single" w:sz="4" w:space="0" w:color="auto"/>
            </w:tcBorders>
            <w:noWrap/>
            <w:vAlign w:val="bottom"/>
          </w:tcPr>
          <w:p>
            <w:pPr>
              <w:pStyle w:val="yTableNAmLeft-065cm"/>
              <w:jc w:val="center"/>
            </w:pPr>
            <w:r>
              <w:rPr>
                <w:szCs w:val="22"/>
              </w:rPr>
              <w:t>683.62</w:t>
            </w:r>
          </w:p>
        </w:tc>
      </w:tr>
    </w:tbl>
    <w:p>
      <w:pPr>
        <w:pStyle w:val="yHeading5"/>
      </w:pPr>
      <w:bookmarkStart w:id="412" w:name="_Toc105574299"/>
      <w:bookmarkStart w:id="413" w:name="_Toc107232310"/>
      <w:r>
        <w:t>20.</w:t>
      </w:r>
      <w:r>
        <w:tab/>
        <w:t>Discharge charge</w:t>
      </w:r>
      <w:bookmarkEnd w:id="412"/>
      <w:bookmarkEnd w:id="413"/>
    </w:p>
    <w:p>
      <w:pPr>
        <w:pStyle w:val="ySubsection"/>
        <w:tabs>
          <w:tab w:val="right" w:leader="dot" w:pos="6804"/>
        </w:tabs>
      </w:pPr>
      <w:r>
        <w:rPr>
          <w:szCs w:val="22"/>
        </w:rPr>
        <w:tab/>
      </w:r>
      <w:r>
        <w:rPr>
          <w:szCs w:val="22"/>
        </w:rPr>
        <w:tab/>
        <w:t xml:space="preserve">The </w:t>
      </w:r>
      <w:r>
        <w:t>discharge</w:t>
      </w:r>
      <w:r>
        <w:rPr>
          <w:szCs w:val="22"/>
        </w:rPr>
        <w:t xml:space="preserve"> charge (</w:t>
      </w:r>
      <w:r>
        <w:rPr>
          <w:b/>
          <w:i/>
          <w:szCs w:val="22"/>
        </w:rPr>
        <w:t>Q</w:t>
      </w:r>
      <w:r>
        <w:rPr>
          <w:szCs w:val="22"/>
        </w:rPr>
        <w:t>) is —</w:t>
      </w:r>
    </w:p>
    <w:p>
      <w:pPr>
        <w:pStyle w:val="yMiscellaneousBody"/>
        <w:tabs>
          <w:tab w:val="left" w:pos="284"/>
          <w:tab w:val="right" w:leader="dot" w:pos="6804"/>
        </w:tabs>
        <w:ind w:left="1021" w:hanging="142"/>
        <w:rPr>
          <w:szCs w:val="22"/>
        </w:rPr>
      </w:pPr>
      <w:r>
        <w:rPr>
          <w:szCs w:val="22"/>
        </w:rPr>
        <w:t xml:space="preserve">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rPr>
          <w:szCs w:val="22"/>
        </w:rPr>
      </w:pPr>
      <w:r>
        <w:rPr>
          <w:szCs w:val="22"/>
        </w:rPr>
        <w:t xml:space="preserve">or 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rPr>
          <w:b/>
        </w:rPr>
        <w:tab/>
      </w:r>
      <w:r>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21;</w:t>
      </w:r>
    </w:p>
    <w:p>
      <w:pPr>
        <w:pStyle w:val="yMiscellaneousBody"/>
        <w:tabs>
          <w:tab w:val="left" w:pos="284"/>
          <w:tab w:val="left" w:pos="1701"/>
          <w:tab w:val="right" w:leader="dot" w:pos="6804"/>
        </w:tabs>
        <w:ind w:left="1276" w:hanging="397"/>
        <w:rPr>
          <w:szCs w:val="22"/>
        </w:rPr>
      </w:pPr>
      <w:r>
        <w:rPr>
          <w:b/>
          <w:szCs w:val="22"/>
        </w:rPr>
        <w:lastRenderedPageBreak/>
        <w:t>I</w:t>
      </w:r>
      <w:r>
        <w:rPr>
          <w:szCs w:val="22"/>
        </w:rPr>
        <w:tab/>
        <w:t>is $4.041,</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414" w:name="_Toc105574300"/>
      <w:bookmarkStart w:id="415" w:name="_Toc107232311"/>
      <w:r>
        <w:t>21.</w:t>
      </w:r>
      <w:r>
        <w:tab/>
        <w:t>Discharge allowance</w:t>
      </w:r>
      <w:bookmarkEnd w:id="414"/>
      <w:bookmarkEnd w:id="415"/>
    </w:p>
    <w:p>
      <w:pPr>
        <w:pStyle w:val="ySubsection"/>
        <w:tabs>
          <w:tab w:val="right" w:leader="dot" w:pos="6804"/>
        </w:tabs>
      </w:pPr>
      <w:r>
        <w:tab/>
        <w:t>(1)</w:t>
      </w:r>
      <w:r>
        <w:tab/>
        <w:t>The discharge allowance for the current discharge year is —</w:t>
      </w:r>
    </w:p>
    <w:p>
      <w:pPr>
        <w:pStyle w:val="yIndenta"/>
        <w:tabs>
          <w:tab w:val="right" w:leader="dot" w:pos="6804"/>
        </w:tabs>
      </w:pPr>
      <w:r>
        <w:tab/>
        <w:t>(a)</w:t>
      </w:r>
      <w:r>
        <w:tab/>
        <w:t>for land to which item 14 applies that is not covered by paragraph (e) — 200 kL;</w:t>
      </w:r>
    </w:p>
    <w:p>
      <w:pPr>
        <w:pStyle w:val="yIndenta"/>
        <w:tabs>
          <w:tab w:val="right" w:leader="dot" w:pos="6804"/>
        </w:tabs>
      </w:pPr>
      <w:r>
        <w:tab/>
        <w:t>(b)</w:t>
      </w:r>
      <w:r>
        <w:tab/>
        <w:t>for land held by a government trading organisation or by a public authority that holds non</w:t>
      </w:r>
      <w:r>
        <w:noBreakHyphen/>
        <w:t>commercial government property — 200 kL;</w:t>
      </w:r>
    </w:p>
    <w:p>
      <w:pPr>
        <w:pStyle w:val="yIndenta"/>
        <w:tabs>
          <w:tab w:val="right" w:leader="dot" w:pos="6804"/>
        </w:tabs>
      </w:pPr>
      <w:r>
        <w:tab/>
        <w:t>(c)</w:t>
      </w:r>
      <w:r>
        <w:tab/>
        <w:t>for a caravan park referred to in item 16, the amount (in kL) calculated in accordance with the formula in sub</w:t>
      </w:r>
      <w:r>
        <w:noBreakHyphen/>
        <w:t>item (2);</w:t>
      </w:r>
    </w:p>
    <w:p>
      <w:pPr>
        <w:pStyle w:val="yIndenta"/>
        <w:tabs>
          <w:tab w:val="right" w:leader="dot" w:pos="6804"/>
        </w:tabs>
      </w:pPr>
      <w:r>
        <w:tab/>
        <w:t>(d)</w:t>
      </w:r>
      <w:r>
        <w:tab/>
        <w:t>for a nursing home referred to in item 17 — 75 kL per bed;</w:t>
      </w:r>
    </w:p>
    <w:p>
      <w:pPr>
        <w:pStyle w:val="yIndenta"/>
        <w:tabs>
          <w:tab w:val="right" w:leader="dot" w:pos="6804"/>
        </w:tabs>
      </w:pPr>
      <w:r>
        <w:tab/>
        <w:t>(e)</w:t>
      </w:r>
      <w:r>
        <w:tab/>
        <w:t>for properties that share a metered property water supply connection — 200 kL for each property.</w:t>
      </w:r>
    </w:p>
    <w:p>
      <w:pPr>
        <w:pStyle w:val="ySubsection"/>
        <w:tabs>
          <w:tab w:val="right" w:leader="dot" w:pos="6804"/>
        </w:tabs>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M</w:t>
      </w:r>
      <w:r>
        <w:tab/>
        <w:t xml:space="preserve">is 75 kL for </w:t>
      </w:r>
      <w:r>
        <w:rPr>
          <w:szCs w:val="22"/>
        </w:rPr>
        <w:t>each</w:t>
      </w:r>
      <w:r>
        <w:t xml:space="preserve"> long</w:t>
      </w:r>
      <w:r>
        <w:noBreakHyphen/>
        <w:t>term residential caravan bay.</w:t>
      </w:r>
    </w:p>
    <w:p>
      <w:pPr>
        <w:pStyle w:val="yHeading4"/>
      </w:pPr>
      <w:bookmarkStart w:id="416" w:name="_Toc105571118"/>
      <w:bookmarkStart w:id="417" w:name="_Toc105573933"/>
      <w:bookmarkStart w:id="418" w:name="_Toc105574301"/>
      <w:bookmarkStart w:id="419" w:name="_Toc106869220"/>
      <w:bookmarkStart w:id="420" w:name="_Toc106872098"/>
      <w:bookmarkStart w:id="421" w:name="_Toc107232312"/>
      <w:r>
        <w:t>Subdivision 4 — Combined charges: non</w:t>
      </w:r>
      <w:r>
        <w:noBreakHyphen/>
        <w:t>metropolitan</w:t>
      </w:r>
      <w:bookmarkEnd w:id="416"/>
      <w:bookmarkEnd w:id="417"/>
      <w:bookmarkEnd w:id="418"/>
      <w:bookmarkEnd w:id="419"/>
      <w:bookmarkEnd w:id="420"/>
      <w:bookmarkEnd w:id="421"/>
    </w:p>
    <w:p>
      <w:pPr>
        <w:pStyle w:val="yFootnoteheading"/>
      </w:pPr>
      <w:bookmarkStart w:id="422" w:name="_Toc105574302"/>
      <w:r>
        <w:tab/>
        <w:t>[Heading inserted: SL 2022/82 r. 19.]</w:t>
      </w:r>
    </w:p>
    <w:p>
      <w:pPr>
        <w:pStyle w:val="yHeading5"/>
      </w:pPr>
      <w:bookmarkStart w:id="423" w:name="_Toc107232313"/>
      <w:r>
        <w:t>22.</w:t>
      </w:r>
      <w:r>
        <w:tab/>
        <w:t>Non</w:t>
      </w:r>
      <w:r>
        <w:noBreakHyphen/>
        <w:t>metropolitan non</w:t>
      </w:r>
      <w:r>
        <w:noBreakHyphen/>
        <w:t>residential</w:t>
      </w:r>
      <w:bookmarkEnd w:id="422"/>
      <w:bookmarkEnd w:id="423"/>
    </w:p>
    <w:p>
      <w:pPr>
        <w:pStyle w:val="ySubsection"/>
        <w:tabs>
          <w:tab w:val="right" w:leader="dot" w:pos="6804"/>
        </w:tabs>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23, 24, 25 or 26,</w:t>
      </w:r>
    </w:p>
    <w:p>
      <w:pPr>
        <w:pStyle w:val="ySubsection"/>
        <w:tabs>
          <w:tab w:val="right" w:leader="dot" w:pos="6804"/>
        </w:tabs>
      </w:pPr>
      <w:r>
        <w:tab/>
      </w:r>
      <w:r>
        <w:tab/>
        <w:t>the charge is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021" w:hanging="142"/>
      </w:pPr>
      <w:r>
        <w:rPr>
          <w:szCs w:val="22"/>
        </w:rPr>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282" w:hanging="142"/>
        <w:rPr>
          <w:rFonts w:ascii="Cambria Math" w:hAnsi="Cambria Math"/>
          <w:b/>
          <w:bCs/>
        </w:rPr>
      </w:pPr>
      <m:oMath>
        <m:r>
          <m:rPr>
            <m:sty m:val="b"/>
          </m:rPr>
          <w:rPr>
            <w:rFonts w:ascii="Cambria Math" w:hAnsi="Cambria Math"/>
          </w:rPr>
          <w:lastRenderedPageBreak/>
          <m:t>N≤W</m:t>
        </m:r>
      </m:oMath>
      <w:r>
        <w:rPr>
          <w:rFonts w:ascii="Cambria Math" w:hAnsi="Cambria Math"/>
          <w:b/>
          <w:bCs/>
        </w:rPr>
        <w:t>,</w:t>
      </w:r>
    </w:p>
    <w:p>
      <w:pPr>
        <w:pStyle w:val="yMiscellaneousBody"/>
        <w:tabs>
          <w:tab w:val="left" w:pos="284"/>
          <w:tab w:val="left" w:pos="1985"/>
          <w:tab w:val="right" w:leader="dot" w:pos="6804"/>
        </w:tabs>
        <w:ind w:left="1424" w:hanging="142"/>
      </w:pPr>
      <w:r>
        <w:tab/>
        <w:t xml:space="preserve">then </w:t>
      </w:r>
      <w:r>
        <w:rPr>
          <w:b/>
        </w:rPr>
        <w:t>R</w:t>
      </w:r>
    </w:p>
    <w:p>
      <w:pPr>
        <w:pStyle w:val="yMiscellaneousBody"/>
        <w:tabs>
          <w:tab w:val="left" w:pos="284"/>
          <w:tab w:val="right" w:leader="dot" w:pos="6804"/>
        </w:tabs>
        <w:ind w:left="1424" w:hanging="142"/>
      </w:pPr>
      <w:r>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424" w:hanging="142"/>
        <w:rPr>
          <w:rFonts w:ascii="Cambria Math" w:hAnsi="Cambria Math"/>
          <w:b/>
          <w:bCs/>
        </w:rPr>
      </w:pPr>
      <m:oMath>
        <m:r>
          <m:rPr>
            <m:sty m:val="b"/>
          </m:rPr>
          <w:rPr>
            <w:rFonts w:ascii="Cambria Math" w:hAnsi="Cambria Math"/>
          </w:rPr>
          <m:t>N&gt;W</m:t>
        </m:r>
      </m:oMath>
      <w:r>
        <w:rPr>
          <w:rFonts w:ascii="Cambria Math" w:hAnsi="Cambria Math"/>
          <w:b/>
          <w:bCs/>
        </w:rPr>
        <w:t>,</w:t>
      </w:r>
    </w:p>
    <w:p>
      <w:pPr>
        <w:pStyle w:val="yMiscellaneousBody"/>
        <w:tabs>
          <w:tab w:val="left" w:pos="284"/>
          <w:tab w:val="left" w:pos="1985"/>
          <w:tab w:val="right" w:leader="dot" w:pos="6804"/>
        </w:tabs>
        <w:ind w:left="1566"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282" w:hanging="142"/>
      </w:pPr>
      <w:r>
        <w:t xml:space="preserve">where — </w:t>
      </w:r>
    </w:p>
    <w:p>
      <w:pPr>
        <w:pStyle w:val="yMiscellaneousBody"/>
        <w:tabs>
          <w:tab w:val="left" w:pos="284"/>
          <w:tab w:val="left" w:pos="1985"/>
        </w:tabs>
        <w:ind w:left="1566" w:hanging="425"/>
      </w:pPr>
      <w:r>
        <w:rPr>
          <w:b/>
        </w:rPr>
        <w:t>P</w:t>
      </w:r>
      <w:r>
        <w:tab/>
        <w:t>is the service charge calculated in accordance with item 27;</w:t>
      </w:r>
    </w:p>
    <w:p>
      <w:pPr>
        <w:pStyle w:val="yMiscellaneousBody"/>
        <w:tabs>
          <w:tab w:val="left" w:pos="284"/>
          <w:tab w:val="left" w:pos="1985"/>
        </w:tabs>
        <w:ind w:left="1566" w:hanging="425"/>
      </w:pPr>
      <w:r>
        <w:rPr>
          <w:b/>
        </w:rPr>
        <w:t>Q</w:t>
      </w:r>
      <w:r>
        <w:tab/>
        <w:t>is the discharge charge calculated in accordance with item 28;</w:t>
      </w:r>
    </w:p>
    <w:p>
      <w:pPr>
        <w:pStyle w:val="yMiscellaneousBody"/>
        <w:tabs>
          <w:tab w:val="left" w:pos="284"/>
          <w:tab w:val="left" w:pos="1985"/>
        </w:tabs>
        <w:ind w:left="1566" w:hanging="425"/>
      </w:pPr>
      <w:r>
        <w:rPr>
          <w:b/>
        </w:rPr>
        <w:t>R</w:t>
      </w:r>
      <w:r>
        <w:tab/>
        <w:t>is the maximum charge calculated in accordance with item 30;</w:t>
      </w:r>
    </w:p>
    <w:p>
      <w:pPr>
        <w:pStyle w:val="yMiscellaneousBody"/>
        <w:tabs>
          <w:tab w:val="left" w:pos="284"/>
          <w:tab w:val="left" w:pos="1985"/>
        </w:tabs>
        <w:ind w:left="1566" w:hanging="425"/>
      </w:pPr>
      <w:r>
        <w:rPr>
          <w:b/>
        </w:rPr>
        <w:t>N</w:t>
      </w:r>
      <w:r>
        <w:tab/>
        <w:t>is the discharge volume for the current discharge year;</w:t>
      </w:r>
    </w:p>
    <w:p>
      <w:pPr>
        <w:pStyle w:val="yMiscellaneousBody"/>
        <w:tabs>
          <w:tab w:val="left" w:pos="284"/>
          <w:tab w:val="left" w:pos="1985"/>
        </w:tabs>
        <w:ind w:left="1566" w:hanging="425"/>
      </w:pPr>
      <w:r>
        <w:rPr>
          <w:b/>
        </w:rPr>
        <w:t>W</w:t>
      </w:r>
      <w:r>
        <w:tab/>
        <w:t>is the discharge volume for the most recently completed discharge year;</w:t>
      </w:r>
    </w:p>
    <w:p>
      <w:pPr>
        <w:pStyle w:val="yMiscellaneousBody"/>
        <w:tabs>
          <w:tab w:val="left" w:pos="284"/>
          <w:tab w:val="left" w:pos="1985"/>
        </w:tabs>
        <w:ind w:left="1566" w:hanging="425"/>
      </w:pPr>
      <w:r>
        <w:rPr>
          <w:b/>
        </w:rPr>
        <w:t>I</w:t>
      </w:r>
      <w:r>
        <w:tab/>
        <w:t>is $4.041.</w:t>
      </w:r>
    </w:p>
    <w:p>
      <w:pPr>
        <w:pStyle w:val="yHeading5"/>
      </w:pPr>
      <w:bookmarkStart w:id="424" w:name="_Toc105574303"/>
      <w:bookmarkStart w:id="425" w:name="_Toc107232314"/>
      <w:r>
        <w:t>23.</w:t>
      </w:r>
      <w:r>
        <w:tab/>
        <w:t>Non</w:t>
      </w:r>
      <w:r>
        <w:noBreakHyphen/>
        <w:t>metropolitan non</w:t>
      </w:r>
      <w:r>
        <w:noBreakHyphen/>
        <w:t>strata titled caravan park with long</w:t>
      </w:r>
      <w:r>
        <w:noBreakHyphen/>
        <w:t>term residential caravan bays</w:t>
      </w:r>
      <w:bookmarkEnd w:id="424"/>
      <w:bookmarkEnd w:id="425"/>
    </w:p>
    <w:p>
      <w:pPr>
        <w:pStyle w:val="ySubsection"/>
        <w:tabs>
          <w:tab w:val="right" w:leader="dot" w:pos="6804"/>
        </w:tabs>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 is</w:t>
      </w:r>
      <w:r>
        <w:rPr>
          <w:szCs w:val="22"/>
        </w:rPr>
        <w:t xml:space="preserve"> $</w:t>
      </w:r>
      <w:r>
        <w:t>351</w:t>
      </w:r>
      <w:r>
        <w:rPr>
          <w:szCs w:val="22"/>
        </w:rPr>
        <w:t xml:space="preserve">.66 </w:t>
      </w:r>
      <w:r>
        <w:t>for each long</w:t>
      </w:r>
      <w:r>
        <w:noBreakHyphen/>
        <w:t>term residential caravan bay;</w:t>
      </w:r>
    </w:p>
    <w:p>
      <w:pPr>
        <w:pStyle w:val="yMiscellaneousBody"/>
        <w:tabs>
          <w:tab w:val="left" w:pos="284"/>
          <w:tab w:val="left" w:pos="1985"/>
        </w:tabs>
        <w:ind w:left="1305"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Y+Q</m:t>
        </m:r>
      </m:oMath>
    </w:p>
    <w:p>
      <w:pPr>
        <w:pStyle w:val="yMiscellaneousBody"/>
        <w:tabs>
          <w:tab w:val="left" w:pos="284"/>
          <w:tab w:val="right" w:leader="dot" w:pos="6804"/>
        </w:tabs>
        <w:ind w:left="1163" w:hanging="142"/>
      </w:pPr>
      <w:r>
        <w:lastRenderedPageBreak/>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rPr>
          <w:rFonts w:ascii="Cambria Math" w:hAnsi="Cambria Math"/>
          <w:bCs/>
        </w:rPr>
      </w:pPr>
      <m:oMath>
        <m:r>
          <m:rPr>
            <m:sty m:val="b"/>
          </m:rPr>
          <w:rPr>
            <w:rFonts w:ascii="Cambria Math" w:hAnsi="Cambria Math"/>
          </w:rPr>
          <m:t>N≤W</m:t>
        </m:r>
      </m:oMath>
      <w:r>
        <w:rPr>
          <w:rFonts w:ascii="Cambria Math" w:hAnsi="Cambria Math"/>
          <w:bCs/>
        </w:rPr>
        <w:t>,</w:t>
      </w:r>
    </w:p>
    <w:p>
      <w:pPr>
        <w:pStyle w:val="yMiscellaneousBody"/>
        <w:tabs>
          <w:tab w:val="left" w:pos="284"/>
          <w:tab w:val="left" w:pos="1985"/>
          <w:tab w:val="right" w:leader="dot" w:pos="6804"/>
        </w:tabs>
        <w:ind w:left="1163" w:hanging="142"/>
        <w:rPr>
          <w:b/>
        </w:rPr>
      </w:pPr>
      <w:r>
        <w:tab/>
        <w:t xml:space="preserve">then </w:t>
      </w:r>
      <w:r>
        <w:rPr>
          <w:b/>
        </w:rPr>
        <w:t>R</w:t>
      </w:r>
    </w:p>
    <w:p>
      <w:pPr>
        <w:pStyle w:val="yMiscellaneousBody"/>
        <w:tabs>
          <w:tab w:val="left" w:pos="284"/>
          <w:tab w:val="right" w:leader="dot" w:pos="6804"/>
        </w:tabs>
        <w:ind w:left="1163"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985"/>
          <w:tab w:val="right" w:leader="dot" w:pos="6804"/>
        </w:tabs>
        <w:ind w:left="1163"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63" w:hanging="142"/>
      </w:pPr>
      <w:r>
        <w:t xml:space="preserve">where — </w:t>
      </w:r>
    </w:p>
    <w:p>
      <w:pPr>
        <w:pStyle w:val="yMiscellaneousBody"/>
        <w:tabs>
          <w:tab w:val="left" w:pos="284"/>
          <w:tab w:val="left" w:pos="1985"/>
        </w:tabs>
        <w:ind w:left="1446" w:hanging="425"/>
      </w:pPr>
      <w:r>
        <w:rPr>
          <w:b/>
        </w:rPr>
        <w:t>Y</w:t>
      </w:r>
      <w:r>
        <w:tab/>
        <w:t xml:space="preserve">is the charge according to the number of major </w:t>
      </w:r>
      <w:r>
        <w:rPr>
          <w:szCs w:val="22"/>
        </w:rPr>
        <w:t>fixtures</w:t>
      </w:r>
      <w:r>
        <w:t xml:space="preserve"> for the relevant part of the caravan park, that is, “</w:t>
      </w:r>
      <w:r>
        <w:rPr>
          <w:b/>
        </w:rPr>
        <w:t>C</w:t>
      </w:r>
      <w:r>
        <w:t>” in item 27;</w:t>
      </w:r>
    </w:p>
    <w:p>
      <w:pPr>
        <w:pStyle w:val="yMiscellaneousBody"/>
        <w:tabs>
          <w:tab w:val="left" w:pos="284"/>
          <w:tab w:val="left" w:pos="1985"/>
        </w:tabs>
        <w:ind w:left="1446" w:hanging="425"/>
      </w:pPr>
      <w:r>
        <w:rPr>
          <w:b/>
        </w:rPr>
        <w:t>Q</w:t>
      </w:r>
      <w:r>
        <w:tab/>
        <w:t xml:space="preserve">is </w:t>
      </w:r>
      <w:r>
        <w:rPr>
          <w:szCs w:val="22"/>
        </w:rPr>
        <w:t>the</w:t>
      </w:r>
      <w:r>
        <w:t xml:space="preserve"> discharge charge calculated in accordance with item 28;</w:t>
      </w:r>
    </w:p>
    <w:p>
      <w:pPr>
        <w:pStyle w:val="yMiscellaneousBody"/>
        <w:tabs>
          <w:tab w:val="left" w:pos="284"/>
          <w:tab w:val="left" w:pos="1985"/>
        </w:tabs>
        <w:ind w:left="1446" w:hanging="425"/>
      </w:pPr>
      <w:r>
        <w:rPr>
          <w:b/>
        </w:rPr>
        <w:t>R</w:t>
      </w:r>
      <w:r>
        <w:tab/>
        <w:t>is the maximum charge calculated in accordance with item 30;</w:t>
      </w:r>
    </w:p>
    <w:p>
      <w:pPr>
        <w:pStyle w:val="yMiscellaneousBody"/>
        <w:tabs>
          <w:tab w:val="left" w:pos="284"/>
          <w:tab w:val="left" w:pos="1985"/>
        </w:tabs>
        <w:ind w:left="1446" w:hanging="425"/>
      </w:pPr>
      <w:r>
        <w:rPr>
          <w:b/>
        </w:rPr>
        <w:t>N</w:t>
      </w:r>
      <w:r>
        <w:tab/>
        <w:t>is the discharge volume for the current discharge year;</w:t>
      </w:r>
    </w:p>
    <w:p>
      <w:pPr>
        <w:pStyle w:val="yMiscellaneousBody"/>
        <w:tabs>
          <w:tab w:val="left" w:pos="284"/>
          <w:tab w:val="left" w:pos="1985"/>
        </w:tabs>
        <w:ind w:left="1446" w:hanging="425"/>
      </w:pPr>
      <w:r>
        <w:rPr>
          <w:b/>
        </w:rPr>
        <w:t>W</w:t>
      </w:r>
      <w:r>
        <w:tab/>
        <w:t xml:space="preserve">is the discharge volume for the most recently </w:t>
      </w:r>
      <w:r>
        <w:rPr>
          <w:szCs w:val="22"/>
        </w:rPr>
        <w:t>completed</w:t>
      </w:r>
      <w:r>
        <w:t xml:space="preserve"> discharge year;</w:t>
      </w:r>
    </w:p>
    <w:p>
      <w:pPr>
        <w:pStyle w:val="yMiscellaneousBody"/>
        <w:tabs>
          <w:tab w:val="left" w:pos="284"/>
          <w:tab w:val="left" w:pos="1985"/>
        </w:tabs>
        <w:ind w:left="1446" w:hanging="425"/>
      </w:pPr>
      <w:r>
        <w:rPr>
          <w:b/>
        </w:rPr>
        <w:t>I</w:t>
      </w:r>
      <w:r>
        <w:rPr>
          <w:b/>
        </w:rPr>
        <w:tab/>
      </w:r>
      <w:r>
        <w:t>is</w:t>
      </w:r>
      <w:r>
        <w:rPr>
          <w:szCs w:val="22"/>
        </w:rPr>
        <w:t xml:space="preserve"> $4.041</w:t>
      </w:r>
      <w:r>
        <w:t>.</w:t>
      </w:r>
    </w:p>
    <w:p>
      <w:pPr>
        <w:pStyle w:val="yHeading5"/>
      </w:pPr>
      <w:bookmarkStart w:id="426" w:name="_Toc105574304"/>
      <w:bookmarkStart w:id="427" w:name="_Toc107232315"/>
      <w:r>
        <w:t>24.</w:t>
      </w:r>
      <w:r>
        <w:tab/>
        <w:t>Non</w:t>
      </w:r>
      <w:r>
        <w:noBreakHyphen/>
        <w:t>metropolitan nursing home</w:t>
      </w:r>
      <w:bookmarkEnd w:id="426"/>
      <w:bookmarkEnd w:id="427"/>
    </w:p>
    <w:p>
      <w:pPr>
        <w:pStyle w:val="ySubsection"/>
        <w:tabs>
          <w:tab w:val="right" w:leader="dot" w:pos="6804"/>
        </w:tabs>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28;</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$198.99.</w:t>
      </w:r>
    </w:p>
    <w:p>
      <w:pPr>
        <w:pStyle w:val="yHeading5"/>
      </w:pPr>
      <w:bookmarkStart w:id="428" w:name="_Toc105574305"/>
      <w:bookmarkStart w:id="429" w:name="_Toc107232316"/>
      <w:r>
        <w:lastRenderedPageBreak/>
        <w:t>25.</w:t>
      </w:r>
      <w:r>
        <w:tab/>
        <w:t>Certain non</w:t>
      </w:r>
      <w:r>
        <w:noBreakHyphen/>
        <w:t>metropolitan units</w:t>
      </w:r>
      <w:bookmarkEnd w:id="428"/>
      <w:bookmarkEnd w:id="429"/>
      <w:r>
        <w:t xml:space="preserve"> </w:t>
      </w:r>
    </w:p>
    <w:p>
      <w:pPr>
        <w:pStyle w:val="ySubsection"/>
        <w:keepNext/>
        <w:tabs>
          <w:tab w:val="right" w:leader="dot" w:pos="6804"/>
        </w:tabs>
      </w:pPr>
      <w:r>
        <w:tab/>
      </w:r>
      <w:r>
        <w:tab/>
        <w:t>For land in the non</w:t>
      </w:r>
      <w:r>
        <w:noBreakHyphen/>
        <w:t xml:space="preserve">metropolitan area — </w:t>
      </w:r>
    </w:p>
    <w:p>
      <w:pPr>
        <w:pStyle w:val="yIndenta"/>
        <w:tabs>
          <w:tab w:val="right" w:leader="dot" w:pos="6804"/>
        </w:tabs>
      </w:pPr>
      <w:r>
        <w:tab/>
        <w:t>(a)</w:t>
      </w:r>
      <w:r>
        <w:tab/>
        <w:t>that is contained in a lot; and</w:t>
      </w:r>
    </w:p>
    <w:p>
      <w:pPr>
        <w:pStyle w:val="yIndenta"/>
        <w:tabs>
          <w:tab w:val="right" w:leader="dot" w:pos="6804"/>
        </w:tabs>
      </w:pPr>
      <w:r>
        <w:tab/>
        <w:t>(b)</w:t>
      </w:r>
      <w:r>
        <w:tab/>
        <w:t>that is classified as non</w:t>
      </w:r>
      <w:r>
        <w:noBreakHyphen/>
        <w:t>residential; and</w:t>
      </w:r>
    </w:p>
    <w:p>
      <w:pPr>
        <w:pStyle w:val="yIndenta"/>
        <w:tabs>
          <w:tab w:val="right" w:leader="dot" w:pos="6804"/>
        </w:tabs>
      </w:pPr>
      <w:r>
        <w:tab/>
        <w:t>(c)</w:t>
      </w:r>
      <w:r>
        <w:tab/>
        <w:t>that is not covered by item 5 or 6; and</w:t>
      </w:r>
    </w:p>
    <w:p>
      <w:pPr>
        <w:pStyle w:val="yIndenta"/>
        <w:tabs>
          <w:tab w:val="right" w:leader="dot" w:pos="6804"/>
        </w:tabs>
      </w:pPr>
      <w:r>
        <w:tab/>
        <w:t>(d)</w:t>
      </w:r>
      <w:r>
        <w:tab/>
        <w:t>that shares one or more major fixtures, that discharge into a sewer of the Water Corporation, with other such land and has no other major fixtures that discharge into such a sewer; and</w:t>
      </w:r>
    </w:p>
    <w:p>
      <w:pPr>
        <w:pStyle w:val="yIndenta"/>
        <w:tabs>
          <w:tab w:val="right" w:leader="dot" w:pos="6804"/>
        </w:tabs>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w:t>
      </w:r>
      <w:r>
        <w:rPr>
          <w:szCs w:val="22"/>
        </w:rPr>
        <w:t xml:space="preserve"> $683.62</w:t>
      </w:r>
      <w:r>
        <w:t>;</w:t>
      </w:r>
    </w:p>
    <w:p>
      <w:pPr>
        <w:pStyle w:val="yMiscellaneousBody"/>
        <w:tabs>
          <w:tab w:val="left" w:pos="284"/>
          <w:tab w:val="left" w:pos="1985"/>
        </w:tabs>
        <w:ind w:left="1305" w:hanging="425"/>
      </w:pPr>
      <w:r>
        <w:rPr>
          <w:b/>
        </w:rPr>
        <w:t>Q</w:t>
      </w:r>
      <w:r>
        <w:tab/>
        <w:t xml:space="preserve">is the </w:t>
      </w:r>
      <w:r>
        <w:rPr>
          <w:szCs w:val="22"/>
        </w:rPr>
        <w:t>discharge</w:t>
      </w:r>
      <w:r>
        <w:t xml:space="preserve"> charge calculated in accordance with item 28.</w:t>
      </w:r>
    </w:p>
    <w:p>
      <w:pPr>
        <w:pStyle w:val="yHeading5"/>
      </w:pPr>
      <w:bookmarkStart w:id="430" w:name="_Toc105574306"/>
      <w:bookmarkStart w:id="431" w:name="_Toc107232317"/>
      <w:r>
        <w:t>26.</w:t>
      </w:r>
      <w:r>
        <w:tab/>
        <w:t>Non</w:t>
      </w:r>
      <w:r>
        <w:noBreakHyphen/>
        <w:t>metropolitan government trading organisation and non</w:t>
      </w:r>
      <w:r>
        <w:noBreakHyphen/>
        <w:t>commercial government property</w:t>
      </w:r>
      <w:bookmarkEnd w:id="430"/>
      <w:bookmarkEnd w:id="431"/>
    </w:p>
    <w:p>
      <w:pPr>
        <w:pStyle w:val="ySubsection"/>
        <w:tabs>
          <w:tab w:val="right" w:leader="dot" w:pos="6804"/>
        </w:tabs>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 xml:space="preserve">is </w:t>
      </w:r>
      <w:r>
        <w:rPr>
          <w:szCs w:val="22"/>
        </w:rPr>
        <w:t xml:space="preserve">the charge </w:t>
      </w:r>
      <w:r>
        <w:t>according</w:t>
      </w:r>
      <w:r>
        <w:rPr>
          <w:szCs w:val="22"/>
        </w:rPr>
        <w:t xml:space="preserve"> to the number of connected </w:t>
      </w:r>
      <w:r>
        <w:t>major</w:t>
      </w:r>
      <w:r>
        <w:rPr>
          <w:szCs w:val="22"/>
        </w:rPr>
        <w:t xml:space="preserve"> fixtures for the land, that is, “</w:t>
      </w:r>
      <w:r>
        <w:rPr>
          <w:b/>
          <w:szCs w:val="22"/>
        </w:rPr>
        <w:t>C</w:t>
      </w:r>
      <w:r>
        <w:rPr>
          <w:szCs w:val="22"/>
        </w:rPr>
        <w:t>” in item 27</w:t>
      </w:r>
      <w:r>
        <w:t>;</w:t>
      </w:r>
    </w:p>
    <w:p>
      <w:pPr>
        <w:pStyle w:val="yMiscellaneousBody"/>
        <w:tabs>
          <w:tab w:val="left" w:pos="284"/>
          <w:tab w:val="left" w:pos="1985"/>
        </w:tabs>
        <w:ind w:left="1305" w:hanging="425"/>
      </w:pPr>
      <w:r>
        <w:rPr>
          <w:b/>
        </w:rPr>
        <w:t>Q</w:t>
      </w:r>
      <w:r>
        <w:tab/>
        <w:t>is the discharge charge calculated in accordance with item 28.</w:t>
      </w:r>
    </w:p>
    <w:p>
      <w:pPr>
        <w:pStyle w:val="ySubsection"/>
        <w:tabs>
          <w:tab w:val="right" w:leader="dot" w:pos="6804"/>
        </w:tabs>
      </w:pPr>
      <w:r>
        <w:tab/>
        <w:t>(2)</w:t>
      </w:r>
      <w:r>
        <w:tab/>
        <w:t>Sub</w:t>
      </w:r>
      <w:r>
        <w:noBreakHyphen/>
        <w:t>item (1) does not apply to public land.</w:t>
      </w:r>
    </w:p>
    <w:p>
      <w:pPr>
        <w:pStyle w:val="yHeading4"/>
      </w:pPr>
      <w:bookmarkStart w:id="432" w:name="_Toc105571124"/>
      <w:bookmarkStart w:id="433" w:name="_Toc105573939"/>
      <w:bookmarkStart w:id="434" w:name="_Toc105574307"/>
      <w:bookmarkStart w:id="435" w:name="_Toc106869226"/>
      <w:bookmarkStart w:id="436" w:name="_Toc106872104"/>
      <w:bookmarkStart w:id="437" w:name="_Toc107232318"/>
      <w:r>
        <w:lastRenderedPageBreak/>
        <w:t>Subdivision 5 — Calculation of certain factors for the purposes of Subdivision 4</w:t>
      </w:r>
      <w:bookmarkEnd w:id="432"/>
      <w:bookmarkEnd w:id="433"/>
      <w:bookmarkEnd w:id="434"/>
      <w:bookmarkEnd w:id="435"/>
      <w:bookmarkEnd w:id="436"/>
      <w:bookmarkEnd w:id="437"/>
    </w:p>
    <w:p>
      <w:pPr>
        <w:pStyle w:val="yFootnoteheading"/>
      </w:pPr>
      <w:bookmarkStart w:id="438" w:name="_Toc105574308"/>
      <w:r>
        <w:tab/>
        <w:t>[Heading inserted: SL 2022/82 r. 19.]</w:t>
      </w:r>
    </w:p>
    <w:p>
      <w:pPr>
        <w:pStyle w:val="yHeading5"/>
      </w:pPr>
      <w:bookmarkStart w:id="439" w:name="_Toc107232319"/>
      <w:r>
        <w:t>27.</w:t>
      </w:r>
      <w:r>
        <w:tab/>
        <w:t>Service charge</w:t>
      </w:r>
      <w:bookmarkEnd w:id="438"/>
      <w:bookmarkEnd w:id="439"/>
    </w:p>
    <w:p>
      <w:pPr>
        <w:pStyle w:val="ySubsection"/>
      </w:pPr>
      <w:r>
        <w:tab/>
      </w:r>
      <w:r>
        <w:tab/>
        <w:t>The service charge (</w:t>
      </w:r>
      <w:r>
        <w:rPr>
          <w:b/>
          <w:i/>
        </w:rPr>
        <w:t>P</w:t>
      </w:r>
      <w:r>
        <w:t>) is —</w:t>
      </w:r>
    </w:p>
    <w:p>
      <w:pPr>
        <w:pStyle w:val="yMiscellaneousBody"/>
        <w:tabs>
          <w:tab w:val="left" w:pos="284"/>
          <w:tab w:val="right" w:leader="dot" w:pos="6804"/>
        </w:tabs>
        <w:ind w:left="1021" w:hanging="142"/>
      </w:pPr>
      <w:r>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R</w:t>
      </w:r>
    </w:p>
    <w:p>
      <w:pPr>
        <w:pStyle w:val="yMiscellaneousBody"/>
        <w:tabs>
          <w:tab w:val="left" w:pos="284"/>
          <w:tab w:val="right" w:leader="dot" w:pos="6804"/>
        </w:tabs>
        <w:ind w:left="1021" w:hanging="142"/>
      </w:pPr>
      <w:r>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C</w:t>
      </w:r>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R</w:t>
      </w:r>
      <w:r>
        <w:tab/>
        <w:t>is the maximum charge calculated in accordance with item 30;</w:t>
      </w:r>
    </w:p>
    <w:p>
      <w:pPr>
        <w:pStyle w:val="yMiscellaneousBody"/>
        <w:tabs>
          <w:tab w:val="left" w:pos="284"/>
          <w:tab w:val="left" w:pos="1985"/>
        </w:tabs>
        <w:ind w:left="130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305" w:hanging="425"/>
      </w:pPr>
      <w:r>
        <w:rPr>
          <w:b/>
        </w:rPr>
        <w:t>D</w:t>
      </w:r>
      <w:r>
        <w:tab/>
        <w:t>is the discharge charge calculated in accordance with item 28.</w:t>
      </w:r>
    </w:p>
    <w:p>
      <w:pPr>
        <w:pStyle w:val="yTHeadingNAmLeft05c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cantSplit/>
          <w:tblHeader/>
        </w:trPr>
        <w:tc>
          <w:tcPr>
            <w:tcW w:w="2268" w:type="dxa"/>
            <w:tcBorders>
              <w:top w:val="single" w:sz="4" w:space="0" w:color="auto"/>
              <w:bottom w:val="single" w:sz="4" w:space="0" w:color="auto"/>
            </w:tcBorders>
            <w:noWrap/>
          </w:tcPr>
          <w:p>
            <w:pPr>
              <w:pStyle w:val="yTableNAm"/>
              <w:jc w:val="center"/>
            </w:pPr>
          </w:p>
        </w:tc>
        <w:tc>
          <w:tcPr>
            <w:tcW w:w="2268" w:type="dxa"/>
            <w:tcBorders>
              <w:top w:val="single" w:sz="4" w:space="0" w:color="auto"/>
              <w:bottom w:val="single" w:sz="4" w:space="0" w:color="auto"/>
            </w:tcBorders>
            <w:noWrap/>
          </w:tcPr>
          <w:p>
            <w:pPr>
              <w:pStyle w:val="zyTableNAm"/>
              <w:jc w:val="center"/>
              <w:rPr>
                <w:b/>
              </w:rPr>
            </w:pPr>
            <w:r>
              <w:rPr>
                <w:b/>
              </w:rPr>
              <w:t>Charge</w:t>
            </w:r>
            <w:r>
              <w:rPr>
                <w:b/>
              </w:rPr>
              <w:br/>
              <w:t>$</w:t>
            </w:r>
          </w:p>
        </w:tc>
      </w:tr>
      <w:tr>
        <w:trPr>
          <w:cantSplit/>
        </w:trPr>
        <w:tc>
          <w:tcPr>
            <w:tcW w:w="2268" w:type="dxa"/>
            <w:noWrap/>
            <w:tcMar>
              <w:left w:w="284" w:type="dxa"/>
            </w:tcMar>
          </w:tcPr>
          <w:p>
            <w:pPr>
              <w:pStyle w:val="yTableNAmLeft-065cm"/>
            </w:pPr>
            <w:r>
              <w:t>1</w:t>
            </w:r>
            <w:r>
              <w:rPr>
                <w:vertAlign w:val="superscript"/>
              </w:rPr>
              <w:t>st</w:t>
            </w:r>
            <w:r>
              <w:tab/>
              <w:t>fixture</w:t>
            </w:r>
          </w:p>
        </w:tc>
        <w:tc>
          <w:tcPr>
            <w:tcW w:w="2268" w:type="dxa"/>
            <w:noWrap/>
            <w:vAlign w:val="bottom"/>
          </w:tcPr>
          <w:p>
            <w:pPr>
              <w:pStyle w:val="yTableNAmLeft-065cm"/>
              <w:jc w:val="center"/>
              <w:rPr>
                <w:szCs w:val="22"/>
              </w:rPr>
            </w:pPr>
            <w:r>
              <w:rPr>
                <w:szCs w:val="22"/>
              </w:rPr>
              <w:t>1 099.70</w:t>
            </w:r>
          </w:p>
        </w:tc>
      </w:tr>
      <w:tr>
        <w:trPr>
          <w:cantSplit/>
        </w:trPr>
        <w:tc>
          <w:tcPr>
            <w:tcW w:w="2268" w:type="dxa"/>
            <w:noWrap/>
            <w:tcMar>
              <w:left w:w="284" w:type="dxa"/>
            </w:tcMar>
          </w:tcPr>
          <w:p>
            <w:pPr>
              <w:pStyle w:val="yTableNAmLeft-065cm"/>
            </w:pPr>
            <w:r>
              <w:t>2</w:t>
            </w:r>
            <w:r>
              <w:rPr>
                <w:vertAlign w:val="superscript"/>
              </w:rPr>
              <w:t>nd</w:t>
            </w:r>
            <w:r>
              <w:tab/>
              <w:t>fixture</w:t>
            </w:r>
          </w:p>
        </w:tc>
        <w:tc>
          <w:tcPr>
            <w:tcW w:w="2268" w:type="dxa"/>
            <w:noWrap/>
            <w:vAlign w:val="bottom"/>
          </w:tcPr>
          <w:p>
            <w:pPr>
              <w:pStyle w:val="yTableNAmLeft-065cm"/>
              <w:jc w:val="center"/>
              <w:rPr>
                <w:szCs w:val="22"/>
              </w:rPr>
            </w:pPr>
            <w:r>
              <w:rPr>
                <w:szCs w:val="22"/>
              </w:rPr>
              <w:t>470.73</w:t>
            </w:r>
          </w:p>
        </w:tc>
      </w:tr>
      <w:tr>
        <w:trPr>
          <w:cantSplit/>
        </w:trPr>
        <w:tc>
          <w:tcPr>
            <w:tcW w:w="2268" w:type="dxa"/>
            <w:noWrap/>
            <w:tcMar>
              <w:left w:w="284" w:type="dxa"/>
            </w:tcMar>
          </w:tcPr>
          <w:p>
            <w:pPr>
              <w:pStyle w:val="yTableNAmLeft-065cm"/>
            </w:pPr>
            <w:r>
              <w:t>3</w:t>
            </w:r>
            <w:r>
              <w:rPr>
                <w:vertAlign w:val="superscript"/>
              </w:rPr>
              <w:t>rd</w:t>
            </w:r>
            <w:r>
              <w:tab/>
              <w:t>fixture</w:t>
            </w:r>
          </w:p>
        </w:tc>
        <w:tc>
          <w:tcPr>
            <w:tcW w:w="2268" w:type="dxa"/>
            <w:noWrap/>
            <w:vAlign w:val="bottom"/>
          </w:tcPr>
          <w:p>
            <w:pPr>
              <w:pStyle w:val="yTableNAmLeft-065cm"/>
              <w:jc w:val="center"/>
              <w:rPr>
                <w:szCs w:val="22"/>
              </w:rPr>
            </w:pPr>
            <w:r>
              <w:rPr>
                <w:szCs w:val="22"/>
              </w:rPr>
              <w:t>628.65</w:t>
            </w:r>
          </w:p>
        </w:tc>
      </w:tr>
      <w:tr>
        <w:trPr>
          <w:cantSplit/>
        </w:trPr>
        <w:tc>
          <w:tcPr>
            <w:tcW w:w="2268" w:type="dxa"/>
            <w:tcBorders>
              <w:bottom w:val="single" w:sz="4" w:space="0" w:color="auto"/>
            </w:tcBorders>
            <w:noWrap/>
            <w:tcMar>
              <w:left w:w="284" w:type="dxa"/>
            </w:tcMar>
          </w:tcPr>
          <w:p>
            <w:pPr>
              <w:pStyle w:val="yTableNAmLeft-065cm"/>
            </w:pPr>
            <w:r>
              <w:t>4</w:t>
            </w:r>
            <w:r>
              <w:rPr>
                <w:vertAlign w:val="superscript"/>
              </w:rPr>
              <w:t>th</w:t>
            </w:r>
            <w:r>
              <w:tab/>
              <w:t>and subsequent fixtures</w:t>
            </w:r>
          </w:p>
        </w:tc>
        <w:tc>
          <w:tcPr>
            <w:tcW w:w="2268" w:type="dxa"/>
            <w:tcBorders>
              <w:bottom w:val="single" w:sz="4" w:space="0" w:color="auto"/>
            </w:tcBorders>
            <w:noWrap/>
            <w:vAlign w:val="bottom"/>
          </w:tcPr>
          <w:p>
            <w:pPr>
              <w:pStyle w:val="yTableNAmLeft-065cm"/>
              <w:jc w:val="center"/>
              <w:rPr>
                <w:szCs w:val="22"/>
              </w:rPr>
            </w:pPr>
            <w:r>
              <w:rPr>
                <w:szCs w:val="22"/>
              </w:rPr>
              <w:t>683.62</w:t>
            </w:r>
          </w:p>
        </w:tc>
      </w:tr>
    </w:tbl>
    <w:p>
      <w:pPr>
        <w:pStyle w:val="yHeading5"/>
      </w:pPr>
      <w:bookmarkStart w:id="440" w:name="_Toc105574309"/>
      <w:bookmarkStart w:id="441" w:name="_Toc107232320"/>
      <w:r>
        <w:t>28.</w:t>
      </w:r>
      <w:r>
        <w:tab/>
        <w:t>Discharge charge</w:t>
      </w:r>
      <w:bookmarkEnd w:id="440"/>
      <w:bookmarkEnd w:id="441"/>
    </w:p>
    <w:p>
      <w:pPr>
        <w:pStyle w:val="ySubsection"/>
      </w:pPr>
      <w:r>
        <w:tab/>
      </w:r>
      <w:r>
        <w:tab/>
        <w:t>The discharge charge (</w:t>
      </w:r>
      <w:r>
        <w:rPr>
          <w:b/>
          <w:i/>
        </w:rPr>
        <w:t>Q</w:t>
      </w:r>
      <w:r>
        <w:t>) is —</w:t>
      </w:r>
    </w:p>
    <w:p>
      <w:pPr>
        <w:pStyle w:val="yMiscellaneousBody"/>
        <w:tabs>
          <w:tab w:val="left" w:pos="284"/>
          <w:tab w:val="right" w:leader="dot" w:pos="6804"/>
        </w:tabs>
        <w:ind w:left="1021" w:hanging="142"/>
      </w:pPr>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pPr>
      <w:r>
        <w:lastRenderedPageBreak/>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tab/>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29;</w:t>
      </w:r>
    </w:p>
    <w:p>
      <w:pPr>
        <w:pStyle w:val="yMiscellaneousBody"/>
        <w:tabs>
          <w:tab w:val="left" w:pos="284"/>
          <w:tab w:val="left" w:pos="1985"/>
        </w:tabs>
        <w:ind w:left="1305" w:hanging="425"/>
      </w:pPr>
      <w:r>
        <w:rPr>
          <w:b/>
        </w:rPr>
        <w:t>I</w:t>
      </w:r>
      <w:r>
        <w:tab/>
        <w:t>is</w:t>
      </w:r>
      <w:r>
        <w:rPr>
          <w:szCs w:val="22"/>
        </w:rPr>
        <w:t xml:space="preserve"> $4.</w:t>
      </w:r>
      <w:r>
        <w:t>041,</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442" w:name="_Toc105574310"/>
      <w:bookmarkStart w:id="443" w:name="_Toc107232321"/>
      <w:r>
        <w:t>29.</w:t>
      </w:r>
      <w:r>
        <w:tab/>
        <w:t>Discharge allowance</w:t>
      </w:r>
      <w:bookmarkEnd w:id="442"/>
      <w:bookmarkEnd w:id="443"/>
    </w:p>
    <w:p>
      <w:pPr>
        <w:pStyle w:val="ySubsection"/>
        <w:tabs>
          <w:tab w:val="right" w:leader="dot" w:pos="6804"/>
        </w:tabs>
      </w:pPr>
      <w:r>
        <w:tab/>
        <w:t>(1)</w:t>
      </w:r>
      <w:r>
        <w:tab/>
        <w:t>The discharge allowance for the current discharge year is —</w:t>
      </w:r>
    </w:p>
    <w:p>
      <w:pPr>
        <w:pStyle w:val="yIndenta"/>
        <w:tabs>
          <w:tab w:val="right" w:leader="dot" w:pos="6804"/>
        </w:tabs>
      </w:pPr>
      <w:r>
        <w:tab/>
        <w:t>(a)</w:t>
      </w:r>
      <w:r>
        <w:tab/>
        <w:t>for land to which item 22 applies that is not covered by paragraph (e) — 200 kL;</w:t>
      </w:r>
    </w:p>
    <w:p>
      <w:pPr>
        <w:pStyle w:val="yIndenta"/>
        <w:tabs>
          <w:tab w:val="right" w:leader="dot" w:pos="6804"/>
        </w:tabs>
      </w:pPr>
      <w:r>
        <w:tab/>
        <w:t>(b)</w:t>
      </w:r>
      <w:r>
        <w:tab/>
        <w:t>for land held by a government trading organisation or by a public authority that holds non</w:t>
      </w:r>
      <w:r>
        <w:noBreakHyphen/>
        <w:t>commercial government property — 200 kL;</w:t>
      </w:r>
    </w:p>
    <w:p>
      <w:pPr>
        <w:pStyle w:val="yIndenta"/>
        <w:tabs>
          <w:tab w:val="right" w:leader="dot" w:pos="6804"/>
        </w:tabs>
      </w:pPr>
      <w:r>
        <w:tab/>
        <w:t>(c)</w:t>
      </w:r>
      <w:r>
        <w:tab/>
        <w:t>for a caravan park referred to in item 23 — the amount (in kL) calculated in accordance with the formula in sub</w:t>
      </w:r>
      <w:r>
        <w:noBreakHyphen/>
        <w:t>item (2);</w:t>
      </w:r>
    </w:p>
    <w:p>
      <w:pPr>
        <w:pStyle w:val="yIndenta"/>
        <w:tabs>
          <w:tab w:val="right" w:leader="dot" w:pos="6804"/>
        </w:tabs>
      </w:pPr>
      <w:r>
        <w:tab/>
        <w:t>(d)</w:t>
      </w:r>
      <w:r>
        <w:tab/>
        <w:t>for a nursing home referred to in item 24 — 75 kL per bed;</w:t>
      </w:r>
    </w:p>
    <w:p>
      <w:pPr>
        <w:pStyle w:val="yIndenta"/>
        <w:tabs>
          <w:tab w:val="right" w:leader="dot" w:pos="6804"/>
        </w:tabs>
      </w:pPr>
      <w:r>
        <w:tab/>
        <w:t>(e)</w:t>
      </w:r>
      <w:r>
        <w:tab/>
        <w:t>for properties that share a metered property water supply connection — 200 kL for each property.</w:t>
      </w:r>
    </w:p>
    <w:p>
      <w:pPr>
        <w:pStyle w:val="ySubsection"/>
        <w:tabs>
          <w:tab w:val="right" w:leader="dot" w:pos="6804"/>
        </w:tabs>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
            </m:rPr>
            <w:rPr>
              <w:rFonts w:ascii="Cambria Math" w:hAnsi="Cambria Math"/>
              <w:sz w:val="22"/>
            </w:rPr>
            <m:t>200 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444" w:name="_Toc105574311"/>
      <w:bookmarkStart w:id="445" w:name="_Toc107232322"/>
      <w:r>
        <w:lastRenderedPageBreak/>
        <w:t>30.</w:t>
      </w:r>
      <w:r>
        <w:tab/>
        <w:t>Maximum charge</w:t>
      </w:r>
      <w:bookmarkEnd w:id="444"/>
      <w:bookmarkEnd w:id="445"/>
    </w:p>
    <w:p>
      <w:pPr>
        <w:pStyle w:val="ySubsection"/>
      </w:pPr>
      <w:r>
        <w:tab/>
      </w:r>
      <w:r>
        <w:tab/>
        <w:t>The maximum charge (</w:t>
      </w:r>
      <w:r>
        <w:rPr>
          <w:b/>
          <w:i/>
        </w:rPr>
        <w:t>R</w:t>
      </w:r>
      <w:r>
        <w:t>) is —</w:t>
      </w:r>
    </w:p>
    <w:p>
      <w:pPr>
        <w:pStyle w:val="yMiscellaneousBody"/>
        <w:tabs>
          <w:tab w:val="left" w:pos="284"/>
          <w:tab w:val="right" w:leader="dot" w:pos="6804"/>
        </w:tabs>
        <w:ind w:left="1282"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 </w:t>
      </w:r>
    </w:p>
    <w:p>
      <w:pPr>
        <w:pStyle w:val="yMiscellaneousBody"/>
        <w:tabs>
          <w:tab w:val="left" w:pos="284"/>
          <w:tab w:val="right" w:leader="dot" w:pos="6804"/>
        </w:tabs>
        <w:ind w:left="1282" w:hanging="142"/>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left" w:pos="1985"/>
        </w:tabs>
        <w:ind w:left="1305" w:hanging="425"/>
      </w:pPr>
      <w:r>
        <w:t xml:space="preserve">where — </w:t>
      </w:r>
    </w:p>
    <w:p>
      <w:pPr>
        <w:pStyle w:val="yMiscellaneousBody"/>
        <w:tabs>
          <w:tab w:val="left" w:pos="284"/>
          <w:tab w:val="left" w:pos="1985"/>
        </w:tabs>
        <w:ind w:left="1305" w:hanging="425"/>
      </w:pPr>
      <w:r>
        <w:rPr>
          <w:b/>
        </w:rPr>
        <w:t>P</w:t>
      </w:r>
      <w:r>
        <w:rPr>
          <w:b/>
        </w:rPr>
        <w:tab/>
      </w:r>
      <w:r>
        <w:t>is the service charge calculated in accordance with item 27;</w:t>
      </w:r>
    </w:p>
    <w:p>
      <w:pPr>
        <w:pStyle w:val="yMiscellaneousBody"/>
        <w:tabs>
          <w:tab w:val="left" w:pos="284"/>
          <w:tab w:val="left" w:pos="1985"/>
        </w:tabs>
        <w:ind w:left="1305" w:hanging="425"/>
      </w:pPr>
      <w:r>
        <w:rPr>
          <w:b/>
        </w:rPr>
        <w:t>Q</w:t>
      </w:r>
      <w:r>
        <w:rPr>
          <w:b/>
        </w:rPr>
        <w:tab/>
      </w:r>
      <w:r>
        <w:t>is the discharge charge calculated in accordance with item 28;</w:t>
      </w:r>
    </w:p>
    <w:p>
      <w:pPr>
        <w:pStyle w:val="yMiscellaneousBody"/>
        <w:tabs>
          <w:tab w:val="left" w:pos="284"/>
          <w:tab w:val="left" w:pos="1985"/>
        </w:tabs>
        <w:ind w:left="1305" w:hanging="425"/>
      </w:pPr>
      <w:r>
        <w:rPr>
          <w:b/>
        </w:rPr>
        <w:t>A</w:t>
      </w:r>
      <w:r>
        <w:rPr>
          <w:b/>
        </w:rPr>
        <w:tab/>
      </w:r>
      <w:r>
        <w:t>is the charge payable, for the previous financial year, under the item in Subdivision 4 for which this item is being applied;</w:t>
      </w:r>
    </w:p>
    <w:p>
      <w:pPr>
        <w:pStyle w:val="yMiscellaneousBody"/>
        <w:tabs>
          <w:tab w:val="left" w:pos="284"/>
          <w:tab w:val="left" w:pos="1985"/>
        </w:tabs>
        <w:ind w:left="1305" w:hanging="425"/>
      </w:pPr>
      <w:r>
        <w:rPr>
          <w:b/>
        </w:rPr>
        <w:t>S</w:t>
      </w:r>
      <w:r>
        <w:rPr>
          <w:b/>
        </w:rPr>
        <w:tab/>
      </w:r>
      <w:r>
        <w:t>is 1.1250;</w:t>
      </w:r>
    </w:p>
    <w:p>
      <w:pPr>
        <w:pStyle w:val="yMiscellaneousBody"/>
        <w:tabs>
          <w:tab w:val="left" w:pos="284"/>
          <w:tab w:val="left" w:pos="1985"/>
        </w:tabs>
        <w:ind w:left="1305" w:hanging="425"/>
      </w:pPr>
      <w:r>
        <w:rPr>
          <w:b/>
        </w:rPr>
        <w:t>B</w:t>
      </w:r>
      <w:r>
        <w:rPr>
          <w:b/>
        </w:rPr>
        <w:tab/>
      </w:r>
      <w:r>
        <w:t>is $166.67.</w:t>
      </w:r>
    </w:p>
    <w:p>
      <w:pPr>
        <w:pStyle w:val="yFootnotesection"/>
      </w:pPr>
      <w:bookmarkStart w:id="446" w:name="_Toc105571129"/>
      <w:bookmarkStart w:id="447" w:name="_Toc105573944"/>
      <w:bookmarkStart w:id="448" w:name="_Toc105574312"/>
      <w:r>
        <w:tab/>
        <w:t>[Division 2 inserted: SL 2022/82 r. 19.]</w:t>
      </w:r>
    </w:p>
    <w:p>
      <w:pPr>
        <w:pStyle w:val="yHeading3"/>
      </w:pPr>
      <w:bookmarkStart w:id="449" w:name="_Toc106869231"/>
      <w:bookmarkStart w:id="450" w:name="_Toc106872109"/>
      <w:bookmarkStart w:id="451" w:name="_Toc107232323"/>
      <w:r>
        <w:rPr>
          <w:rStyle w:val="CharSDivNo"/>
        </w:rPr>
        <w:t>Division 3</w:t>
      </w:r>
      <w:r>
        <w:t> — </w:t>
      </w:r>
      <w:r>
        <w:rPr>
          <w:rStyle w:val="CharSDivText"/>
        </w:rPr>
        <w:t>Discharge charges: trade waste and effluent</w:t>
      </w:r>
      <w:bookmarkEnd w:id="446"/>
      <w:bookmarkEnd w:id="447"/>
      <w:bookmarkEnd w:id="448"/>
      <w:bookmarkEnd w:id="449"/>
      <w:bookmarkEnd w:id="450"/>
      <w:bookmarkEnd w:id="451"/>
    </w:p>
    <w:p>
      <w:pPr>
        <w:pStyle w:val="yFootnoteheading"/>
      </w:pPr>
      <w:bookmarkStart w:id="452" w:name="_Toc105574313"/>
      <w:r>
        <w:tab/>
        <w:t>[Heading inserted: SL 2022/82 r. 19.]</w:t>
      </w:r>
    </w:p>
    <w:p>
      <w:pPr>
        <w:pStyle w:val="yHeading5"/>
      </w:pPr>
      <w:bookmarkStart w:id="453" w:name="_Toc107232324"/>
      <w:r>
        <w:t>31.</w:t>
      </w:r>
      <w:r>
        <w:tab/>
        <w:t>Discharge charges for 2022/23 and subsequent years</w:t>
      </w:r>
      <w:bookmarkEnd w:id="452"/>
      <w:bookmarkEnd w:id="453"/>
    </w:p>
    <w:p>
      <w:pPr>
        <w:pStyle w:val="ySubsection"/>
        <w:tabs>
          <w:tab w:val="right" w:leader="dot" w:pos="6804"/>
        </w:tabs>
      </w:pPr>
      <w:r>
        <w:tab/>
      </w:r>
      <w:r>
        <w:tab/>
        <w:t>The charges set out in this Division apply for trade waste or effluent discharged in the 2022/23 financial year and each subsequent year.</w:t>
      </w:r>
    </w:p>
    <w:p>
      <w:pPr>
        <w:pStyle w:val="yHeading5"/>
      </w:pPr>
      <w:bookmarkStart w:id="454" w:name="_Toc105574314"/>
      <w:bookmarkStart w:id="455" w:name="_Toc107232325"/>
      <w:r>
        <w:t>32.</w:t>
      </w:r>
      <w:r>
        <w:tab/>
        <w:t>Trade waste discharged into sewer under approval</w:t>
      </w:r>
      <w:bookmarkEnd w:id="454"/>
      <w:bookmarkEnd w:id="455"/>
    </w:p>
    <w:p>
      <w:pPr>
        <w:pStyle w:val="ySubsection"/>
      </w:pPr>
      <w:r>
        <w:tab/>
        <w:t>(1)</w:t>
      </w:r>
      <w:r>
        <w:tab/>
        <w:t xml:space="preserve">In this item — </w:t>
      </w:r>
    </w:p>
    <w:p>
      <w:pPr>
        <w:pStyle w:val="yDefstart"/>
      </w:pPr>
      <w:r>
        <w:tab/>
      </w:r>
      <w:r>
        <w:fldChar w:fldCharType="begin"/>
      </w:r>
      <w:r>
        <w:instrText xml:space="preserve"> LISTNUM ScheduleDefinitionNumbers \l1 </w:instrText>
      </w:r>
      <w:r>
        <w:fldChar w:fldCharType="end"/>
      </w:r>
      <w:r>
        <w:rPr>
          <w:rStyle w:val="CharDefText"/>
        </w:rPr>
        <w:t>B.O.D.</w:t>
      </w:r>
      <w:r>
        <w:t xml:space="preserve"> means biochemical oxygen demand;</w:t>
      </w:r>
    </w:p>
    <w:p>
      <w:pPr>
        <w:pStyle w:val="yDefstart"/>
      </w:pPr>
      <w:r>
        <w:lastRenderedPageBreak/>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tabs>
          <w:tab w:val="right" w:leader="dot" w:pos="6804"/>
        </w:tabs>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156.6 c/kL</w:t>
      </w:r>
    </w:p>
    <w:p>
      <w:pPr>
        <w:pStyle w:val="yIndenta"/>
        <w:tabs>
          <w:tab w:val="right" w:leader="dot" w:pos="6804"/>
        </w:tabs>
      </w:pPr>
      <w:r>
        <w:tab/>
        <w:t>(b)</w:t>
      </w:r>
      <w:r>
        <w:tab/>
        <w:t>for B.O.D. with a concentration of —</w:t>
      </w:r>
    </w:p>
    <w:p>
      <w:pPr>
        <w:pStyle w:val="yIndenti0"/>
        <w:tabs>
          <w:tab w:val="right" w:leader="dot" w:pos="6804"/>
        </w:tabs>
      </w:pPr>
      <w:r>
        <w:tab/>
        <w:t>(i)</w:t>
      </w:r>
      <w:r>
        <w:tab/>
        <w:t xml:space="preserve">up to 5 kg/kL </w:t>
      </w:r>
      <w:r>
        <w:tab/>
        <w:t>130.7 c/kg</w:t>
      </w:r>
    </w:p>
    <w:p>
      <w:pPr>
        <w:pStyle w:val="yIndenti0"/>
        <w:tabs>
          <w:tab w:val="right" w:leader="dot" w:pos="6804"/>
        </w:tabs>
      </w:pPr>
      <w:r>
        <w:tab/>
        <w:t>(ii)</w:t>
      </w:r>
      <w:r>
        <w:tab/>
        <w:t xml:space="preserve">over 5 kg/kL </w:t>
      </w:r>
      <w:r>
        <w:tab/>
        <w:t>266.7 c/kg</w:t>
      </w:r>
    </w:p>
    <w:p>
      <w:pPr>
        <w:pStyle w:val="yIndenta"/>
        <w:tabs>
          <w:tab w:val="right" w:leader="dot" w:pos="6804"/>
        </w:tabs>
      </w:pPr>
      <w:r>
        <w:tab/>
        <w:t>(c)</w:t>
      </w:r>
      <w:r>
        <w:tab/>
        <w:t>for suspended solids with a concentration of —</w:t>
      </w:r>
    </w:p>
    <w:p>
      <w:pPr>
        <w:pStyle w:val="yIndenti0"/>
        <w:tabs>
          <w:tab w:val="right" w:leader="dot" w:pos="6804"/>
        </w:tabs>
      </w:pPr>
      <w:r>
        <w:tab/>
        <w:t>(i)</w:t>
      </w:r>
      <w:r>
        <w:tab/>
        <w:t xml:space="preserve">up to 2 kg/kL </w:t>
      </w:r>
      <w:r>
        <w:tab/>
        <w:t>178.2 c/kg</w:t>
      </w:r>
    </w:p>
    <w:p>
      <w:pPr>
        <w:pStyle w:val="yIndenti0"/>
        <w:tabs>
          <w:tab w:val="right" w:leader="dot" w:pos="6804"/>
        </w:tabs>
      </w:pPr>
      <w:r>
        <w:tab/>
        <w:t>(ii)</w:t>
      </w:r>
      <w:r>
        <w:tab/>
        <w:t xml:space="preserve">over 2 kg/kL </w:t>
      </w:r>
      <w:r>
        <w:tab/>
        <w:t>358.5 c/kg</w:t>
      </w:r>
    </w:p>
    <w:p>
      <w:pPr>
        <w:pStyle w:val="yIndenta"/>
        <w:tabs>
          <w:tab w:val="right" w:leader="dot" w:pos="6804"/>
        </w:tabs>
      </w:pPr>
      <w:r>
        <w:tab/>
        <w:t>(d)</w:t>
      </w:r>
      <w:r>
        <w:tab/>
        <w:t>for oil and grease with a concentration of —</w:t>
      </w:r>
    </w:p>
    <w:p>
      <w:pPr>
        <w:pStyle w:val="yIndenti0"/>
        <w:tabs>
          <w:tab w:val="right" w:leader="dot" w:pos="6804"/>
        </w:tabs>
      </w:pPr>
      <w:r>
        <w:tab/>
        <w:t>(i)</w:t>
      </w:r>
      <w:r>
        <w:tab/>
        <w:t xml:space="preserve">up to 0.3 kg/kL </w:t>
      </w:r>
      <w:r>
        <w:tab/>
        <w:t>160.9 c/kg</w:t>
      </w:r>
    </w:p>
    <w:p>
      <w:pPr>
        <w:pStyle w:val="yIndenti0"/>
        <w:tabs>
          <w:tab w:val="right" w:leader="dot" w:pos="6804"/>
        </w:tabs>
      </w:pPr>
      <w:r>
        <w:tab/>
        <w:t>(ii)</w:t>
      </w:r>
      <w:r>
        <w:tab/>
        <w:t xml:space="preserve">over 0.3 kg/kL but </w:t>
      </w:r>
      <w:r>
        <w:br/>
        <w:t xml:space="preserve">not over 0.6 kg/kL </w:t>
      </w:r>
      <w:r>
        <w:tab/>
        <w:t>315.3 c/kg</w:t>
      </w:r>
    </w:p>
    <w:p>
      <w:pPr>
        <w:pStyle w:val="yIndenti0"/>
        <w:tabs>
          <w:tab w:val="right" w:leader="dot" w:pos="6804"/>
        </w:tabs>
      </w:pPr>
      <w:r>
        <w:tab/>
        <w:t>(iii)</w:t>
      </w:r>
      <w:r>
        <w:tab/>
        <w:t xml:space="preserve">over 0.6 kg/kL </w:t>
      </w:r>
      <w:r>
        <w:tab/>
        <w:t>636.0 c/kg</w:t>
      </w:r>
    </w:p>
    <w:p>
      <w:pPr>
        <w:pStyle w:val="yIndenta"/>
        <w:tabs>
          <w:tab w:val="right" w:leader="dot" w:pos="6804"/>
        </w:tabs>
      </w:pPr>
      <w:r>
        <w:tab/>
        <w:t>(e)</w:t>
      </w:r>
      <w:r>
        <w:tab/>
        <w:t>for acidity to pH 6 (expressed as calcium carbonate) —</w:t>
      </w:r>
    </w:p>
    <w:p>
      <w:pPr>
        <w:pStyle w:val="yIndenti0"/>
        <w:tabs>
          <w:tab w:val="right" w:leader="dot" w:pos="6804"/>
        </w:tabs>
      </w:pPr>
      <w:r>
        <w:tab/>
        <w:t>(i)</w:t>
      </w:r>
      <w:r>
        <w:tab/>
        <w:t xml:space="preserve">up to 0.1 kg/kL </w:t>
      </w:r>
      <w:r>
        <w:tab/>
        <w:t>44.3 c/kg</w:t>
      </w:r>
    </w:p>
    <w:p>
      <w:pPr>
        <w:pStyle w:val="yIndenti0"/>
        <w:tabs>
          <w:tab w:val="right" w:leader="dot" w:pos="6804"/>
        </w:tabs>
      </w:pPr>
      <w:r>
        <w:tab/>
        <w:t>(ii)</w:t>
      </w:r>
      <w:r>
        <w:tab/>
        <w:t xml:space="preserve">over 0.1 kg/kL but </w:t>
      </w:r>
      <w:r>
        <w:br/>
        <w:t xml:space="preserve">not over 0.3 kg/kL </w:t>
      </w:r>
      <w:r>
        <w:tab/>
        <w:t>92.9 c/kg</w:t>
      </w:r>
    </w:p>
    <w:p>
      <w:pPr>
        <w:pStyle w:val="yIndenti0"/>
        <w:tabs>
          <w:tab w:val="right" w:leader="dot" w:pos="6804"/>
        </w:tabs>
      </w:pPr>
      <w:r>
        <w:tab/>
        <w:t>(iii)</w:t>
      </w:r>
      <w:r>
        <w:tab/>
        <w:t xml:space="preserve">over 0.3 kg/kL </w:t>
      </w:r>
      <w:r>
        <w:tab/>
        <w:t>184.6 c/kg</w:t>
      </w:r>
    </w:p>
    <w:p>
      <w:pPr>
        <w:pStyle w:val="yIndenta"/>
        <w:tabs>
          <w:tab w:val="right" w:leader="dot" w:pos="6804"/>
        </w:tabs>
      </w:pPr>
      <w:r>
        <w:tab/>
        <w:t>(f)</w:t>
      </w:r>
      <w:r>
        <w:tab/>
        <w:t>for alkalinity to pH 10 (expressed as calcium carbonate) —</w:t>
      </w:r>
    </w:p>
    <w:p>
      <w:pPr>
        <w:pStyle w:val="yIndenti0"/>
        <w:tabs>
          <w:tab w:val="right" w:leader="dot" w:pos="6804"/>
        </w:tabs>
      </w:pPr>
      <w:r>
        <w:tab/>
        <w:t>(i)</w:t>
      </w:r>
      <w:r>
        <w:tab/>
        <w:t xml:space="preserve">up to 0.1 kg/kL </w:t>
      </w:r>
      <w:r>
        <w:tab/>
        <w:t>14.0 c/kg</w:t>
      </w:r>
    </w:p>
    <w:p>
      <w:pPr>
        <w:pStyle w:val="yIndenti0"/>
        <w:tabs>
          <w:tab w:val="right" w:leader="dot" w:pos="6804"/>
        </w:tabs>
      </w:pPr>
      <w:r>
        <w:tab/>
        <w:t>(ii)</w:t>
      </w:r>
      <w:r>
        <w:tab/>
        <w:t xml:space="preserve">over 0.1 kg/kL but </w:t>
      </w:r>
      <w:r>
        <w:br/>
        <w:t xml:space="preserve">not over 0.2 kg/kL </w:t>
      </w:r>
      <w:r>
        <w:tab/>
        <w:t>33.5 c/kg</w:t>
      </w:r>
    </w:p>
    <w:p>
      <w:pPr>
        <w:pStyle w:val="yIndenti0"/>
        <w:tabs>
          <w:tab w:val="right" w:leader="dot" w:pos="6804"/>
        </w:tabs>
      </w:pPr>
      <w:r>
        <w:tab/>
        <w:t>(iii)</w:t>
      </w:r>
      <w:r>
        <w:tab/>
        <w:t xml:space="preserve">over 0.2 kg/kL </w:t>
      </w:r>
      <w:r>
        <w:tab/>
        <w:t>66.9 c/kg</w:t>
      </w:r>
    </w:p>
    <w:p>
      <w:pPr>
        <w:pStyle w:val="yIndenta"/>
        <w:tabs>
          <w:tab w:val="right" w:leader="dot" w:pos="6804"/>
        </w:tabs>
      </w:pPr>
      <w:r>
        <w:tab/>
        <w:t>(g)</w:t>
      </w:r>
      <w:r>
        <w:tab/>
        <w:t xml:space="preserve">for nitrogen </w:t>
      </w:r>
      <w:r>
        <w:tab/>
        <w:t>142.5 c/kg</w:t>
      </w:r>
    </w:p>
    <w:p>
      <w:pPr>
        <w:pStyle w:val="yIndenta"/>
        <w:tabs>
          <w:tab w:val="right" w:leader="dot" w:pos="6804"/>
        </w:tabs>
      </w:pPr>
      <w:r>
        <w:tab/>
        <w:t>(h)</w:t>
      </w:r>
      <w:r>
        <w:tab/>
        <w:t xml:space="preserve">for phosphorus </w:t>
      </w:r>
      <w:r>
        <w:tab/>
        <w:t>40.0 c/kg</w:t>
      </w:r>
    </w:p>
    <w:p>
      <w:pPr>
        <w:pStyle w:val="yIndenta"/>
        <w:tabs>
          <w:tab w:val="right" w:leader="dot" w:pos="6804"/>
        </w:tabs>
        <w:rPr>
          <w:szCs w:val="22"/>
        </w:rPr>
      </w:pPr>
      <w:r>
        <w:tab/>
        <w:t>(i)</w:t>
      </w:r>
      <w:r>
        <w:tab/>
        <w:t>for 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75.6 c/kg</w:t>
      </w:r>
    </w:p>
    <w:p>
      <w:pPr>
        <w:pStyle w:val="yIndenta"/>
        <w:tabs>
          <w:tab w:val="right" w:leader="dot" w:pos="6804"/>
        </w:tabs>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pPr>
        <w:pStyle w:val="yIndenti0"/>
        <w:tabs>
          <w:tab w:val="right" w:leader="dot" w:pos="6804"/>
        </w:tabs>
      </w:pPr>
      <w:r>
        <w:lastRenderedPageBreak/>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4.2 c/kg</w:t>
      </w:r>
    </w:p>
    <w:p>
      <w:pPr>
        <w:pStyle w:val="yIndenti0"/>
        <w:tabs>
          <w:tab w:val="right" w:leader="dot" w:pos="6804"/>
        </w:tabs>
      </w:pPr>
      <w:r>
        <w:tab/>
        <w:t>(iv)</w:t>
      </w:r>
      <w:r>
        <w:tab/>
        <w:t xml:space="preserve">over 6 kg/kL </w:t>
      </w:r>
      <w:r>
        <w:tab/>
        <w:t>15.0 c/kg</w:t>
      </w:r>
    </w:p>
    <w:p>
      <w:pPr>
        <w:pStyle w:val="yIndenta"/>
        <w:tabs>
          <w:tab w:val="right" w:leader="dot" w:pos="6804"/>
        </w:tabs>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1 183.4 c/kg</w:t>
      </w:r>
    </w:p>
    <w:p>
      <w:pPr>
        <w:pStyle w:val="yIndenti0"/>
        <w:tabs>
          <w:tab w:val="right" w:leader="dot" w:pos="6804"/>
        </w:tabs>
      </w:pPr>
      <w:r>
        <w:tab/>
        <w:t>(ii)</w:t>
      </w:r>
      <w:r>
        <w:tab/>
        <w:t xml:space="preserve">over 0.03 kg/day but not </w:t>
      </w:r>
      <w:r>
        <w:br/>
        <w:t xml:space="preserve">over 1 kg/day </w:t>
      </w:r>
      <w:r>
        <w:tab/>
        <w:t>2 360.4 c/kg</w:t>
      </w:r>
    </w:p>
    <w:p>
      <w:pPr>
        <w:pStyle w:val="yIndenti0"/>
        <w:tabs>
          <w:tab w:val="right" w:leader="dot" w:pos="6804"/>
        </w:tabs>
      </w:pPr>
      <w:r>
        <w:tab/>
        <w:t>(iii)</w:t>
      </w:r>
      <w:r>
        <w:tab/>
        <w:t xml:space="preserve">over 1 kg/day </w:t>
      </w:r>
      <w:r>
        <w:tab/>
        <w:t>9 457.8 c/kg</w:t>
      </w:r>
    </w:p>
    <w:p>
      <w:pPr>
        <w:pStyle w:val="yIndenta"/>
        <w:tabs>
          <w:tab w:val="right" w:leader="dot" w:pos="6804"/>
        </w:tabs>
      </w:pPr>
      <w:r>
        <w:rPr>
          <w:szCs w:val="22"/>
        </w:rPr>
        <w:tab/>
        <w:t>(l)</w:t>
      </w:r>
      <w:r>
        <w:rPr>
          <w:szCs w:val="22"/>
        </w:rPr>
        <w:tab/>
        <w:t xml:space="preserve">for </w:t>
      </w:r>
      <w:r>
        <w:t>copper</w:t>
      </w:r>
      <w:r>
        <w:rPr>
          <w:szCs w:val="22"/>
        </w:rPr>
        <w:t xml:space="preserve"> with a discharge rate of —</w:t>
      </w:r>
    </w:p>
    <w:p>
      <w:pPr>
        <w:pStyle w:val="yIndenti0"/>
        <w:tabs>
          <w:tab w:val="right" w:leader="dot" w:pos="6804"/>
        </w:tabs>
      </w:pPr>
      <w:r>
        <w:tab/>
        <w:t>(i)</w:t>
      </w:r>
      <w:r>
        <w:tab/>
        <w:t xml:space="preserve">up to 0.03 kg/day </w:t>
      </w:r>
      <w:r>
        <w:tab/>
        <w:t>1 183.4 c/kg</w:t>
      </w:r>
    </w:p>
    <w:p>
      <w:pPr>
        <w:pStyle w:val="yIndenti0"/>
        <w:tabs>
          <w:tab w:val="right" w:leader="dot" w:pos="6804"/>
        </w:tabs>
      </w:pPr>
      <w:r>
        <w:tab/>
        <w:t>(ii)</w:t>
      </w:r>
      <w:r>
        <w:tab/>
        <w:t xml:space="preserve">over 0.03 kg/day but </w:t>
      </w:r>
      <w:r>
        <w:br/>
        <w:t xml:space="preserve">not over 0.12 kg/day </w:t>
      </w:r>
      <w:r>
        <w:tab/>
        <w:t>2 360.4 c/kg</w:t>
      </w:r>
    </w:p>
    <w:p>
      <w:pPr>
        <w:pStyle w:val="yIndenti0"/>
        <w:tabs>
          <w:tab w:val="right" w:leader="dot" w:pos="6804"/>
        </w:tabs>
      </w:pPr>
      <w:r>
        <w:tab/>
        <w:t>(iii)</w:t>
      </w:r>
      <w:r>
        <w:tab/>
        <w:t xml:space="preserve">over 0.12 kg/day </w:t>
      </w:r>
      <w:r>
        <w:tab/>
        <w:t>9 457.8 c/kg</w:t>
      </w:r>
    </w:p>
    <w:p>
      <w:pPr>
        <w:pStyle w:val="yIndenta"/>
        <w:tabs>
          <w:tab w:val="right" w:leader="dot" w:pos="6804"/>
        </w:tabs>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1 183.4 c/kg</w:t>
      </w:r>
    </w:p>
    <w:p>
      <w:pPr>
        <w:pStyle w:val="yIndenti0"/>
        <w:tabs>
          <w:tab w:val="right" w:leader="dot" w:pos="6804"/>
        </w:tabs>
      </w:pPr>
      <w:r>
        <w:tab/>
        <w:t>(ii)</w:t>
      </w:r>
      <w:r>
        <w:tab/>
        <w:t xml:space="preserve">over 0.03 kg/day but </w:t>
      </w:r>
      <w:r>
        <w:br/>
        <w:t xml:space="preserve">not over 0.3 kg/day </w:t>
      </w:r>
      <w:r>
        <w:tab/>
        <w:t>2 360.4 c/kg</w:t>
      </w:r>
    </w:p>
    <w:p>
      <w:pPr>
        <w:pStyle w:val="yIndenti0"/>
        <w:tabs>
          <w:tab w:val="right" w:leader="dot" w:pos="6804"/>
        </w:tabs>
      </w:pPr>
      <w:r>
        <w:tab/>
        <w:t>(iii)</w:t>
      </w:r>
      <w:r>
        <w:tab/>
        <w:t xml:space="preserve">over 0.3 kg/day </w:t>
      </w:r>
      <w:r>
        <w:tab/>
        <w:t>9 457.8 c/kg</w:t>
      </w:r>
    </w:p>
    <w:p>
      <w:pPr>
        <w:pStyle w:val="yIndenta"/>
        <w:tabs>
          <w:tab w:val="right" w:leader="dot" w:pos="6804"/>
        </w:tabs>
      </w:pPr>
      <w:r>
        <w:tab/>
        <w:t>(n)</w:t>
      </w:r>
      <w:r>
        <w:tab/>
        <w:t xml:space="preserve">for nickel with a </w:t>
      </w:r>
      <w:r>
        <w:rPr>
          <w:szCs w:val="22"/>
        </w:rPr>
        <w:t>discharge</w:t>
      </w:r>
      <w:r>
        <w:t xml:space="preserve"> rate of —</w:t>
      </w:r>
    </w:p>
    <w:p>
      <w:pPr>
        <w:pStyle w:val="yIndenti0"/>
        <w:tabs>
          <w:tab w:val="right" w:leader="dot" w:pos="6804"/>
        </w:tabs>
      </w:pPr>
      <w:r>
        <w:tab/>
        <w:t>(i)</w:t>
      </w:r>
      <w:r>
        <w:tab/>
        <w:t xml:space="preserve">up to 0.006 kg/day </w:t>
      </w:r>
      <w:r>
        <w:tab/>
        <w:t>1 183.4 c/kg</w:t>
      </w:r>
    </w:p>
    <w:p>
      <w:pPr>
        <w:pStyle w:val="yIndenti0"/>
        <w:tabs>
          <w:tab w:val="right" w:leader="dot" w:pos="6804"/>
        </w:tabs>
      </w:pPr>
      <w:r>
        <w:tab/>
        <w:t>(ii)</w:t>
      </w:r>
      <w:r>
        <w:tab/>
        <w:t xml:space="preserve">over 0.006 kg/day but </w:t>
      </w:r>
      <w:r>
        <w:br/>
        <w:t xml:space="preserve">not over 0.15 kg/day </w:t>
      </w:r>
      <w:r>
        <w:tab/>
        <w:t>2 360.4 c/kg</w:t>
      </w:r>
    </w:p>
    <w:p>
      <w:pPr>
        <w:pStyle w:val="yIndenti0"/>
        <w:tabs>
          <w:tab w:val="right" w:leader="dot" w:pos="6804"/>
        </w:tabs>
      </w:pPr>
      <w:r>
        <w:tab/>
        <w:t>(iii)</w:t>
      </w:r>
      <w:r>
        <w:tab/>
        <w:t xml:space="preserve">over 0.15 kg/day </w:t>
      </w:r>
      <w:r>
        <w:tab/>
        <w:t>9 457.8 c/kg</w:t>
      </w:r>
    </w:p>
    <w:p>
      <w:pPr>
        <w:pStyle w:val="yIndenta"/>
        <w:tabs>
          <w:tab w:val="right" w:leader="dot" w:pos="6804"/>
        </w:tabs>
      </w:pPr>
      <w:r>
        <w:tab/>
        <w:t>(o)</w:t>
      </w:r>
      <w:r>
        <w:tab/>
        <w:t xml:space="preserve">for zinc </w:t>
      </w:r>
      <w:r>
        <w:rPr>
          <w:szCs w:val="22"/>
        </w:rPr>
        <w:t>with</w:t>
      </w:r>
      <w:r>
        <w:t xml:space="preserve"> a discharge rate of —</w:t>
      </w:r>
    </w:p>
    <w:p>
      <w:pPr>
        <w:pStyle w:val="yIndenti0"/>
        <w:tabs>
          <w:tab w:val="right" w:leader="dot" w:pos="6804"/>
        </w:tabs>
      </w:pPr>
      <w:r>
        <w:tab/>
        <w:t>(i)</w:t>
      </w:r>
      <w:r>
        <w:tab/>
        <w:t xml:space="preserve">up to 0.05 kg/day </w:t>
      </w:r>
      <w:r>
        <w:tab/>
        <w:t>1 183.4 c/kg</w:t>
      </w:r>
    </w:p>
    <w:p>
      <w:pPr>
        <w:pStyle w:val="yIndenti0"/>
        <w:tabs>
          <w:tab w:val="right" w:leader="dot" w:pos="6804"/>
        </w:tabs>
      </w:pPr>
      <w:r>
        <w:tab/>
        <w:t>(ii)</w:t>
      </w:r>
      <w:r>
        <w:tab/>
        <w:t xml:space="preserve">over 0.05 kg/day but </w:t>
      </w:r>
      <w:r>
        <w:br/>
        <w:t xml:space="preserve">not over 0.5 kg/day </w:t>
      </w:r>
      <w:r>
        <w:tab/>
        <w:t>2 360.4 c/kg</w:t>
      </w:r>
    </w:p>
    <w:p>
      <w:pPr>
        <w:pStyle w:val="yIndenti0"/>
        <w:tabs>
          <w:tab w:val="right" w:leader="dot" w:pos="6804"/>
        </w:tabs>
      </w:pPr>
      <w:r>
        <w:tab/>
        <w:t>(iii)</w:t>
      </w:r>
      <w:r>
        <w:tab/>
        <w:t xml:space="preserve">over 0.5 kg/day </w:t>
      </w:r>
      <w:r>
        <w:tab/>
        <w:t>9 457.8 c/kg</w:t>
      </w:r>
    </w:p>
    <w:p>
      <w:pPr>
        <w:pStyle w:val="yIndenta"/>
        <w:tabs>
          <w:tab w:val="right" w:leader="dot" w:pos="6804"/>
        </w:tabs>
      </w:pPr>
      <w:r>
        <w:tab/>
        <w:t>(p)</w:t>
      </w:r>
      <w:r>
        <w:tab/>
        <w:t xml:space="preserve">for arsenic </w:t>
      </w:r>
      <w:r>
        <w:rPr>
          <w:szCs w:val="22"/>
        </w:rPr>
        <w:t>with</w:t>
      </w:r>
      <w:r>
        <w:t xml:space="preserve"> a discharge rate of —</w:t>
      </w:r>
    </w:p>
    <w:p>
      <w:pPr>
        <w:pStyle w:val="yIndenti0"/>
        <w:tabs>
          <w:tab w:val="right" w:leader="dot" w:pos="6804"/>
        </w:tabs>
      </w:pPr>
      <w:r>
        <w:tab/>
        <w:t>(i)</w:t>
      </w:r>
      <w:r>
        <w:tab/>
        <w:t xml:space="preserve">up to 0.001 kg/day </w:t>
      </w:r>
      <w:r>
        <w:tab/>
        <w:t>1 183.4 c/kg</w:t>
      </w:r>
    </w:p>
    <w:p>
      <w:pPr>
        <w:pStyle w:val="yIndenti0"/>
        <w:tabs>
          <w:tab w:val="right" w:leader="dot" w:pos="6804"/>
        </w:tabs>
      </w:pPr>
      <w:r>
        <w:lastRenderedPageBreak/>
        <w:tab/>
        <w:t>(ii)</w:t>
      </w:r>
      <w:r>
        <w:tab/>
        <w:t xml:space="preserve">over 0.001 kg/day but </w:t>
      </w:r>
      <w:r>
        <w:br/>
        <w:t xml:space="preserve">not over 0.04 kg/day </w:t>
      </w:r>
      <w:r>
        <w:tab/>
        <w:t>11 819.3 c/kg</w:t>
      </w:r>
    </w:p>
    <w:p>
      <w:pPr>
        <w:pStyle w:val="yIndenti0"/>
        <w:tabs>
          <w:tab w:val="right" w:leader="dot" w:pos="6804"/>
        </w:tabs>
      </w:pPr>
      <w:r>
        <w:tab/>
        <w:t>(iii)</w:t>
      </w:r>
      <w:r>
        <w:tab/>
        <w:t xml:space="preserve">over 0.04 kg/day </w:t>
      </w:r>
      <w:r>
        <w:tab/>
        <w:t>118 190.5 c/kg</w:t>
      </w:r>
    </w:p>
    <w:p>
      <w:pPr>
        <w:pStyle w:val="yIndenta"/>
        <w:tabs>
          <w:tab w:val="right" w:leader="dot" w:pos="6804"/>
        </w:tabs>
      </w:pPr>
      <w:r>
        <w:tab/>
        <w:t>(q)</w:t>
      </w:r>
      <w:r>
        <w:tab/>
        <w:t>for cadmium with a discharge rate of —</w:t>
      </w:r>
    </w:p>
    <w:p>
      <w:pPr>
        <w:pStyle w:val="yIndenti0"/>
        <w:tabs>
          <w:tab w:val="right" w:leader="dot" w:pos="6804"/>
        </w:tabs>
      </w:pPr>
      <w:r>
        <w:tab/>
        <w:t>(i)</w:t>
      </w:r>
      <w:r>
        <w:tab/>
        <w:t xml:space="preserve">up to 0.001 kg/day </w:t>
      </w:r>
      <w:r>
        <w:tab/>
        <w:t>1 183.4 c/kg</w:t>
      </w:r>
    </w:p>
    <w:p>
      <w:pPr>
        <w:pStyle w:val="yIndenti0"/>
        <w:tabs>
          <w:tab w:val="right" w:leader="dot" w:pos="6804"/>
        </w:tabs>
      </w:pPr>
      <w:r>
        <w:tab/>
        <w:t>(ii)</w:t>
      </w:r>
      <w:r>
        <w:tab/>
        <w:t xml:space="preserve">over 0.001 kg/day but </w:t>
      </w:r>
      <w:r>
        <w:br/>
        <w:t xml:space="preserve">not over 0.015 kg/day </w:t>
      </w:r>
      <w:r>
        <w:tab/>
        <w:t>11 819.3 c/kg</w:t>
      </w:r>
    </w:p>
    <w:p>
      <w:pPr>
        <w:pStyle w:val="yIndenti0"/>
        <w:tabs>
          <w:tab w:val="right" w:leader="dot" w:pos="6804"/>
        </w:tabs>
      </w:pPr>
      <w:r>
        <w:tab/>
        <w:t>(iii)</w:t>
      </w:r>
      <w:r>
        <w:tab/>
        <w:t xml:space="preserve">over 0.015 kg/day </w:t>
      </w:r>
      <w:r>
        <w:tab/>
        <w:t>118 190.5 c/kg</w:t>
      </w:r>
    </w:p>
    <w:p>
      <w:pPr>
        <w:pStyle w:val="yIndenta"/>
        <w:tabs>
          <w:tab w:val="right" w:leader="dot" w:pos="6804"/>
        </w:tabs>
      </w:pPr>
      <w:r>
        <w:tab/>
        <w:t>(r)</w:t>
      </w:r>
      <w:r>
        <w:tab/>
        <w:t>for molybdenum or selenium with a discharge rate of —</w:t>
      </w:r>
    </w:p>
    <w:p>
      <w:pPr>
        <w:pStyle w:val="yIndenti0"/>
        <w:tabs>
          <w:tab w:val="right" w:leader="dot" w:pos="6804"/>
        </w:tabs>
      </w:pPr>
      <w:r>
        <w:tab/>
        <w:t>(i)</w:t>
      </w:r>
      <w:r>
        <w:tab/>
        <w:t xml:space="preserve">up to 0.001 kg/day </w:t>
      </w:r>
      <w:r>
        <w:tab/>
        <w:t>1 183.4 c/kg</w:t>
      </w:r>
    </w:p>
    <w:p>
      <w:pPr>
        <w:pStyle w:val="yIndenti0"/>
        <w:tabs>
          <w:tab w:val="right" w:leader="dot" w:pos="6804"/>
        </w:tabs>
      </w:pPr>
      <w:r>
        <w:tab/>
        <w:t>(ii)</w:t>
      </w:r>
      <w:r>
        <w:tab/>
        <w:t xml:space="preserve">over 0.001 kg/day but </w:t>
      </w:r>
      <w:r>
        <w:br/>
        <w:t xml:space="preserve">not over 0.02 kg/day </w:t>
      </w:r>
      <w:r>
        <w:tab/>
        <w:t>11 819.3 c/kg</w:t>
      </w:r>
    </w:p>
    <w:p>
      <w:pPr>
        <w:pStyle w:val="yIndenti0"/>
        <w:tabs>
          <w:tab w:val="right" w:leader="dot" w:pos="6804"/>
        </w:tabs>
      </w:pPr>
      <w:r>
        <w:tab/>
        <w:t>(iii)</w:t>
      </w:r>
      <w:r>
        <w:tab/>
        <w:t xml:space="preserve">over 0.02 kg/day </w:t>
      </w:r>
      <w:r>
        <w:tab/>
        <w:t>118 190.5 c/kg</w:t>
      </w:r>
    </w:p>
    <w:p>
      <w:pPr>
        <w:pStyle w:val="yIndenta"/>
        <w:tabs>
          <w:tab w:val="right" w:leader="dot" w:pos="6804"/>
        </w:tabs>
      </w:pPr>
      <w:r>
        <w:tab/>
        <w:t>(s)</w:t>
      </w:r>
      <w:r>
        <w:tab/>
        <w:t>for silver with a discharge rate of —</w:t>
      </w:r>
    </w:p>
    <w:p>
      <w:pPr>
        <w:pStyle w:val="yIndenti0"/>
        <w:tabs>
          <w:tab w:val="right" w:leader="dot" w:pos="6804"/>
        </w:tabs>
      </w:pPr>
      <w:r>
        <w:tab/>
        <w:t>(i)</w:t>
      </w:r>
      <w:r>
        <w:tab/>
        <w:t xml:space="preserve">up to 0.002 kg/day </w:t>
      </w:r>
      <w:r>
        <w:tab/>
        <w:t>1 183.4 c/kg</w:t>
      </w:r>
    </w:p>
    <w:p>
      <w:pPr>
        <w:pStyle w:val="yIndenti0"/>
        <w:tabs>
          <w:tab w:val="right" w:leader="dot" w:pos="6804"/>
        </w:tabs>
      </w:pPr>
      <w:r>
        <w:tab/>
        <w:t>(ii)</w:t>
      </w:r>
      <w:r>
        <w:tab/>
        <w:t xml:space="preserve">over 0.002 kg/day but </w:t>
      </w:r>
      <w:r>
        <w:br/>
        <w:t xml:space="preserve">not over 0.01 kg/day </w:t>
      </w:r>
      <w:r>
        <w:tab/>
        <w:t>11 819.3 c/kg</w:t>
      </w:r>
    </w:p>
    <w:p>
      <w:pPr>
        <w:pStyle w:val="yIndenti0"/>
        <w:tabs>
          <w:tab w:val="right" w:leader="dot" w:pos="6804"/>
        </w:tabs>
      </w:pPr>
      <w:r>
        <w:tab/>
        <w:t>(iii)</w:t>
      </w:r>
      <w:r>
        <w:tab/>
        <w:t xml:space="preserve">over 0.01 kg/day </w:t>
      </w:r>
      <w:r>
        <w:tab/>
        <w:t>118 190.5 c/kg</w:t>
      </w:r>
    </w:p>
    <w:p>
      <w:pPr>
        <w:pStyle w:val="yIndenta"/>
        <w:tabs>
          <w:tab w:val="right" w:leader="dot" w:pos="6804"/>
        </w:tabs>
      </w:pPr>
      <w:r>
        <w:tab/>
        <w:t>(t)</w:t>
      </w:r>
      <w:r>
        <w:tab/>
        <w:t>for mercury with a discharge rate of —</w:t>
      </w:r>
    </w:p>
    <w:p>
      <w:pPr>
        <w:pStyle w:val="yIndenti0"/>
        <w:tabs>
          <w:tab w:val="right" w:leader="dot" w:pos="6804"/>
        </w:tabs>
      </w:pPr>
      <w:r>
        <w:tab/>
        <w:t>(i)</w:t>
      </w:r>
      <w:r>
        <w:tab/>
        <w:t xml:space="preserve">up to 0.0001 kg/day </w:t>
      </w:r>
      <w:r>
        <w:tab/>
        <w:t>1 183.4 c/kg</w:t>
      </w:r>
    </w:p>
    <w:p>
      <w:pPr>
        <w:pStyle w:val="yIndenti0"/>
        <w:tabs>
          <w:tab w:val="right" w:leader="dot" w:pos="6804"/>
        </w:tabs>
      </w:pPr>
      <w:r>
        <w:tab/>
        <w:t>(ii)</w:t>
      </w:r>
      <w:r>
        <w:tab/>
        <w:t xml:space="preserve">over 0.0001 kg/day but </w:t>
      </w:r>
      <w:r>
        <w:br/>
        <w:t xml:space="preserve">not over 0.001 kg/day </w:t>
      </w:r>
      <w:r>
        <w:tab/>
        <w:t>118 190.5 c/kg</w:t>
      </w:r>
    </w:p>
    <w:p>
      <w:pPr>
        <w:pStyle w:val="yIndenti0"/>
        <w:tabs>
          <w:tab w:val="right" w:leader="dot" w:pos="6804"/>
        </w:tabs>
      </w:pPr>
      <w:r>
        <w:tab/>
        <w:t>(iii)</w:t>
      </w:r>
      <w:r>
        <w:tab/>
        <w:t xml:space="preserve">over 0.001 kg/day </w:t>
      </w:r>
      <w:r>
        <w:tab/>
        <w:t>886 462.0 c/kg</w:t>
      </w:r>
    </w:p>
    <w:p>
      <w:pPr>
        <w:pStyle w:val="yHeading5"/>
      </w:pPr>
      <w:bookmarkStart w:id="456" w:name="_Toc105574315"/>
      <w:bookmarkStart w:id="457" w:name="_Toc107232326"/>
      <w:r>
        <w:t>33.</w:t>
      </w:r>
      <w:r>
        <w:tab/>
        <w:t>Effluent discharged from septic tank effluent pumping system into sewer</w:t>
      </w:r>
      <w:bookmarkEnd w:id="456"/>
      <w:bookmarkEnd w:id="457"/>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179.2 cents/kL</w:t>
      </w:r>
    </w:p>
    <w:p>
      <w:pPr>
        <w:pStyle w:val="yFootnotesection"/>
      </w:pPr>
      <w:bookmarkStart w:id="458" w:name="_Toc105571133"/>
      <w:bookmarkStart w:id="459" w:name="_Toc105573948"/>
      <w:bookmarkStart w:id="460" w:name="_Toc105574316"/>
      <w:r>
        <w:tab/>
        <w:t>[Division 3 inserted: SL 2022/82 r. 19.]</w:t>
      </w:r>
    </w:p>
    <w:p>
      <w:pPr>
        <w:pStyle w:val="yScheduleHeading"/>
      </w:pPr>
      <w:bookmarkStart w:id="461" w:name="_Toc97129826"/>
      <w:bookmarkStart w:id="462" w:name="_Toc106872113"/>
      <w:bookmarkStart w:id="463" w:name="_Toc107232327"/>
      <w:bookmarkStart w:id="464" w:name="_Toc105574317"/>
      <w:bookmarkEnd w:id="458"/>
      <w:bookmarkEnd w:id="459"/>
      <w:bookmarkEnd w:id="460"/>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461"/>
      <w:bookmarkEnd w:id="462"/>
      <w:bookmarkEnd w:id="463"/>
    </w:p>
    <w:p>
      <w:pPr>
        <w:pStyle w:val="yShoulderClause"/>
      </w:pPr>
      <w:r>
        <w:t>[r. 24 and 47]</w:t>
      </w:r>
    </w:p>
    <w:p>
      <w:pPr>
        <w:pStyle w:val="yFootnoteheading"/>
      </w:pPr>
      <w:r>
        <w:tab/>
        <w:t>[Heading inserted: SL 2022/82 r. 19.]</w:t>
      </w:r>
    </w:p>
    <w:p>
      <w:pPr>
        <w:pStyle w:val="yHeading5"/>
      </w:pPr>
      <w:bookmarkStart w:id="465" w:name="_Toc107232328"/>
      <w:r>
        <w:t>1.</w:t>
      </w:r>
      <w:r>
        <w:tab/>
        <w:t>Drainage charges for 2022/23 and subsequent years</w:t>
      </w:r>
      <w:bookmarkEnd w:id="464"/>
      <w:bookmarkEnd w:id="465"/>
    </w:p>
    <w:p>
      <w:pPr>
        <w:pStyle w:val="ySubsection"/>
        <w:tabs>
          <w:tab w:val="right" w:leader="dot" w:pos="6804"/>
        </w:tabs>
      </w:pPr>
      <w:r>
        <w:tab/>
      </w:r>
      <w:r>
        <w:tab/>
      </w:r>
      <w:r>
        <w:rPr>
          <w:szCs w:val="22"/>
        </w:rPr>
        <w:t>The</w:t>
      </w:r>
      <w:r>
        <w:t xml:space="preserve"> charges set out in this Schedule apply for drainage </w:t>
      </w:r>
      <w:r>
        <w:rPr>
          <w:szCs w:val="22"/>
        </w:rPr>
        <w:t>services</w:t>
      </w:r>
      <w:r>
        <w:t xml:space="preserve"> provided in the 2022/23</w:t>
      </w:r>
      <w:r>
        <w:rPr>
          <w:szCs w:val="22"/>
        </w:rPr>
        <w:t xml:space="preserve"> </w:t>
      </w:r>
      <w:r>
        <w:t>financial year and each subsequent year.</w:t>
      </w:r>
    </w:p>
    <w:p>
      <w:pPr>
        <w:pStyle w:val="yHeading5"/>
      </w:pPr>
      <w:bookmarkStart w:id="466" w:name="_Toc105574318"/>
      <w:bookmarkStart w:id="467" w:name="_Toc107232329"/>
      <w:r>
        <w:t>2.</w:t>
      </w:r>
      <w:r>
        <w:tab/>
        <w:t>Strata</w:t>
      </w:r>
      <w:r>
        <w:noBreakHyphen/>
        <w:t>titled long</w:t>
      </w:r>
      <w:r>
        <w:noBreakHyphen/>
        <w:t>term residential caravan bays and park homes</w:t>
      </w:r>
      <w:bookmarkEnd w:id="466"/>
      <w:bookmarkEnd w:id="467"/>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$39.04</w:t>
      </w:r>
    </w:p>
    <w:p>
      <w:pPr>
        <w:pStyle w:val="yHeading5"/>
      </w:pPr>
      <w:bookmarkStart w:id="468" w:name="_Toc105574319"/>
      <w:bookmarkStart w:id="469" w:name="_Toc107232330"/>
      <w:r>
        <w:t>3.</w:t>
      </w:r>
      <w:r>
        <w:tab/>
        <w:t>Storage units or parking bays in strata titles scheme or community titles scheme</w:t>
      </w:r>
      <w:bookmarkEnd w:id="468"/>
      <w:bookmarkEnd w:id="469"/>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$15.03</w:t>
      </w:r>
    </w:p>
    <w:p>
      <w:pPr>
        <w:pStyle w:val="yHeading5"/>
      </w:pPr>
      <w:bookmarkStart w:id="470" w:name="_Toc105574320"/>
      <w:bookmarkStart w:id="471" w:name="_Toc107232331"/>
      <w:r>
        <w:t>4.</w:t>
      </w:r>
      <w:r>
        <w:tab/>
        <w:t>Residential or semi</w:t>
      </w:r>
      <w:r>
        <w:noBreakHyphen/>
        <w:t>rural residential</w:t>
      </w:r>
      <w:bookmarkEnd w:id="470"/>
      <w:bookmarkEnd w:id="471"/>
    </w:p>
    <w:p>
      <w:pPr>
        <w:pStyle w:val="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0.662 cents/$</w:t>
      </w:r>
    </w:p>
    <w:p>
      <w:pPr>
        <w:pStyle w:val="ySubsectionRight"/>
      </w:pPr>
      <w:r>
        <w:t>of GRV</w:t>
      </w:r>
    </w:p>
    <w:p>
      <w:pPr>
        <w:pStyle w:val="ySubsection"/>
        <w:tabs>
          <w:tab w:val="right" w:leader="dot" w:pos="6804"/>
        </w:tabs>
      </w:pPr>
      <w:r>
        <w:tab/>
        <w:t>(2)</w:t>
      </w:r>
      <w:r>
        <w:tab/>
        <w:t xml:space="preserve">The minimum charge per dwelling under </w:t>
      </w:r>
      <w:r>
        <w:br/>
        <w:t xml:space="preserve">this item is </w:t>
      </w:r>
      <w:r>
        <w:tab/>
      </w:r>
      <w:r>
        <w:rPr>
          <w:szCs w:val="22"/>
        </w:rPr>
        <w:t>$129.11</w:t>
      </w:r>
    </w:p>
    <w:p>
      <w:pPr>
        <w:pStyle w:val="yHeading5"/>
      </w:pPr>
      <w:bookmarkStart w:id="472" w:name="_Toc105574321"/>
      <w:bookmarkStart w:id="473" w:name="_Toc107232332"/>
      <w:r>
        <w:t>5.</w:t>
      </w:r>
      <w:r>
        <w:tab/>
        <w:t>Vacant land</w:t>
      </w:r>
      <w:bookmarkEnd w:id="472"/>
      <w:bookmarkEnd w:id="473"/>
    </w:p>
    <w:p>
      <w:pPr>
        <w:pStyle w:val="ySubsection"/>
        <w:tabs>
          <w:tab w:val="right" w:leader="dot" w:pos="6804"/>
        </w:tabs>
      </w:pPr>
      <w:r>
        <w:tab/>
        <w:t>(1)</w:t>
      </w:r>
      <w:r>
        <w:tab/>
      </w:r>
      <w:r>
        <w:rPr>
          <w:szCs w:val="22"/>
        </w:rPr>
        <w:t xml:space="preserve">For </w:t>
      </w:r>
      <w:r>
        <w:t>land</w:t>
      </w:r>
      <w:r>
        <w:rPr>
          <w:szCs w:val="22"/>
        </w:rPr>
        <w:t xml:space="preserve">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0.732 </w:t>
      </w:r>
      <w:r>
        <w:t>cents/$</w:t>
      </w:r>
    </w:p>
    <w:p>
      <w:pPr>
        <w:pStyle w:val="ySubsectionRight"/>
      </w:pPr>
      <w:r>
        <w:t>of GRV</w:t>
      </w:r>
    </w:p>
    <w:p>
      <w:pPr>
        <w:pStyle w:val="ySubsection"/>
        <w:tabs>
          <w:tab w:val="right" w:leader="dot" w:pos="6804"/>
        </w:tabs>
      </w:pPr>
      <w:r>
        <w:tab/>
        <w:t>(2)</w:t>
      </w:r>
      <w:r>
        <w:tab/>
        <w:t xml:space="preserve">The minimum charge under this item is </w:t>
      </w:r>
      <w:r>
        <w:tab/>
      </w:r>
      <w:r>
        <w:rPr>
          <w:szCs w:val="22"/>
        </w:rPr>
        <w:t>$129.11</w:t>
      </w:r>
    </w:p>
    <w:p>
      <w:pPr>
        <w:pStyle w:val="yHeading5"/>
      </w:pPr>
      <w:bookmarkStart w:id="474" w:name="_Toc105574322"/>
      <w:bookmarkStart w:id="475" w:name="_Toc107232333"/>
      <w:r>
        <w:lastRenderedPageBreak/>
        <w:t>6.</w:t>
      </w:r>
      <w:r>
        <w:tab/>
        <w:t>Non</w:t>
      </w:r>
      <w:r>
        <w:noBreakHyphen/>
        <w:t>residential (except strata titled caravan bays and storage units or parking bays in strata titles scheme or community titles scheme)</w:t>
      </w:r>
      <w:bookmarkEnd w:id="474"/>
      <w:bookmarkEnd w:id="475"/>
    </w:p>
    <w:p>
      <w:pPr>
        <w:pStyle w:val="ySubsection"/>
        <w:tabs>
          <w:tab w:val="right" w:leader="dot" w:pos="6804"/>
        </w:tabs>
      </w:pPr>
      <w:r>
        <w:tab/>
        <w:t>(1)</w:t>
      </w:r>
      <w:r>
        <w:tab/>
      </w:r>
      <w:r>
        <w:rPr>
          <w:szCs w:val="22"/>
        </w:rPr>
        <w:t xml:space="preserve">For land that </w:t>
      </w:r>
      <w:r>
        <w:t>is</w:t>
      </w:r>
      <w:r>
        <w:rPr>
          <w:szCs w:val="22"/>
        </w:rPr>
        <w:t xml:space="preserve">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0.369 </w:t>
      </w:r>
      <w:r>
        <w:t>cents/$</w:t>
      </w:r>
    </w:p>
    <w:p>
      <w:pPr>
        <w:pStyle w:val="ySubsectionRight"/>
      </w:pPr>
      <w:r>
        <w:t>of GRV</w:t>
      </w:r>
    </w:p>
    <w:p>
      <w:pPr>
        <w:pStyle w:val="ySubsection"/>
        <w:tabs>
          <w:tab w:val="right" w:leader="dot" w:pos="6804"/>
        </w:tabs>
        <w:rPr>
          <w:szCs w:val="22"/>
        </w:rPr>
      </w:pPr>
      <w:r>
        <w:tab/>
        <w:t>(2)</w:t>
      </w:r>
      <w:r>
        <w:tab/>
        <w:t xml:space="preserve">The minimum </w:t>
      </w:r>
      <w:r>
        <w:rPr>
          <w:szCs w:val="22"/>
        </w:rPr>
        <w:t>charge</w:t>
      </w:r>
      <w:r>
        <w:t xml:space="preserve"> under this item is </w:t>
      </w:r>
      <w:r>
        <w:tab/>
      </w:r>
      <w:r>
        <w:rPr>
          <w:szCs w:val="22"/>
        </w:rPr>
        <w:t>$130.05</w:t>
      </w:r>
    </w:p>
    <w:p>
      <w:pPr>
        <w:pStyle w:val="yHeading5"/>
      </w:pPr>
      <w:bookmarkStart w:id="476" w:name="_Toc105574323"/>
      <w:bookmarkStart w:id="477" w:name="_Toc107232334"/>
      <w:r>
        <w:t>7.</w:t>
      </w:r>
      <w:r>
        <w:tab/>
        <w:t>Concessional land</w:t>
      </w:r>
      <w:bookmarkEnd w:id="476"/>
      <w:bookmarkEnd w:id="477"/>
    </w:p>
    <w:p>
      <w:pPr>
        <w:pStyle w:val="ySubsection"/>
        <w:tabs>
          <w:tab w:val="right" w:leader="dot" w:pos="6804"/>
        </w:tabs>
      </w:pPr>
      <w:r>
        <w:tab/>
      </w:r>
      <w:r>
        <w:tab/>
        <w:t>For concessional land, the charge is the charge set out in item 6, less a discount of 100%.</w:t>
      </w:r>
    </w:p>
    <w:p>
      <w:pPr>
        <w:pStyle w:val="yFootnotesection"/>
      </w:pPr>
      <w:r>
        <w:tab/>
        <w:t xml:space="preserve">[Schedule 5 inserted: SL 2022/82 r. 19.] </w:t>
      </w:r>
    </w:p>
    <w:p>
      <w:pPr>
        <w:pStyle w:val="yScheduleHeading"/>
      </w:pPr>
      <w:bookmarkStart w:id="478" w:name="_Toc105571141"/>
      <w:bookmarkStart w:id="479" w:name="_Toc105573956"/>
      <w:bookmarkStart w:id="480" w:name="_Toc105574324"/>
      <w:bookmarkStart w:id="481" w:name="_Toc106869243"/>
      <w:bookmarkStart w:id="482" w:name="_Toc106872121"/>
      <w:bookmarkStart w:id="483" w:name="_Toc107232335"/>
      <w:r>
        <w:rPr>
          <w:rStyle w:val="CharSchNo"/>
        </w:rPr>
        <w:lastRenderedPageBreak/>
        <w:t>Schedule 6</w:t>
      </w:r>
      <w:r>
        <w:t> — </w:t>
      </w:r>
      <w:r>
        <w:rPr>
          <w:rStyle w:val="CharSchText"/>
        </w:rPr>
        <w:t>Irrigation charges for the Water Corporation (Ord Irrigation District)</w:t>
      </w:r>
      <w:bookmarkEnd w:id="478"/>
      <w:bookmarkEnd w:id="479"/>
      <w:bookmarkEnd w:id="480"/>
      <w:bookmarkEnd w:id="481"/>
      <w:bookmarkEnd w:id="482"/>
      <w:bookmarkEnd w:id="483"/>
    </w:p>
    <w:p>
      <w:pPr>
        <w:pStyle w:val="yShoulderClause"/>
      </w:pPr>
      <w:r>
        <w:t>[r. 50]</w:t>
      </w:r>
    </w:p>
    <w:p>
      <w:pPr>
        <w:pStyle w:val="yHeading5"/>
      </w:pPr>
      <w:bookmarkStart w:id="484" w:name="_Toc105574325"/>
      <w:bookmarkStart w:id="485" w:name="_Toc107232336"/>
      <w:r>
        <w:t>1.</w:t>
      </w:r>
      <w:r>
        <w:tab/>
        <w:t>Irrigation charges for 2022/23 and subsequent years</w:t>
      </w:r>
      <w:bookmarkEnd w:id="484"/>
      <w:bookmarkEnd w:id="485"/>
    </w:p>
    <w:p>
      <w:pPr>
        <w:pStyle w:val="ySubsection"/>
        <w:tabs>
          <w:tab w:val="right" w:leader="dot" w:pos="6804"/>
        </w:tabs>
      </w:pPr>
      <w:r>
        <w:tab/>
      </w:r>
      <w:r>
        <w:tab/>
        <w:t>The charges set out in this Schedule apply for irrigation services provided in the</w:t>
      </w:r>
      <w:r>
        <w:rPr>
          <w:szCs w:val="22"/>
        </w:rPr>
        <w:t xml:space="preserve"> </w:t>
      </w:r>
      <w:r>
        <w:t>2022/23 financial year and each subsequent year.</w:t>
      </w:r>
    </w:p>
    <w:p>
      <w:pPr>
        <w:pStyle w:val="yHeading5"/>
      </w:pPr>
      <w:bookmarkStart w:id="486" w:name="_Toc105574326"/>
      <w:bookmarkStart w:id="487" w:name="_Toc107232337"/>
      <w:r>
        <w:t>2.</w:t>
      </w:r>
      <w:r>
        <w:tab/>
        <w:t>Water provided as irrigation service</w:t>
      </w:r>
      <w:bookmarkEnd w:id="486"/>
      <w:bookmarkEnd w:id="487"/>
    </w:p>
    <w:p>
      <w:pPr>
        <w:pStyle w:val="ySubsection"/>
        <w:tabs>
          <w:tab w:val="right" w:leader="dot" w:pos="6804"/>
        </w:tabs>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$304.94</w:t>
      </w:r>
    </w:p>
    <w:p>
      <w:pPr>
        <w:pStyle w:val="yIndenta"/>
        <w:tabs>
          <w:tab w:val="right" w:leader="dot" w:pos="6804"/>
        </w:tabs>
      </w:pPr>
      <w:r>
        <w:tab/>
        <w:t>(b)</w:t>
      </w:r>
      <w:r>
        <w:tab/>
        <w:t>if the maximum area of</w:t>
      </w:r>
      <w:r>
        <w:br/>
        <w:t>land is more than</w:t>
      </w:r>
      <w:r>
        <w:br/>
        <w:t xml:space="preserve">1 hectare </w:t>
      </w:r>
      <w:r>
        <w:tab/>
        <w:t>$253.40 per ha</w:t>
      </w:r>
    </w:p>
    <w:p>
      <w:pPr>
        <w:pStyle w:val="ySubsectionRight"/>
      </w:pPr>
      <w:r>
        <w:t>(pro rata)</w:t>
      </w:r>
    </w:p>
    <w:p>
      <w:pPr>
        <w:pStyle w:val="yFootnotesection"/>
      </w:pPr>
      <w:bookmarkStart w:id="488" w:name="_Toc105571144"/>
      <w:bookmarkStart w:id="489" w:name="_Toc105573959"/>
      <w:bookmarkStart w:id="490" w:name="_Toc105574327"/>
      <w:r>
        <w:tab/>
        <w:t>[Schedule 6 inserted: SL 2022/82 r. 19.]</w:t>
      </w:r>
    </w:p>
    <w:p>
      <w:pPr>
        <w:pStyle w:val="yScheduleHeading"/>
      </w:pPr>
      <w:bookmarkStart w:id="491" w:name="_Toc106869246"/>
      <w:bookmarkStart w:id="492" w:name="_Toc106872124"/>
      <w:bookmarkStart w:id="493" w:name="_Toc107232338"/>
      <w:r>
        <w:rPr>
          <w:rStyle w:val="CharSchNo"/>
        </w:rPr>
        <w:lastRenderedPageBreak/>
        <w:t>Schedule 7</w:t>
      </w:r>
      <w:r>
        <w:t> — </w:t>
      </w:r>
      <w:r>
        <w:rPr>
          <w:rStyle w:val="CharSchText"/>
        </w:rPr>
        <w:t>Miscellaneous charges for the Water Corporation</w:t>
      </w:r>
      <w:bookmarkEnd w:id="488"/>
      <w:bookmarkEnd w:id="489"/>
      <w:bookmarkEnd w:id="490"/>
      <w:bookmarkEnd w:id="491"/>
      <w:bookmarkEnd w:id="492"/>
      <w:bookmarkEnd w:id="493"/>
    </w:p>
    <w:p>
      <w:pPr>
        <w:pStyle w:val="yShoulderClause"/>
      </w:pPr>
      <w:r>
        <w:t>[r. 51]</w:t>
      </w:r>
    </w:p>
    <w:p>
      <w:pPr>
        <w:pStyle w:val="yFootnoteheading"/>
      </w:pPr>
      <w:bookmarkStart w:id="494" w:name="_Toc105574328"/>
      <w:r>
        <w:tab/>
        <w:t>[Heading inserted: SL 2022/82 r. 19.]</w:t>
      </w:r>
    </w:p>
    <w:p>
      <w:pPr>
        <w:pStyle w:val="yHeading5"/>
      </w:pPr>
      <w:bookmarkStart w:id="495" w:name="_Toc107232339"/>
      <w:r>
        <w:t>1.</w:t>
      </w:r>
      <w:r>
        <w:tab/>
        <w:t>Requests for sub</w:t>
      </w:r>
      <w:r>
        <w:noBreakHyphen/>
        <w:t>meter installations: multi</w:t>
      </w:r>
      <w:r>
        <w:noBreakHyphen/>
        <w:t>unit developments</w:t>
      </w:r>
      <w:bookmarkEnd w:id="494"/>
      <w:bookmarkEnd w:id="495"/>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$121.08</w:t>
      </w:r>
    </w:p>
    <w:p>
      <w:pPr>
        <w:pStyle w:val="yHeading5"/>
      </w:pPr>
      <w:bookmarkStart w:id="496" w:name="_Toc105574329"/>
      <w:bookmarkStart w:id="497" w:name="_Toc107232340"/>
      <w:r>
        <w:rPr>
          <w:rStyle w:val="CharSClsNo"/>
        </w:rPr>
        <w:t>2</w:t>
      </w:r>
      <w:r>
        <w:t>.</w:t>
      </w:r>
      <w:r>
        <w:tab/>
        <w:t>Sub</w:t>
      </w:r>
      <w:r>
        <w:noBreakHyphen/>
        <w:t>meter installations: multi</w:t>
      </w:r>
      <w:r>
        <w:noBreakHyphen/>
        <w:t>unit developments</w:t>
      </w:r>
      <w:bookmarkEnd w:id="496"/>
      <w:bookmarkEnd w:id="497"/>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$189.37</w:t>
      </w:r>
    </w:p>
    <w:p>
      <w:pPr>
        <w:pStyle w:val="yHeading5"/>
      </w:pPr>
      <w:bookmarkStart w:id="498" w:name="_Toc105574330"/>
      <w:bookmarkStart w:id="499" w:name="_Toc107232341"/>
      <w:r>
        <w:t>3.</w:t>
      </w:r>
      <w:r>
        <w:tab/>
        <w:t>Testing meters</w:t>
      </w:r>
      <w:bookmarkEnd w:id="498"/>
      <w:bookmarkEnd w:id="499"/>
    </w:p>
    <w:p>
      <w:pPr>
        <w:pStyle w:val="ySubsection"/>
        <w:tabs>
          <w:tab w:val="right" w:leader="dot" w:pos="6804"/>
        </w:tabs>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993"/>
      </w:pPr>
      <w:r>
        <w:t>20</w:t>
      </w:r>
      <w:r>
        <w:noBreakHyphen/>
        <w:t xml:space="preserve">25 mm </w:t>
      </w:r>
      <w:r>
        <w:tab/>
        <w:t>$119.86</w:t>
      </w:r>
    </w:p>
    <w:p>
      <w:pPr>
        <w:pStyle w:val="yMiscellaneousBody"/>
        <w:tabs>
          <w:tab w:val="right" w:leader="dot" w:pos="6804"/>
        </w:tabs>
        <w:ind w:left="993"/>
      </w:pPr>
      <w:r>
        <w:t xml:space="preserve">more than 25 mm </w:t>
      </w:r>
      <w:r>
        <w:tab/>
        <w:t>an amount</w:t>
      </w:r>
    </w:p>
    <w:p>
      <w:pPr>
        <w:pStyle w:val="ySubsectionRight"/>
      </w:pPr>
      <w:r>
        <w:tab/>
        <w:t>equal to the</w:t>
      </w:r>
      <w:r>
        <w:br/>
        <w:t>cost of testing</w:t>
      </w:r>
    </w:p>
    <w:p>
      <w:pPr>
        <w:pStyle w:val="yHeading5"/>
      </w:pPr>
      <w:bookmarkStart w:id="500" w:name="_Toc105574331"/>
      <w:bookmarkStart w:id="501" w:name="_Toc107232342"/>
      <w:r>
        <w:t>4.</w:t>
      </w:r>
      <w:r>
        <w:tab/>
        <w:t>Installing water supply connection</w:t>
      </w:r>
      <w:bookmarkEnd w:id="500"/>
      <w:bookmarkEnd w:id="501"/>
    </w:p>
    <w:p>
      <w:pPr>
        <w:pStyle w:val="ySubsection"/>
        <w:tabs>
          <w:tab w:val="right" w:leader="dot" w:pos="6804"/>
        </w:tabs>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$1 696.26</w:t>
      </w:r>
    </w:p>
    <w:p>
      <w:pPr>
        <w:pStyle w:val="yMiscellaneousBody"/>
        <w:tabs>
          <w:tab w:val="right" w:leader="dot" w:pos="6804"/>
        </w:tabs>
        <w:ind w:left="993"/>
      </w:pPr>
      <w:r>
        <w:t xml:space="preserve">25 mm </w:t>
      </w:r>
      <w:r>
        <w:tab/>
        <w:t>$2 173.62</w:t>
      </w:r>
    </w:p>
    <w:p>
      <w:pPr>
        <w:pStyle w:val="yMiscellaneousBody"/>
        <w:tabs>
          <w:tab w:val="right" w:leader="dot" w:pos="6804"/>
        </w:tabs>
        <w:ind w:left="993"/>
      </w:pPr>
      <w:r>
        <w:t xml:space="preserve">40 mm </w:t>
      </w:r>
      <w:r>
        <w:tab/>
        <w:t>$3 844.38</w:t>
      </w:r>
    </w:p>
    <w:p>
      <w:pPr>
        <w:pStyle w:val="yMiscellaneousBody"/>
        <w:tabs>
          <w:tab w:val="right" w:leader="dot" w:pos="6804"/>
        </w:tabs>
        <w:ind w:left="993"/>
      </w:pPr>
      <w:r>
        <w:lastRenderedPageBreak/>
        <w:t xml:space="preserve">50 mm </w:t>
      </w:r>
      <w:r>
        <w:tab/>
        <w:t>$5 174.46</w:t>
      </w:r>
    </w:p>
    <w:p>
      <w:pPr>
        <w:pStyle w:val="yMiscellaneousBody"/>
        <w:tabs>
          <w:tab w:val="right" w:leader="dot" w:pos="6804"/>
        </w:tabs>
        <w:ind w:left="993"/>
      </w:pPr>
      <w:r>
        <w:t>80</w:t>
      </w:r>
      <w:r>
        <w:noBreakHyphen/>
        <w:t xml:space="preserve">100 mm </w:t>
      </w:r>
      <w:r>
        <w:tab/>
        <w:t>$8 829.12</w:t>
      </w:r>
    </w:p>
    <w:p>
      <w:pPr>
        <w:pStyle w:val="yMiscellaneousBody"/>
        <w:tabs>
          <w:tab w:val="right" w:leader="dot" w:pos="6804"/>
        </w:tabs>
        <w:ind w:left="993"/>
      </w:pPr>
      <w:r>
        <w:t xml:space="preserve">150 mm </w:t>
      </w:r>
      <w:r>
        <w:tab/>
        <w:t>$11 605.56</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w:t>
      </w:r>
      <w:r>
        <w:br/>
        <w:t xml:space="preserve">in relation to land in the central business </w:t>
      </w:r>
      <w:r>
        <w:br/>
        <w:t xml:space="preserve">districts, the charge is </w:t>
      </w:r>
      <w:r>
        <w:tab/>
      </w:r>
      <w:r>
        <w:rPr>
          <w:szCs w:val="22"/>
        </w:rPr>
        <w:t>an amount</w:t>
      </w:r>
    </w:p>
    <w:p>
      <w:pPr>
        <w:pStyle w:val="ySubsectionRight"/>
      </w:pPr>
      <w:r>
        <w:tab/>
        <w:t>equal to the</w:t>
      </w:r>
      <w:r>
        <w:br/>
        <w:t>cost of</w:t>
      </w:r>
      <w:r>
        <w:br/>
        <w:t>installation</w:t>
      </w:r>
    </w:p>
    <w:p>
      <w:pPr>
        <w:pStyle w:val="yHeading5"/>
      </w:pPr>
      <w:bookmarkStart w:id="502" w:name="_Toc105574332"/>
      <w:bookmarkStart w:id="503" w:name="_Toc107232343"/>
      <w:r>
        <w:t>5.</w:t>
      </w:r>
      <w:r>
        <w:tab/>
        <w:t>Activating water supply connection</w:t>
      </w:r>
      <w:bookmarkEnd w:id="502"/>
      <w:bookmarkEnd w:id="503"/>
    </w:p>
    <w:p>
      <w:pPr>
        <w:pStyle w:val="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Pr>
          <w:szCs w:val="22"/>
        </w:rPr>
        <w:t>$199.93</w:t>
      </w:r>
    </w:p>
    <w:p>
      <w:pPr>
        <w:pStyle w:val="ySubsection"/>
        <w:tabs>
          <w:tab w:val="right" w:leader="dot" w:pos="6804"/>
        </w:tabs>
      </w:pPr>
      <w:r>
        <w:tab/>
        <w:t>(2)</w:t>
      </w:r>
      <w:r>
        <w:tab/>
        <w:t>The charge under this item covers the supply of a meter, stopcock and, if required, a temporary standpipe.</w:t>
      </w:r>
    </w:p>
    <w:p>
      <w:pPr>
        <w:pStyle w:val="yHeading5"/>
      </w:pPr>
      <w:bookmarkStart w:id="504" w:name="_Toc105574333"/>
      <w:bookmarkStart w:id="505" w:name="_Toc107232344"/>
      <w:r>
        <w:t>6.</w:t>
      </w:r>
      <w:r>
        <w:tab/>
        <w:t>Disconnecting water supply connection</w:t>
      </w:r>
      <w:bookmarkEnd w:id="504"/>
      <w:bookmarkEnd w:id="505"/>
    </w:p>
    <w:p>
      <w:pPr>
        <w:pStyle w:val="ySubsection"/>
        <w:tabs>
          <w:tab w:val="right" w:leader="dot" w:pos="6804"/>
        </w:tabs>
      </w:pPr>
      <w:r>
        <w:tab/>
        <w:t>(1)</w:t>
      </w:r>
      <w:r>
        <w:tab/>
        <w:t xml:space="preserve">For disconnecting a water supply connection </w:t>
      </w:r>
      <w:r>
        <w:br/>
        <w:t xml:space="preserve">to land, the charge is </w:t>
      </w:r>
      <w:r>
        <w:tab/>
      </w:r>
      <w:r>
        <w:rPr>
          <w:szCs w:val="22"/>
        </w:rPr>
        <w:t xml:space="preserve"> $1 204.62</w:t>
      </w:r>
    </w:p>
    <w:p>
      <w:pPr>
        <w:pStyle w:val="ySubsection"/>
        <w:tabs>
          <w:tab w:val="right" w:leader="dot" w:pos="6804"/>
        </w:tabs>
      </w:pPr>
      <w:r>
        <w:tab/>
        <w:t>(2)</w:t>
      </w:r>
      <w:r>
        <w:tab/>
        <w:t>For the purposes of this item, cutting off or reducing the rate of flow of a supply of water under section 95 of the Act is not disconnecting a water supply connection.</w:t>
      </w:r>
    </w:p>
    <w:p>
      <w:pPr>
        <w:pStyle w:val="yHeading5"/>
      </w:pPr>
      <w:bookmarkStart w:id="506" w:name="_Toc105574334"/>
      <w:bookmarkStart w:id="507" w:name="_Toc107232345"/>
      <w:r>
        <w:t>7.</w:t>
      </w:r>
      <w:r>
        <w:tab/>
        <w:t>Relocating water supply connection</w:t>
      </w:r>
      <w:bookmarkEnd w:id="506"/>
      <w:bookmarkEnd w:id="507"/>
    </w:p>
    <w:p>
      <w:pPr>
        <w:pStyle w:val="ySubsection"/>
        <w:tabs>
          <w:tab w:val="right" w:leader="dot" w:pos="6804"/>
        </w:tabs>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$947.58</w:t>
      </w:r>
    </w:p>
    <w:p>
      <w:pPr>
        <w:pStyle w:val="yMiscellaneousBody"/>
        <w:tabs>
          <w:tab w:val="right" w:leader="dot" w:pos="6804"/>
        </w:tabs>
        <w:ind w:left="993"/>
      </w:pPr>
      <w:r>
        <w:lastRenderedPageBreak/>
        <w:t xml:space="preserve">25 mm </w:t>
      </w:r>
      <w:r>
        <w:tab/>
        <w:t>$1 207.68</w:t>
      </w:r>
    </w:p>
    <w:p>
      <w:pPr>
        <w:pStyle w:val="yMiscellaneousBody"/>
        <w:tabs>
          <w:tab w:val="right" w:leader="dot" w:pos="6804"/>
        </w:tabs>
        <w:ind w:left="993"/>
      </w:pPr>
      <w:r>
        <w:t xml:space="preserve">40 mm </w:t>
      </w:r>
      <w:r>
        <w:tab/>
        <w:t>$2 123.64</w:t>
      </w:r>
    </w:p>
    <w:p>
      <w:pPr>
        <w:pStyle w:val="yMiscellaneousBody"/>
        <w:tabs>
          <w:tab w:val="right" w:leader="dot" w:pos="6804"/>
        </w:tabs>
        <w:ind w:left="993"/>
      </w:pPr>
      <w:r>
        <w:t xml:space="preserve">50 mm </w:t>
      </w:r>
      <w:r>
        <w:tab/>
        <w:t>$2 852.94</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the cost of</w:t>
      </w:r>
      <w:r>
        <w:br/>
      </w:r>
      <w:r>
        <w:tab/>
        <w:t>relocation</w:t>
      </w:r>
    </w:p>
    <w:p>
      <w:pPr>
        <w:pStyle w:val="ySubsection"/>
        <w:tabs>
          <w:tab w:val="right" w:leader="dot" w:pos="6804"/>
        </w:tabs>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$1 872.72</w:t>
      </w:r>
    </w:p>
    <w:p>
      <w:pPr>
        <w:pStyle w:val="yMiscellaneousBody"/>
        <w:tabs>
          <w:tab w:val="right" w:leader="dot" w:pos="6804"/>
        </w:tabs>
        <w:ind w:left="993"/>
      </w:pPr>
      <w:r>
        <w:t xml:space="preserve">25 mm </w:t>
      </w:r>
      <w:r>
        <w:tab/>
        <w:t>$2 349.06</w:t>
      </w:r>
    </w:p>
    <w:p>
      <w:pPr>
        <w:pStyle w:val="yMiscellaneousBody"/>
        <w:tabs>
          <w:tab w:val="right" w:leader="dot" w:pos="6804"/>
        </w:tabs>
        <w:ind w:left="993"/>
      </w:pPr>
      <w:r>
        <w:t xml:space="preserve">40 mm </w:t>
      </w:r>
      <w:r>
        <w:tab/>
        <w:t>$4 020.84</w:t>
      </w:r>
    </w:p>
    <w:p>
      <w:pPr>
        <w:pStyle w:val="yMiscellaneousBody"/>
        <w:tabs>
          <w:tab w:val="right" w:leader="dot" w:pos="6804"/>
        </w:tabs>
        <w:ind w:left="993"/>
      </w:pPr>
      <w:r>
        <w:t xml:space="preserve">50 mm </w:t>
      </w:r>
      <w:r>
        <w:tab/>
        <w:t>$5 348.88</w:t>
      </w:r>
    </w:p>
    <w:p>
      <w:pPr>
        <w:pStyle w:val="yMiscellaneousBody"/>
        <w:tabs>
          <w:tab w:val="right" w:leader="dot" w:pos="6804"/>
        </w:tabs>
        <w:ind w:left="993"/>
      </w:pPr>
      <w:r>
        <w:t>80</w:t>
      </w:r>
      <w:r>
        <w:noBreakHyphen/>
        <w:t xml:space="preserve">100 mm </w:t>
      </w:r>
      <w:r>
        <w:tab/>
        <w:t>$9 004.56</w:t>
      </w:r>
    </w:p>
    <w:p>
      <w:pPr>
        <w:pStyle w:val="yMiscellaneousBody"/>
        <w:tabs>
          <w:tab w:val="right" w:leader="dot" w:pos="6804"/>
        </w:tabs>
        <w:ind w:left="993"/>
      </w:pPr>
      <w:r>
        <w:t xml:space="preserve">150 mm </w:t>
      </w:r>
      <w:r>
        <w:tab/>
        <w:t>$11 782.02</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508" w:name="_Toc105574335"/>
      <w:bookmarkStart w:id="509" w:name="_Toc107232346"/>
      <w:r>
        <w:t>8.</w:t>
      </w:r>
      <w:r>
        <w:tab/>
        <w:t>Proposal to connect to sewer</w:t>
      </w:r>
      <w:bookmarkEnd w:id="508"/>
      <w:bookmarkEnd w:id="509"/>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$34.44</w:t>
      </w:r>
    </w:p>
    <w:p>
      <w:pPr>
        <w:pStyle w:val="yHeading5"/>
      </w:pPr>
      <w:bookmarkStart w:id="510" w:name="_Toc105574336"/>
      <w:bookmarkStart w:id="511" w:name="_Toc107232347"/>
      <w:r>
        <w:lastRenderedPageBreak/>
        <w:t>9.</w:t>
      </w:r>
      <w:r>
        <w:tab/>
        <w:t>Installing sewer junction</w:t>
      </w:r>
      <w:bookmarkEnd w:id="510"/>
      <w:bookmarkEnd w:id="511"/>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$882.57</w:t>
      </w:r>
    </w:p>
    <w:p>
      <w:pPr>
        <w:pStyle w:val="yMiscellaneousBody"/>
        <w:tabs>
          <w:tab w:val="right" w:leader="dot" w:pos="6804"/>
        </w:tabs>
        <w:ind w:left="993"/>
      </w:pPr>
      <w:r>
        <w:t xml:space="preserve">150 mm </w:t>
      </w:r>
      <w:r>
        <w:tab/>
        <w:t>$1 081.64</w:t>
      </w:r>
    </w:p>
    <w:p>
      <w:pPr>
        <w:pStyle w:val="yHeading5"/>
      </w:pPr>
      <w:bookmarkStart w:id="512" w:name="_Toc105574337"/>
      <w:bookmarkStart w:id="513" w:name="_Toc107232348"/>
      <w:r>
        <w:t>10.</w:t>
      </w:r>
      <w:r>
        <w:tab/>
        <w:t>Hire of standpipe for fire hydrant</w:t>
      </w:r>
      <w:bookmarkEnd w:id="512"/>
      <w:bookmarkEnd w:id="513"/>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$122.99</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$252.93</w:t>
      </w:r>
      <w:r>
        <w:t>/month</w:t>
      </w:r>
    </w:p>
    <w:p>
      <w:pPr>
        <w:pStyle w:val="yMiscellaneousBody"/>
        <w:tabs>
          <w:tab w:val="right" w:pos="6804"/>
        </w:tabs>
        <w:spacing w:before="0"/>
      </w:pPr>
      <w:r>
        <w:tab/>
        <w:t>pro </w:t>
      </w:r>
      <w:r>
        <w:rPr>
          <w:szCs w:val="22"/>
        </w:rPr>
        <w:t>rata</w:t>
      </w:r>
    </w:p>
    <w:p>
      <w:pPr>
        <w:pStyle w:val="yMiscellaneousBody"/>
        <w:tabs>
          <w:tab w:val="right" w:leader="dot" w:pos="6804"/>
        </w:tabs>
        <w:ind w:left="993"/>
      </w:pPr>
      <w:r>
        <w:t xml:space="preserve">more than 25 mm </w:t>
      </w:r>
      <w:r>
        <w:tab/>
      </w:r>
      <w:r>
        <w:rPr>
          <w:szCs w:val="22"/>
        </w:rPr>
        <w:t>$423.26</w:t>
      </w:r>
      <w:r>
        <w:t>/month</w:t>
      </w:r>
    </w:p>
    <w:p>
      <w:pPr>
        <w:pStyle w:val="yMiscellaneousBody"/>
        <w:tabs>
          <w:tab w:val="right" w:pos="6804"/>
        </w:tabs>
        <w:spacing w:before="0"/>
      </w:pPr>
      <w:r>
        <w:tab/>
        <w:t>pro rata</w:t>
      </w:r>
    </w:p>
    <w:p>
      <w:pPr>
        <w:pStyle w:val="yHeading5"/>
      </w:pPr>
      <w:bookmarkStart w:id="514" w:name="_Toc105574338"/>
      <w:bookmarkStart w:id="515" w:name="_Toc107232349"/>
      <w:r>
        <w:t>11.</w:t>
      </w:r>
      <w:r>
        <w:tab/>
        <w:t>Trade waste: services in relation to discharge</w:t>
      </w:r>
      <w:bookmarkEnd w:id="514"/>
      <w:bookmarkEnd w:id="515"/>
    </w:p>
    <w:p>
      <w:pPr>
        <w:pStyle w:val="ySubsection"/>
        <w:tabs>
          <w:tab w:val="right" w:leader="dot" w:pos="6804"/>
        </w:tabs>
      </w:pPr>
      <w:r>
        <w:tab/>
        <w:t>(1)</w:t>
      </w:r>
      <w:r>
        <w:tab/>
        <w:t xml:space="preserve">In this item — </w:t>
      </w:r>
    </w:p>
    <w:p>
      <w:pPr>
        <w:pStyle w:val="yDefstart"/>
      </w:pPr>
      <w:r>
        <w:tab/>
      </w:r>
      <w:r>
        <w:fldChar w:fldCharType="begin"/>
      </w:r>
      <w:r>
        <w:instrText xml:space="preserve"> LISTNUM ScheduleDefinitionNumbers \l1 </w:instrText>
      </w:r>
      <w:r>
        <w:fldChar w:fldCharType="end"/>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pPr>
        <w:pStyle w:val="ySubsection"/>
      </w:pPr>
      <w:r>
        <w:tab/>
        <w:t>(2)</w:t>
      </w:r>
      <w:r>
        <w:tab/>
        <w:t>For the following services in relation to the discharge of trade waste into a sewer of the Water Corporation, the charge is —</w:t>
      </w:r>
    </w:p>
    <w:p>
      <w:pPr>
        <w:pStyle w:val="yIndenta"/>
        <w:tabs>
          <w:tab w:val="right" w:leader="dot" w:pos="6804"/>
        </w:tabs>
      </w:pPr>
      <w:r>
        <w:tab/>
        <w:t>(a)</w:t>
      </w:r>
      <w:r>
        <w:tab/>
        <w:t xml:space="preserve">for inspection </w:t>
      </w:r>
      <w:r>
        <w:tab/>
        <w:t>$157.08/hour</w:t>
      </w:r>
    </w:p>
    <w:p>
      <w:pPr>
        <w:pStyle w:val="yIndenta"/>
        <w:tabs>
          <w:tab w:val="right" w:leader="dot" w:pos="6804"/>
        </w:tabs>
      </w:pPr>
      <w:r>
        <w:tab/>
        <w:t>(b)</w:t>
      </w:r>
      <w:r>
        <w:tab/>
        <w:t xml:space="preserve">for a meter reading </w:t>
      </w:r>
      <w:r>
        <w:tab/>
        <w:t>$42.86</w:t>
      </w:r>
    </w:p>
    <w:p>
      <w:pPr>
        <w:pStyle w:val="yIndenta"/>
        <w:tabs>
          <w:tab w:val="right" w:leader="dot" w:pos="6804"/>
        </w:tabs>
      </w:pPr>
      <w:r>
        <w:tab/>
        <w:t>(c)</w:t>
      </w:r>
      <w:r>
        <w:tab/>
        <w:t xml:space="preserve">for a grab sample </w:t>
      </w:r>
      <w:r>
        <w:tab/>
        <w:t>$484.44</w:t>
      </w:r>
    </w:p>
    <w:p>
      <w:pPr>
        <w:pStyle w:val="yIndenta"/>
        <w:tabs>
          <w:tab w:val="right" w:leader="dot" w:pos="6804"/>
        </w:tabs>
      </w:pPr>
      <w:r>
        <w:tab/>
        <w:t>(d)</w:t>
      </w:r>
      <w:r>
        <w:tab/>
        <w:t xml:space="preserve">for a composite sample </w:t>
      </w:r>
      <w:r>
        <w:tab/>
        <w:t>$767.47</w:t>
      </w:r>
    </w:p>
    <w:p>
      <w:pPr>
        <w:pStyle w:val="yIndenta"/>
        <w:tabs>
          <w:tab w:val="right" w:leader="dot" w:pos="6804"/>
        </w:tabs>
        <w:rPr>
          <w:szCs w:val="22"/>
        </w:rPr>
      </w:pPr>
      <w:r>
        <w:lastRenderedPageBreak/>
        <w:tab/>
        <w:t>(e)</w:t>
      </w:r>
      <w:r>
        <w:tab/>
        <w:t xml:space="preserve">for additional analysis </w:t>
      </w:r>
      <w:r>
        <w:tab/>
      </w:r>
      <w:r>
        <w:rPr>
          <w:szCs w:val="22"/>
        </w:rPr>
        <w:t xml:space="preserve">an amount equal to </w:t>
      </w:r>
    </w:p>
    <w:p>
      <w:pPr>
        <w:pStyle w:val="ySubsectionRight"/>
      </w:pPr>
      <w:r>
        <w:t xml:space="preserve">the actual cost to the </w:t>
      </w:r>
      <w:r>
        <w:br/>
        <w:t xml:space="preserve">Water Corporation </w:t>
      </w:r>
      <w:r>
        <w:br/>
        <w:t xml:space="preserve">of conducting the </w:t>
      </w:r>
      <w:r>
        <w:br/>
        <w:t>additional analysis</w:t>
      </w:r>
    </w:p>
    <w:p>
      <w:pPr>
        <w:pStyle w:val="yIndenta"/>
        <w:tabs>
          <w:tab w:val="right" w:leader="dot" w:pos="6804"/>
        </w:tabs>
      </w:pPr>
      <w:r>
        <w:tab/>
        <w:t>(f)</w:t>
      </w:r>
      <w:r>
        <w:tab/>
        <w:t>for assessing an application to</w:t>
      </w:r>
      <w:r>
        <w:br/>
        <w:t xml:space="preserve">discharge </w:t>
      </w:r>
      <w:r>
        <w:tab/>
      </w:r>
      <w:r>
        <w:rPr>
          <w:szCs w:val="22"/>
        </w:rPr>
        <w:t>$142.89/hour</w:t>
      </w:r>
    </w:p>
    <w:p>
      <w:pPr>
        <w:pStyle w:val="yHeading5"/>
      </w:pPr>
      <w:bookmarkStart w:id="516" w:name="_Toc105574339"/>
      <w:bookmarkStart w:id="517" w:name="_Toc107232350"/>
      <w:r>
        <w:t>12.</w:t>
      </w:r>
      <w:r>
        <w:tab/>
        <w:t>Trade waste: product evaluation services</w:t>
      </w:r>
      <w:bookmarkEnd w:id="516"/>
      <w:bookmarkEnd w:id="517"/>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tabs>
          <w:tab w:val="right" w:leader="dot" w:pos="6804"/>
        </w:tabs>
      </w:pPr>
      <w:r>
        <w:tab/>
        <w:t>(2)</w:t>
      </w:r>
      <w:r>
        <w:tab/>
        <w:t>For product evaluation in relation to the</w:t>
      </w:r>
      <w:r>
        <w:br/>
        <w:t>discharge of trade waste into a sewer of</w:t>
      </w:r>
      <w:r>
        <w:br/>
        <w:t xml:space="preserve">the Water Corporation, the charge is </w:t>
      </w:r>
      <w:r>
        <w:tab/>
      </w:r>
      <w:r>
        <w:rPr>
          <w:szCs w:val="22"/>
        </w:rPr>
        <w:t>$187.55</w:t>
      </w:r>
      <w:r>
        <w:t>/hour</w:t>
      </w:r>
    </w:p>
    <w:p>
      <w:pPr>
        <w:pStyle w:val="yHeading5"/>
      </w:pPr>
      <w:bookmarkStart w:id="518" w:name="_Toc105574340"/>
      <w:bookmarkStart w:id="519" w:name="_Toc107232351"/>
      <w:r>
        <w:t>13.</w:t>
      </w:r>
      <w:r>
        <w:tab/>
        <w:t>Trade waste: one</w:t>
      </w:r>
      <w:r>
        <w:noBreakHyphen/>
        <w:t>off discharge services</w:t>
      </w:r>
      <w:bookmarkEnd w:id="518"/>
      <w:bookmarkEnd w:id="519"/>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$142.89</w:t>
      </w:r>
      <w:r>
        <w:t>/hour</w:t>
      </w:r>
    </w:p>
    <w:p>
      <w:pPr>
        <w:pStyle w:val="yHeading5"/>
      </w:pPr>
      <w:bookmarkStart w:id="520" w:name="_Toc105574341"/>
      <w:bookmarkStart w:id="521" w:name="_Toc107232352"/>
      <w:r>
        <w:t>14.</w:t>
      </w:r>
      <w:r>
        <w:tab/>
        <w:t>Meter reading and other information</w:t>
      </w:r>
      <w:bookmarkEnd w:id="520"/>
      <w:bookmarkEnd w:id="521"/>
    </w:p>
    <w:p>
      <w:pPr>
        <w:pStyle w:val="ySubsection"/>
      </w:pPr>
      <w:r>
        <w:tab/>
      </w:r>
      <w:r>
        <w:tab/>
        <w:t xml:space="preserve">For — </w:t>
      </w:r>
    </w:p>
    <w:p>
      <w:pPr>
        <w:pStyle w:val="yIndenta"/>
        <w:tabs>
          <w:tab w:val="right" w:leader="dot" w:pos="6804"/>
        </w:tabs>
      </w:pPr>
      <w:bookmarkStart w:id="522" w:name="_Toc105574342"/>
      <w:r>
        <w:tab/>
        <w:t>(a)</w:t>
      </w:r>
      <w:r>
        <w:tab/>
        <w:t xml:space="preserve">a meter reading, the charge is </w:t>
      </w:r>
      <w:r>
        <w:tab/>
        <w:t>$22.87</w:t>
      </w:r>
    </w:p>
    <w:p>
      <w:pPr>
        <w:pStyle w:val="yIndenta"/>
        <w:tabs>
          <w:tab w:val="right" w:leader="dot" w:pos="6804"/>
        </w:tabs>
      </w:pPr>
      <w:r>
        <w:tab/>
        <w:t>(b)</w:t>
      </w:r>
      <w:r>
        <w:tab/>
        <w:t xml:space="preserve">an urgent meter reading, the charge is </w:t>
      </w:r>
      <w:r>
        <w:tab/>
        <w:t>$35.09</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$31.32</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$43.53</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r>
      <w:r>
        <w:lastRenderedPageBreak/>
        <w:t xml:space="preserve">of more than 15 minutes, the </w:t>
      </w:r>
      <w:r>
        <w:br/>
        <w:t xml:space="preserve">charge is </w:t>
      </w:r>
      <w:r>
        <w:tab/>
        <w:t>$97.77/hour</w:t>
      </w:r>
    </w:p>
    <w:p>
      <w:pPr>
        <w:pStyle w:val="yIndenta"/>
        <w:spacing w:before="0"/>
        <w:ind w:right="284"/>
        <w:jc w:val="right"/>
      </w:pPr>
      <w:r>
        <w:t>or part hour</w:t>
      </w:r>
    </w:p>
    <w:p>
      <w:pPr>
        <w:pStyle w:val="yHeading5"/>
      </w:pPr>
      <w:bookmarkStart w:id="523" w:name="_Toc107232353"/>
      <w:bookmarkEnd w:id="522"/>
      <w:r>
        <w:t>15.</w:t>
      </w:r>
      <w:r>
        <w:tab/>
        <w:t>Copies of records</w:t>
      </w:r>
      <w:bookmarkEnd w:id="523"/>
    </w:p>
    <w:p>
      <w:pPr>
        <w:pStyle w:val="ySubsection"/>
        <w:tabs>
          <w:tab w:val="right" w:leader="dot" w:pos="6804"/>
        </w:tabs>
      </w:pPr>
      <w:r>
        <w:tab/>
      </w:r>
      <w:r>
        <w:tab/>
        <w:t xml:space="preserve">For a copy of records under the </w:t>
      </w:r>
      <w:r>
        <w:br/>
        <w:t xml:space="preserve">Water Services Regulations 2013 </w:t>
      </w:r>
      <w:r>
        <w:br/>
        <w:t xml:space="preserve">regulation 65(4)(b), the charge is </w:t>
      </w:r>
      <w:r>
        <w:tab/>
        <w:t>$18.92</w:t>
      </w:r>
    </w:p>
    <w:p>
      <w:pPr>
        <w:pStyle w:val="yFootnotesection"/>
      </w:pPr>
      <w:r>
        <w:tab/>
        <w:t>[Schedule 7 inserted: SL 2022/82 r. 19.]</w:t>
      </w:r>
    </w:p>
    <w:p>
      <w:pPr>
        <w:sectPr>
          <w:headerReference w:type="even" r:id="rId26"/>
          <w:headerReference w:type="default" r:id="rId27"/>
          <w:pgSz w:w="11907" w:h="16840" w:code="9"/>
          <w:pgMar w:top="2381" w:right="2410" w:bottom="3544" w:left="2410" w:header="720" w:footer="3380" w:gutter="0"/>
          <w:cols w:space="720"/>
          <w:docGrid w:linePitch="326"/>
        </w:sectPr>
      </w:pPr>
    </w:p>
    <w:p>
      <w:pPr>
        <w:pStyle w:val="yScheduleHeading"/>
      </w:pPr>
      <w:bookmarkStart w:id="524" w:name="_Toc106790336"/>
      <w:bookmarkStart w:id="525" w:name="_Toc106869262"/>
      <w:bookmarkStart w:id="526" w:name="_Toc106872140"/>
      <w:bookmarkStart w:id="527" w:name="_Toc107232354"/>
      <w:bookmarkEnd w:id="145"/>
      <w:r>
        <w:rPr>
          <w:rStyle w:val="CharSchNo"/>
        </w:rPr>
        <w:lastRenderedPageBreak/>
        <w:t>Schedule 8</w:t>
      </w:r>
      <w:r>
        <w:rPr>
          <w:rStyle w:val="CharSDivNo"/>
        </w:rPr>
        <w:t> </w:t>
      </w:r>
      <w:r>
        <w:t>—</w:t>
      </w:r>
      <w:r>
        <w:rPr>
          <w:rStyle w:val="CharSDivText"/>
        </w:rPr>
        <w:t> </w:t>
      </w:r>
      <w:r>
        <w:rPr>
          <w:rStyle w:val="CharSchText"/>
        </w:rPr>
        <w:t>Government trading organisations</w:t>
      </w:r>
      <w:bookmarkEnd w:id="524"/>
      <w:bookmarkEnd w:id="525"/>
      <w:bookmarkEnd w:id="526"/>
      <w:bookmarkEnd w:id="527"/>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r>
      <w:r>
        <w:tab/>
        <w:t>deleted]</w:t>
      </w:r>
    </w:p>
    <w:p>
      <w:pPr>
        <w:pStyle w:val="yNumberedItem"/>
      </w:pPr>
      <w:r>
        <w:t>2A.</w:t>
      </w:r>
      <w:r>
        <w:tab/>
        <w:t xml:space="preserve">Arts and Culture Trust established under the </w:t>
      </w:r>
      <w:r>
        <w:rPr>
          <w:i/>
        </w:rPr>
        <w:t xml:space="preserve">Arts and Culture Trust Act 2021 </w:t>
      </w:r>
      <w:r>
        <w:t>section 7.</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referred to in the </w:t>
      </w:r>
      <w:r>
        <w:rPr>
          <w:i/>
        </w:rPr>
        <w:t>Housing Act 1980</w:t>
      </w:r>
      <w:r>
        <w:t xml:space="preserve"> section 6(4).</w:t>
      </w:r>
    </w:p>
    <w:p>
      <w:pPr>
        <w:pStyle w:val="yNumberedItem"/>
      </w:pPr>
      <w:r>
        <w:t>11.</w:t>
      </w:r>
      <w:r>
        <w:tab/>
        <w:t xml:space="preserve">Kimberley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Ednotesubsection"/>
      </w:pPr>
      <w:r>
        <w:t>[16.</w:t>
      </w:r>
      <w:r>
        <w:tab/>
      </w:r>
      <w:r>
        <w:tab/>
        <w:t>deleted]</w:t>
      </w:r>
    </w:p>
    <w:p>
      <w:pPr>
        <w:pStyle w:val="yNumberedItem"/>
      </w:pPr>
      <w:r>
        <w:lastRenderedPageBreak/>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 SL 2022/2 r. 4; SL 2022/82 r. 20.]</w:t>
      </w:r>
    </w:p>
    <w:p>
      <w:pPr>
        <w:pStyle w:val="yFootnotesection"/>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yScheduleHeading"/>
      </w:pPr>
      <w:bookmarkStart w:id="528" w:name="_Toc106790337"/>
      <w:bookmarkStart w:id="529" w:name="_Toc106869263"/>
      <w:bookmarkStart w:id="530" w:name="_Toc106872141"/>
      <w:bookmarkStart w:id="531" w:name="_Toc107232355"/>
      <w:r>
        <w:rPr>
          <w:rStyle w:val="CharSchNo"/>
        </w:rPr>
        <w:lastRenderedPageBreak/>
        <w:t>Schedule 9</w:t>
      </w:r>
      <w:r>
        <w:rPr>
          <w:rStyle w:val="CharSDivNo"/>
        </w:rPr>
        <w:t> </w:t>
      </w:r>
      <w:r>
        <w:t>—</w:t>
      </w:r>
      <w:r>
        <w:rPr>
          <w:rStyle w:val="CharSDivText"/>
        </w:rPr>
        <w:t> </w:t>
      </w:r>
      <w:r>
        <w:rPr>
          <w:rStyle w:val="CharSchText"/>
        </w:rPr>
        <w:t>Central business districts</w:t>
      </w:r>
      <w:bookmarkEnd w:id="528"/>
      <w:bookmarkEnd w:id="529"/>
      <w:bookmarkEnd w:id="530"/>
      <w:bookmarkEnd w:id="531"/>
    </w:p>
    <w:p>
      <w:pPr>
        <w:pStyle w:val="yShoulderClause"/>
      </w:pPr>
      <w:r>
        <w:t>[r. 16(1)]</w:t>
      </w:r>
    </w:p>
    <w:p>
      <w:pPr>
        <w:pStyle w:val="yHeading5"/>
      </w:pPr>
      <w:bookmarkStart w:id="532" w:name="_Toc107232356"/>
      <w:r>
        <w:rPr>
          <w:rStyle w:val="CharSClsNo"/>
        </w:rPr>
        <w:t>1</w:t>
      </w:r>
      <w:r>
        <w:t>.</w:t>
      </w:r>
      <w:r>
        <w:tab/>
        <w:t>Central business districts</w:t>
      </w:r>
      <w:bookmarkEnd w:id="532"/>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533" w:name="_Toc106790339"/>
      <w:bookmarkStart w:id="534" w:name="_Toc106869265"/>
      <w:bookmarkStart w:id="535" w:name="_Toc106872143"/>
      <w:bookmarkStart w:id="536" w:name="_Toc107232357"/>
      <w:r>
        <w:rPr>
          <w:rStyle w:val="CharSchNo"/>
        </w:rPr>
        <w:lastRenderedPageBreak/>
        <w:t>Schedule 10</w:t>
      </w:r>
      <w:r>
        <w:t> — </w:t>
      </w:r>
      <w:r>
        <w:rPr>
          <w:rStyle w:val="CharSchText"/>
        </w:rPr>
        <w:t>Class of town or area: current consumption year</w:t>
      </w:r>
      <w:bookmarkEnd w:id="533"/>
      <w:bookmarkEnd w:id="534"/>
      <w:bookmarkEnd w:id="535"/>
      <w:bookmarkEnd w:id="536"/>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 amended: SL 2022/82 r. 21.]</w:t>
      </w:r>
    </w:p>
    <w:p>
      <w:pPr>
        <w:pStyle w:val="yScheduleHeading"/>
      </w:pPr>
      <w:bookmarkStart w:id="537" w:name="_Toc106790340"/>
      <w:bookmarkStart w:id="538" w:name="_Toc106869266"/>
      <w:bookmarkStart w:id="539" w:name="_Toc106872144"/>
      <w:bookmarkStart w:id="540" w:name="_Toc107232358"/>
      <w:r>
        <w:rPr>
          <w:rStyle w:val="CharSchNo"/>
        </w:rPr>
        <w:lastRenderedPageBreak/>
        <w:t>Schedule 11</w:t>
      </w:r>
      <w:r>
        <w:t> — </w:t>
      </w:r>
      <w:r>
        <w:rPr>
          <w:rStyle w:val="CharSchText"/>
        </w:rPr>
        <w:t>Class of town or area: previous consumption year</w:t>
      </w:r>
      <w:bookmarkEnd w:id="537"/>
      <w:bookmarkEnd w:id="538"/>
      <w:bookmarkEnd w:id="539"/>
      <w:bookmarkEnd w:id="540"/>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 amended: SL 2022/82 r. 22.]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541" w:name="_Toc106790341"/>
      <w:bookmarkStart w:id="542" w:name="_Toc106869267"/>
      <w:bookmarkStart w:id="543" w:name="_Toc106872145"/>
      <w:bookmarkStart w:id="544" w:name="_Toc107232359"/>
      <w:r>
        <w:lastRenderedPageBreak/>
        <w:t>Notes</w:t>
      </w:r>
      <w:bookmarkEnd w:id="541"/>
      <w:bookmarkEnd w:id="542"/>
      <w:bookmarkEnd w:id="543"/>
      <w:bookmarkEnd w:id="544"/>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w:t>
      </w:r>
    </w:p>
    <w:p>
      <w:pPr>
        <w:pStyle w:val="nHeading3"/>
      </w:pPr>
      <w:bookmarkStart w:id="545" w:name="_Toc107232360"/>
      <w:r>
        <w:t>Compilation table</w:t>
      </w:r>
      <w:bookmarkEnd w:id="5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546" w:name="OLE_LINK1"/>
            <w:r>
              <w:rPr>
                <w:i/>
              </w:rPr>
              <w:t>Water Services (Water Corporations Charges) Amendment Regulations 2017</w:t>
            </w:r>
            <w:bookmarkEnd w:id="546"/>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pPr>
              <w:pStyle w:val="nTable"/>
              <w:spacing w:after="40"/>
            </w:pPr>
            <w:r>
              <w:t>SL 2021/144 13 Aug 2021</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2022</w:t>
            </w:r>
          </w:p>
        </w:tc>
        <w:tc>
          <w:tcPr>
            <w:tcW w:w="1276" w:type="dxa"/>
            <w:gridSpan w:val="2"/>
            <w:tcBorders>
              <w:top w:val="nil"/>
              <w:bottom w:val="nil"/>
            </w:tcBorders>
            <w:shd w:val="clear" w:color="auto" w:fill="auto"/>
          </w:tcPr>
          <w:p>
            <w:pPr>
              <w:pStyle w:val="nTable"/>
              <w:spacing w:after="40"/>
            </w:pPr>
            <w:r>
              <w:t>SL 2022/2 18 Jan 2022</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18 Jan 2022</w:t>
            </w:r>
            <w:r>
              <w:rPr>
                <w:bCs/>
                <w:snapToGrid w:val="0"/>
              </w:rPr>
              <w:t xml:space="preserve"> (see r. 2(a));</w:t>
            </w:r>
            <w:r>
              <w:rPr>
                <w:bCs/>
                <w:snapToGrid w:val="0"/>
              </w:rPr>
              <w:br/>
            </w:r>
            <w:r>
              <w:t>Regulations other than r. 1 and 2: 1 Jul 2022 (see r. 2(b) and SL 2022/77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 2022</w:t>
            </w:r>
            <w:r>
              <w:t xml:space="preserve"> Pt. 2</w:t>
            </w:r>
          </w:p>
        </w:tc>
        <w:tc>
          <w:tcPr>
            <w:tcW w:w="1276" w:type="dxa"/>
            <w:gridSpan w:val="2"/>
            <w:tcBorders>
              <w:top w:val="nil"/>
              <w:bottom w:val="single" w:sz="4" w:space="0" w:color="auto"/>
            </w:tcBorders>
            <w:shd w:val="clear" w:color="auto" w:fill="auto"/>
          </w:tcPr>
          <w:p>
            <w:pPr>
              <w:pStyle w:val="nTable"/>
              <w:spacing w:after="40"/>
            </w:pPr>
            <w:r>
              <w:t>SL 2022/82 17 Jun 2022</w:t>
            </w:r>
          </w:p>
        </w:tc>
        <w:tc>
          <w:tcPr>
            <w:tcW w:w="2693" w:type="dxa"/>
            <w:gridSpan w:val="2"/>
            <w:tcBorders>
              <w:top w:val="nil"/>
              <w:bottom w:val="single" w:sz="4" w:space="0" w:color="auto"/>
            </w:tcBorders>
            <w:shd w:val="clear" w:color="auto" w:fill="auto"/>
          </w:tcPr>
          <w:p>
            <w:pPr>
              <w:pStyle w:val="nTable"/>
              <w:spacing w:after="40"/>
              <w:rPr>
                <w:bCs/>
                <w:snapToGrid w:val="0"/>
              </w:rPr>
            </w:pPr>
            <w:r>
              <w:t>1 Jul 2022 (see r. 2(b))</w:t>
            </w:r>
          </w:p>
        </w:tc>
      </w:tr>
    </w:tbl>
    <w:p>
      <w:pPr>
        <w:pStyle w:val="nHeading3"/>
      </w:pPr>
      <w:bookmarkStart w:id="547" w:name="_Toc107232361"/>
      <w:r>
        <w:lastRenderedPageBreak/>
        <w:t>Other notes</w:t>
      </w:r>
      <w:bookmarkEnd w:id="547"/>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549" w:name="_Toc106790345"/>
      <w:bookmarkStart w:id="550" w:name="_Toc106869271"/>
      <w:bookmarkStart w:id="551" w:name="_Toc106872148"/>
      <w:bookmarkStart w:id="552" w:name="_Toc107232362"/>
      <w:r>
        <w:rPr>
          <w:sz w:val="28"/>
        </w:rPr>
        <w:lastRenderedPageBreak/>
        <w:t>Defined terms</w:t>
      </w:r>
      <w:bookmarkEnd w:id="549"/>
      <w:bookmarkEnd w:id="550"/>
      <w:bookmarkEnd w:id="551"/>
      <w:bookmarkEnd w:id="5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30(1)</w:t>
      </w:r>
    </w:p>
    <w:p>
      <w:pPr>
        <w:pStyle w:val="DefinedTerms"/>
      </w:pPr>
      <w:r>
        <w:t>boundary volume</w:t>
      </w:r>
      <w:r>
        <w:tab/>
        <w:t>16(1)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c/kg</w:t>
      </w:r>
      <w:r>
        <w:tab/>
        <w:t>Sch. 4 cl. 30(1)</w:t>
      </w:r>
    </w:p>
    <w:p>
      <w:pPr>
        <w:pStyle w:val="DefinedTerms"/>
      </w:pPr>
      <w:r>
        <w:t>c/kL</w:t>
      </w:r>
      <w:r>
        <w:tab/>
        <w:t>Sch. 4 cl. 30(1)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community titles scheme</w:t>
      </w:r>
      <w:r>
        <w:tab/>
        <w:t>16(1)</w:t>
      </w:r>
    </w:p>
    <w:p>
      <w:pPr>
        <w:pStyle w:val="DefinedTerms"/>
      </w:pPr>
      <w:r>
        <w:t>concessional land</w:t>
      </w:r>
      <w:r>
        <w:tab/>
        <w:t>16(1)</w:t>
      </w:r>
    </w:p>
    <w:p>
      <w:pPr>
        <w:pStyle w:val="DefinedTerms"/>
      </w:pPr>
      <w:r>
        <w:t>concession card holder</w:t>
      </w:r>
      <w:r>
        <w:tab/>
        <w:t>16(1)</w:t>
      </w:r>
    </w:p>
    <w:p>
      <w:pPr>
        <w:pStyle w:val="DefinedTerms"/>
      </w:pPr>
      <w:r>
        <w:t>consumption year</w:t>
      </w:r>
      <w:r>
        <w:tab/>
        <w:t>6, 11, 16(1)</w:t>
      </w:r>
    </w:p>
    <w:p>
      <w:pPr>
        <w:pStyle w:val="DefinedTerms"/>
      </w:pPr>
      <w:r>
        <w:t>cost of sampling</w:t>
      </w:r>
      <w:r>
        <w:tab/>
        <w:t>Sch. 7 cl.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Housing Authority</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long-term residential caravan bay</w:t>
      </w:r>
      <w:r>
        <w:tab/>
        <w:t>16(1)</w:t>
      </w:r>
    </w:p>
    <w:p>
      <w:pPr>
        <w:pStyle w:val="DefinedTerms"/>
      </w:pPr>
      <w:r>
        <w:t>lot</w:t>
      </w:r>
      <w:r>
        <w:tab/>
        <w:t>6, 11, 16(1)</w:t>
      </w:r>
    </w:p>
    <w:p>
      <w:pPr>
        <w:pStyle w:val="DefinedTerms"/>
      </w:pPr>
      <w:r>
        <w:lastRenderedPageBreak/>
        <w:t>major fixture</w:t>
      </w:r>
      <w:r>
        <w:tab/>
        <w:t>16(1)</w:t>
      </w:r>
    </w:p>
    <w:p>
      <w:pPr>
        <w:pStyle w:val="DefinedTerms"/>
      </w:pPr>
      <w:r>
        <w:t>non-commercial government property</w:t>
      </w:r>
      <w:r>
        <w:tab/>
        <w:t>16(1)</w:t>
      </w:r>
    </w:p>
    <w:p>
      <w:pPr>
        <w:pStyle w:val="DefinedTerms"/>
      </w:pPr>
      <w:r>
        <w:t>non-profit private organisation</w:t>
      </w:r>
      <w:r>
        <w:tab/>
        <w:t>16(1)</w:t>
      </w:r>
    </w:p>
    <w:p>
      <w:pPr>
        <w:pStyle w:val="DefinedTerms"/>
      </w:pPr>
      <w:r>
        <w:t>non-residential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13(1)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scheme plan</w:t>
      </w:r>
      <w:r>
        <w:tab/>
        <w:t>16(1)</w:t>
      </w:r>
    </w:p>
    <w:p>
      <w:pPr>
        <w:pStyle w:val="DefinedTerms"/>
      </w:pPr>
      <w:r>
        <w:t>semi-rural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8(1)</w:t>
      </w:r>
    </w:p>
    <w:p>
      <w:pPr>
        <w:pStyle w:val="DefinedTerms"/>
      </w:pPr>
      <w:r>
        <w:t>single capital infrastructure charge</w:t>
      </w:r>
      <w:r>
        <w:tab/>
        <w:t>16(1)</w:t>
      </w:r>
    </w:p>
    <w:p>
      <w:pPr>
        <w:pStyle w:val="DefinedTerms"/>
      </w:pPr>
      <w:r>
        <w:t>special meter reading</w:t>
      </w:r>
      <w:r>
        <w:tab/>
        <w:t>16(1)</w:t>
      </w:r>
    </w:p>
    <w:p>
      <w:pPr>
        <w:pStyle w:val="DefinedTerms"/>
      </w:pPr>
      <w:r>
        <w:t>strata-titled caravan bay</w:t>
      </w:r>
      <w:r>
        <w:tab/>
        <w:t>16(1)</w:t>
      </w:r>
    </w:p>
    <w:p>
      <w:pPr>
        <w:pStyle w:val="DefinedTerms"/>
      </w:pPr>
      <w:r>
        <w:t>strata titles scheme</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01-v0-01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48" w:name="Compilation"/>
    <w:bookmarkEnd w:id="548"/>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3" w:name="DefinedTerms"/>
    <w:bookmarkEnd w:id="553"/>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54" w:name="Coversheet"/>
    <w:bookmarkEnd w:id="55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1"/>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20"/>
  </w:num>
  <w:num w:numId="18">
    <w:abstractNumId w:val="14"/>
  </w:num>
  <w:num w:numId="19">
    <w:abstractNumId w:val="17"/>
  </w:num>
  <w:num w:numId="20">
    <w:abstractNumId w:val="23"/>
  </w:num>
  <w:num w:numId="21">
    <w:abstractNumId w:val="22"/>
  </w:num>
  <w:num w:numId="22">
    <w:abstractNumId w:val="26"/>
  </w:num>
  <w:num w:numId="23">
    <w:abstractNumId w:val="12"/>
  </w:num>
  <w:num w:numId="24">
    <w:abstractNumId w:val="19"/>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211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13238"/>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5"/>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SubsectionRight0cm">
    <w:name w:val="ySubsection + Right:  0 cm"/>
    <w:basedOn w:val="zySubsection"/>
    <w:pPr>
      <w:tabs>
        <w:tab w:val="right" w:leader="dot" w:pos="6804"/>
      </w:tabs>
      <w:ind w:right="0"/>
    </w:pPr>
  </w:style>
  <w:style w:type="paragraph" w:customStyle="1" w:styleId="CharSte">
    <w:name w:val="CharSte"/>
    <w:basedOn w:val="yScheduleHeading"/>
  </w:style>
  <w:style w:type="paragraph" w:customStyle="1" w:styleId="yTHeadingNAmLeft075cm">
    <w:name w:val="yTHeadingNAm + Left:  0.75 cm"/>
    <w:basedOn w:val="zyTHeadingNAm"/>
    <w:pPr>
      <w:ind w:left="426"/>
    </w:pPr>
  </w:style>
  <w:style w:type="paragraph" w:customStyle="1" w:styleId="yTHeadingNAmLeft225cm">
    <w:name w:val="yTHeadingNAm + Left:  2.25 cm"/>
    <w:basedOn w:val="zyTHeadingNAm"/>
    <w:pPr>
      <w:ind w:left="1276"/>
    </w:pPr>
  </w:style>
  <w:style w:type="paragraph" w:customStyle="1" w:styleId="yTableNAmRight">
    <w:name w:val="yTableNAm + Right"/>
    <w:aliases w:val="Left:  -0.33 cm,Right:  0.42 cm"/>
    <w:basedOn w:val="zyTableNAm"/>
    <w:pPr>
      <w:ind w:right="99"/>
      <w:jc w:val="right"/>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MiscellaneousBodyLeft075cm">
    <w:name w:val="yMiscellaneous Body + Left:  0.75 cm"/>
    <w:aliases w:val="Hanging:  2.25 cm"/>
    <w:basedOn w:val="zyMiscellaneousBody"/>
    <w:pPr>
      <w:ind w:left="1701" w:hanging="1275"/>
    </w:pPr>
  </w:style>
  <w:style w:type="paragraph" w:customStyle="1" w:styleId="yTHeadingNAmLeft05cm">
    <w:name w:val="yTHeadingNAm + Left:  0.5 cm"/>
    <w:basedOn w:val="zyTHeadingNAm"/>
    <w:pPr>
      <w:ind w:left="284"/>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In">
    <w:name w:val="In"/>
    <w:basedOn w:val="zyIndenta"/>
    <w:pPr>
      <w:tabs>
        <w:tab w:val="right" w:leader="dot" w:pos="6803"/>
      </w:tabs>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THeadingNAmLeft2cm">
    <w:name w:val="yTHeadingNAm + Left:  2 cm"/>
    <w:basedOn w:val="zyTHeadingNAm"/>
    <w:pPr>
      <w:ind w:left="1134"/>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paragraph" w:customStyle="1" w:styleId="yTHeadingNAmLeft1cm">
    <w:name w:val="yTHeadingNAm + Left:  1 cm"/>
    <w:basedOn w:val="zyTHeadingNAm"/>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FB5EA-9542-4632-999F-226A4FBAD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28576</Words>
  <Characters>137453</Characters>
  <Application>Microsoft Office Word</Application>
  <DocSecurity>0</DocSecurity>
  <Lines>5976</Lines>
  <Paragraphs>4883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2014 - 01-v0-01</dc:title>
  <dc:subject/>
  <dc:creator/>
  <cp:keywords/>
  <dc:description/>
  <cp:lastModifiedBy>Master Repository Process</cp:lastModifiedBy>
  <cp:revision>4</cp:revision>
  <cp:lastPrinted>2019-06-24T04:53:00Z</cp:lastPrinted>
  <dcterms:created xsi:type="dcterms:W3CDTF">2023-05-12T03:18:00Z</dcterms:created>
  <dcterms:modified xsi:type="dcterms:W3CDTF">2023-05-12T03:18:00Z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01 Jul 2022</vt:lpwstr>
  </property>
  <property fmtid="{D5CDD505-2E9C-101B-9397-08002B2CF9AE}" pid="7" name="Suffix">
    <vt:lpwstr>01-v0-01</vt:lpwstr>
  </property>
  <property fmtid="{D5CDD505-2E9C-101B-9397-08002B2CF9AE}" pid="8" name="CommencementDate">
    <vt:lpwstr>20220701</vt:lpwstr>
  </property>
</Properties>
</file>