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_Toc106893338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_Toc106893339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_Toc106893340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_Toc106893341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_Toc106893342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_Toc106893343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_Toc106893344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_Toc106893345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_Toc106893346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_Toc106893347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_Toc106893348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_Toc106893351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_Toc106893352 \h </w:instrText>
      </w:r>
      <w:r>
        <w:fldChar w:fldCharType="separate"/>
      </w:r>
      <w:r>
        <w:t>7</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_Toc106893353 \h </w:instrText>
      </w:r>
      <w:r>
        <w:fldChar w:fldCharType="separate"/>
      </w:r>
      <w:r>
        <w:t>8</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_Toc106893354 \h </w:instrText>
      </w:r>
      <w:r>
        <w:fldChar w:fldCharType="separate"/>
      </w:r>
      <w:r>
        <w:t>8</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_Toc106893355 \h </w:instrText>
      </w:r>
      <w:r>
        <w:fldChar w:fldCharType="separate"/>
      </w:r>
      <w:r>
        <w:t>9</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_Toc106893356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_Toc106893358 \h </w:instrText>
      </w:r>
      <w:r>
        <w:fldChar w:fldCharType="separate"/>
      </w:r>
      <w:r>
        <w:t>10</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_Toc106893359 \h </w:instrText>
      </w:r>
      <w:r>
        <w:fldChar w:fldCharType="separate"/>
      </w:r>
      <w:r>
        <w:t>11</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_Toc106893360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10.</w:t>
      </w:r>
      <w:r>
        <w:tab/>
        <w:t>Eligibility criteria for MyPower tariffs</w:t>
      </w:r>
      <w:r>
        <w:tab/>
      </w:r>
      <w:r>
        <w:fldChar w:fldCharType="begin"/>
      </w:r>
      <w:r>
        <w:instrText xml:space="preserve"> PAGEREF _Toc106893361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_Toc106893365 \h </w:instrText>
      </w:r>
      <w:r>
        <w:fldChar w:fldCharType="separate"/>
      </w:r>
      <w:r>
        <w:t>19</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_Toc106893366 \h </w:instrText>
      </w:r>
      <w:r>
        <w:fldChar w:fldCharType="separate"/>
      </w:r>
      <w:r>
        <w:t>19</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_Toc106893367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_Toc106893371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3" w:name="_Toc106893338"/>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106893339"/>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06893340"/>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106893341"/>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7" w:name="_Toc106893342"/>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106893343"/>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lastRenderedPageBreak/>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9" w:name="_Toc106893344"/>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06893345"/>
      <w:r>
        <w:rPr>
          <w:rStyle w:val="CharSectno"/>
        </w:rPr>
        <w:t>8</w:t>
      </w:r>
      <w:r>
        <w:t>.</w:t>
      </w:r>
      <w:r>
        <w:tab/>
        <w:t>Payment</w:t>
      </w:r>
      <w:bookmarkEnd w:id="10"/>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keepNext/>
        <w:rPr>
          <w:snapToGrid w:val="0"/>
        </w:rPr>
      </w:pPr>
      <w:r>
        <w:rPr>
          <w:snapToGrid w:val="0"/>
        </w:rPr>
        <w:lastRenderedPageBreak/>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106893346"/>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2" w:name="_Toc106893347"/>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06893348"/>
      <w:r>
        <w:rPr>
          <w:rStyle w:val="CharSectno"/>
        </w:rPr>
        <w:t>12</w:t>
      </w:r>
      <w:r>
        <w:t>.</w:t>
      </w:r>
      <w:r>
        <w:tab/>
        <w:t>Prescribed rate of interest for s. 62(16) of Act</w:t>
      </w:r>
      <w:bookmarkEnd w:id="13"/>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lastRenderedPageBreak/>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102051839"/>
      <w:bookmarkStart w:id="15" w:name="_Toc102053737"/>
      <w:bookmarkStart w:id="16" w:name="_Toc102054197"/>
      <w:bookmarkStart w:id="17" w:name="_Toc102054348"/>
      <w:bookmarkStart w:id="18" w:name="_Toc102134760"/>
      <w:bookmarkStart w:id="19" w:name="_Toc102136601"/>
      <w:bookmarkStart w:id="20" w:name="_Toc102136629"/>
      <w:bookmarkStart w:id="21" w:name="_Toc102144190"/>
      <w:bookmarkStart w:id="22" w:name="_Toc104894026"/>
      <w:bookmarkStart w:id="23" w:name="_Toc106889595"/>
      <w:bookmarkStart w:id="24" w:name="_Toc106893349"/>
      <w:bookmarkStart w:id="25" w:name="_Toc106888400"/>
      <w:r>
        <w:rPr>
          <w:rStyle w:val="CharSchNo"/>
        </w:rPr>
        <w:lastRenderedPageBreak/>
        <w:t>Schedule 1</w:t>
      </w:r>
      <w:r>
        <w:t> — </w:t>
      </w:r>
      <w:r>
        <w:rPr>
          <w:rStyle w:val="CharSchText"/>
        </w:rPr>
        <w:t>Supply charges</w:t>
      </w:r>
      <w:bookmarkEnd w:id="14"/>
      <w:bookmarkEnd w:id="15"/>
      <w:bookmarkEnd w:id="16"/>
      <w:bookmarkEnd w:id="17"/>
      <w:bookmarkEnd w:id="18"/>
      <w:bookmarkEnd w:id="19"/>
      <w:bookmarkEnd w:id="20"/>
      <w:bookmarkEnd w:id="21"/>
      <w:bookmarkEnd w:id="22"/>
      <w:bookmarkEnd w:id="23"/>
      <w:bookmarkEnd w:id="24"/>
    </w:p>
    <w:p>
      <w:pPr>
        <w:pStyle w:val="yShoulderClause"/>
      </w:pPr>
      <w:r>
        <w:t>[bl. 3, 4(1) and 10(1)]</w:t>
      </w:r>
    </w:p>
    <w:p>
      <w:pPr>
        <w:pStyle w:val="yFootnoteheading"/>
      </w:pPr>
      <w:r>
        <w:tab/>
        <w:t>[Heading inserted: SL 2022/71 bl. 6.]</w:t>
      </w:r>
    </w:p>
    <w:p>
      <w:pPr>
        <w:pStyle w:val="yHeading3"/>
      </w:pPr>
      <w:bookmarkStart w:id="26" w:name="_Toc102051840"/>
      <w:bookmarkStart w:id="27" w:name="_Toc102053738"/>
      <w:bookmarkStart w:id="28" w:name="_Toc102054198"/>
      <w:bookmarkStart w:id="29" w:name="_Toc102054349"/>
      <w:bookmarkStart w:id="30" w:name="_Toc102134761"/>
      <w:bookmarkStart w:id="31" w:name="_Toc102136602"/>
      <w:bookmarkStart w:id="32" w:name="_Toc102136630"/>
      <w:bookmarkStart w:id="33" w:name="_Toc102144191"/>
      <w:bookmarkStart w:id="34" w:name="_Toc104894027"/>
      <w:bookmarkStart w:id="35" w:name="_Toc106889596"/>
      <w:bookmarkStart w:id="36" w:name="_Toc106893350"/>
      <w:r>
        <w:rPr>
          <w:rStyle w:val="CharSDivNo"/>
        </w:rPr>
        <w:t>Division 1</w:t>
      </w:r>
      <w:r>
        <w:t> — </w:t>
      </w:r>
      <w:r>
        <w:rPr>
          <w:rStyle w:val="CharSDivText"/>
        </w:rPr>
        <w:t>Tariffs other than MyPower tariffs</w:t>
      </w:r>
      <w:bookmarkEnd w:id="26"/>
      <w:bookmarkEnd w:id="27"/>
      <w:bookmarkEnd w:id="28"/>
      <w:bookmarkEnd w:id="29"/>
      <w:bookmarkEnd w:id="30"/>
      <w:bookmarkEnd w:id="31"/>
      <w:bookmarkEnd w:id="32"/>
      <w:bookmarkEnd w:id="33"/>
      <w:bookmarkEnd w:id="34"/>
      <w:bookmarkEnd w:id="35"/>
      <w:bookmarkEnd w:id="36"/>
    </w:p>
    <w:p>
      <w:pPr>
        <w:pStyle w:val="yFootnoteheading"/>
      </w:pPr>
      <w:bookmarkStart w:id="37" w:name="_Toc102144192"/>
      <w:bookmarkStart w:id="38" w:name="_Toc104894028"/>
      <w:r>
        <w:tab/>
        <w:t>[Heading inserted: SL 2022/71 bl. 6.]</w:t>
      </w:r>
    </w:p>
    <w:p>
      <w:pPr>
        <w:pStyle w:val="yHeading5"/>
      </w:pPr>
      <w:bookmarkStart w:id="39" w:name="_Toc106893351"/>
      <w:r>
        <w:rPr>
          <w:rStyle w:val="CharSClsNo"/>
        </w:rPr>
        <w:t>1</w:t>
      </w:r>
      <w:r>
        <w:t>.</w:t>
      </w:r>
      <w:r>
        <w:tab/>
        <w:t>Tariff L2 (general supply — low/medium voltage tariff)</w:t>
      </w:r>
      <w:bookmarkEnd w:id="37"/>
      <w:bookmarkEnd w:id="38"/>
      <w:bookmarkEnd w:id="3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$1.9239 per day; and</w:t>
      </w:r>
    </w:p>
    <w:p>
      <w:pPr>
        <w:pStyle w:val="yIndenta"/>
      </w:pPr>
      <w:r>
        <w:tab/>
        <w:t>(b)</w:t>
      </w:r>
      <w:r>
        <w:tab/>
        <w:t xml:space="preserve">a charge for metered consumption at the rate of — </w:t>
      </w:r>
    </w:p>
    <w:p>
      <w:pPr>
        <w:pStyle w:val="yIndenti0"/>
      </w:pPr>
      <w:r>
        <w:tab/>
        <w:t>(i)</w:t>
      </w:r>
      <w:r>
        <w:tab/>
        <w:t>29.9391 cents per unit for the first 1 650 units per day; and</w:t>
      </w:r>
    </w:p>
    <w:p>
      <w:pPr>
        <w:pStyle w:val="yIndenti0"/>
      </w:pPr>
      <w:r>
        <w:tab/>
        <w:t>(ii)</w:t>
      </w:r>
      <w:r>
        <w:tab/>
        <w:t>33.7553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2022/71 bl. 6.]</w:t>
      </w:r>
    </w:p>
    <w:p>
      <w:pPr>
        <w:pStyle w:val="yHeading5"/>
      </w:pPr>
      <w:bookmarkStart w:id="40" w:name="_Toc102144193"/>
      <w:bookmarkStart w:id="41" w:name="_Toc104894029"/>
      <w:bookmarkStart w:id="42" w:name="_Toc106893352"/>
      <w:r>
        <w:rPr>
          <w:rStyle w:val="CharSClsNo"/>
        </w:rPr>
        <w:t>2</w:t>
      </w:r>
      <w:r>
        <w:t>.</w:t>
      </w:r>
      <w:r>
        <w:tab/>
        <w:t>Tariff L4 (general supply — low/medium voltage tariff)</w:t>
      </w:r>
      <w:bookmarkEnd w:id="40"/>
      <w:bookmarkEnd w:id="41"/>
      <w:bookmarkEnd w:id="42"/>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$1.8488 per day; and</w:t>
      </w:r>
    </w:p>
    <w:p>
      <w:pPr>
        <w:pStyle w:val="yIndenta"/>
      </w:pPr>
      <w:r>
        <w:tab/>
        <w:t>(b)</w:t>
      </w:r>
      <w:r>
        <w:tab/>
        <w:t xml:space="preserve">a charge for metered consumption at the rate of — </w:t>
      </w:r>
    </w:p>
    <w:p>
      <w:pPr>
        <w:pStyle w:val="yIndenti0"/>
      </w:pPr>
      <w:r>
        <w:tab/>
        <w:t>(i)</w:t>
      </w:r>
      <w:r>
        <w:tab/>
        <w:t>37.5529</w:t>
      </w:r>
      <w:r>
        <w:rPr>
          <w:szCs w:val="22"/>
        </w:rPr>
        <w:t xml:space="preserve"> </w:t>
      </w:r>
      <w:r>
        <w:t>cents per unit for the first 1 650 units per day; and</w:t>
      </w:r>
    </w:p>
    <w:p>
      <w:pPr>
        <w:pStyle w:val="yIndenti0"/>
      </w:pPr>
      <w:r>
        <w:tab/>
        <w:t>(ii)</w:t>
      </w:r>
      <w:r>
        <w:tab/>
        <w:t>31.8648</w:t>
      </w:r>
      <w:r>
        <w:rPr>
          <w:szCs w:val="22"/>
        </w:rPr>
        <w:t xml:space="preserve"> </w:t>
      </w:r>
      <w:r>
        <w:t>cents per unit for all units exceeding 1 650 units per day.</w:t>
      </w:r>
    </w:p>
    <w:p>
      <w:pPr>
        <w:pStyle w:val="ySubsection"/>
        <w:keepNext/>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2022/71 bl. 6.]</w:t>
      </w:r>
    </w:p>
    <w:p>
      <w:pPr>
        <w:pStyle w:val="yHeading5"/>
      </w:pPr>
      <w:bookmarkStart w:id="43" w:name="_Toc102144194"/>
      <w:bookmarkStart w:id="44" w:name="_Toc104894030"/>
      <w:bookmarkStart w:id="45" w:name="_Toc106893353"/>
      <w:r>
        <w:rPr>
          <w:rStyle w:val="CharSClsNo"/>
        </w:rPr>
        <w:t>3</w:t>
      </w:r>
      <w:r>
        <w:t>.</w:t>
      </w:r>
      <w:r>
        <w:tab/>
        <w:t>Tariff A2 (residential tariff)</w:t>
      </w:r>
      <w:bookmarkEnd w:id="43"/>
      <w:bookmarkEnd w:id="44"/>
      <w:bookmarkEnd w:id="4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$1.0777 per day or, for multiple dwellings supplied through 1 metered supply point, a fixed charge at the rate of —</w:t>
      </w:r>
    </w:p>
    <w:p>
      <w:pPr>
        <w:pStyle w:val="yIndenti0"/>
      </w:pPr>
      <w:r>
        <w:tab/>
        <w:t>(i)</w:t>
      </w:r>
      <w:r>
        <w:tab/>
        <w:t>$1.0777 per day for the first dwelling; and</w:t>
      </w:r>
    </w:p>
    <w:p>
      <w:pPr>
        <w:pStyle w:val="yIndenti0"/>
      </w:pPr>
      <w:r>
        <w:tab/>
        <w:t>(ii)</w:t>
      </w:r>
      <w:r>
        <w:tab/>
        <w:t>42.8467 cents per day for each additional dwelling;</w:t>
      </w:r>
    </w:p>
    <w:p>
      <w:pPr>
        <w:pStyle w:val="yIndenta"/>
      </w:pPr>
      <w:r>
        <w:tab/>
      </w:r>
      <w:r>
        <w:tab/>
        <w:t>and</w:t>
      </w:r>
    </w:p>
    <w:p>
      <w:pPr>
        <w:pStyle w:val="yIndenta"/>
      </w:pPr>
      <w:r>
        <w:tab/>
        <w:t>(b)</w:t>
      </w:r>
      <w:r>
        <w:tab/>
        <w:t>a charge for metered consumption at the rate of 30.0605 cents per unit.</w:t>
      </w:r>
    </w:p>
    <w:p>
      <w:pPr>
        <w:pStyle w:val="yFootnotesection"/>
      </w:pPr>
      <w:bookmarkStart w:id="46" w:name="_Toc102144195"/>
      <w:bookmarkStart w:id="47" w:name="_Toc104894031"/>
      <w:r>
        <w:tab/>
        <w:t>[Clause 3 inserted: SL 2022/71 bl. 6.]</w:t>
      </w:r>
    </w:p>
    <w:p>
      <w:pPr>
        <w:pStyle w:val="yHeading5"/>
      </w:pPr>
      <w:bookmarkStart w:id="48" w:name="_Toc106893354"/>
      <w:r>
        <w:rPr>
          <w:rStyle w:val="CharSClsNo"/>
        </w:rPr>
        <w:t>4</w:t>
      </w:r>
      <w:r>
        <w:t>.</w:t>
      </w:r>
      <w:r>
        <w:tab/>
        <w:t>Tariff C2 (special community service tariff)</w:t>
      </w:r>
      <w:bookmarkEnd w:id="46"/>
      <w:bookmarkEnd w:id="47"/>
      <w:bookmarkEnd w:id="48"/>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$1.0399 per day; and</w:t>
      </w:r>
    </w:p>
    <w:p>
      <w:pPr>
        <w:pStyle w:val="yIndenta"/>
      </w:pPr>
      <w:r>
        <w:tab/>
        <w:t>(b)</w:t>
      </w:r>
      <w:r>
        <w:tab/>
        <w:t xml:space="preserve">a charge for metered consumption at the rate of — </w:t>
      </w:r>
    </w:p>
    <w:p>
      <w:pPr>
        <w:pStyle w:val="yIndenti0"/>
      </w:pPr>
      <w:r>
        <w:tab/>
        <w:t>(i)</w:t>
      </w:r>
      <w:r>
        <w:tab/>
        <w:t>24.2961 cents per unit for the first 20 units per day; and</w:t>
      </w:r>
    </w:p>
    <w:p>
      <w:pPr>
        <w:pStyle w:val="yIndenti0"/>
      </w:pPr>
      <w:r>
        <w:tab/>
        <w:t>(ii)</w:t>
      </w:r>
      <w:r>
        <w:tab/>
        <w:t>25.9223 cents per unit for the next 1 630 units per day; and</w:t>
      </w:r>
    </w:p>
    <w:p>
      <w:pPr>
        <w:pStyle w:val="yIndenti0"/>
      </w:pPr>
      <w:r>
        <w:tab/>
        <w:t>(iii)</w:t>
      </w:r>
      <w:r>
        <w:tab/>
        <w:t>24.7261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lastRenderedPageBreak/>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49" w:name="_Toc102144196"/>
      <w:bookmarkStart w:id="50" w:name="_Toc104894032"/>
      <w:r>
        <w:tab/>
        <w:t>[Clause 4 inserted: SL 2022/71 bl. 6.]</w:t>
      </w:r>
    </w:p>
    <w:p>
      <w:pPr>
        <w:pStyle w:val="yHeading5"/>
      </w:pPr>
      <w:bookmarkStart w:id="51" w:name="_Toc106893355"/>
      <w:r>
        <w:rPr>
          <w:rStyle w:val="CharSClsNo"/>
        </w:rPr>
        <w:t>5</w:t>
      </w:r>
      <w:r>
        <w:t>.</w:t>
      </w:r>
      <w:r>
        <w:tab/>
        <w:t>Tariff D2 (special tariff for certain premises)</w:t>
      </w:r>
      <w:bookmarkEnd w:id="49"/>
      <w:bookmarkEnd w:id="50"/>
      <w:bookmarkEnd w:id="5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$1.0257 per day; and</w:t>
      </w:r>
    </w:p>
    <w:p>
      <w:pPr>
        <w:pStyle w:val="yIndenta"/>
      </w:pPr>
      <w:r>
        <w:tab/>
        <w:t>(b)</w:t>
      </w:r>
      <w:r>
        <w:tab/>
        <w:t>if under subclause (3) there is taken to be more than 1 equivalent domestic residence in the premises — a charge of 38.0284 cents per day for each equivalent domestic residence except the first that is taken to be in the premises; and</w:t>
      </w:r>
    </w:p>
    <w:p>
      <w:pPr>
        <w:pStyle w:val="yIndenta"/>
      </w:pPr>
      <w:r>
        <w:tab/>
        <w:t>(c)</w:t>
      </w:r>
      <w:r>
        <w:tab/>
        <w:t>a charge for metered consumption at the rate of 26.0605 cents per unit.</w:t>
      </w:r>
    </w:p>
    <w:p>
      <w:pPr>
        <w:pStyle w:val="ySubsection"/>
        <w:keepNext/>
      </w:pPr>
      <w:r>
        <w:tab/>
        <w:t>(3)</w:t>
      </w:r>
      <w:r>
        <w:tab/>
        <w:t xml:space="preserve">The number of equivalent domestic residences taken to be in particular premises is ascertained by dividing the facility’s total bed </w:t>
      </w:r>
      <w:r>
        <w:lastRenderedPageBreak/>
        <w:t>capacity by 5 and, where the quotient is not a whole number, by increasing it to the next highest whole number.</w:t>
      </w:r>
    </w:p>
    <w:p>
      <w:pPr>
        <w:pStyle w:val="yFootnotesection"/>
      </w:pPr>
      <w:bookmarkStart w:id="52" w:name="_Toc102144197"/>
      <w:bookmarkStart w:id="53" w:name="_Toc104894033"/>
      <w:r>
        <w:tab/>
        <w:t>[Clause 5 inserted: SL 2022/71 bl. 6.]</w:t>
      </w:r>
    </w:p>
    <w:p>
      <w:pPr>
        <w:pStyle w:val="yHeading5"/>
      </w:pPr>
      <w:bookmarkStart w:id="54" w:name="_Toc106893356"/>
      <w:r>
        <w:rPr>
          <w:rStyle w:val="CharSClsNo"/>
        </w:rPr>
        <w:t>6</w:t>
      </w:r>
      <w:r>
        <w:t>.</w:t>
      </w:r>
      <w:r>
        <w:tab/>
        <w:t>Tariff K2 (general supply with residential tariff)</w:t>
      </w:r>
      <w:bookmarkEnd w:id="52"/>
      <w:bookmarkEnd w:id="53"/>
      <w:bookmarkEnd w:id="54"/>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$1.9017 per day; and</w:t>
      </w:r>
    </w:p>
    <w:p>
      <w:pPr>
        <w:pStyle w:val="yIndenta"/>
      </w:pPr>
      <w:r>
        <w:tab/>
        <w:t>(b)</w:t>
      </w:r>
      <w:r>
        <w:tab/>
        <w:t>a charge for metered consumption at the rate of —</w:t>
      </w:r>
    </w:p>
    <w:p>
      <w:pPr>
        <w:pStyle w:val="yIndenti0"/>
      </w:pPr>
      <w:r>
        <w:tab/>
        <w:t>(i)</w:t>
      </w:r>
      <w:r>
        <w:tab/>
        <w:t>31.4035 cents per unit for the first 20 units per day; and</w:t>
      </w:r>
    </w:p>
    <w:p>
      <w:pPr>
        <w:pStyle w:val="yIndenti0"/>
      </w:pPr>
      <w:r>
        <w:tab/>
        <w:t>(ii)</w:t>
      </w:r>
      <w:r>
        <w:tab/>
        <w:t>29.5937 cents per unit for the next 1 630 units per day; and</w:t>
      </w:r>
    </w:p>
    <w:p>
      <w:pPr>
        <w:pStyle w:val="yIndenti0"/>
      </w:pPr>
      <w:r>
        <w:tab/>
        <w:t>(iii)</w:t>
      </w:r>
      <w:r>
        <w:tab/>
        <w:t>33.3658 cents per unit for all units exceeding 1 650 units per day.</w:t>
      </w:r>
    </w:p>
    <w:p>
      <w:pPr>
        <w:pStyle w:val="yFootnotesection"/>
      </w:pPr>
      <w:bookmarkStart w:id="55" w:name="_Toc102051847"/>
      <w:bookmarkStart w:id="56" w:name="_Toc102053745"/>
      <w:bookmarkStart w:id="57" w:name="_Toc102054205"/>
      <w:bookmarkStart w:id="58" w:name="_Toc102054356"/>
      <w:bookmarkStart w:id="59" w:name="_Toc102134768"/>
      <w:bookmarkStart w:id="60" w:name="_Toc102136609"/>
      <w:bookmarkStart w:id="61" w:name="_Toc102136637"/>
      <w:bookmarkStart w:id="62" w:name="_Toc102144198"/>
      <w:bookmarkStart w:id="63" w:name="_Toc104894034"/>
      <w:r>
        <w:tab/>
        <w:t>[Clause 6 inserted: SL 2022/71 bl. 6.]</w:t>
      </w:r>
    </w:p>
    <w:p>
      <w:pPr>
        <w:pStyle w:val="yHeading3"/>
      </w:pPr>
      <w:bookmarkStart w:id="64" w:name="_Toc106889603"/>
      <w:bookmarkStart w:id="65" w:name="_Toc106893357"/>
      <w:r>
        <w:rPr>
          <w:rStyle w:val="CharSDivNo"/>
        </w:rPr>
        <w:t>Division 2</w:t>
      </w:r>
      <w:r>
        <w:t> — </w:t>
      </w:r>
      <w:r>
        <w:rPr>
          <w:rStyle w:val="CharSDivText"/>
        </w:rPr>
        <w:t>MyPower tariffs</w:t>
      </w:r>
      <w:bookmarkEnd w:id="55"/>
      <w:bookmarkEnd w:id="56"/>
      <w:bookmarkEnd w:id="57"/>
      <w:bookmarkEnd w:id="58"/>
      <w:bookmarkEnd w:id="59"/>
      <w:bookmarkEnd w:id="60"/>
      <w:bookmarkEnd w:id="61"/>
      <w:bookmarkEnd w:id="62"/>
      <w:bookmarkEnd w:id="63"/>
      <w:bookmarkEnd w:id="64"/>
      <w:bookmarkEnd w:id="65"/>
    </w:p>
    <w:p>
      <w:pPr>
        <w:pStyle w:val="yFootnoteheading"/>
      </w:pPr>
      <w:bookmarkStart w:id="66" w:name="_Toc102144199"/>
      <w:bookmarkStart w:id="67" w:name="_Toc104894035"/>
      <w:r>
        <w:tab/>
        <w:t>[Heading inserted: SL 2022/71 bl. 6.]</w:t>
      </w:r>
    </w:p>
    <w:p>
      <w:pPr>
        <w:pStyle w:val="yHeading5"/>
      </w:pPr>
      <w:bookmarkStart w:id="68" w:name="_Toc106893358"/>
      <w:r>
        <w:rPr>
          <w:rStyle w:val="CharSClsNo"/>
        </w:rPr>
        <w:t>7</w:t>
      </w:r>
      <w:r>
        <w:t>.</w:t>
      </w:r>
      <w:r>
        <w:tab/>
        <w:t>Terms used</w:t>
      </w:r>
      <w:bookmarkEnd w:id="66"/>
      <w:bookmarkEnd w:id="67"/>
      <w:bookmarkEnd w:id="68"/>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 xml:space="preserve">in relation to a MyPower residential tariff as defined in clause 8(1) — a day that is in a peak period and is not a Saturday, a Sunday or a public holiday in the place in which </w:t>
      </w:r>
      <w:r>
        <w:lastRenderedPageBreak/>
        <w:t>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bookmarkStart w:id="69" w:name="_Toc102144200"/>
      <w:bookmarkStart w:id="70" w:name="_Toc104894036"/>
      <w:r>
        <w:tab/>
        <w:t>[Clause 7 inserted: SL 2022/71 bl. 6.]</w:t>
      </w:r>
    </w:p>
    <w:p>
      <w:pPr>
        <w:pStyle w:val="yHeading5"/>
      </w:pPr>
      <w:bookmarkStart w:id="71" w:name="_Toc106893359"/>
      <w:r>
        <w:rPr>
          <w:rStyle w:val="CharSClsNo"/>
        </w:rPr>
        <w:t>8</w:t>
      </w:r>
      <w:r>
        <w:t>.</w:t>
      </w:r>
      <w:r>
        <w:tab/>
        <w:t>MyPower residential tariffs</w:t>
      </w:r>
      <w:bookmarkEnd w:id="69"/>
      <w:bookmarkEnd w:id="70"/>
      <w:bookmarkEnd w:id="71"/>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 2022, the consumer elected to be supplied electricity at the premises at the MyPower residential tariff (subject to subclause (5)); and</w:t>
      </w:r>
    </w:p>
    <w:p>
      <w:pPr>
        <w:pStyle w:val="yIndenta"/>
      </w:pPr>
      <w:r>
        <w:lastRenderedPageBreak/>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$1.178763 per day</w:t>
            </w:r>
          </w:p>
        </w:tc>
        <w:tc>
          <w:tcPr>
            <w:tcW w:w="1560" w:type="dxa"/>
          </w:tcPr>
          <w:p>
            <w:pPr>
              <w:pStyle w:val="yTableNAm"/>
            </w:pPr>
            <w:r>
              <w:t>$0.100000</w:t>
            </w:r>
            <w:r>
              <w:b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$2.550801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$5.161638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lastRenderedPageBreak/>
              <w:t>MyPower residential 7 fixed plan price</w:t>
            </w:r>
          </w:p>
        </w:tc>
        <w:tc>
          <w:tcPr>
            <w:tcW w:w="1417" w:type="dxa"/>
          </w:tcPr>
          <w:p>
            <w:pPr>
              <w:pStyle w:val="yTableNAm"/>
            </w:pPr>
            <w:r>
              <w:t>$8.501422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$12.833262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residential 15 fixed plan price</w:t>
            </w:r>
          </w:p>
        </w:tc>
        <w:tc>
          <w:tcPr>
            <w:tcW w:w="1417" w:type="dxa"/>
          </w:tcPr>
          <w:p>
            <w:pPr>
              <w:pStyle w:val="yTableNAm"/>
            </w:pPr>
            <w:r>
              <w:t>$26.132678 per day</w:t>
            </w:r>
          </w:p>
        </w:tc>
        <w:tc>
          <w:tcPr>
            <w:tcW w:w="1560" w:type="dxa"/>
          </w:tcPr>
          <w:p>
            <w:pPr>
              <w:pStyle w:val="yTableNAm"/>
            </w:pPr>
            <w:r>
              <w:t>$0.100000</w:t>
            </w:r>
            <w:r>
              <w:br/>
              <w:t>per unit</w:t>
            </w:r>
          </w:p>
        </w:tc>
        <w:tc>
          <w:tcPr>
            <w:tcW w:w="1275" w:type="dxa"/>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bookmarkStart w:id="72" w:name="_Toc102144201"/>
      <w:bookmarkStart w:id="73" w:name="_Toc104894037"/>
      <w:r>
        <w:tab/>
        <w:t>[Clause 8 inserted: SL 2022/71 bl. 6.]</w:t>
      </w:r>
    </w:p>
    <w:p>
      <w:pPr>
        <w:pStyle w:val="yHeading5"/>
      </w:pPr>
      <w:bookmarkStart w:id="74" w:name="_Toc106893360"/>
      <w:r>
        <w:rPr>
          <w:rStyle w:val="CharSClsNo"/>
        </w:rPr>
        <w:t>9</w:t>
      </w:r>
      <w:r>
        <w:t>.</w:t>
      </w:r>
      <w:r>
        <w:tab/>
        <w:t>MyPower non</w:t>
      </w:r>
      <w:r>
        <w:noBreakHyphen/>
        <w:t>residential tariffs</w:t>
      </w:r>
      <w:bookmarkEnd w:id="72"/>
      <w:bookmarkEnd w:id="73"/>
      <w:bookmarkEnd w:id="74"/>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lastRenderedPageBreak/>
        <w:tab/>
        <w:t>(c)</w:t>
      </w:r>
      <w:r>
        <w:tab/>
        <w:t>if, since the consumer made the election, electricity has not been supplied to the premises at a tariff other than a MyPower non-residential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tcPr>
          <w:p>
            <w:pPr>
              <w:pStyle w:val="yTableNAm"/>
              <w:rPr>
                <w:b/>
              </w:rPr>
            </w:pPr>
            <w:r>
              <w:rPr>
                <w:b/>
              </w:rPr>
              <w:t>Tariff name</w:t>
            </w:r>
          </w:p>
        </w:tc>
        <w:tc>
          <w:tcPr>
            <w:tcW w:w="1560" w:type="dxa"/>
          </w:tcPr>
          <w:p>
            <w:pPr>
              <w:pStyle w:val="yTableNAm"/>
              <w:rPr>
                <w:b/>
              </w:rPr>
            </w:pPr>
            <w:r>
              <w:rPr>
                <w:b/>
              </w:rPr>
              <w:t>Rate of fixed charge</w:t>
            </w:r>
          </w:p>
        </w:tc>
        <w:tc>
          <w:tcPr>
            <w:tcW w:w="1531" w:type="dxa"/>
          </w:tcPr>
          <w:p>
            <w:pPr>
              <w:pStyle w:val="yTableNAm"/>
              <w:rPr>
                <w:b/>
              </w:rPr>
            </w:pPr>
            <w:r>
              <w:rPr>
                <w:b/>
              </w:rPr>
              <w:t>Rate of metered consumption charge</w:t>
            </w:r>
          </w:p>
        </w:tc>
        <w:tc>
          <w:tcPr>
            <w:tcW w:w="1275" w:type="dxa"/>
          </w:tcPr>
          <w:p>
            <w:pPr>
              <w:pStyle w:val="yTableNAm"/>
              <w:rPr>
                <w:b/>
              </w:rPr>
            </w:pPr>
            <w:r>
              <w:rPr>
                <w:b/>
              </w:rPr>
              <w:t>Peak allowance</w:t>
            </w:r>
          </w:p>
        </w:tc>
      </w:tr>
      <w:tr>
        <w:trPr>
          <w:cantSplit/>
        </w:trPr>
        <w:tc>
          <w:tcPr>
            <w:tcW w:w="1162" w:type="dxa"/>
          </w:tcPr>
          <w:p>
            <w:pPr>
              <w:pStyle w:val="yTableNAm"/>
            </w:pPr>
            <w:r>
              <w:t>MyPower non-residential 3 fixed plan price</w:t>
            </w:r>
          </w:p>
        </w:tc>
        <w:tc>
          <w:tcPr>
            <w:tcW w:w="1560" w:type="dxa"/>
          </w:tcPr>
          <w:p>
            <w:pPr>
              <w:pStyle w:val="yTableNAm"/>
            </w:pPr>
            <w:r>
              <w:t>$2.868020 per day</w:t>
            </w:r>
          </w:p>
        </w:tc>
        <w:tc>
          <w:tcPr>
            <w:tcW w:w="1531"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162" w:type="dxa"/>
          </w:tcPr>
          <w:p>
            <w:pPr>
              <w:pStyle w:val="yTableNAm"/>
            </w:pPr>
            <w:r>
              <w:t>MyPower non-residential 5 fixed plan price</w:t>
            </w:r>
          </w:p>
        </w:tc>
        <w:tc>
          <w:tcPr>
            <w:tcW w:w="1560" w:type="dxa"/>
          </w:tcPr>
          <w:p>
            <w:pPr>
              <w:pStyle w:val="yTableNAm"/>
            </w:pPr>
            <w:r>
              <w:t>$6.742648 per day</w:t>
            </w:r>
          </w:p>
        </w:tc>
        <w:tc>
          <w:tcPr>
            <w:tcW w:w="1531"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162" w:type="dxa"/>
          </w:tcPr>
          <w:p>
            <w:pPr>
              <w:pStyle w:val="yTableNAm"/>
            </w:pPr>
            <w:r>
              <w:lastRenderedPageBreak/>
              <w:t>MyPower non-residential 7 fixed plan price</w:t>
            </w:r>
          </w:p>
        </w:tc>
        <w:tc>
          <w:tcPr>
            <w:tcW w:w="1560" w:type="dxa"/>
          </w:tcPr>
          <w:p>
            <w:pPr>
              <w:pStyle w:val="yTableNAm"/>
            </w:pPr>
            <w:r>
              <w:t>$12.036155 per day</w:t>
            </w:r>
          </w:p>
        </w:tc>
        <w:tc>
          <w:tcPr>
            <w:tcW w:w="1531"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162" w:type="dxa"/>
          </w:tcPr>
          <w:p>
            <w:pPr>
              <w:pStyle w:val="yTableNAm"/>
            </w:pPr>
            <w:r>
              <w:t>MyPower non-residential 10 fixed plan price</w:t>
            </w:r>
          </w:p>
        </w:tc>
        <w:tc>
          <w:tcPr>
            <w:tcW w:w="1560" w:type="dxa"/>
          </w:tcPr>
          <w:p>
            <w:pPr>
              <w:pStyle w:val="yTableNAm"/>
            </w:pPr>
            <w:r>
              <w:t>$17.872360 per day</w:t>
            </w:r>
          </w:p>
        </w:tc>
        <w:tc>
          <w:tcPr>
            <w:tcW w:w="1531" w:type="dxa"/>
          </w:tcPr>
          <w:p>
            <w:pPr>
              <w:pStyle w:val="yTableNAm"/>
            </w:pPr>
            <w:r>
              <w:t>$0.100000</w:t>
            </w:r>
            <w:r>
              <w:br/>
              <w:t>per unit</w:t>
            </w:r>
          </w:p>
        </w:tc>
        <w:tc>
          <w:tcPr>
            <w:tcW w:w="1275" w:type="dxa"/>
          </w:tcPr>
          <w:p>
            <w:pPr>
              <w:pStyle w:val="yTableNAm"/>
            </w:pPr>
            <w:r>
              <w:t>10 units</w:t>
            </w:r>
            <w:r>
              <w:br/>
              <w:t>per hour</w:t>
            </w:r>
          </w:p>
        </w:tc>
      </w:tr>
      <w:tr>
        <w:trPr>
          <w:cantSplit/>
        </w:trPr>
        <w:tc>
          <w:tcPr>
            <w:tcW w:w="1162" w:type="dxa"/>
          </w:tcPr>
          <w:p>
            <w:pPr>
              <w:pStyle w:val="yTableNAm"/>
            </w:pPr>
            <w:r>
              <w:t>MyPower non-residential 15 fixed plan price</w:t>
            </w:r>
          </w:p>
        </w:tc>
        <w:tc>
          <w:tcPr>
            <w:tcW w:w="1560" w:type="dxa"/>
          </w:tcPr>
          <w:p>
            <w:pPr>
              <w:pStyle w:val="yTableNAm"/>
            </w:pPr>
            <w:r>
              <w:t>$27.491280 per day</w:t>
            </w:r>
          </w:p>
        </w:tc>
        <w:tc>
          <w:tcPr>
            <w:tcW w:w="1531" w:type="dxa"/>
          </w:tcPr>
          <w:p>
            <w:pPr>
              <w:pStyle w:val="yTableNAm"/>
            </w:pPr>
            <w:r>
              <w:t>$0.100000</w:t>
            </w:r>
            <w:r>
              <w:br/>
              <w:t>per unit</w:t>
            </w:r>
          </w:p>
        </w:tc>
        <w:tc>
          <w:tcPr>
            <w:tcW w:w="1275" w:type="dxa"/>
          </w:tcPr>
          <w:p>
            <w:pPr>
              <w:pStyle w:val="yTableNAm"/>
            </w:pPr>
            <w:r>
              <w:t>15 units</w:t>
            </w:r>
            <w:r>
              <w:br/>
              <w:t>per hour</w:t>
            </w:r>
          </w:p>
        </w:tc>
      </w:tr>
      <w:tr>
        <w:trPr>
          <w:cantSplit/>
        </w:trPr>
        <w:tc>
          <w:tcPr>
            <w:tcW w:w="1162" w:type="dxa"/>
          </w:tcPr>
          <w:p>
            <w:pPr>
              <w:pStyle w:val="yTableNAm"/>
            </w:pPr>
            <w:r>
              <w:t>MyPower non-residential 20 fixed plan price</w:t>
            </w:r>
          </w:p>
        </w:tc>
        <w:tc>
          <w:tcPr>
            <w:tcW w:w="1560" w:type="dxa"/>
          </w:tcPr>
          <w:p>
            <w:pPr>
              <w:pStyle w:val="yTableNAm"/>
            </w:pPr>
            <w:r>
              <w:t>$44.040074 per day</w:t>
            </w:r>
          </w:p>
        </w:tc>
        <w:tc>
          <w:tcPr>
            <w:tcW w:w="1531" w:type="dxa"/>
          </w:tcPr>
          <w:p>
            <w:pPr>
              <w:pStyle w:val="yTableNAm"/>
            </w:pPr>
            <w:r>
              <w:t>$0.100000</w:t>
            </w:r>
            <w:r>
              <w:br/>
              <w:t>per unit</w:t>
            </w:r>
          </w:p>
        </w:tc>
        <w:tc>
          <w:tcPr>
            <w:tcW w:w="1275" w:type="dxa"/>
          </w:tcPr>
          <w:p>
            <w:pPr>
              <w:pStyle w:val="yTableNAm"/>
            </w:pPr>
            <w:r>
              <w:t>20 units</w:t>
            </w:r>
            <w:r>
              <w:br/>
              <w:t>per hour</w:t>
            </w:r>
          </w:p>
        </w:tc>
      </w:tr>
      <w:tr>
        <w:trPr>
          <w:cantSplit/>
        </w:trPr>
        <w:tc>
          <w:tcPr>
            <w:tcW w:w="1162" w:type="dxa"/>
          </w:tcPr>
          <w:p>
            <w:pPr>
              <w:pStyle w:val="yTableNAm"/>
            </w:pPr>
            <w:r>
              <w:t>MyPower non-residential 25 fixed plan price</w:t>
            </w:r>
          </w:p>
        </w:tc>
        <w:tc>
          <w:tcPr>
            <w:tcW w:w="1560" w:type="dxa"/>
          </w:tcPr>
          <w:p>
            <w:pPr>
              <w:pStyle w:val="yTableNAm"/>
            </w:pPr>
            <w:r>
              <w:t>$45.319531 per day</w:t>
            </w:r>
          </w:p>
        </w:tc>
        <w:tc>
          <w:tcPr>
            <w:tcW w:w="1531" w:type="dxa"/>
          </w:tcPr>
          <w:p>
            <w:pPr>
              <w:pStyle w:val="yTableNAm"/>
            </w:pPr>
            <w:r>
              <w:t>$0.100000</w:t>
            </w:r>
            <w:r>
              <w:br/>
              <w:t>per unit</w:t>
            </w:r>
          </w:p>
        </w:tc>
        <w:tc>
          <w:tcPr>
            <w:tcW w:w="1275" w:type="dxa"/>
          </w:tcPr>
          <w:p>
            <w:pPr>
              <w:pStyle w:val="yTableNAm"/>
            </w:pPr>
            <w:r>
              <w:t>25 units</w:t>
            </w:r>
            <w:r>
              <w:br/>
              <w:t>per hour</w:t>
            </w:r>
          </w:p>
        </w:tc>
      </w:tr>
      <w:tr>
        <w:trPr>
          <w:cantSplit/>
        </w:trPr>
        <w:tc>
          <w:tcPr>
            <w:tcW w:w="1162" w:type="dxa"/>
          </w:tcPr>
          <w:p>
            <w:pPr>
              <w:pStyle w:val="yTableNAm"/>
            </w:pPr>
            <w:r>
              <w:t>MyPower non-residential 30 fixed plan price</w:t>
            </w:r>
          </w:p>
        </w:tc>
        <w:tc>
          <w:tcPr>
            <w:tcW w:w="1560" w:type="dxa"/>
          </w:tcPr>
          <w:p>
            <w:pPr>
              <w:pStyle w:val="yTableNAm"/>
            </w:pPr>
            <w:r>
              <w:t>$62.384180 per day</w:t>
            </w:r>
          </w:p>
        </w:tc>
        <w:tc>
          <w:tcPr>
            <w:tcW w:w="1531" w:type="dxa"/>
          </w:tcPr>
          <w:p>
            <w:pPr>
              <w:pStyle w:val="yTableNAm"/>
            </w:pPr>
            <w:r>
              <w:t>$0.100000</w:t>
            </w:r>
            <w:r>
              <w:br/>
              <w:t>per unit</w:t>
            </w:r>
          </w:p>
        </w:tc>
        <w:tc>
          <w:tcPr>
            <w:tcW w:w="1275" w:type="dxa"/>
          </w:tcPr>
          <w:p>
            <w:pPr>
              <w:pStyle w:val="yTableNAm"/>
            </w:pPr>
            <w:r>
              <w:t>30 units</w:t>
            </w:r>
            <w:r>
              <w:br/>
              <w:t>per hour</w:t>
            </w:r>
          </w:p>
        </w:tc>
      </w:tr>
      <w:tr>
        <w:trPr>
          <w:cantSplit/>
        </w:trPr>
        <w:tc>
          <w:tcPr>
            <w:tcW w:w="1162" w:type="dxa"/>
          </w:tcPr>
          <w:p>
            <w:pPr>
              <w:pStyle w:val="yTableNAm"/>
            </w:pPr>
            <w:r>
              <w:lastRenderedPageBreak/>
              <w:t>MyPower non-residential 35 fixed plan price</w:t>
            </w:r>
          </w:p>
        </w:tc>
        <w:tc>
          <w:tcPr>
            <w:tcW w:w="1560" w:type="dxa"/>
          </w:tcPr>
          <w:p>
            <w:pPr>
              <w:pStyle w:val="yTableNAm"/>
            </w:pPr>
            <w:r>
              <w:t>$66.569461 per day</w:t>
            </w:r>
          </w:p>
        </w:tc>
        <w:tc>
          <w:tcPr>
            <w:tcW w:w="1531" w:type="dxa"/>
          </w:tcPr>
          <w:p>
            <w:pPr>
              <w:pStyle w:val="yTableNAm"/>
            </w:pPr>
            <w:r>
              <w:t>$0.100000</w:t>
            </w:r>
            <w:r>
              <w:br/>
              <w:t>per unit</w:t>
            </w:r>
          </w:p>
        </w:tc>
        <w:tc>
          <w:tcPr>
            <w:tcW w:w="1275" w:type="dxa"/>
          </w:tcPr>
          <w:p>
            <w:pPr>
              <w:pStyle w:val="yTableNAm"/>
            </w:pPr>
            <w:r>
              <w:t>35 units</w:t>
            </w:r>
            <w:r>
              <w:br/>
              <w:t>per hour</w:t>
            </w:r>
          </w:p>
        </w:tc>
      </w:tr>
      <w:tr>
        <w:trPr>
          <w:cantSplit/>
        </w:trPr>
        <w:tc>
          <w:tcPr>
            <w:tcW w:w="1162" w:type="dxa"/>
          </w:tcPr>
          <w:p>
            <w:pPr>
              <w:pStyle w:val="yTableNAm"/>
            </w:pPr>
            <w:r>
              <w:t>MyPower non-residential 40 fixed plan price</w:t>
            </w:r>
          </w:p>
        </w:tc>
        <w:tc>
          <w:tcPr>
            <w:tcW w:w="1560" w:type="dxa"/>
          </w:tcPr>
          <w:p>
            <w:pPr>
              <w:pStyle w:val="yTableNAm"/>
            </w:pPr>
            <w:r>
              <w:t>$90.930129 per day</w:t>
            </w:r>
          </w:p>
        </w:tc>
        <w:tc>
          <w:tcPr>
            <w:tcW w:w="1531" w:type="dxa"/>
          </w:tcPr>
          <w:p>
            <w:pPr>
              <w:pStyle w:val="yTableNAm"/>
            </w:pPr>
            <w:r>
              <w:t>$0.100000</w:t>
            </w:r>
            <w:r>
              <w:br/>
              <w:t>per unit</w:t>
            </w:r>
          </w:p>
        </w:tc>
        <w:tc>
          <w:tcPr>
            <w:tcW w:w="1275" w:type="dxa"/>
          </w:tcPr>
          <w:p>
            <w:pPr>
              <w:pStyle w:val="yTableNAm"/>
            </w:pPr>
            <w:r>
              <w:t>40 units</w:t>
            </w:r>
            <w:r>
              <w:br/>
              <w:t>per hour</w:t>
            </w:r>
          </w:p>
        </w:tc>
      </w:tr>
      <w:tr>
        <w:trPr>
          <w:cantSplit/>
        </w:trPr>
        <w:tc>
          <w:tcPr>
            <w:tcW w:w="1162" w:type="dxa"/>
          </w:tcPr>
          <w:p>
            <w:pPr>
              <w:pStyle w:val="yTableNAm"/>
            </w:pPr>
            <w:r>
              <w:t>MyPower non-residential 50 fixed plan price</w:t>
            </w:r>
          </w:p>
        </w:tc>
        <w:tc>
          <w:tcPr>
            <w:tcW w:w="1560" w:type="dxa"/>
          </w:tcPr>
          <w:p>
            <w:pPr>
              <w:pStyle w:val="yTableNAm"/>
            </w:pPr>
            <w:r>
              <w:t>$125.806606 per day</w:t>
            </w:r>
          </w:p>
        </w:tc>
        <w:tc>
          <w:tcPr>
            <w:tcW w:w="1531" w:type="dxa"/>
          </w:tcPr>
          <w:p>
            <w:pPr>
              <w:pStyle w:val="yTableNAm"/>
            </w:pPr>
            <w:r>
              <w:t>$0.100000</w:t>
            </w:r>
            <w:r>
              <w:br/>
              <w:t>per unit</w:t>
            </w:r>
          </w:p>
        </w:tc>
        <w:tc>
          <w:tcPr>
            <w:tcW w:w="1275" w:type="dxa"/>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bookmarkStart w:id="75" w:name="_Toc102144202"/>
      <w:bookmarkStart w:id="76" w:name="_Toc104894038"/>
      <w:r>
        <w:tab/>
        <w:t>[Clause 9 inserted: SL 2022/71 bl. 6.]</w:t>
      </w:r>
    </w:p>
    <w:p>
      <w:pPr>
        <w:pStyle w:val="yHeading5"/>
      </w:pPr>
      <w:bookmarkStart w:id="77" w:name="_Toc106893361"/>
      <w:r>
        <w:rPr>
          <w:rStyle w:val="CharSClsNo"/>
        </w:rPr>
        <w:t>10</w:t>
      </w:r>
      <w:r>
        <w:t>.</w:t>
      </w:r>
      <w:r>
        <w:tab/>
        <w:t>Eligibility criteria for MyPower tariffs</w:t>
      </w:r>
      <w:bookmarkEnd w:id="75"/>
      <w:bookmarkEnd w:id="76"/>
      <w:bookmarkEnd w:id="77"/>
    </w:p>
    <w:p>
      <w:pPr>
        <w:pStyle w:val="ySubsection"/>
      </w:pPr>
      <w:r>
        <w:tab/>
        <w:t>(1)</w:t>
      </w:r>
      <w:r>
        <w:tab/>
        <w:t>This clause sets out the eligibility criteria that apply to MyPower tariffs for the purposes of clauses 8(3)(a) and 9(3)(a).</w:t>
      </w:r>
    </w:p>
    <w:p>
      <w:pPr>
        <w:pStyle w:val="ySubsection"/>
        <w:keepNext/>
      </w:pPr>
      <w:r>
        <w:lastRenderedPageBreak/>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Footnotesection"/>
      </w:pPr>
      <w:r>
        <w:tab/>
        <w:t>[Clause 10 inserted: SL 2022/71 bl. 6.]</w:t>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8" w:name="_Toc102051852"/>
      <w:bookmarkStart w:id="79" w:name="_Toc102053750"/>
      <w:bookmarkStart w:id="80" w:name="_Toc102054210"/>
      <w:bookmarkStart w:id="81" w:name="_Toc102054361"/>
      <w:bookmarkStart w:id="82" w:name="_Toc102134773"/>
      <w:bookmarkStart w:id="83" w:name="_Toc102136614"/>
      <w:bookmarkStart w:id="84" w:name="_Toc102136642"/>
      <w:bookmarkStart w:id="85" w:name="_Toc102144203"/>
      <w:bookmarkStart w:id="86" w:name="_Toc104894039"/>
      <w:bookmarkStart w:id="87" w:name="_Toc106889608"/>
      <w:bookmarkStart w:id="88" w:name="_Toc106893362"/>
      <w:r>
        <w:rPr>
          <w:rStyle w:val="CharSchNo"/>
        </w:rPr>
        <w:lastRenderedPageBreak/>
        <w:t>Schedule 2</w:t>
      </w:r>
      <w:r>
        <w:t> — </w:t>
      </w:r>
      <w:r>
        <w:rPr>
          <w:rStyle w:val="CharSchText"/>
        </w:rPr>
        <w:t>Unmetered supply</w:t>
      </w:r>
      <w:bookmarkEnd w:id="78"/>
      <w:bookmarkEnd w:id="79"/>
      <w:bookmarkEnd w:id="80"/>
      <w:bookmarkEnd w:id="81"/>
      <w:bookmarkEnd w:id="82"/>
      <w:bookmarkEnd w:id="83"/>
      <w:bookmarkEnd w:id="84"/>
      <w:bookmarkEnd w:id="85"/>
      <w:bookmarkEnd w:id="86"/>
      <w:bookmarkEnd w:id="87"/>
      <w:bookmarkEnd w:id="88"/>
    </w:p>
    <w:p>
      <w:pPr>
        <w:pStyle w:val="yShoulderClause"/>
      </w:pPr>
      <w:r>
        <w:t>[bl. 4(2) and (3)]</w:t>
      </w:r>
    </w:p>
    <w:p>
      <w:pPr>
        <w:pStyle w:val="yFootnoteheading"/>
      </w:pPr>
      <w:r>
        <w:tab/>
        <w:t>[Heading inserted: SL 2022/71 bl. 6.]</w:t>
      </w:r>
    </w:p>
    <w:p>
      <w:pPr>
        <w:pStyle w:val="yHeading3"/>
      </w:pPr>
      <w:bookmarkStart w:id="89" w:name="_Toc102051853"/>
      <w:bookmarkStart w:id="90" w:name="_Toc102053751"/>
      <w:bookmarkStart w:id="91" w:name="_Toc102054211"/>
      <w:bookmarkStart w:id="92" w:name="_Toc102054362"/>
      <w:bookmarkStart w:id="93" w:name="_Toc102134774"/>
      <w:bookmarkStart w:id="94" w:name="_Toc102136615"/>
      <w:bookmarkStart w:id="95" w:name="_Toc102136643"/>
      <w:bookmarkStart w:id="96" w:name="_Toc102144204"/>
      <w:bookmarkStart w:id="97" w:name="_Toc104894040"/>
      <w:bookmarkStart w:id="98" w:name="_Toc106889609"/>
      <w:bookmarkStart w:id="99" w:name="_Toc106893363"/>
      <w:r>
        <w:rPr>
          <w:rStyle w:val="CharSDivNo"/>
        </w:rPr>
        <w:t>Division 1</w:t>
      </w:r>
      <w:r>
        <w:t> — </w:t>
      </w:r>
      <w:r>
        <w:rPr>
          <w:rStyle w:val="CharSDivText"/>
        </w:rPr>
        <w:t>Street lighting</w:t>
      </w:r>
      <w:bookmarkEnd w:id="89"/>
      <w:bookmarkEnd w:id="90"/>
      <w:bookmarkEnd w:id="91"/>
      <w:bookmarkEnd w:id="92"/>
      <w:bookmarkEnd w:id="93"/>
      <w:bookmarkEnd w:id="94"/>
      <w:bookmarkEnd w:id="95"/>
      <w:bookmarkEnd w:id="96"/>
      <w:bookmarkEnd w:id="97"/>
      <w:bookmarkEnd w:id="98"/>
      <w:bookmarkEnd w:id="99"/>
    </w:p>
    <w:p>
      <w:pPr>
        <w:pStyle w:val="yFootnoteheading"/>
        <w:spacing w:after="60"/>
      </w:pPr>
      <w:r>
        <w:tab/>
        <w:t>[Heading inserted: SL 2022/71 bl. 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04"/>
        <w:gridCol w:w="71"/>
        <w:gridCol w:w="129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781" w:type="dxa"/>
            <w:tcBorders>
              <w:top w:val="single" w:sz="4" w:space="0" w:color="auto"/>
              <w:bottom w:val="single" w:sz="4" w:space="0" w:color="auto"/>
            </w:tcBorders>
          </w:tcPr>
          <w:p>
            <w:pPr>
              <w:pStyle w:val="yTableNAm"/>
            </w:pPr>
            <w:r>
              <w:rPr>
                <w:b/>
                <w:bCs/>
                <w:sz w:val="16"/>
                <w:szCs w:val="16"/>
              </w:rPr>
              <w:t>Wattage</w:t>
            </w:r>
          </w:p>
        </w:tc>
        <w:tc>
          <w:tcPr>
            <w:tcW w:w="1275" w:type="dxa"/>
            <w:gridSpan w:val="2"/>
            <w:tcBorders>
              <w:top w:val="single" w:sz="4" w:space="0" w:color="auto"/>
              <w:bottom w:val="single" w:sz="4" w:space="0" w:color="auto"/>
            </w:tcBorders>
          </w:tcPr>
          <w:p>
            <w:pPr>
              <w:pStyle w:val="yTableNAm"/>
            </w:pPr>
            <w:r>
              <w:rPr>
                <w:b/>
                <w:bCs/>
                <w:sz w:val="16"/>
                <w:szCs w:val="16"/>
              </w:rPr>
              <w:t>Type</w:t>
            </w:r>
          </w:p>
        </w:tc>
        <w:tc>
          <w:tcPr>
            <w:tcW w:w="1299"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81" w:type="dxa"/>
          </w:tcPr>
          <w:p>
            <w:pPr>
              <w:pStyle w:val="yTableNAm"/>
            </w:pPr>
            <w:r>
              <w:rPr>
                <w:sz w:val="16"/>
                <w:szCs w:val="16"/>
              </w:rPr>
              <w:t>50</w:t>
            </w:r>
          </w:p>
        </w:tc>
        <w:tc>
          <w:tcPr>
            <w:tcW w:w="1204" w:type="dxa"/>
          </w:tcPr>
          <w:p>
            <w:pPr>
              <w:pStyle w:val="yTableNAm"/>
            </w:pPr>
            <w:r>
              <w:rPr>
                <w:sz w:val="16"/>
                <w:szCs w:val="16"/>
              </w:rPr>
              <w:t>Mercury vapour</w:t>
            </w:r>
          </w:p>
        </w:tc>
        <w:tc>
          <w:tcPr>
            <w:tcW w:w="1370" w:type="dxa"/>
            <w:gridSpan w:val="2"/>
          </w:tcPr>
          <w:p>
            <w:pPr>
              <w:pStyle w:val="yTableNAm"/>
              <w:rPr>
                <w:sz w:val="16"/>
                <w:szCs w:val="16"/>
              </w:rPr>
            </w:pPr>
            <w:r>
              <w:rPr>
                <w:sz w:val="16"/>
                <w:szCs w:val="16"/>
              </w:rPr>
              <w:t>55.4184</w:t>
            </w:r>
          </w:p>
        </w:tc>
        <w:tc>
          <w:tcPr>
            <w:tcW w:w="1512" w:type="dxa"/>
          </w:tcPr>
          <w:p>
            <w:pPr>
              <w:pStyle w:val="yTableNAm"/>
              <w:rPr>
                <w:sz w:val="16"/>
                <w:szCs w:val="16"/>
              </w:rPr>
            </w:pPr>
            <w:r>
              <w:rPr>
                <w:sz w:val="16"/>
                <w:szCs w:val="16"/>
              </w:rPr>
              <w:t>56.5055</w:t>
            </w:r>
          </w:p>
        </w:tc>
        <w:tc>
          <w:tcPr>
            <w:tcW w:w="1370" w:type="dxa"/>
          </w:tcPr>
          <w:p>
            <w:pPr>
              <w:pStyle w:val="yTableNAm"/>
              <w:rPr>
                <w:sz w:val="16"/>
                <w:szCs w:val="16"/>
              </w:rPr>
            </w:pPr>
            <w:r>
              <w:rPr>
                <w:sz w:val="16"/>
                <w:szCs w:val="16"/>
              </w:rPr>
              <w:t>60.5579</w:t>
            </w:r>
          </w:p>
        </w:tc>
      </w:tr>
      <w:tr>
        <w:trPr>
          <w:cantSplit/>
        </w:trPr>
        <w:tc>
          <w:tcPr>
            <w:tcW w:w="567" w:type="dxa"/>
          </w:tcPr>
          <w:p>
            <w:pPr>
              <w:pStyle w:val="yTableNAm"/>
            </w:pPr>
            <w:r>
              <w:rPr>
                <w:sz w:val="16"/>
                <w:szCs w:val="16"/>
              </w:rPr>
              <w:t>Z.02</w:t>
            </w:r>
          </w:p>
        </w:tc>
        <w:tc>
          <w:tcPr>
            <w:tcW w:w="781" w:type="dxa"/>
          </w:tcPr>
          <w:p>
            <w:pPr>
              <w:pStyle w:val="yTableNAm"/>
            </w:pPr>
            <w:r>
              <w:rPr>
                <w:sz w:val="16"/>
                <w:szCs w:val="16"/>
              </w:rPr>
              <w:t>80</w:t>
            </w:r>
          </w:p>
        </w:tc>
        <w:tc>
          <w:tcPr>
            <w:tcW w:w="1204" w:type="dxa"/>
          </w:tcPr>
          <w:p>
            <w:pPr>
              <w:pStyle w:val="yTableNAm"/>
            </w:pPr>
            <w:r>
              <w:rPr>
                <w:sz w:val="16"/>
                <w:szCs w:val="16"/>
              </w:rPr>
              <w:t>Mercury vapour</w:t>
            </w:r>
          </w:p>
        </w:tc>
        <w:tc>
          <w:tcPr>
            <w:tcW w:w="1370" w:type="dxa"/>
            <w:gridSpan w:val="2"/>
          </w:tcPr>
          <w:p>
            <w:pPr>
              <w:pStyle w:val="yTableNAm"/>
              <w:rPr>
                <w:sz w:val="16"/>
                <w:szCs w:val="16"/>
              </w:rPr>
            </w:pPr>
            <w:r>
              <w:rPr>
                <w:sz w:val="16"/>
                <w:szCs w:val="16"/>
              </w:rPr>
              <w:t>60.8268</w:t>
            </w:r>
          </w:p>
        </w:tc>
        <w:tc>
          <w:tcPr>
            <w:tcW w:w="1512" w:type="dxa"/>
          </w:tcPr>
          <w:p>
            <w:pPr>
              <w:pStyle w:val="yTableNAm"/>
              <w:rPr>
                <w:sz w:val="16"/>
                <w:szCs w:val="16"/>
              </w:rPr>
            </w:pPr>
            <w:r>
              <w:rPr>
                <w:sz w:val="16"/>
                <w:szCs w:val="16"/>
              </w:rPr>
              <w:t>62.1387</w:t>
            </w:r>
          </w:p>
        </w:tc>
        <w:tc>
          <w:tcPr>
            <w:tcW w:w="1370" w:type="dxa"/>
          </w:tcPr>
          <w:p>
            <w:pPr>
              <w:pStyle w:val="yTableNAm"/>
              <w:rPr>
                <w:sz w:val="16"/>
                <w:szCs w:val="16"/>
              </w:rPr>
            </w:pPr>
            <w:r>
              <w:rPr>
                <w:sz w:val="16"/>
                <w:szCs w:val="16"/>
              </w:rPr>
              <w:t>67.4594</w:t>
            </w:r>
          </w:p>
        </w:tc>
      </w:tr>
      <w:tr>
        <w:trPr>
          <w:cantSplit/>
        </w:trPr>
        <w:tc>
          <w:tcPr>
            <w:tcW w:w="567" w:type="dxa"/>
          </w:tcPr>
          <w:p>
            <w:pPr>
              <w:pStyle w:val="yTableNAm"/>
            </w:pPr>
            <w:r>
              <w:rPr>
                <w:sz w:val="16"/>
                <w:szCs w:val="16"/>
              </w:rPr>
              <w:t>Z.03</w:t>
            </w:r>
          </w:p>
        </w:tc>
        <w:tc>
          <w:tcPr>
            <w:tcW w:w="781" w:type="dxa"/>
          </w:tcPr>
          <w:p>
            <w:pPr>
              <w:pStyle w:val="yTableNAm"/>
            </w:pPr>
            <w:r>
              <w:rPr>
                <w:sz w:val="16"/>
                <w:szCs w:val="16"/>
              </w:rPr>
              <w:t>125</w:t>
            </w:r>
          </w:p>
        </w:tc>
        <w:tc>
          <w:tcPr>
            <w:tcW w:w="1204" w:type="dxa"/>
          </w:tcPr>
          <w:p>
            <w:pPr>
              <w:pStyle w:val="yTableNAm"/>
            </w:pPr>
            <w:r>
              <w:rPr>
                <w:sz w:val="16"/>
                <w:szCs w:val="16"/>
              </w:rPr>
              <w:t>Mercury vapour</w:t>
            </w:r>
          </w:p>
        </w:tc>
        <w:tc>
          <w:tcPr>
            <w:tcW w:w="1370" w:type="dxa"/>
            <w:gridSpan w:val="2"/>
          </w:tcPr>
          <w:p>
            <w:pPr>
              <w:pStyle w:val="yTableNAm"/>
              <w:rPr>
                <w:sz w:val="16"/>
                <w:szCs w:val="16"/>
              </w:rPr>
            </w:pPr>
            <w:r>
              <w:rPr>
                <w:sz w:val="16"/>
                <w:szCs w:val="16"/>
              </w:rPr>
              <w:t>68.9273</w:t>
            </w:r>
          </w:p>
        </w:tc>
        <w:tc>
          <w:tcPr>
            <w:tcW w:w="1512" w:type="dxa"/>
          </w:tcPr>
          <w:p>
            <w:pPr>
              <w:pStyle w:val="yTableNAm"/>
              <w:rPr>
                <w:sz w:val="16"/>
                <w:szCs w:val="16"/>
              </w:rPr>
            </w:pPr>
            <w:r>
              <w:rPr>
                <w:sz w:val="16"/>
                <w:szCs w:val="16"/>
              </w:rPr>
              <w:t>71.0592</w:t>
            </w:r>
          </w:p>
        </w:tc>
        <w:tc>
          <w:tcPr>
            <w:tcW w:w="1370" w:type="dxa"/>
          </w:tcPr>
          <w:p>
            <w:pPr>
              <w:pStyle w:val="yTableNAm"/>
              <w:rPr>
                <w:sz w:val="16"/>
                <w:szCs w:val="16"/>
              </w:rPr>
            </w:pPr>
            <w:r>
              <w:rPr>
                <w:sz w:val="16"/>
                <w:szCs w:val="16"/>
              </w:rPr>
              <w:t>78.9903</w:t>
            </w:r>
          </w:p>
        </w:tc>
      </w:tr>
      <w:tr>
        <w:trPr>
          <w:cantSplit/>
        </w:trPr>
        <w:tc>
          <w:tcPr>
            <w:tcW w:w="567" w:type="dxa"/>
          </w:tcPr>
          <w:p>
            <w:pPr>
              <w:pStyle w:val="yTableNAm"/>
            </w:pPr>
            <w:r>
              <w:rPr>
                <w:sz w:val="16"/>
                <w:szCs w:val="16"/>
              </w:rPr>
              <w:t>Z.07</w:t>
            </w:r>
          </w:p>
        </w:tc>
        <w:tc>
          <w:tcPr>
            <w:tcW w:w="781" w:type="dxa"/>
          </w:tcPr>
          <w:p>
            <w:pPr>
              <w:pStyle w:val="yTableNAm"/>
            </w:pPr>
            <w:r>
              <w:rPr>
                <w:sz w:val="16"/>
                <w:szCs w:val="16"/>
              </w:rPr>
              <w:t>250</w:t>
            </w:r>
          </w:p>
        </w:tc>
        <w:tc>
          <w:tcPr>
            <w:tcW w:w="1204" w:type="dxa"/>
          </w:tcPr>
          <w:p>
            <w:pPr>
              <w:pStyle w:val="yTableNAm"/>
            </w:pPr>
            <w:r>
              <w:rPr>
                <w:sz w:val="16"/>
                <w:szCs w:val="16"/>
              </w:rPr>
              <w:t>Mercury vapour</w:t>
            </w:r>
          </w:p>
        </w:tc>
        <w:tc>
          <w:tcPr>
            <w:tcW w:w="1370" w:type="dxa"/>
            <w:gridSpan w:val="2"/>
          </w:tcPr>
          <w:p>
            <w:pPr>
              <w:pStyle w:val="yTableNAm"/>
              <w:rPr>
                <w:sz w:val="16"/>
                <w:szCs w:val="16"/>
              </w:rPr>
            </w:pPr>
            <w:r>
              <w:rPr>
                <w:sz w:val="16"/>
                <w:szCs w:val="16"/>
              </w:rPr>
              <w:t>81.7161</w:t>
            </w:r>
          </w:p>
        </w:tc>
        <w:tc>
          <w:tcPr>
            <w:tcW w:w="1512" w:type="dxa"/>
          </w:tcPr>
          <w:p>
            <w:pPr>
              <w:pStyle w:val="yTableNAm"/>
              <w:rPr>
                <w:sz w:val="16"/>
                <w:szCs w:val="16"/>
              </w:rPr>
            </w:pPr>
            <w:r>
              <w:rPr>
                <w:sz w:val="16"/>
                <w:szCs w:val="16"/>
              </w:rPr>
              <w:t>85.6294</w:t>
            </w:r>
          </w:p>
        </w:tc>
        <w:tc>
          <w:tcPr>
            <w:tcW w:w="1370" w:type="dxa"/>
          </w:tcPr>
          <w:p>
            <w:pPr>
              <w:pStyle w:val="yTableNAm"/>
              <w:rPr>
                <w:sz w:val="16"/>
                <w:szCs w:val="16"/>
              </w:rPr>
            </w:pPr>
            <w:r>
              <w:rPr>
                <w:sz w:val="16"/>
                <w:szCs w:val="16"/>
              </w:rPr>
              <w:t>100.3625</w:t>
            </w:r>
          </w:p>
        </w:tc>
      </w:tr>
      <w:tr>
        <w:trPr>
          <w:cantSplit/>
        </w:trPr>
        <w:tc>
          <w:tcPr>
            <w:tcW w:w="567" w:type="dxa"/>
          </w:tcPr>
          <w:p>
            <w:pPr>
              <w:pStyle w:val="yTableNAm"/>
            </w:pPr>
            <w:r>
              <w:rPr>
                <w:sz w:val="16"/>
                <w:szCs w:val="16"/>
              </w:rPr>
              <w:t>Z.10</w:t>
            </w:r>
          </w:p>
        </w:tc>
        <w:tc>
          <w:tcPr>
            <w:tcW w:w="781" w:type="dxa"/>
          </w:tcPr>
          <w:p>
            <w:pPr>
              <w:pStyle w:val="yTableNAm"/>
            </w:pPr>
            <w:r>
              <w:rPr>
                <w:sz w:val="16"/>
                <w:szCs w:val="16"/>
              </w:rPr>
              <w:t>400</w:t>
            </w:r>
          </w:p>
        </w:tc>
        <w:tc>
          <w:tcPr>
            <w:tcW w:w="1204" w:type="dxa"/>
          </w:tcPr>
          <w:p>
            <w:pPr>
              <w:pStyle w:val="yTableNAm"/>
            </w:pPr>
            <w:r>
              <w:rPr>
                <w:sz w:val="16"/>
                <w:szCs w:val="16"/>
              </w:rPr>
              <w:t>Mercury vapour</w:t>
            </w:r>
          </w:p>
        </w:tc>
        <w:tc>
          <w:tcPr>
            <w:tcW w:w="1370" w:type="dxa"/>
            <w:gridSpan w:val="2"/>
          </w:tcPr>
          <w:p>
            <w:pPr>
              <w:pStyle w:val="yTableNAm"/>
              <w:rPr>
                <w:sz w:val="16"/>
                <w:szCs w:val="16"/>
              </w:rPr>
            </w:pPr>
            <w:r>
              <w:rPr>
                <w:sz w:val="16"/>
                <w:szCs w:val="16"/>
              </w:rPr>
              <w:t>93.8384</w:t>
            </w:r>
          </w:p>
        </w:tc>
        <w:tc>
          <w:tcPr>
            <w:tcW w:w="1512" w:type="dxa"/>
          </w:tcPr>
          <w:p>
            <w:pPr>
              <w:pStyle w:val="yTableNAm"/>
              <w:rPr>
                <w:sz w:val="16"/>
                <w:szCs w:val="16"/>
              </w:rPr>
            </w:pPr>
            <w:r>
              <w:rPr>
                <w:sz w:val="16"/>
                <w:szCs w:val="16"/>
              </w:rPr>
              <w:t>97.8963</w:t>
            </w:r>
          </w:p>
        </w:tc>
        <w:tc>
          <w:tcPr>
            <w:tcW w:w="1370" w:type="dxa"/>
          </w:tcPr>
          <w:p>
            <w:pPr>
              <w:pStyle w:val="yTableNAm"/>
              <w:rPr>
                <w:sz w:val="16"/>
                <w:szCs w:val="16"/>
              </w:rPr>
            </w:pPr>
            <w:r>
              <w:rPr>
                <w:sz w:val="16"/>
                <w:szCs w:val="16"/>
              </w:rPr>
              <w:t>128.1849</w:t>
            </w:r>
          </w:p>
        </w:tc>
      </w:tr>
      <w:tr>
        <w:trPr>
          <w:cantSplit/>
        </w:trPr>
        <w:tc>
          <w:tcPr>
            <w:tcW w:w="567" w:type="dxa"/>
          </w:tcPr>
          <w:p>
            <w:pPr>
              <w:pStyle w:val="yTableNAm"/>
            </w:pPr>
            <w:r>
              <w:rPr>
                <w:sz w:val="16"/>
                <w:szCs w:val="16"/>
              </w:rPr>
              <w:t>Z.13</w:t>
            </w:r>
          </w:p>
        </w:tc>
        <w:tc>
          <w:tcPr>
            <w:tcW w:w="781" w:type="dxa"/>
          </w:tcPr>
          <w:p>
            <w:pPr>
              <w:pStyle w:val="yTableNAm"/>
            </w:pPr>
            <w:r>
              <w:rPr>
                <w:sz w:val="16"/>
                <w:szCs w:val="16"/>
              </w:rPr>
              <w:t>150</w:t>
            </w:r>
          </w:p>
        </w:tc>
        <w:tc>
          <w:tcPr>
            <w:tcW w:w="1204" w:type="dxa"/>
          </w:tcPr>
          <w:p>
            <w:pPr>
              <w:pStyle w:val="yTableNAm"/>
            </w:pPr>
            <w:r>
              <w:rPr>
                <w:sz w:val="16"/>
                <w:szCs w:val="16"/>
              </w:rPr>
              <w:t>High pressure sodium</w:t>
            </w:r>
          </w:p>
        </w:tc>
        <w:tc>
          <w:tcPr>
            <w:tcW w:w="1370" w:type="dxa"/>
            <w:gridSpan w:val="2"/>
          </w:tcPr>
          <w:p>
            <w:pPr>
              <w:pStyle w:val="yTableNAm"/>
              <w:rPr>
                <w:sz w:val="16"/>
                <w:szCs w:val="16"/>
              </w:rPr>
            </w:pPr>
            <w:r>
              <w:rPr>
                <w:sz w:val="16"/>
                <w:szCs w:val="16"/>
              </w:rPr>
              <w:t>68.7780</w:t>
            </w:r>
          </w:p>
        </w:tc>
        <w:tc>
          <w:tcPr>
            <w:tcW w:w="1512" w:type="dxa"/>
          </w:tcPr>
          <w:p>
            <w:pPr>
              <w:pStyle w:val="yTableNAm"/>
              <w:rPr>
                <w:sz w:val="16"/>
                <w:szCs w:val="16"/>
              </w:rPr>
            </w:pPr>
            <w:r>
              <w:rPr>
                <w:sz w:val="16"/>
                <w:szCs w:val="16"/>
              </w:rPr>
              <w:t>71.0703</w:t>
            </w:r>
          </w:p>
        </w:tc>
        <w:tc>
          <w:tcPr>
            <w:tcW w:w="1370" w:type="dxa"/>
          </w:tcPr>
          <w:p>
            <w:pPr>
              <w:pStyle w:val="yTableNAm"/>
              <w:rPr>
                <w:sz w:val="16"/>
                <w:szCs w:val="16"/>
              </w:rPr>
            </w:pPr>
            <w:r>
              <w:rPr>
                <w:sz w:val="16"/>
                <w:szCs w:val="16"/>
              </w:rPr>
              <w:t>81.2804</w:t>
            </w:r>
          </w:p>
        </w:tc>
      </w:tr>
      <w:tr>
        <w:trPr>
          <w:cantSplit/>
        </w:trPr>
        <w:tc>
          <w:tcPr>
            <w:tcW w:w="567" w:type="dxa"/>
          </w:tcPr>
          <w:p>
            <w:pPr>
              <w:pStyle w:val="yTableNAm"/>
            </w:pPr>
            <w:r>
              <w:rPr>
                <w:sz w:val="16"/>
                <w:szCs w:val="16"/>
              </w:rPr>
              <w:t>Z.15</w:t>
            </w:r>
          </w:p>
        </w:tc>
        <w:tc>
          <w:tcPr>
            <w:tcW w:w="781" w:type="dxa"/>
          </w:tcPr>
          <w:p>
            <w:pPr>
              <w:pStyle w:val="yTableNAm"/>
            </w:pPr>
            <w:r>
              <w:rPr>
                <w:sz w:val="16"/>
                <w:szCs w:val="16"/>
              </w:rPr>
              <w:t>250</w:t>
            </w:r>
          </w:p>
        </w:tc>
        <w:tc>
          <w:tcPr>
            <w:tcW w:w="1204" w:type="dxa"/>
          </w:tcPr>
          <w:p>
            <w:pPr>
              <w:pStyle w:val="yTableNAm"/>
            </w:pPr>
            <w:r>
              <w:rPr>
                <w:sz w:val="16"/>
                <w:szCs w:val="16"/>
              </w:rPr>
              <w:t>High pressure sodium</w:t>
            </w:r>
          </w:p>
        </w:tc>
        <w:tc>
          <w:tcPr>
            <w:tcW w:w="1370" w:type="dxa"/>
            <w:gridSpan w:val="2"/>
          </w:tcPr>
          <w:p>
            <w:pPr>
              <w:pStyle w:val="yTableNAm"/>
              <w:rPr>
                <w:sz w:val="16"/>
                <w:szCs w:val="16"/>
              </w:rPr>
            </w:pPr>
            <w:r>
              <w:rPr>
                <w:sz w:val="16"/>
                <w:szCs w:val="16"/>
              </w:rPr>
              <w:t>84.0974</w:t>
            </w:r>
          </w:p>
        </w:tc>
        <w:tc>
          <w:tcPr>
            <w:tcW w:w="1512" w:type="dxa"/>
          </w:tcPr>
          <w:p>
            <w:pPr>
              <w:pStyle w:val="yTableNAm"/>
              <w:rPr>
                <w:sz w:val="16"/>
                <w:szCs w:val="16"/>
              </w:rPr>
            </w:pPr>
            <w:r>
              <w:rPr>
                <w:sz w:val="16"/>
                <w:szCs w:val="16"/>
              </w:rPr>
              <w:t>88.3285</w:t>
            </w:r>
          </w:p>
        </w:tc>
        <w:tc>
          <w:tcPr>
            <w:tcW w:w="1370" w:type="dxa"/>
          </w:tcPr>
          <w:p>
            <w:pPr>
              <w:pStyle w:val="yTableNAm"/>
              <w:rPr>
                <w:sz w:val="16"/>
                <w:szCs w:val="16"/>
              </w:rPr>
            </w:pPr>
            <w:r>
              <w:rPr>
                <w:sz w:val="16"/>
                <w:szCs w:val="16"/>
              </w:rPr>
              <w:t>104.4795</w:t>
            </w:r>
          </w:p>
        </w:tc>
      </w:tr>
      <w:tr>
        <w:trPr>
          <w:cantSplit/>
        </w:trPr>
        <w:tc>
          <w:tcPr>
            <w:tcW w:w="567" w:type="dxa"/>
          </w:tcPr>
          <w:p>
            <w:pPr>
              <w:pStyle w:val="yTableNAm"/>
            </w:pPr>
            <w:r>
              <w:rPr>
                <w:sz w:val="16"/>
                <w:szCs w:val="16"/>
              </w:rPr>
              <w:t>Z.18</w:t>
            </w:r>
          </w:p>
        </w:tc>
        <w:tc>
          <w:tcPr>
            <w:tcW w:w="781" w:type="dxa"/>
          </w:tcPr>
          <w:p>
            <w:pPr>
              <w:pStyle w:val="yTableNAm"/>
            </w:pPr>
            <w:r>
              <w:rPr>
                <w:sz w:val="16"/>
                <w:szCs w:val="16"/>
              </w:rPr>
              <w:t>per kW</w:t>
            </w:r>
          </w:p>
        </w:tc>
        <w:tc>
          <w:tcPr>
            <w:tcW w:w="1204" w:type="dxa"/>
          </w:tcPr>
          <w:p>
            <w:pPr>
              <w:pStyle w:val="yTableNAm"/>
            </w:pPr>
            <w:r>
              <w:rPr>
                <w:sz w:val="16"/>
                <w:szCs w:val="16"/>
              </w:rPr>
              <w:t>Auxiliary lighting in public places</w:t>
            </w:r>
          </w:p>
        </w:tc>
        <w:tc>
          <w:tcPr>
            <w:tcW w:w="1370" w:type="dxa"/>
            <w:gridSpan w:val="2"/>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r>
              <w:rPr>
                <w:sz w:val="16"/>
                <w:szCs w:val="16"/>
              </w:rPr>
              <w:t>304.5760</w:t>
            </w:r>
          </w:p>
        </w:tc>
      </w:tr>
      <w:tr>
        <w:trPr>
          <w:cantSplit/>
        </w:trPr>
        <w:tc>
          <w:tcPr>
            <w:tcW w:w="567" w:type="dxa"/>
          </w:tcPr>
          <w:p>
            <w:pPr>
              <w:pStyle w:val="yTableNAm"/>
              <w:rPr>
                <w:sz w:val="16"/>
                <w:szCs w:val="16"/>
              </w:rPr>
            </w:pPr>
            <w:r>
              <w:rPr>
                <w:sz w:val="16"/>
                <w:szCs w:val="16"/>
              </w:rPr>
              <w:t>Z.59</w:t>
            </w:r>
          </w:p>
        </w:tc>
        <w:tc>
          <w:tcPr>
            <w:tcW w:w="781" w:type="dxa"/>
          </w:tcPr>
          <w:p>
            <w:pPr>
              <w:pStyle w:val="yTableNAm"/>
              <w:rPr>
                <w:sz w:val="16"/>
                <w:szCs w:val="16"/>
              </w:rPr>
            </w:pPr>
            <w:r>
              <w:rPr>
                <w:sz w:val="16"/>
                <w:szCs w:val="16"/>
              </w:rPr>
              <w:t>66</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56.5873</w:t>
            </w:r>
          </w:p>
        </w:tc>
        <w:tc>
          <w:tcPr>
            <w:tcW w:w="1512" w:type="dxa"/>
            <w:vAlign w:val="bottom"/>
          </w:tcPr>
          <w:p>
            <w:pPr>
              <w:pStyle w:val="yTableNAm"/>
              <w:rPr>
                <w:sz w:val="16"/>
                <w:szCs w:val="16"/>
              </w:rPr>
            </w:pPr>
            <w:r>
              <w:rPr>
                <w:sz w:val="16"/>
                <w:szCs w:val="16"/>
              </w:rPr>
              <w:t>57.6988</w:t>
            </w:r>
          </w:p>
        </w:tc>
        <w:tc>
          <w:tcPr>
            <w:tcW w:w="1370" w:type="dxa"/>
          </w:tcPr>
          <w:p>
            <w:pPr>
              <w:pStyle w:val="yTableNAm"/>
              <w:rPr>
                <w:sz w:val="16"/>
                <w:szCs w:val="16"/>
              </w:rPr>
            </w:pPr>
            <w:r>
              <w:rPr>
                <w:sz w:val="16"/>
                <w:szCs w:val="16"/>
              </w:rPr>
              <w:t>61.1836</w:t>
            </w:r>
          </w:p>
        </w:tc>
      </w:tr>
      <w:tr>
        <w:trPr>
          <w:cantSplit/>
        </w:trPr>
        <w:tc>
          <w:tcPr>
            <w:tcW w:w="567" w:type="dxa"/>
          </w:tcPr>
          <w:p>
            <w:pPr>
              <w:pStyle w:val="yTableNAm"/>
              <w:rPr>
                <w:sz w:val="16"/>
                <w:szCs w:val="16"/>
              </w:rPr>
            </w:pPr>
            <w:r>
              <w:rPr>
                <w:sz w:val="16"/>
                <w:szCs w:val="16"/>
              </w:rPr>
              <w:t>Z.60</w:t>
            </w:r>
          </w:p>
        </w:tc>
        <w:tc>
          <w:tcPr>
            <w:tcW w:w="781" w:type="dxa"/>
          </w:tcPr>
          <w:p>
            <w:pPr>
              <w:pStyle w:val="yTableNAm"/>
              <w:rPr>
                <w:sz w:val="16"/>
                <w:szCs w:val="16"/>
              </w:rPr>
            </w:pPr>
            <w:r>
              <w:rPr>
                <w:sz w:val="16"/>
                <w:szCs w:val="16"/>
              </w:rPr>
              <w:t>132</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68.9760</w:t>
            </w:r>
          </w:p>
        </w:tc>
        <w:tc>
          <w:tcPr>
            <w:tcW w:w="1512" w:type="dxa"/>
            <w:vAlign w:val="bottom"/>
          </w:tcPr>
          <w:p>
            <w:pPr>
              <w:pStyle w:val="yTableNAm"/>
              <w:rPr>
                <w:sz w:val="16"/>
                <w:szCs w:val="16"/>
              </w:rPr>
            </w:pPr>
            <w:r>
              <w:rPr>
                <w:sz w:val="16"/>
                <w:szCs w:val="16"/>
              </w:rPr>
              <w:t>71.7865</w:t>
            </w:r>
          </w:p>
        </w:tc>
        <w:tc>
          <w:tcPr>
            <w:tcW w:w="1370" w:type="dxa"/>
          </w:tcPr>
          <w:p>
            <w:pPr>
              <w:pStyle w:val="yTableNAm"/>
              <w:rPr>
                <w:sz w:val="16"/>
                <w:szCs w:val="16"/>
              </w:rPr>
            </w:pPr>
            <w:r>
              <w:rPr>
                <w:sz w:val="16"/>
                <w:szCs w:val="16"/>
              </w:rPr>
              <w:t>83.9256</w:t>
            </w:r>
          </w:p>
        </w:tc>
      </w:tr>
      <w:tr>
        <w:trPr>
          <w:cantSplit/>
        </w:trPr>
        <w:tc>
          <w:tcPr>
            <w:tcW w:w="567" w:type="dxa"/>
          </w:tcPr>
          <w:p>
            <w:pPr>
              <w:pStyle w:val="yTableNAm"/>
              <w:rPr>
                <w:sz w:val="16"/>
                <w:szCs w:val="16"/>
              </w:rPr>
            </w:pPr>
            <w:r>
              <w:rPr>
                <w:sz w:val="16"/>
                <w:szCs w:val="16"/>
              </w:rPr>
              <w:t>Z.61</w:t>
            </w:r>
          </w:p>
        </w:tc>
        <w:tc>
          <w:tcPr>
            <w:tcW w:w="781" w:type="dxa"/>
          </w:tcPr>
          <w:p>
            <w:pPr>
              <w:pStyle w:val="yTableNAm"/>
              <w:rPr>
                <w:sz w:val="16"/>
                <w:szCs w:val="16"/>
              </w:rPr>
            </w:pPr>
            <w:r>
              <w:rPr>
                <w:sz w:val="16"/>
                <w:szCs w:val="16"/>
              </w:rPr>
              <w:t>198</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71.2263</w:t>
            </w:r>
          </w:p>
        </w:tc>
        <w:tc>
          <w:tcPr>
            <w:tcW w:w="1512" w:type="dxa"/>
          </w:tcPr>
          <w:p>
            <w:pPr>
              <w:pStyle w:val="yTableNAm"/>
              <w:rPr>
                <w:sz w:val="16"/>
                <w:szCs w:val="16"/>
              </w:rPr>
            </w:pPr>
            <w:r>
              <w:rPr>
                <w:sz w:val="16"/>
                <w:szCs w:val="16"/>
              </w:rPr>
              <w:t>74.8806</w:t>
            </w:r>
          </w:p>
        </w:tc>
        <w:tc>
          <w:tcPr>
            <w:tcW w:w="1370" w:type="dxa"/>
          </w:tcPr>
          <w:p>
            <w:pPr>
              <w:pStyle w:val="yTableNAm"/>
              <w:rPr>
                <w:sz w:val="16"/>
                <w:szCs w:val="16"/>
              </w:rPr>
            </w:pPr>
            <w:r>
              <w:rPr>
                <w:sz w:val="16"/>
                <w:szCs w:val="16"/>
              </w:rPr>
              <w:t>90.6758</w:t>
            </w:r>
          </w:p>
        </w:tc>
      </w:tr>
      <w:tr>
        <w:trPr>
          <w:cantSplit/>
        </w:trPr>
        <w:tc>
          <w:tcPr>
            <w:tcW w:w="567" w:type="dxa"/>
          </w:tcPr>
          <w:p>
            <w:pPr>
              <w:pStyle w:val="yTableNAm"/>
              <w:rPr>
                <w:sz w:val="16"/>
                <w:szCs w:val="16"/>
              </w:rPr>
            </w:pPr>
            <w:r>
              <w:rPr>
                <w:sz w:val="16"/>
                <w:szCs w:val="16"/>
              </w:rPr>
              <w:t>Z.62</w:t>
            </w:r>
          </w:p>
        </w:tc>
        <w:tc>
          <w:tcPr>
            <w:tcW w:w="781" w:type="dxa"/>
          </w:tcPr>
          <w:p>
            <w:pPr>
              <w:pStyle w:val="yTableNAm"/>
              <w:rPr>
                <w:sz w:val="16"/>
                <w:szCs w:val="16"/>
              </w:rPr>
            </w:pPr>
            <w:r>
              <w:rPr>
                <w:sz w:val="16"/>
                <w:szCs w:val="16"/>
              </w:rPr>
              <w:t>25</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53.9806</w:t>
            </w:r>
          </w:p>
        </w:tc>
        <w:tc>
          <w:tcPr>
            <w:tcW w:w="1512" w:type="dxa"/>
          </w:tcPr>
          <w:p>
            <w:pPr>
              <w:pStyle w:val="yTableNAm"/>
              <w:rPr>
                <w:sz w:val="16"/>
                <w:szCs w:val="16"/>
              </w:rPr>
            </w:pPr>
            <w:r>
              <w:rPr>
                <w:sz w:val="16"/>
                <w:szCs w:val="16"/>
              </w:rPr>
              <w:t>54.4648</w:t>
            </w:r>
          </w:p>
        </w:tc>
        <w:tc>
          <w:tcPr>
            <w:tcW w:w="1370" w:type="dxa"/>
          </w:tcPr>
          <w:p>
            <w:pPr>
              <w:pStyle w:val="yTableNAm"/>
              <w:rPr>
                <w:sz w:val="16"/>
                <w:szCs w:val="16"/>
              </w:rPr>
            </w:pPr>
            <w:r>
              <w:rPr>
                <w:sz w:val="16"/>
                <w:szCs w:val="16"/>
              </w:rPr>
              <w:t>55.5710</w:t>
            </w:r>
          </w:p>
        </w:tc>
      </w:tr>
      <w:tr>
        <w:trPr>
          <w:cantSplit/>
        </w:trPr>
        <w:tc>
          <w:tcPr>
            <w:tcW w:w="567" w:type="dxa"/>
          </w:tcPr>
          <w:p>
            <w:pPr>
              <w:pStyle w:val="yTableNAm"/>
              <w:rPr>
                <w:sz w:val="16"/>
                <w:szCs w:val="16"/>
              </w:rPr>
            </w:pPr>
            <w:r>
              <w:rPr>
                <w:sz w:val="16"/>
                <w:szCs w:val="16"/>
              </w:rPr>
              <w:t>Z.63</w:t>
            </w:r>
          </w:p>
        </w:tc>
        <w:tc>
          <w:tcPr>
            <w:tcW w:w="781" w:type="dxa"/>
          </w:tcPr>
          <w:p>
            <w:pPr>
              <w:pStyle w:val="yTableNAm"/>
              <w:rPr>
                <w:sz w:val="16"/>
                <w:szCs w:val="16"/>
              </w:rPr>
            </w:pPr>
            <w:r>
              <w:rPr>
                <w:sz w:val="16"/>
                <w:szCs w:val="16"/>
              </w:rPr>
              <w:t>120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64.3275</w:t>
            </w:r>
          </w:p>
        </w:tc>
        <w:tc>
          <w:tcPr>
            <w:tcW w:w="1512" w:type="dxa"/>
          </w:tcPr>
          <w:p>
            <w:pPr>
              <w:pStyle w:val="yTableNAm"/>
              <w:rPr>
                <w:sz w:val="16"/>
                <w:szCs w:val="16"/>
              </w:rPr>
            </w:pPr>
            <w:r>
              <w:rPr>
                <w:sz w:val="16"/>
                <w:szCs w:val="16"/>
              </w:rPr>
              <w:t>66.0501</w:t>
            </w:r>
          </w:p>
        </w:tc>
        <w:tc>
          <w:tcPr>
            <w:tcW w:w="1370" w:type="dxa"/>
          </w:tcPr>
          <w:p>
            <w:pPr>
              <w:pStyle w:val="yTableNAm"/>
              <w:rPr>
                <w:sz w:val="16"/>
                <w:szCs w:val="16"/>
              </w:rPr>
            </w:pPr>
            <w:r>
              <w:rPr>
                <w:sz w:val="16"/>
                <w:szCs w:val="16"/>
              </w:rPr>
              <w:t>73.7957</w:t>
            </w:r>
          </w:p>
        </w:tc>
      </w:tr>
      <w:tr>
        <w:trPr>
          <w:cantSplit/>
        </w:trPr>
        <w:tc>
          <w:tcPr>
            <w:tcW w:w="567" w:type="dxa"/>
          </w:tcPr>
          <w:p>
            <w:pPr>
              <w:pStyle w:val="yTableNAm"/>
              <w:rPr>
                <w:sz w:val="16"/>
                <w:szCs w:val="16"/>
              </w:rPr>
            </w:pPr>
            <w:r>
              <w:rPr>
                <w:sz w:val="16"/>
                <w:szCs w:val="16"/>
              </w:rPr>
              <w:t>Z.64</w:t>
            </w:r>
          </w:p>
        </w:tc>
        <w:tc>
          <w:tcPr>
            <w:tcW w:w="781" w:type="dxa"/>
          </w:tcPr>
          <w:p>
            <w:pPr>
              <w:pStyle w:val="yTableNAm"/>
              <w:rPr>
                <w:sz w:val="16"/>
                <w:szCs w:val="16"/>
              </w:rPr>
            </w:pPr>
            <w:r>
              <w:rPr>
                <w:sz w:val="16"/>
                <w:szCs w:val="16"/>
              </w:rPr>
              <w:t>180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71.0852</w:t>
            </w:r>
          </w:p>
        </w:tc>
        <w:tc>
          <w:tcPr>
            <w:tcW w:w="1512" w:type="dxa"/>
          </w:tcPr>
          <w:p>
            <w:pPr>
              <w:pStyle w:val="yTableNAm"/>
              <w:rPr>
                <w:sz w:val="16"/>
                <w:szCs w:val="16"/>
              </w:rPr>
            </w:pPr>
            <w:r>
              <w:rPr>
                <w:sz w:val="16"/>
                <w:szCs w:val="16"/>
              </w:rPr>
              <w:t>74.7039</w:t>
            </w:r>
          </w:p>
        </w:tc>
        <w:tc>
          <w:tcPr>
            <w:tcW w:w="1370" w:type="dxa"/>
          </w:tcPr>
          <w:p>
            <w:pPr>
              <w:pStyle w:val="yTableNAm"/>
              <w:rPr>
                <w:sz w:val="16"/>
                <w:szCs w:val="16"/>
              </w:rPr>
            </w:pPr>
            <w:r>
              <w:rPr>
                <w:sz w:val="16"/>
                <w:szCs w:val="16"/>
              </w:rPr>
              <w:t>90.3473</w:t>
            </w:r>
          </w:p>
        </w:tc>
      </w:tr>
      <w:tr>
        <w:trPr>
          <w:cantSplit/>
        </w:trPr>
        <w:tc>
          <w:tcPr>
            <w:tcW w:w="567" w:type="dxa"/>
          </w:tcPr>
          <w:p>
            <w:pPr>
              <w:pStyle w:val="yTableNAm"/>
              <w:rPr>
                <w:sz w:val="16"/>
                <w:szCs w:val="16"/>
              </w:rPr>
            </w:pPr>
            <w:r>
              <w:rPr>
                <w:sz w:val="16"/>
                <w:szCs w:val="16"/>
              </w:rPr>
              <w:t>Z.65</w:t>
            </w:r>
          </w:p>
        </w:tc>
        <w:tc>
          <w:tcPr>
            <w:tcW w:w="781" w:type="dxa"/>
          </w:tcPr>
          <w:p>
            <w:pPr>
              <w:pStyle w:val="yTableNAm"/>
              <w:rPr>
                <w:sz w:val="16"/>
                <w:szCs w:val="16"/>
              </w:rPr>
            </w:pPr>
            <w:r>
              <w:rPr>
                <w:sz w:val="16"/>
                <w:szCs w:val="16"/>
              </w:rPr>
              <w:t>18</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52.9954</w:t>
            </w:r>
          </w:p>
        </w:tc>
        <w:tc>
          <w:tcPr>
            <w:tcW w:w="1512" w:type="dxa"/>
          </w:tcPr>
          <w:p>
            <w:pPr>
              <w:pStyle w:val="yTableNAm"/>
              <w:rPr>
                <w:sz w:val="16"/>
                <w:szCs w:val="16"/>
              </w:rPr>
            </w:pPr>
            <w:r>
              <w:rPr>
                <w:sz w:val="16"/>
                <w:szCs w:val="16"/>
              </w:rPr>
              <w:t>53.2558</w:t>
            </w:r>
          </w:p>
        </w:tc>
        <w:tc>
          <w:tcPr>
            <w:tcW w:w="1370" w:type="dxa"/>
          </w:tcPr>
          <w:p>
            <w:pPr>
              <w:pStyle w:val="yTableNAm"/>
              <w:rPr>
                <w:sz w:val="16"/>
                <w:szCs w:val="16"/>
              </w:rPr>
            </w:pPr>
            <w:r>
              <w:rPr>
                <w:sz w:val="16"/>
                <w:szCs w:val="16"/>
              </w:rPr>
              <w:t>53.5358</w:t>
            </w:r>
          </w:p>
        </w:tc>
      </w:tr>
      <w:tr>
        <w:trPr>
          <w:cantSplit/>
        </w:trPr>
        <w:tc>
          <w:tcPr>
            <w:tcW w:w="567" w:type="dxa"/>
          </w:tcPr>
          <w:p>
            <w:pPr>
              <w:pStyle w:val="yTableNAm"/>
              <w:rPr>
                <w:sz w:val="16"/>
                <w:szCs w:val="16"/>
              </w:rPr>
            </w:pPr>
            <w:r>
              <w:rPr>
                <w:sz w:val="16"/>
                <w:szCs w:val="16"/>
              </w:rPr>
              <w:t>Z.66</w:t>
            </w:r>
          </w:p>
        </w:tc>
        <w:tc>
          <w:tcPr>
            <w:tcW w:w="781" w:type="dxa"/>
          </w:tcPr>
          <w:p>
            <w:pPr>
              <w:pStyle w:val="yTableNAm"/>
              <w:rPr>
                <w:sz w:val="16"/>
                <w:szCs w:val="16"/>
              </w:rPr>
            </w:pPr>
            <w:r>
              <w:rPr>
                <w:sz w:val="16"/>
                <w:szCs w:val="16"/>
              </w:rPr>
              <w:t>20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53.1574</w:t>
            </w:r>
          </w:p>
        </w:tc>
        <w:tc>
          <w:tcPr>
            <w:tcW w:w="1512" w:type="dxa"/>
          </w:tcPr>
          <w:p>
            <w:pPr>
              <w:pStyle w:val="yTableNAm"/>
              <w:rPr>
                <w:sz w:val="16"/>
                <w:szCs w:val="16"/>
              </w:rPr>
            </w:pPr>
            <w:r>
              <w:rPr>
                <w:sz w:val="16"/>
                <w:szCs w:val="16"/>
              </w:rPr>
              <w:t>53.4546</w:t>
            </w:r>
          </w:p>
        </w:tc>
        <w:tc>
          <w:tcPr>
            <w:tcW w:w="1370" w:type="dxa"/>
          </w:tcPr>
          <w:p>
            <w:pPr>
              <w:pStyle w:val="yTableNAm"/>
              <w:rPr>
                <w:sz w:val="16"/>
                <w:szCs w:val="16"/>
              </w:rPr>
            </w:pPr>
            <w:r>
              <w:rPr>
                <w:sz w:val="16"/>
                <w:szCs w:val="16"/>
              </w:rPr>
              <w:t>53.8704</w:t>
            </w:r>
          </w:p>
        </w:tc>
      </w:tr>
      <w:tr>
        <w:trPr>
          <w:cantSplit/>
        </w:trPr>
        <w:tc>
          <w:tcPr>
            <w:tcW w:w="567" w:type="dxa"/>
          </w:tcPr>
          <w:p>
            <w:pPr>
              <w:pStyle w:val="yTableNAm"/>
              <w:rPr>
                <w:sz w:val="16"/>
                <w:szCs w:val="16"/>
              </w:rPr>
            </w:pPr>
            <w:r>
              <w:rPr>
                <w:sz w:val="16"/>
                <w:szCs w:val="16"/>
              </w:rPr>
              <w:t>Z.67</w:t>
            </w:r>
          </w:p>
        </w:tc>
        <w:tc>
          <w:tcPr>
            <w:tcW w:w="781" w:type="dxa"/>
          </w:tcPr>
          <w:p>
            <w:pPr>
              <w:pStyle w:val="yTableNAm"/>
              <w:rPr>
                <w:sz w:val="16"/>
                <w:szCs w:val="16"/>
              </w:rPr>
            </w:pPr>
            <w:r>
              <w:rPr>
                <w:sz w:val="16"/>
                <w:szCs w:val="16"/>
              </w:rPr>
              <w:t>53</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56.0733</w:t>
            </w:r>
          </w:p>
        </w:tc>
        <w:tc>
          <w:tcPr>
            <w:tcW w:w="1512" w:type="dxa"/>
          </w:tcPr>
          <w:p>
            <w:pPr>
              <w:pStyle w:val="yTableNAm"/>
              <w:rPr>
                <w:sz w:val="16"/>
                <w:szCs w:val="16"/>
              </w:rPr>
            </w:pPr>
            <w:r>
              <w:rPr>
                <w:sz w:val="16"/>
                <w:szCs w:val="16"/>
              </w:rPr>
              <w:t>57.0637</w:t>
            </w:r>
          </w:p>
        </w:tc>
        <w:tc>
          <w:tcPr>
            <w:tcW w:w="1370" w:type="dxa"/>
          </w:tcPr>
          <w:p>
            <w:pPr>
              <w:pStyle w:val="yTableNAm"/>
              <w:rPr>
                <w:sz w:val="16"/>
                <w:szCs w:val="16"/>
              </w:rPr>
            </w:pPr>
            <w:r>
              <w:rPr>
                <w:sz w:val="16"/>
                <w:szCs w:val="16"/>
              </w:rPr>
              <w:t>60.0879</w:t>
            </w:r>
          </w:p>
        </w:tc>
      </w:tr>
      <w:tr>
        <w:trPr>
          <w:cantSplit/>
        </w:trPr>
        <w:tc>
          <w:tcPr>
            <w:tcW w:w="567" w:type="dxa"/>
          </w:tcPr>
          <w:p>
            <w:pPr>
              <w:pStyle w:val="yTableNAm"/>
              <w:rPr>
                <w:sz w:val="16"/>
                <w:szCs w:val="16"/>
              </w:rPr>
            </w:pPr>
            <w:r>
              <w:rPr>
                <w:sz w:val="16"/>
                <w:szCs w:val="16"/>
              </w:rPr>
              <w:t>Z.68</w:t>
            </w:r>
          </w:p>
        </w:tc>
        <w:tc>
          <w:tcPr>
            <w:tcW w:w="781" w:type="dxa"/>
          </w:tcPr>
          <w:p>
            <w:pPr>
              <w:pStyle w:val="yTableNAm"/>
              <w:rPr>
                <w:sz w:val="16"/>
                <w:szCs w:val="16"/>
              </w:rPr>
            </w:pPr>
            <w:r>
              <w:rPr>
                <w:sz w:val="16"/>
                <w:szCs w:val="16"/>
              </w:rPr>
              <w:t>80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57.1986</w:t>
            </w:r>
          </w:p>
        </w:tc>
        <w:tc>
          <w:tcPr>
            <w:tcW w:w="1512" w:type="dxa"/>
          </w:tcPr>
          <w:p>
            <w:pPr>
              <w:pStyle w:val="yTableNAm"/>
              <w:rPr>
                <w:sz w:val="16"/>
                <w:szCs w:val="16"/>
              </w:rPr>
            </w:pPr>
            <w:r>
              <w:rPr>
                <w:sz w:val="16"/>
                <w:szCs w:val="16"/>
              </w:rPr>
              <w:t>58.4539</w:t>
            </w:r>
          </w:p>
        </w:tc>
        <w:tc>
          <w:tcPr>
            <w:tcW w:w="1370" w:type="dxa"/>
          </w:tcPr>
          <w:p>
            <w:pPr>
              <w:pStyle w:val="yTableNAm"/>
              <w:rPr>
                <w:sz w:val="16"/>
                <w:szCs w:val="16"/>
              </w:rPr>
            </w:pPr>
            <w:r>
              <w:rPr>
                <w:sz w:val="16"/>
                <w:szCs w:val="16"/>
              </w:rPr>
              <w:t>62.4867</w:t>
            </w:r>
          </w:p>
        </w:tc>
      </w:tr>
      <w:tr>
        <w:trPr>
          <w:cantSplit/>
        </w:trPr>
        <w:tc>
          <w:tcPr>
            <w:tcW w:w="567" w:type="dxa"/>
          </w:tcPr>
          <w:p>
            <w:pPr>
              <w:pStyle w:val="yTableNAm"/>
              <w:rPr>
                <w:sz w:val="16"/>
                <w:szCs w:val="16"/>
              </w:rPr>
            </w:pPr>
            <w:r>
              <w:rPr>
                <w:sz w:val="16"/>
                <w:szCs w:val="16"/>
              </w:rPr>
              <w:t>Z.69</w:t>
            </w:r>
          </w:p>
        </w:tc>
        <w:tc>
          <w:tcPr>
            <w:tcW w:w="781" w:type="dxa"/>
          </w:tcPr>
          <w:p>
            <w:pPr>
              <w:pStyle w:val="yTableNAm"/>
              <w:rPr>
                <w:sz w:val="16"/>
                <w:szCs w:val="16"/>
              </w:rPr>
            </w:pPr>
            <w:r>
              <w:rPr>
                <w:sz w:val="16"/>
                <w:szCs w:val="16"/>
              </w:rPr>
              <w:t>160</w:t>
            </w:r>
          </w:p>
        </w:tc>
        <w:tc>
          <w:tcPr>
            <w:tcW w:w="1204" w:type="dxa"/>
          </w:tcPr>
          <w:p>
            <w:pPr>
              <w:pStyle w:val="yTableNAm"/>
              <w:rPr>
                <w:sz w:val="16"/>
                <w:szCs w:val="16"/>
              </w:rPr>
            </w:pPr>
            <w:r>
              <w:rPr>
                <w:sz w:val="16"/>
                <w:szCs w:val="16"/>
              </w:rPr>
              <w:t>LED</w:t>
            </w:r>
          </w:p>
        </w:tc>
        <w:tc>
          <w:tcPr>
            <w:tcW w:w="1370" w:type="dxa"/>
            <w:gridSpan w:val="2"/>
          </w:tcPr>
          <w:p>
            <w:pPr>
              <w:pStyle w:val="yTableNAm"/>
              <w:rPr>
                <w:sz w:val="16"/>
                <w:szCs w:val="16"/>
              </w:rPr>
            </w:pPr>
            <w:r>
              <w:rPr>
                <w:sz w:val="16"/>
                <w:szCs w:val="16"/>
              </w:rPr>
              <w:t>66.1452</w:t>
            </w:r>
          </w:p>
        </w:tc>
        <w:tc>
          <w:tcPr>
            <w:tcW w:w="1512" w:type="dxa"/>
          </w:tcPr>
          <w:p>
            <w:pPr>
              <w:pStyle w:val="yTableNAm"/>
              <w:rPr>
                <w:sz w:val="16"/>
                <w:szCs w:val="16"/>
              </w:rPr>
            </w:pPr>
            <w:r>
              <w:rPr>
                <w:sz w:val="16"/>
                <w:szCs w:val="16"/>
              </w:rPr>
              <w:t>68.2934</w:t>
            </w:r>
          </w:p>
        </w:tc>
        <w:tc>
          <w:tcPr>
            <w:tcW w:w="1370" w:type="dxa"/>
          </w:tcPr>
          <w:p>
            <w:pPr>
              <w:pStyle w:val="yTableNAm"/>
              <w:rPr>
                <w:sz w:val="16"/>
                <w:szCs w:val="16"/>
              </w:rPr>
            </w:pPr>
            <w:r>
              <w:rPr>
                <w:sz w:val="16"/>
                <w:szCs w:val="16"/>
              </w:rPr>
              <w:t>77.7571</w:t>
            </w:r>
          </w:p>
        </w:tc>
      </w:tr>
      <w:tr>
        <w:trPr>
          <w:cantSplit/>
        </w:trPr>
        <w:tc>
          <w:tcPr>
            <w:tcW w:w="6804" w:type="dxa"/>
            <w:gridSpan w:val="7"/>
          </w:tcPr>
          <w:p>
            <w:pPr>
              <w:pStyle w:val="yTableNAm"/>
              <w:keepNext/>
            </w:pPr>
            <w:r>
              <w:rPr>
                <w:b/>
                <w:i/>
                <w:iCs/>
                <w:sz w:val="16"/>
                <w:szCs w:val="16"/>
              </w:rPr>
              <w:lastRenderedPageBreak/>
              <w:t>Street lighting for existing services only</w:t>
            </w:r>
          </w:p>
        </w:tc>
      </w:tr>
      <w:tr>
        <w:trPr>
          <w:cantSplit/>
        </w:trPr>
        <w:tc>
          <w:tcPr>
            <w:tcW w:w="567" w:type="dxa"/>
          </w:tcPr>
          <w:p>
            <w:pPr>
              <w:pStyle w:val="yTableNAm"/>
              <w:keepNext/>
            </w:pPr>
            <w:r>
              <w:rPr>
                <w:sz w:val="16"/>
                <w:szCs w:val="16"/>
              </w:rPr>
              <w:t>Z.52</w:t>
            </w:r>
          </w:p>
        </w:tc>
        <w:tc>
          <w:tcPr>
            <w:tcW w:w="781" w:type="dxa"/>
          </w:tcPr>
          <w:p>
            <w:pPr>
              <w:pStyle w:val="yTableNAm"/>
              <w:keepNext/>
            </w:pPr>
            <w:r>
              <w:rPr>
                <w:sz w:val="16"/>
                <w:szCs w:val="16"/>
              </w:rPr>
              <w:t>100</w:t>
            </w:r>
          </w:p>
        </w:tc>
        <w:tc>
          <w:tcPr>
            <w:tcW w:w="1204" w:type="dxa"/>
          </w:tcPr>
          <w:p>
            <w:pPr>
              <w:pStyle w:val="yTableNAm"/>
              <w:keepNext/>
            </w:pPr>
            <w:r>
              <w:rPr>
                <w:sz w:val="16"/>
                <w:szCs w:val="16"/>
              </w:rPr>
              <w:t>Incandescent</w:t>
            </w:r>
          </w:p>
        </w:tc>
        <w:tc>
          <w:tcPr>
            <w:tcW w:w="1370" w:type="dxa"/>
            <w:gridSpan w:val="2"/>
          </w:tcPr>
          <w:p>
            <w:pPr>
              <w:pStyle w:val="yTableNAm"/>
              <w:keepNext/>
              <w:rPr>
                <w:sz w:val="16"/>
                <w:szCs w:val="16"/>
              </w:rPr>
            </w:pPr>
            <w:r>
              <w:rPr>
                <w:sz w:val="16"/>
                <w:szCs w:val="16"/>
              </w:rPr>
              <w:t>41.1412</w:t>
            </w:r>
          </w:p>
        </w:tc>
        <w:tc>
          <w:tcPr>
            <w:tcW w:w="1512" w:type="dxa"/>
          </w:tcPr>
          <w:p>
            <w:pPr>
              <w:pStyle w:val="yTableNAm"/>
              <w:keepNext/>
              <w:rPr>
                <w:sz w:val="16"/>
                <w:szCs w:val="16"/>
              </w:rPr>
            </w:pPr>
            <w:r>
              <w:rPr>
                <w:sz w:val="16"/>
                <w:szCs w:val="16"/>
              </w:rPr>
              <w:t>42.6834</w:t>
            </w:r>
          </w:p>
        </w:tc>
        <w:tc>
          <w:tcPr>
            <w:tcW w:w="1370" w:type="dxa"/>
          </w:tcPr>
          <w:p>
            <w:pPr>
              <w:pStyle w:val="yTableNAm"/>
              <w:keepNext/>
              <w:rPr>
                <w:sz w:val="16"/>
                <w:szCs w:val="16"/>
              </w:rPr>
            </w:pPr>
            <w:r>
              <w:rPr>
                <w:sz w:val="16"/>
                <w:szCs w:val="16"/>
              </w:rPr>
              <w:t>46.9908</w:t>
            </w:r>
          </w:p>
        </w:tc>
      </w:tr>
      <w:tr>
        <w:trPr>
          <w:cantSplit/>
        </w:trPr>
        <w:tc>
          <w:tcPr>
            <w:tcW w:w="567" w:type="dxa"/>
            <w:tcBorders>
              <w:bottom w:val="single" w:sz="4" w:space="0" w:color="auto"/>
            </w:tcBorders>
          </w:tcPr>
          <w:p>
            <w:pPr>
              <w:pStyle w:val="yTableNAm"/>
            </w:pPr>
            <w:r>
              <w:rPr>
                <w:sz w:val="16"/>
                <w:szCs w:val="16"/>
              </w:rPr>
              <w:t>Z.56</w:t>
            </w:r>
          </w:p>
        </w:tc>
        <w:tc>
          <w:tcPr>
            <w:tcW w:w="781" w:type="dxa"/>
            <w:tcBorders>
              <w:bottom w:val="single" w:sz="4" w:space="0" w:color="auto"/>
            </w:tcBorders>
          </w:tcPr>
          <w:p>
            <w:pPr>
              <w:pStyle w:val="yTableNAm"/>
            </w:pPr>
            <w:r>
              <w:rPr>
                <w:sz w:val="16"/>
                <w:szCs w:val="16"/>
              </w:rPr>
              <w:t>40</w:t>
            </w:r>
          </w:p>
        </w:tc>
        <w:tc>
          <w:tcPr>
            <w:tcW w:w="1204" w:type="dxa"/>
            <w:tcBorders>
              <w:bottom w:val="single" w:sz="4" w:space="0" w:color="auto"/>
            </w:tcBorders>
          </w:tcPr>
          <w:p>
            <w:pPr>
              <w:pStyle w:val="yTableNAm"/>
            </w:pPr>
            <w:r>
              <w:rPr>
                <w:sz w:val="16"/>
                <w:szCs w:val="16"/>
              </w:rPr>
              <w:t>Fluorescent</w:t>
            </w:r>
          </w:p>
        </w:tc>
        <w:tc>
          <w:tcPr>
            <w:tcW w:w="1370" w:type="dxa"/>
            <w:gridSpan w:val="2"/>
            <w:tcBorders>
              <w:bottom w:val="single" w:sz="4" w:space="0" w:color="auto"/>
            </w:tcBorders>
          </w:tcPr>
          <w:p>
            <w:pPr>
              <w:pStyle w:val="yTableNAm"/>
              <w:rPr>
                <w:sz w:val="16"/>
                <w:szCs w:val="16"/>
              </w:rPr>
            </w:pPr>
            <w:r>
              <w:rPr>
                <w:sz w:val="16"/>
                <w:szCs w:val="16"/>
              </w:rPr>
              <w:t>53.8829</w:t>
            </w:r>
          </w:p>
        </w:tc>
        <w:tc>
          <w:tcPr>
            <w:tcW w:w="1512" w:type="dxa"/>
            <w:tcBorders>
              <w:bottom w:val="single" w:sz="4" w:space="0" w:color="auto"/>
            </w:tcBorders>
          </w:tcPr>
          <w:p>
            <w:pPr>
              <w:pStyle w:val="yTableNAm"/>
              <w:rPr>
                <w:sz w:val="16"/>
                <w:szCs w:val="16"/>
              </w:rPr>
            </w:pPr>
            <w:r>
              <w:rPr>
                <w:sz w:val="16"/>
                <w:szCs w:val="16"/>
              </w:rPr>
              <w:t>54.6227</w:t>
            </w:r>
          </w:p>
        </w:tc>
        <w:tc>
          <w:tcPr>
            <w:tcW w:w="1370" w:type="dxa"/>
            <w:tcBorders>
              <w:bottom w:val="single" w:sz="4" w:space="0" w:color="auto"/>
            </w:tcBorders>
          </w:tcPr>
          <w:p>
            <w:pPr>
              <w:pStyle w:val="yTableNAm"/>
              <w:rPr>
                <w:sz w:val="16"/>
                <w:szCs w:val="16"/>
              </w:rPr>
            </w:pPr>
            <w:r>
              <w:rPr>
                <w:sz w:val="16"/>
                <w:szCs w:val="16"/>
              </w:rPr>
              <w:t>57.3622</w:t>
            </w:r>
          </w:p>
        </w:tc>
      </w:tr>
    </w:tbl>
    <w:p>
      <w:pPr>
        <w:pStyle w:val="yHeading3"/>
      </w:pPr>
      <w:bookmarkStart w:id="100" w:name="_Toc102051854"/>
      <w:bookmarkStart w:id="101" w:name="_Toc102053752"/>
      <w:bookmarkStart w:id="102" w:name="_Toc102054212"/>
      <w:bookmarkStart w:id="103" w:name="_Toc102054363"/>
      <w:bookmarkStart w:id="104" w:name="_Toc102134775"/>
      <w:bookmarkStart w:id="105" w:name="_Toc102136616"/>
      <w:bookmarkStart w:id="106" w:name="_Toc102136644"/>
      <w:bookmarkStart w:id="107" w:name="_Toc102144205"/>
      <w:bookmarkStart w:id="108" w:name="_Toc104894041"/>
      <w:bookmarkStart w:id="109" w:name="_Toc106889610"/>
      <w:bookmarkStart w:id="110" w:name="_Toc106893364"/>
      <w:r>
        <w:rPr>
          <w:rStyle w:val="CharSDivNo"/>
        </w:rPr>
        <w:t>Division 2</w:t>
      </w:r>
      <w:r>
        <w:t> — </w:t>
      </w:r>
      <w:r>
        <w:rPr>
          <w:rStyle w:val="CharSDivText"/>
        </w:rPr>
        <w:t>Miscellaneous</w:t>
      </w:r>
      <w:bookmarkEnd w:id="100"/>
      <w:bookmarkEnd w:id="101"/>
      <w:bookmarkEnd w:id="102"/>
      <w:bookmarkEnd w:id="103"/>
      <w:bookmarkEnd w:id="104"/>
      <w:bookmarkEnd w:id="105"/>
      <w:bookmarkEnd w:id="106"/>
      <w:bookmarkEnd w:id="107"/>
      <w:bookmarkEnd w:id="108"/>
      <w:bookmarkEnd w:id="109"/>
      <w:bookmarkEnd w:id="110"/>
    </w:p>
    <w:p>
      <w:pPr>
        <w:pStyle w:val="yFootnoteheading"/>
      </w:pPr>
      <w:r>
        <w:tab/>
        <w:t>[Heading inserted: SL 2022/71 bl. 6.]</w:t>
      </w:r>
    </w:p>
    <w:p>
      <w:pPr>
        <w:pStyle w:val="yHeading5"/>
      </w:pPr>
      <w:bookmarkStart w:id="111" w:name="_Toc102144206"/>
      <w:bookmarkStart w:id="112" w:name="_Toc104894042"/>
      <w:bookmarkStart w:id="113" w:name="_Toc106893365"/>
      <w:r>
        <w:rPr>
          <w:rStyle w:val="CharSClsNo"/>
        </w:rPr>
        <w:t>1</w:t>
      </w:r>
      <w:r>
        <w:t>.</w:t>
      </w:r>
      <w:r>
        <w:tab/>
        <w:t>Traffic light installation</w:t>
      </w:r>
      <w:bookmarkEnd w:id="111"/>
      <w:bookmarkEnd w:id="112"/>
      <w:bookmarkEnd w:id="113"/>
    </w:p>
    <w:p>
      <w:pPr>
        <w:pStyle w:val="ySubsection"/>
      </w:pPr>
      <w:r>
        <w:tab/>
      </w:r>
      <w:r>
        <w:tab/>
        <w:t xml:space="preserve">Supply of electricity to traffic light installations comprises a charge of </w:t>
      </w:r>
      <w:r>
        <w:rPr>
          <w:szCs w:val="22"/>
        </w:rPr>
        <w:t xml:space="preserve">$8.1304 </w:t>
      </w:r>
      <w:r>
        <w:t>per day per kW of installed wattage.</w:t>
      </w:r>
    </w:p>
    <w:p>
      <w:pPr>
        <w:pStyle w:val="yFootnotesection"/>
      </w:pPr>
      <w:bookmarkStart w:id="114" w:name="_Toc102144207"/>
      <w:bookmarkStart w:id="115" w:name="_Toc104894043"/>
      <w:r>
        <w:tab/>
        <w:t>[Clause 1 inserted: SL 2022/71 bl. 6.]</w:t>
      </w:r>
    </w:p>
    <w:p>
      <w:pPr>
        <w:pStyle w:val="yHeading5"/>
      </w:pPr>
      <w:bookmarkStart w:id="116" w:name="_Toc106893366"/>
      <w:r>
        <w:rPr>
          <w:rStyle w:val="CharSClsNo"/>
        </w:rPr>
        <w:t>2</w:t>
      </w:r>
      <w:r>
        <w:t>.</w:t>
      </w:r>
      <w:r>
        <w:tab/>
        <w:t>Public telephone facility</w:t>
      </w:r>
      <w:bookmarkEnd w:id="114"/>
      <w:bookmarkEnd w:id="115"/>
      <w:bookmarkEnd w:id="116"/>
    </w:p>
    <w:p>
      <w:pPr>
        <w:pStyle w:val="ySubsection"/>
      </w:pPr>
      <w:r>
        <w:tab/>
      </w:r>
      <w:r>
        <w:tab/>
        <w:t>Supply of electricity to a standard public telephone facility where supply is not independently metered comprises a charge of 69.3048 cents per day.</w:t>
      </w:r>
    </w:p>
    <w:p>
      <w:pPr>
        <w:pStyle w:val="yFootnotesection"/>
      </w:pPr>
      <w:bookmarkStart w:id="117" w:name="_Toc102144208"/>
      <w:bookmarkStart w:id="118" w:name="_Toc104894044"/>
      <w:r>
        <w:tab/>
        <w:t>[Clause 2 inserted: SL 2022/71 bl. 6.]</w:t>
      </w:r>
    </w:p>
    <w:p>
      <w:pPr>
        <w:pStyle w:val="yHeading5"/>
      </w:pPr>
      <w:bookmarkStart w:id="119" w:name="_Toc106893367"/>
      <w:r>
        <w:rPr>
          <w:rStyle w:val="CharSClsNo"/>
        </w:rPr>
        <w:t>3</w:t>
      </w:r>
      <w:r>
        <w:t>.</w:t>
      </w:r>
      <w:r>
        <w:tab/>
        <w:t>Railway crossing</w:t>
      </w:r>
      <w:bookmarkEnd w:id="117"/>
      <w:bookmarkEnd w:id="118"/>
      <w:bookmarkEnd w:id="119"/>
    </w:p>
    <w:p>
      <w:pPr>
        <w:pStyle w:val="ySubsection"/>
      </w:pPr>
      <w:r>
        <w:tab/>
      </w:r>
      <w:r>
        <w:tab/>
        <w:t>Supply of electricity to standard railway crossing lights comprises a charge of 88.5669</w:t>
      </w:r>
      <w:r>
        <w:rPr>
          <w:szCs w:val="22"/>
        </w:rPr>
        <w:t xml:space="preserve"> </w:t>
      </w:r>
      <w:r>
        <w:t>cents per day.</w:t>
      </w:r>
    </w:p>
    <w:p>
      <w:pPr>
        <w:pStyle w:val="yFootnotesection"/>
      </w:pPr>
      <w:r>
        <w:tab/>
        <w:t>[Clause 3 inserted: SL 2022/71 bl. 6.]</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0" w:name="_Toc106888419"/>
      <w:bookmarkStart w:id="121" w:name="_Toc106889614"/>
      <w:bookmarkStart w:id="122" w:name="_Toc106893368"/>
      <w:bookmarkEnd w:id="25"/>
      <w:r>
        <w:rPr>
          <w:rStyle w:val="CharSchNo"/>
        </w:rPr>
        <w:lastRenderedPageBreak/>
        <w:t>Schedule 3</w:t>
      </w:r>
      <w:r>
        <w:rPr>
          <w:rStyle w:val="CharSDivNo"/>
        </w:rPr>
        <w:t> </w:t>
      </w:r>
      <w:r>
        <w:t>—</w:t>
      </w:r>
      <w:r>
        <w:rPr>
          <w:rStyle w:val="CharSDivText"/>
        </w:rPr>
        <w:t> </w:t>
      </w:r>
      <w:r>
        <w:rPr>
          <w:rStyle w:val="CharSchText"/>
        </w:rPr>
        <w:t>Meter rentals</w:t>
      </w:r>
      <w:bookmarkEnd w:id="120"/>
      <w:bookmarkEnd w:id="121"/>
      <w:bookmarkEnd w:id="122"/>
    </w:p>
    <w:p>
      <w:pPr>
        <w:pStyle w:val="yShoulderClause"/>
      </w:pPr>
      <w:r>
        <w:t>[bl. 6(1)]</w:t>
      </w:r>
    </w:p>
    <w:p>
      <w:pPr>
        <w:pStyle w:val="yFootnoteheading"/>
      </w:pPr>
      <w:r>
        <w:tab/>
        <w:t>[Heading inserted: SL 2020/78 bl. 4.]</w:t>
      </w:r>
    </w:p>
    <w:p>
      <w:pPr>
        <w:pStyle w:val="ySubsection"/>
      </w:pPr>
      <w:r>
        <w:tab/>
      </w:r>
      <w:r>
        <w:tab/>
        <w:t>The rental payable in respect of a subsidiary meter is 16.89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w:t>
      </w:r>
    </w:p>
    <w:p>
      <w:pPr>
        <w:pStyle w:val="yScheduleHeading"/>
      </w:pPr>
      <w:bookmarkStart w:id="123" w:name="_Toc102051860"/>
      <w:bookmarkStart w:id="124" w:name="_Toc102053758"/>
      <w:bookmarkStart w:id="125" w:name="_Toc102054218"/>
      <w:bookmarkStart w:id="126" w:name="_Toc102054369"/>
      <w:bookmarkStart w:id="127" w:name="_Toc102134781"/>
      <w:bookmarkStart w:id="128" w:name="_Toc102136622"/>
      <w:bookmarkStart w:id="129" w:name="_Toc102136650"/>
      <w:bookmarkStart w:id="130" w:name="_Toc102144211"/>
      <w:bookmarkStart w:id="131" w:name="_Toc104894047"/>
      <w:bookmarkStart w:id="132" w:name="_Toc106889615"/>
      <w:bookmarkStart w:id="133" w:name="_Toc106893369"/>
      <w:bookmarkStart w:id="134" w:name="_Toc106888420"/>
      <w:r>
        <w:rPr>
          <w:rStyle w:val="CharSchNo"/>
        </w:rPr>
        <w:lastRenderedPageBreak/>
        <w:t>Schedule 4</w:t>
      </w:r>
      <w:r>
        <w:t> — </w:t>
      </w:r>
      <w:r>
        <w:rPr>
          <w:rStyle w:val="CharSchText"/>
        </w:rPr>
        <w:t>Fees</w:t>
      </w:r>
      <w:bookmarkEnd w:id="123"/>
      <w:bookmarkEnd w:id="124"/>
      <w:bookmarkEnd w:id="125"/>
      <w:bookmarkEnd w:id="126"/>
      <w:bookmarkEnd w:id="127"/>
      <w:bookmarkEnd w:id="128"/>
      <w:bookmarkEnd w:id="129"/>
      <w:bookmarkEnd w:id="130"/>
      <w:bookmarkEnd w:id="131"/>
      <w:bookmarkEnd w:id="132"/>
      <w:bookmarkEnd w:id="133"/>
    </w:p>
    <w:p>
      <w:pPr>
        <w:pStyle w:val="yShoulderClause"/>
      </w:pPr>
      <w:r>
        <w:t>[bl. 7]</w:t>
      </w:r>
    </w:p>
    <w:p>
      <w:pPr>
        <w:pStyle w:val="yFootnoteheading"/>
        <w:spacing w:after="60"/>
      </w:pPr>
      <w:r>
        <w:tab/>
        <w:t>[Heading inserted: SL 2022/71 bl. 8.]</w:t>
      </w:r>
    </w:p>
    <w:tbl>
      <w:tblPr>
        <w:tblW w:w="7088" w:type="dxa"/>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r>
              <w:rPr>
                <w:bCs/>
                <w:iCs/>
              </w:rPr>
              <w:t>$24.42</w:t>
            </w:r>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r>
              <w:t>$930.00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$930.00</w:t>
            </w:r>
          </w:p>
          <w:p>
            <w:pPr>
              <w:pStyle w:val="yTableNAm"/>
            </w:pPr>
            <w:r>
              <w:t>$930.00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pPr>
            <w:r>
              <w:t>$251.53</w:t>
            </w:r>
          </w:p>
          <w:p>
            <w:pPr>
              <w:pStyle w:val="yTableNAm"/>
            </w:pPr>
            <w:r>
              <w:t>$157.10</w:t>
            </w:r>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r>
              <w:t>$621.90</w:t>
            </w:r>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$5.90</w:t>
            </w:r>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r>
              <w:t>$27.98</w:t>
            </w:r>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$26.76</w:t>
            </w:r>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$865.89</w:t>
            </w:r>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$6.31</w:t>
            </w:r>
          </w:p>
        </w:tc>
      </w:tr>
      <w:tr>
        <w:trPr>
          <w:cantSplit/>
        </w:trPr>
        <w:tc>
          <w:tcPr>
            <w:tcW w:w="567" w:type="dxa"/>
          </w:tcPr>
          <w:p>
            <w:pPr>
              <w:pStyle w:val="yTableNAm"/>
              <w:keepNext/>
            </w:pPr>
            <w:r>
              <w:lastRenderedPageBreak/>
              <w:t>12.</w:t>
            </w:r>
          </w:p>
        </w:tc>
        <w:tc>
          <w:tcPr>
            <w:tcW w:w="5245" w:type="dxa"/>
          </w:tcPr>
          <w:p>
            <w:pPr>
              <w:pStyle w:val="yTableNAm"/>
              <w:keepNext/>
              <w:tabs>
                <w:tab w:val="clear" w:pos="567"/>
                <w:tab w:val="right" w:leader="dot" w:pos="5160"/>
              </w:tabs>
              <w:ind w:right="-85"/>
            </w:pPr>
            <w:r>
              <w:t xml:space="preserve">Paper bill fee </w:t>
            </w:r>
            <w:r>
              <w:tab/>
            </w:r>
          </w:p>
        </w:tc>
        <w:tc>
          <w:tcPr>
            <w:tcW w:w="1276" w:type="dxa"/>
          </w:tcPr>
          <w:p>
            <w:pPr>
              <w:pStyle w:val="yTableNAm"/>
              <w:keepNext/>
            </w:pPr>
            <w:r>
              <w:t>$1.22</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$2.59</w:t>
            </w:r>
          </w:p>
        </w:tc>
      </w:tr>
    </w:tbl>
    <w:p>
      <w:pPr>
        <w:pStyle w:val="yFootnotesection"/>
      </w:pPr>
      <w:r>
        <w:tab/>
        <w:t>[Schedule 4 inserted: SL 2022/71 bl. 8.]</w:t>
      </w:r>
    </w:p>
    <w:bookmarkEnd w:id="13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5" w:name="_Toc106888421"/>
      <w:bookmarkStart w:id="136" w:name="_Toc106889616"/>
      <w:bookmarkStart w:id="137" w:name="_Toc106893370"/>
      <w:r>
        <w:lastRenderedPageBreak/>
        <w:t>Notes</w:t>
      </w:r>
      <w:bookmarkEnd w:id="135"/>
      <w:bookmarkEnd w:id="136"/>
      <w:bookmarkEnd w:id="137"/>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138" w:name="_Toc106893371"/>
      <w:r>
        <w:t>Compilation table</w:t>
      </w:r>
      <w:bookmarkEnd w:id="13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lastRenderedPageBreak/>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bottom w:val="single" w:sz="8" w:space="0" w:color="auto"/>
            </w:tcBorders>
            <w:shd w:val="clear" w:color="auto" w:fill="auto"/>
          </w:tcPr>
          <w:p>
            <w:pPr>
              <w:pStyle w:val="nTable"/>
              <w:keepLines/>
              <w:spacing w:after="40"/>
            </w:pPr>
            <w:r>
              <w:t>SL 2022/71 3 Jun 2022</w:t>
            </w:r>
          </w:p>
        </w:tc>
        <w:tc>
          <w:tcPr>
            <w:tcW w:w="2693" w:type="dxa"/>
            <w:tcBorders>
              <w:bottom w:val="single" w:sz="8" w:space="0" w:color="auto"/>
            </w:tcBorders>
            <w:shd w:val="clear" w:color="auto" w:fill="auto"/>
          </w:tcPr>
          <w:p>
            <w:pPr>
              <w:pStyle w:val="nTable"/>
              <w:keepLines/>
              <w:spacing w:after="40"/>
            </w:pPr>
            <w:r>
              <w:t>bl. 1 and 2: 3 Jun 2022 (see bl. 2(a));</w:t>
            </w:r>
            <w:r>
              <w:br/>
              <w:t>By-laws other than bl. 1 and 2: 1 Jul 2022 (see bl.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0" w:name="_Toc106893372"/>
      <w:r>
        <w:rPr>
          <w:sz w:val="28"/>
        </w:rPr>
        <w:lastRenderedPageBreak/>
        <w:t>Defined terms</w:t>
      </w:r>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government consumer</w:t>
      </w:r>
      <w:r>
        <w:tab/>
        <w:t>4(1A)</w:t>
      </w:r>
    </w:p>
    <w:p>
      <w:pPr>
        <w:pStyle w:val="DefinedTerms"/>
      </w:pPr>
      <w:r>
        <w:t>interest period</w:t>
      </w:r>
      <w:r>
        <w:tab/>
        <w:t>12(1)</w:t>
      </w:r>
    </w:p>
    <w:p>
      <w:pPr>
        <w:pStyle w:val="DefinedTerms"/>
      </w:pPr>
      <w:r>
        <w:t>MyPower non-residential tariff</w:t>
      </w:r>
      <w:r>
        <w:tab/>
        <w:t>Sch. 1 cl. 9(1)</w:t>
      </w:r>
    </w:p>
    <w:p>
      <w:pPr>
        <w:pStyle w:val="DefinedTerms"/>
      </w:pPr>
      <w:r>
        <w:t>MyPower residential tariff</w:t>
      </w:r>
      <w:r>
        <w:tab/>
        <w:t>Sch. 1 cl. 8(1)</w:t>
      </w:r>
    </w:p>
    <w:p>
      <w:pPr>
        <w:pStyle w:val="DefinedTerms"/>
      </w:pPr>
      <w:r>
        <w:t>MyPower tariff</w:t>
      </w:r>
      <w:r>
        <w:tab/>
        <w:t>Sch. 1 cl. 7(1)</w:t>
      </w:r>
    </w:p>
    <w:p>
      <w:pPr>
        <w:pStyle w:val="DefinedTerms"/>
      </w:pPr>
      <w:r>
        <w:t>North West interconnected system</w:t>
      </w:r>
      <w:r>
        <w:tab/>
        <w:t>4(1A)</w:t>
      </w:r>
    </w:p>
    <w:p>
      <w:pPr>
        <w:pStyle w:val="DefinedTerms"/>
      </w:pPr>
      <w:r>
        <w:t>original tariff</w:t>
      </w:r>
      <w:r>
        <w:tab/>
        <w:t>Sch. 1 cl. 8(5)  and 9(5)</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45147"/>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61E83-AB57-43E2-ADA3-E870481AF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5398</Words>
  <Characters>26617</Characters>
  <Application>Microsoft Office Word</Application>
  <DocSecurity>0</DocSecurity>
  <Lines>1209</Lines>
  <Paragraphs>780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2006 - 02-o0-00</dc:title>
  <dc:subject/>
  <dc:creator/>
  <cp:keywords/>
  <dc:description/>
  <cp:lastModifiedBy>Master Repository Process</cp:lastModifiedBy>
  <cp:revision>4</cp:revision>
  <cp:lastPrinted>2019-06-24T07:21:00Z</cp:lastPrinted>
  <dcterms:created xsi:type="dcterms:W3CDTF">2022-06-30T01:27:00Z</dcterms:created>
  <dcterms:modified xsi:type="dcterms:W3CDTF">2022-06-30T01:27:00Z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2022</vt:lpwstr>
  </property>
  <property fmtid="{D5CDD505-2E9C-101B-9397-08002B2CF9AE}" pid="8" name="Suffix">
    <vt:lpwstr>02-o0-00</vt:lpwstr>
  </property>
  <property fmtid="{D5CDD505-2E9C-101B-9397-08002B2CF9AE}" pid="9" name="CommencementDate">
    <vt:lpwstr>20220701</vt:lpwstr>
  </property>
</Properties>
</file>