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Administration Act 1903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Non-contentious Probate Rules 1967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Non-contentious Probate Rules 1967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 and commencement</w:t>
      </w:r>
      <w:r>
        <w:tab/>
      </w:r>
      <w:r>
        <w:fldChar w:fldCharType="begin"/>
      </w:r>
      <w:r>
        <w:instrText xml:space="preserve"> PAGEREF _Toc107325287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_Toc107325288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Supreme Court Rules and prior practice</w:t>
      </w:r>
      <w:r>
        <w:tab/>
      </w:r>
      <w:r>
        <w:fldChar w:fldCharType="begin"/>
      </w:r>
      <w:r>
        <w:instrText xml:space="preserve"> PAGEREF _Toc107325289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Jurisdiction of the Registrar</w:t>
      </w:r>
      <w:r>
        <w:tab/>
      </w:r>
      <w:r>
        <w:fldChar w:fldCharType="begin"/>
      </w:r>
      <w:r>
        <w:instrText xml:space="preserve"> PAGEREF _Toc107325290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Appeal from the Registrar</w:t>
      </w:r>
      <w:r>
        <w:tab/>
      </w:r>
      <w:r>
        <w:fldChar w:fldCharType="begin"/>
      </w:r>
      <w:r>
        <w:instrText xml:space="preserve"> PAGEREF _Toc107325291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Probate and administration generally</w:t>
      </w:r>
      <w:r>
        <w:tab/>
      </w:r>
      <w:r>
        <w:fldChar w:fldCharType="begin"/>
      </w:r>
      <w:r>
        <w:instrText xml:space="preserve"> PAGEREF _Toc107325292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Personal applications</w:t>
      </w:r>
      <w:r>
        <w:tab/>
      </w:r>
      <w:r>
        <w:fldChar w:fldCharType="begin"/>
      </w:r>
      <w:r>
        <w:instrText xml:space="preserve"> PAGEREF _Toc107325293 \h </w:instrText>
      </w:r>
      <w:r>
        <w:fldChar w:fldCharType="separate"/>
      </w:r>
      <w:r>
        <w:t>4</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Postal applications</w:t>
      </w:r>
      <w:r>
        <w:tab/>
      </w:r>
      <w:r>
        <w:fldChar w:fldCharType="begin"/>
      </w:r>
      <w:r>
        <w:instrText xml:space="preserve"> PAGEREF _Toc107325294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Affidavit of executor or administrator with the will annexed</w:t>
      </w:r>
      <w:r>
        <w:tab/>
      </w:r>
      <w:r>
        <w:fldChar w:fldCharType="begin"/>
      </w:r>
      <w:r>
        <w:instrText xml:space="preserve"> PAGEREF _Toc107325295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Administrator’s affidavit</w:t>
      </w:r>
      <w:r>
        <w:tab/>
      </w:r>
      <w:r>
        <w:fldChar w:fldCharType="begin"/>
      </w:r>
      <w:r>
        <w:instrText xml:space="preserve"> PAGEREF _Toc107325296 \h </w:instrText>
      </w:r>
      <w:r>
        <w:fldChar w:fldCharType="separate"/>
      </w:r>
      <w:r>
        <w:t>6</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Orders to administer</w:t>
      </w:r>
      <w:r>
        <w:tab/>
      </w:r>
      <w:r>
        <w:fldChar w:fldCharType="begin"/>
      </w:r>
      <w:r>
        <w:instrText xml:space="preserve"> PAGEREF _Toc107325297 \h </w:instrText>
      </w:r>
      <w:r>
        <w:fldChar w:fldCharType="separate"/>
      </w:r>
      <w:r>
        <w:t>7</w:t>
      </w:r>
      <w:r>
        <w:fldChar w:fldCharType="end"/>
      </w:r>
    </w:p>
    <w:p>
      <w:pPr>
        <w:pStyle w:val="TOC8"/>
        <w:rPr>
          <w:rFonts w:asciiTheme="minorHAnsi" w:eastAsiaTheme="minorEastAsia" w:hAnsiTheme="minorHAnsi" w:cstheme="minorBidi"/>
          <w:szCs w:val="22"/>
        </w:rPr>
      </w:pPr>
      <w:r>
        <w:t>9B</w:t>
      </w:r>
      <w:r>
        <w:rPr>
          <w:snapToGrid w:val="0"/>
        </w:rPr>
        <w:t>.</w:t>
      </w:r>
      <w:r>
        <w:rPr>
          <w:snapToGrid w:val="0"/>
        </w:rPr>
        <w:tab/>
        <w:t>Statement of assets and liabilities to be filed</w:t>
      </w:r>
      <w:r>
        <w:tab/>
      </w:r>
      <w:r>
        <w:fldChar w:fldCharType="begin"/>
      </w:r>
      <w:r>
        <w:instrText xml:space="preserve"> PAGEREF _Toc107325298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Inquiries to be answered before grant issues</w:t>
      </w:r>
      <w:r>
        <w:tab/>
      </w:r>
      <w:r>
        <w:fldChar w:fldCharType="begin"/>
      </w:r>
      <w:r>
        <w:instrText xml:space="preserve"> PAGEREF _Toc107325299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Grant in additional name</w:t>
      </w:r>
      <w:r>
        <w:tab/>
      </w:r>
      <w:r>
        <w:fldChar w:fldCharType="begin"/>
      </w:r>
      <w:r>
        <w:instrText xml:space="preserve"> PAGEREF _Toc107325300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Marking of will</w:t>
      </w:r>
      <w:r>
        <w:tab/>
      </w:r>
      <w:r>
        <w:fldChar w:fldCharType="begin"/>
      </w:r>
      <w:r>
        <w:instrText xml:space="preserve"> PAGEREF _Toc107325301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Invalid will to be produced</w:t>
      </w:r>
      <w:r>
        <w:tab/>
      </w:r>
      <w:r>
        <w:fldChar w:fldCharType="begin"/>
      </w:r>
      <w:r>
        <w:instrText xml:space="preserve"> PAGEREF _Toc107325302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Address for service</w:t>
      </w:r>
      <w:r>
        <w:tab/>
      </w:r>
      <w:r>
        <w:fldChar w:fldCharType="begin"/>
      </w:r>
      <w:r>
        <w:instrText xml:space="preserve"> PAGEREF _Toc107325303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Evidence as to due execution of will</w:t>
      </w:r>
      <w:r>
        <w:tab/>
      </w:r>
      <w:r>
        <w:fldChar w:fldCharType="begin"/>
      </w:r>
      <w:r>
        <w:instrText xml:space="preserve"> PAGEREF _Toc107325304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Execution of will of blind or illiterate testator</w:t>
      </w:r>
      <w:r>
        <w:tab/>
      </w:r>
      <w:r>
        <w:fldChar w:fldCharType="begin"/>
      </w:r>
      <w:r>
        <w:instrText xml:space="preserve"> PAGEREF _Toc107325305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Evidence as to terms, condition and date of execution of will</w:t>
      </w:r>
      <w:r>
        <w:tab/>
      </w:r>
      <w:r>
        <w:fldChar w:fldCharType="begin"/>
      </w:r>
      <w:r>
        <w:instrText xml:space="preserve"> PAGEREF _Toc107325306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Attempted revocation of will</w:t>
      </w:r>
      <w:r>
        <w:tab/>
      </w:r>
      <w:r>
        <w:fldChar w:fldCharType="begin"/>
      </w:r>
      <w:r>
        <w:instrText xml:space="preserve"> PAGEREF _Toc107325307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Affidavit as to due execution, terms, etc., of will</w:t>
      </w:r>
      <w:r>
        <w:tab/>
      </w:r>
      <w:r>
        <w:fldChar w:fldCharType="begin"/>
      </w:r>
      <w:r>
        <w:instrText xml:space="preserve"> PAGEREF _Toc107325308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Will not proved under section 9 of </w:t>
      </w:r>
      <w:r>
        <w:rPr>
          <w:i/>
          <w:snapToGrid w:val="0"/>
        </w:rPr>
        <w:t>Wills Act 1837</w:t>
      </w:r>
      <w:r>
        <w:tab/>
      </w:r>
      <w:r>
        <w:fldChar w:fldCharType="begin"/>
      </w:r>
      <w:r>
        <w:instrText xml:space="preserve"> PAGEREF _Toc107325309 \h </w:instrText>
      </w:r>
      <w:r>
        <w:fldChar w:fldCharType="separate"/>
      </w:r>
      <w:r>
        <w:t>13</w:t>
      </w:r>
      <w:r>
        <w:fldChar w:fldCharType="end"/>
      </w:r>
    </w:p>
    <w:p>
      <w:pPr>
        <w:pStyle w:val="TOC8"/>
        <w:rPr>
          <w:rFonts w:asciiTheme="minorHAnsi" w:eastAsiaTheme="minorEastAsia" w:hAnsiTheme="minorHAnsi" w:cstheme="minorBidi"/>
          <w:szCs w:val="22"/>
        </w:rPr>
      </w:pPr>
      <w: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r>
        <w:tab/>
      </w:r>
      <w:r>
        <w:fldChar w:fldCharType="begin"/>
      </w:r>
      <w:r>
        <w:instrText xml:space="preserve"> PAGEREF _Toc107325310 \h </w:instrText>
      </w:r>
      <w:r>
        <w:fldChar w:fldCharType="separate"/>
      </w:r>
      <w:r>
        <w:t>14</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Privileged wills</w:t>
      </w:r>
      <w:r>
        <w:tab/>
      </w:r>
      <w:r>
        <w:fldChar w:fldCharType="begin"/>
      </w:r>
      <w:r>
        <w:instrText xml:space="preserve"> PAGEREF _Toc107325311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Notice of application for administration</w:t>
      </w:r>
      <w:r>
        <w:tab/>
      </w:r>
      <w:r>
        <w:fldChar w:fldCharType="begin"/>
      </w:r>
      <w:r>
        <w:instrText xml:space="preserve"> PAGEREF _Toc107325312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Grant to creditor</w:t>
      </w:r>
      <w:r>
        <w:tab/>
      </w:r>
      <w:r>
        <w:fldChar w:fldCharType="begin"/>
      </w:r>
      <w:r>
        <w:instrText xml:space="preserve"> PAGEREF _Toc107325313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Grants on behalf of infants</w:t>
      </w:r>
      <w:r>
        <w:tab/>
      </w:r>
      <w:r>
        <w:fldChar w:fldCharType="begin"/>
      </w:r>
      <w:r>
        <w:instrText xml:space="preserve"> PAGEREF _Toc107325314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Guarantee where administration applied for</w:t>
      </w:r>
      <w:r>
        <w:tab/>
      </w:r>
      <w:r>
        <w:fldChar w:fldCharType="begin"/>
      </w:r>
      <w:r>
        <w:instrText xml:space="preserve"> PAGEREF _Toc107325315 \h </w:instrText>
      </w:r>
      <w:r>
        <w:fldChar w:fldCharType="separate"/>
      </w:r>
      <w:r>
        <w:t>16</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Guarantee where application to reseal</w:t>
      </w:r>
      <w:r>
        <w:tab/>
      </w:r>
      <w:r>
        <w:fldChar w:fldCharType="begin"/>
      </w:r>
      <w:r>
        <w:instrText xml:space="preserve"> PAGEREF _Toc107325316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Effect of renunciation</w:t>
      </w:r>
      <w:r>
        <w:tab/>
      </w:r>
      <w:r>
        <w:fldChar w:fldCharType="begin"/>
      </w:r>
      <w:r>
        <w:instrText xml:space="preserve"> PAGEREF _Toc107325317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Citations generally</w:t>
      </w:r>
      <w:r>
        <w:tab/>
      </w:r>
      <w:r>
        <w:fldChar w:fldCharType="begin"/>
      </w:r>
      <w:r>
        <w:instrText xml:space="preserve"> PAGEREF _Toc107325318 \h </w:instrText>
      </w:r>
      <w:r>
        <w:fldChar w:fldCharType="separate"/>
      </w:r>
      <w:r>
        <w:t>18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Citation to accept or refuse or to take a grant</w:t>
      </w:r>
      <w:r>
        <w:tab/>
      </w:r>
      <w:r>
        <w:fldChar w:fldCharType="begin"/>
      </w:r>
      <w:r>
        <w:instrText xml:space="preserve"> PAGEREF _Toc107325319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Citation to propound a will</w:t>
      </w:r>
      <w:r>
        <w:tab/>
      </w:r>
      <w:r>
        <w:fldChar w:fldCharType="begin"/>
      </w:r>
      <w:r>
        <w:instrText xml:space="preserve"> PAGEREF _Toc107325320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Citation to bring in a will</w:t>
      </w:r>
      <w:r>
        <w:tab/>
      </w:r>
      <w:r>
        <w:fldChar w:fldCharType="begin"/>
      </w:r>
      <w:r>
        <w:instrText xml:space="preserve"> PAGEREF _Toc107325321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Caveats</w:t>
      </w:r>
      <w:r>
        <w:tab/>
      </w:r>
      <w:r>
        <w:fldChar w:fldCharType="begin"/>
      </w:r>
      <w:r>
        <w:instrText xml:space="preserve"> PAGEREF _Toc107325322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Application for leave to swear to death</w:t>
      </w:r>
      <w:r>
        <w:tab/>
      </w:r>
      <w:r>
        <w:fldChar w:fldCharType="begin"/>
      </w:r>
      <w:r>
        <w:instrText xml:space="preserve"> PAGEREF _Toc107325323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Amendment and revocation of grant</w:t>
      </w:r>
      <w:r>
        <w:tab/>
      </w:r>
      <w:r>
        <w:fldChar w:fldCharType="begin"/>
      </w:r>
      <w:r>
        <w:instrText xml:space="preserve"> PAGEREF _Toc107325324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Taxation of costs</w:t>
      </w:r>
      <w:r>
        <w:tab/>
      </w:r>
      <w:r>
        <w:fldChar w:fldCharType="begin"/>
      </w:r>
      <w:r>
        <w:instrText xml:space="preserve"> PAGEREF _Toc107325325 \h </w:instrText>
      </w:r>
      <w:r>
        <w:fldChar w:fldCharType="separate"/>
      </w:r>
      <w:r>
        <w:t>23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Executors and administrators to pass accounts</w:t>
      </w:r>
      <w:r>
        <w:tab/>
      </w:r>
      <w:r>
        <w:fldChar w:fldCharType="begin"/>
      </w:r>
      <w:r>
        <w:instrText xml:space="preserve"> PAGEREF _Toc107325326 \h </w:instrText>
      </w:r>
      <w:r>
        <w:fldChar w:fldCharType="separate"/>
      </w:r>
      <w:r>
        <w:t>23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Form of grant, etc.</w:t>
      </w:r>
      <w:r>
        <w:tab/>
      </w:r>
      <w:r>
        <w:fldChar w:fldCharType="begin"/>
      </w:r>
      <w:r>
        <w:instrText xml:space="preserve"> PAGEREF _Toc107325327 \h </w:instrText>
      </w:r>
      <w:r>
        <w:fldChar w:fldCharType="separate"/>
      </w:r>
      <w:r>
        <w:t>24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Requirements as to documents</w:t>
      </w:r>
      <w:r>
        <w:tab/>
      </w:r>
      <w:r>
        <w:fldChar w:fldCharType="begin"/>
      </w:r>
      <w:r>
        <w:instrText xml:space="preserve"> PAGEREF _Toc107325328 \h </w:instrText>
      </w:r>
      <w:r>
        <w:fldChar w:fldCharType="separate"/>
      </w:r>
      <w:r>
        <w:t>25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Will to be engrossed in certain cases</w:t>
      </w:r>
      <w:r>
        <w:tab/>
      </w:r>
      <w:r>
        <w:fldChar w:fldCharType="begin"/>
      </w:r>
      <w:r>
        <w:instrText xml:space="preserve"> PAGEREF _Toc107325329 \h </w:instrText>
      </w:r>
      <w:r>
        <w:fldChar w:fldCharType="separate"/>
      </w:r>
      <w:r>
        <w:t>25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Documents to be lodged with application to reseal</w:t>
      </w:r>
      <w:r>
        <w:tab/>
      </w:r>
      <w:r>
        <w:fldChar w:fldCharType="begin"/>
      </w:r>
      <w:r>
        <w:instrText xml:space="preserve"> PAGEREF _Toc107325330 \h </w:instrText>
      </w:r>
      <w:r>
        <w:fldChar w:fldCharType="separate"/>
      </w:r>
      <w:r>
        <w:t>26</w:t>
      </w:r>
      <w:r>
        <w:fldChar w:fldCharType="end"/>
      </w:r>
    </w:p>
    <w:p>
      <w:pPr>
        <w:pStyle w:val="TOC8"/>
        <w:rPr>
          <w:rFonts w:asciiTheme="minorHAnsi" w:eastAsiaTheme="minorEastAsia" w:hAnsiTheme="minorHAnsi" w:cstheme="minorBidi"/>
          <w:szCs w:val="22"/>
        </w:rPr>
      </w:pPr>
      <w:r>
        <w:t>43A</w:t>
      </w:r>
      <w:r>
        <w:rPr>
          <w:snapToGrid w:val="0"/>
        </w:rPr>
        <w:t>.</w:t>
      </w:r>
      <w:r>
        <w:rPr>
          <w:snapToGrid w:val="0"/>
        </w:rPr>
        <w:tab/>
        <w:t>Searches</w:t>
      </w:r>
      <w:r>
        <w:tab/>
      </w:r>
      <w:r>
        <w:fldChar w:fldCharType="begin"/>
      </w:r>
      <w:r>
        <w:instrText xml:space="preserve"> PAGEREF _Toc107325331 \h </w:instrText>
      </w:r>
      <w:r>
        <w:fldChar w:fldCharType="separate"/>
      </w:r>
      <w:r>
        <w:t>26</w:t>
      </w:r>
      <w:r>
        <w:fldChar w:fldCharType="end"/>
      </w:r>
    </w:p>
    <w:p>
      <w:pPr>
        <w:pStyle w:val="TOC8"/>
        <w:rPr>
          <w:rFonts w:asciiTheme="minorHAnsi" w:eastAsiaTheme="minorEastAsia" w:hAnsiTheme="minorHAnsi" w:cstheme="minorBidi"/>
          <w:szCs w:val="22"/>
        </w:rPr>
      </w:pPr>
      <w:r>
        <w:t>43B.</w:t>
      </w:r>
      <w:r>
        <w:tab/>
        <w:t>Legal costs for non</w:t>
      </w:r>
      <w:r>
        <w:noBreakHyphen/>
        <w:t>contentious probate applications</w:t>
      </w:r>
      <w:r>
        <w:tab/>
      </w:r>
      <w:r>
        <w:fldChar w:fldCharType="begin"/>
      </w:r>
      <w:r>
        <w:instrText xml:space="preserve"> PAGEREF _Toc107325332 \h </w:instrText>
      </w:r>
      <w:r>
        <w:fldChar w:fldCharType="separate"/>
      </w:r>
      <w:r>
        <w:t>27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Application to pending proceedings</w:t>
      </w:r>
      <w:r>
        <w:tab/>
      </w:r>
      <w:r>
        <w:fldChar w:fldCharType="begin"/>
      </w:r>
      <w:r>
        <w:instrText xml:space="preserve"> PAGEREF _Toc107325333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_Toc107325336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Administration Act 1903</w:t>
      </w:r>
    </w:p>
    <w:p>
      <w:pPr>
        <w:pStyle w:val="NameofActReg"/>
      </w:pPr>
      <w:r>
        <w:t>Non</w:t>
      </w:r>
      <w:r>
        <w:noBreakHyphen/>
        <w:t>contentious Probate Rules 1967</w:t>
      </w:r>
    </w:p>
    <w:p>
      <w:pPr>
        <w:pStyle w:val="Heading5"/>
        <w:rPr>
          <w:snapToGrid w:val="0"/>
        </w:rPr>
      </w:pPr>
      <w:bookmarkStart w:id="3" w:name="_Toc107325287"/>
      <w:r>
        <w:rPr>
          <w:rStyle w:val="CharSectno"/>
        </w:rPr>
        <w:t>1</w:t>
      </w:r>
      <w:r>
        <w:rPr>
          <w:snapToGrid w:val="0"/>
        </w:rPr>
        <w:t>.</w:t>
      </w:r>
      <w:r>
        <w:rPr>
          <w:snapToGrid w:val="0"/>
        </w:rPr>
        <w:tab/>
        <w:t>Citation and commencement</w:t>
      </w:r>
      <w:bookmarkEnd w:id="3"/>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r>
        <w:rPr>
          <w:snapToGrid w:val="0"/>
        </w:rPr>
        <w:t>.</w:t>
      </w:r>
    </w:p>
    <w:p>
      <w:pPr>
        <w:pStyle w:val="Heading5"/>
        <w:rPr>
          <w:snapToGrid w:val="0"/>
        </w:rPr>
      </w:pPr>
      <w:bookmarkStart w:id="4" w:name="_Toc107325288"/>
      <w:r>
        <w:rPr>
          <w:rStyle w:val="CharSectno"/>
        </w:rPr>
        <w:t>2</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t>(1)</w:t>
      </w:r>
      <w:r>
        <w:rPr>
          <w:snapToGrid w:val="0"/>
        </w:rPr>
        <w:tab/>
        <w:t>In these rules, unless the contrary intention appears — </w:t>
      </w:r>
    </w:p>
    <w:p>
      <w:pPr>
        <w:pStyle w:val="Defstart"/>
      </w:pPr>
      <w:r>
        <w:tab/>
      </w:r>
      <w:r>
        <w:rPr>
          <w:rStyle w:val="CharDefText"/>
        </w:rPr>
        <w:t>Act</w:t>
      </w:r>
      <w:r>
        <w:t xml:space="preserve"> means the </w:t>
      </w:r>
      <w:r>
        <w:rPr>
          <w:i/>
        </w:rPr>
        <w:t>Administration Act 1903</w:t>
      </w:r>
      <w:r>
        <w:t>;</w:t>
      </w:r>
    </w:p>
    <w:p>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pPr>
        <w:pStyle w:val="Defstart"/>
      </w:pPr>
      <w:r>
        <w:tab/>
      </w:r>
      <w:r>
        <w:rPr>
          <w:rStyle w:val="CharDefText"/>
        </w:rPr>
        <w:t>prescribed fee</w:t>
      </w:r>
      <w:r>
        <w:t xml:space="preserve"> means the fee prescribed by the </w:t>
      </w:r>
      <w:r>
        <w:rPr>
          <w:i/>
          <w:iCs/>
        </w:rPr>
        <w:t>Supreme Court (Fees) Regulations 2002</w:t>
      </w:r>
      <w:r>
        <w:t>;</w:t>
      </w:r>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pPr>
        <w:pStyle w:val="Defstart"/>
      </w:pPr>
      <w:r>
        <w:tab/>
      </w:r>
      <w:r>
        <w:rPr>
          <w:rStyle w:val="CharDefText"/>
        </w:rPr>
        <w:t>Registry</w:t>
      </w:r>
      <w:r>
        <w:t xml:space="preserve"> means the Probate Office of the Supreme Court.</w:t>
      </w:r>
    </w:p>
    <w:p>
      <w:pPr>
        <w:pStyle w:val="Subsection"/>
      </w:pPr>
      <w:r>
        <w:tab/>
        <w:t>(2A)</w:t>
      </w:r>
      <w:r>
        <w:tab/>
        <w:t>Words and expressions defined in section 3 of the Act and used in these rules have the same respective meanings as in the Act.</w:t>
      </w:r>
    </w:p>
    <w:p>
      <w:pPr>
        <w:pStyle w:val="Subsection"/>
        <w:rPr>
          <w:snapToGrid w:val="0"/>
        </w:rPr>
      </w:pPr>
      <w:r>
        <w:rPr>
          <w:snapToGrid w:val="0"/>
        </w:rPr>
        <w:tab/>
        <w:t>(2)</w:t>
      </w:r>
      <w:r>
        <w:rPr>
          <w:snapToGrid w:val="0"/>
        </w:rPr>
        <w:tab/>
        <w:t xml:space="preserve">A form referred to by number means the form so numbered in the First Schedule; and those forms shall be used wherever </w:t>
      </w:r>
      <w:r>
        <w:rPr>
          <w:snapToGrid w:val="0"/>
        </w:rPr>
        <w:lastRenderedPageBreak/>
        <w:t>applicable, with such variations as the Registrar may in any particular case direct or approve.</w:t>
      </w:r>
    </w:p>
    <w:p>
      <w:pPr>
        <w:pStyle w:val="Footnotesection"/>
      </w:pPr>
      <w:r>
        <w:tab/>
        <w:t xml:space="preserve">[Rule 2 amended: Gazette 14 December 1979 p. 3876; 6 March 1981 p. 895; 27 Nov 2009 p. 4787.] </w:t>
      </w:r>
    </w:p>
    <w:p>
      <w:pPr>
        <w:pStyle w:val="Heading5"/>
        <w:rPr>
          <w:snapToGrid w:val="0"/>
        </w:rPr>
      </w:pPr>
      <w:bookmarkStart w:id="5" w:name="_Toc107325289"/>
      <w:r>
        <w:rPr>
          <w:rStyle w:val="CharSectno"/>
        </w:rPr>
        <w:t>3</w:t>
      </w:r>
      <w:r>
        <w:rPr>
          <w:snapToGrid w:val="0"/>
        </w:rPr>
        <w:t>.</w:t>
      </w:r>
      <w:r>
        <w:rPr>
          <w:snapToGrid w:val="0"/>
        </w:rPr>
        <w:tab/>
        <w:t>Application of Supreme Court Rules and prior practice</w:t>
      </w:r>
      <w:bookmarkEnd w:id="5"/>
      <w:r>
        <w:rPr>
          <w:snapToGrid w:val="0"/>
        </w:rPr>
        <w:t xml:space="preserve"> </w:t>
      </w:r>
    </w:p>
    <w:p>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pPr>
        <w:pStyle w:val="Subsection"/>
        <w:rPr>
          <w:snapToGrid w:val="0"/>
        </w:rPr>
      </w:pPr>
      <w:r>
        <w:rPr>
          <w:snapToGrid w:val="0"/>
        </w:rPr>
        <w:tab/>
        <w:t>(2)</w:t>
      </w:r>
      <w:r>
        <w:rPr>
          <w:snapToGrid w:val="0"/>
        </w:rPr>
        <w:tab/>
        <w:t>Where no other provision is made, the practice and procedure heretofore in force shall continue to apply.</w:t>
      </w:r>
    </w:p>
    <w:p>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pPr>
        <w:pStyle w:val="Footnotesection"/>
      </w:pPr>
      <w:r>
        <w:tab/>
        <w:t xml:space="preserve">[Rule 3 amended: Gazette 20 October 1972 p. 4159; 15 December 1989 p. 4520.] </w:t>
      </w:r>
    </w:p>
    <w:p>
      <w:pPr>
        <w:pStyle w:val="Heading5"/>
        <w:rPr>
          <w:snapToGrid w:val="0"/>
        </w:rPr>
      </w:pPr>
      <w:bookmarkStart w:id="6" w:name="_Toc107325290"/>
      <w:r>
        <w:rPr>
          <w:rStyle w:val="CharSectno"/>
        </w:rPr>
        <w:t>4</w:t>
      </w:r>
      <w:r>
        <w:rPr>
          <w:snapToGrid w:val="0"/>
        </w:rPr>
        <w:t>.</w:t>
      </w:r>
      <w:r>
        <w:rPr>
          <w:snapToGrid w:val="0"/>
        </w:rPr>
        <w:tab/>
        <w:t>Jurisdiction of the Registrar</w:t>
      </w:r>
      <w:bookmarkEnd w:id="6"/>
      <w:r>
        <w:rPr>
          <w:snapToGrid w:val="0"/>
        </w:rPr>
        <w:t xml:space="preserve"> </w:t>
      </w:r>
    </w:p>
    <w:p>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xml:space="preserve">, or these rules, may be transacted or exercised by a Judge in Chambers, except </w:t>
      </w:r>
      <w:r>
        <w:rPr>
          <w:snapToGrid w:val="0"/>
        </w:rPr>
        <w:lastRenderedPageBreak/>
        <w:t>in respect of the following proceedings and matters, that is to say — </w:t>
      </w:r>
    </w:p>
    <w:p>
      <w:pPr>
        <w:pStyle w:val="Indenta"/>
        <w:rPr>
          <w:snapToGrid w:val="0"/>
        </w:rPr>
      </w:pPr>
      <w:r>
        <w:rPr>
          <w:snapToGrid w:val="0"/>
        </w:rPr>
        <w:tab/>
        <w:t>(a)</w:t>
      </w:r>
      <w:r>
        <w:rPr>
          <w:snapToGrid w:val="0"/>
        </w:rPr>
        <w:tab/>
        <w:t>applications and orders under section 26(2) and (6) of the Act;</w:t>
      </w:r>
    </w:p>
    <w:p>
      <w:pPr>
        <w:pStyle w:val="Indenta"/>
        <w:rPr>
          <w:snapToGrid w:val="0"/>
        </w:rPr>
      </w:pPr>
      <w:r>
        <w:rPr>
          <w:snapToGrid w:val="0"/>
        </w:rPr>
        <w:tab/>
        <w:t>(b)</w:t>
      </w:r>
      <w:r>
        <w:rPr>
          <w:snapToGrid w:val="0"/>
        </w:rPr>
        <w:tab/>
        <w:t>subject to the provisions of rule 35(1) and (2), applications and orders under section 29 of the Act; and</w:t>
      </w:r>
    </w:p>
    <w:p>
      <w:pPr>
        <w:pStyle w:val="Indenta"/>
        <w:rPr>
          <w:snapToGrid w:val="0"/>
        </w:rPr>
      </w:pPr>
      <w:r>
        <w:rPr>
          <w:snapToGrid w:val="0"/>
        </w:rPr>
        <w:tab/>
        <w:t>(c)</w:t>
      </w:r>
      <w:r>
        <w:rPr>
          <w:snapToGrid w:val="0"/>
        </w:rPr>
        <w:tab/>
        <w:t>applications under section 64 of the Act to remove caveats.</w:t>
      </w:r>
    </w:p>
    <w:p>
      <w:pPr>
        <w:pStyle w:val="Subsection"/>
        <w:rPr>
          <w:snapToGrid w:val="0"/>
        </w:rPr>
      </w:pPr>
      <w:r>
        <w:rPr>
          <w:snapToGrid w:val="0"/>
        </w:rPr>
        <w:tab/>
        <w:t>(2)</w:t>
      </w:r>
      <w:r>
        <w:rPr>
          <w:snapToGrid w:val="0"/>
        </w:rPr>
        <w:tab/>
        <w:t>Nothing contained in these rules derogates from or limits the jurisdiction or powers conferred by the Act on a Registrar.</w:t>
      </w:r>
    </w:p>
    <w:p>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pPr>
        <w:pStyle w:val="Footnotesection"/>
      </w:pPr>
      <w:r>
        <w:tab/>
        <w:t xml:space="preserve">[Rule 4 amended: Gazette 20 October 1972 p. 4159; 7 October 1977 p. 3604; 14 December 1979 p. 3876.] </w:t>
      </w:r>
    </w:p>
    <w:p>
      <w:pPr>
        <w:pStyle w:val="Heading5"/>
        <w:rPr>
          <w:snapToGrid w:val="0"/>
        </w:rPr>
      </w:pPr>
      <w:bookmarkStart w:id="7" w:name="_Toc107325291"/>
      <w:r>
        <w:rPr>
          <w:rStyle w:val="CharSectno"/>
        </w:rPr>
        <w:t>5</w:t>
      </w:r>
      <w:r>
        <w:rPr>
          <w:snapToGrid w:val="0"/>
        </w:rPr>
        <w:t>.</w:t>
      </w:r>
      <w:r>
        <w:rPr>
          <w:snapToGrid w:val="0"/>
        </w:rPr>
        <w:tab/>
        <w:t>Appeal from the Registrar</w:t>
      </w:r>
      <w:bookmarkEnd w:id="7"/>
      <w:r>
        <w:rPr>
          <w:snapToGrid w:val="0"/>
        </w:rPr>
        <w:t xml:space="preserve"> </w:t>
      </w:r>
    </w:p>
    <w:p>
      <w:pPr>
        <w:pStyle w:val="Subsection"/>
        <w:rPr>
          <w:snapToGrid w:val="0"/>
        </w:rPr>
      </w:pPr>
      <w:r>
        <w:rPr>
          <w:snapToGrid w:val="0"/>
        </w:rPr>
        <w:tab/>
        <w:t>(1)</w:t>
      </w:r>
      <w:r>
        <w:rPr>
          <w:snapToGrid w:val="0"/>
        </w:rPr>
        <w:tab/>
        <w:t>A person aggrieved by an order, decision or requirement of the Registrar may appeal therefrom to a Judge in Chambers.</w:t>
      </w:r>
    </w:p>
    <w:p>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pPr>
        <w:pStyle w:val="Subsection"/>
        <w:rPr>
          <w:snapToGrid w:val="0"/>
        </w:rPr>
      </w:pPr>
      <w:r>
        <w:rPr>
          <w:snapToGrid w:val="0"/>
        </w:rPr>
        <w:lastRenderedPageBreak/>
        <w:tab/>
        <w:t>(4)</w:t>
      </w:r>
      <w:r>
        <w:rPr>
          <w:snapToGrid w:val="0"/>
        </w:rPr>
        <w:tab/>
        <w:t>Where a notice of appeal is required to be served, there shall be at least 2 clear days between service of the notice and the day of hearing.</w:t>
      </w:r>
    </w:p>
    <w:p>
      <w:pPr>
        <w:pStyle w:val="Footnotesection"/>
      </w:pPr>
      <w:r>
        <w:tab/>
        <w:t xml:space="preserve">[Rule 5 amended: Gazette 14 December 1979 p. 3876.] </w:t>
      </w:r>
    </w:p>
    <w:p>
      <w:pPr>
        <w:pStyle w:val="Heading5"/>
        <w:rPr>
          <w:snapToGrid w:val="0"/>
        </w:rPr>
      </w:pPr>
      <w:bookmarkStart w:id="8" w:name="_Toc107325292"/>
      <w:r>
        <w:rPr>
          <w:rStyle w:val="CharSectno"/>
        </w:rPr>
        <w:t>6</w:t>
      </w:r>
      <w:r>
        <w:rPr>
          <w:snapToGrid w:val="0"/>
        </w:rPr>
        <w:t>.</w:t>
      </w:r>
      <w:r>
        <w:rPr>
          <w:snapToGrid w:val="0"/>
        </w:rPr>
        <w:tab/>
        <w:t>Probate and administration generally</w:t>
      </w:r>
      <w:bookmarkEnd w:id="8"/>
      <w:r>
        <w:rPr>
          <w:snapToGrid w:val="0"/>
        </w:rPr>
        <w:t xml:space="preserve"> </w:t>
      </w:r>
    </w:p>
    <w:p>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pPr>
        <w:pStyle w:val="Footnotesection"/>
      </w:pPr>
      <w:r>
        <w:tab/>
        <w:t xml:space="preserve">[Rule 6 amended: Gazette 20 October 1972 p. 4159; 14 December 1979 p. 3876.] </w:t>
      </w:r>
    </w:p>
    <w:p>
      <w:pPr>
        <w:pStyle w:val="Heading5"/>
        <w:rPr>
          <w:snapToGrid w:val="0"/>
        </w:rPr>
      </w:pPr>
      <w:bookmarkStart w:id="9" w:name="_Toc107325293"/>
      <w:r>
        <w:rPr>
          <w:rStyle w:val="CharSectno"/>
        </w:rPr>
        <w:t>7</w:t>
      </w:r>
      <w:r>
        <w:rPr>
          <w:snapToGrid w:val="0"/>
        </w:rPr>
        <w:t>.</w:t>
      </w:r>
      <w:r>
        <w:rPr>
          <w:snapToGrid w:val="0"/>
        </w:rPr>
        <w:tab/>
        <w:t>Personal applications</w:t>
      </w:r>
      <w:bookmarkEnd w:id="9"/>
      <w:r>
        <w:rPr>
          <w:snapToGrid w:val="0"/>
        </w:rPr>
        <w:t xml:space="preserve"> </w:t>
      </w:r>
    </w:p>
    <w:p>
      <w:pPr>
        <w:pStyle w:val="Subsection"/>
        <w:rPr>
          <w:snapToGrid w:val="0"/>
        </w:rPr>
      </w:pPr>
      <w:r>
        <w:rPr>
          <w:snapToGrid w:val="0"/>
        </w:rPr>
        <w:tab/>
        <w:t>(1)</w:t>
      </w:r>
      <w:r>
        <w:rPr>
          <w:snapToGrid w:val="0"/>
        </w:rPr>
        <w:tab/>
        <w:t>A person wishing to obtain a grant without the intervention of a solicitor, shall apply in person, and not through an agent.</w:t>
      </w:r>
    </w:p>
    <w:p>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pPr>
        <w:pStyle w:val="Subsection"/>
        <w:rPr>
          <w:snapToGrid w:val="0"/>
        </w:rPr>
      </w:pPr>
      <w:r>
        <w:rPr>
          <w:snapToGrid w:val="0"/>
        </w:rPr>
        <w:lastRenderedPageBreak/>
        <w:tab/>
        <w:t>(4)</w:t>
      </w:r>
      <w:r>
        <w:rPr>
          <w:snapToGrid w:val="0"/>
        </w:rPr>
        <w:tab/>
        <w:t>No legal advice, except such information as is referred to in section 56(1) of the Act, shall be given to a personal applicant by an officer of the Registry or by a district agent.</w:t>
      </w:r>
    </w:p>
    <w:p>
      <w:pPr>
        <w:pStyle w:val="Footnotesection"/>
      </w:pPr>
      <w:r>
        <w:tab/>
        <w:t xml:space="preserve">[Rule 7 amended: Gazette 14 December 1979 p. 3876; 1 August 1980 p. 2560.] </w:t>
      </w:r>
    </w:p>
    <w:p>
      <w:pPr>
        <w:pStyle w:val="Heading5"/>
        <w:rPr>
          <w:snapToGrid w:val="0"/>
        </w:rPr>
      </w:pPr>
      <w:bookmarkStart w:id="10" w:name="_Toc107325294"/>
      <w:r>
        <w:rPr>
          <w:rStyle w:val="CharSectno"/>
        </w:rPr>
        <w:t>7A</w:t>
      </w:r>
      <w:r>
        <w:rPr>
          <w:snapToGrid w:val="0"/>
        </w:rPr>
        <w:t>.</w:t>
      </w:r>
      <w:r>
        <w:rPr>
          <w:snapToGrid w:val="0"/>
        </w:rPr>
        <w:tab/>
        <w:t>Postal applications</w:t>
      </w:r>
      <w:bookmarkEnd w:id="10"/>
      <w:r>
        <w:rPr>
          <w:snapToGrid w:val="0"/>
        </w:rPr>
        <w:t xml:space="preserve"> </w:t>
      </w:r>
    </w:p>
    <w:p>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pPr>
        <w:pStyle w:val="Footnotesection"/>
      </w:pPr>
      <w:r>
        <w:tab/>
        <w:t xml:space="preserve">[Rule 7A inserted: Gazette 1 August 1980 p. 2560.] </w:t>
      </w:r>
    </w:p>
    <w:p>
      <w:pPr>
        <w:pStyle w:val="Heading5"/>
        <w:rPr>
          <w:snapToGrid w:val="0"/>
        </w:rPr>
      </w:pPr>
      <w:bookmarkStart w:id="11" w:name="_Toc107325295"/>
      <w:r>
        <w:rPr>
          <w:rStyle w:val="CharSectno"/>
        </w:rPr>
        <w:t>8</w:t>
      </w:r>
      <w:r>
        <w:rPr>
          <w:snapToGrid w:val="0"/>
        </w:rPr>
        <w:t>.</w:t>
      </w:r>
      <w:r>
        <w:rPr>
          <w:snapToGrid w:val="0"/>
        </w:rPr>
        <w:tab/>
        <w:t>Affidavit of executor or administrator with the will annexed</w:t>
      </w:r>
      <w:bookmarkEnd w:id="11"/>
    </w:p>
    <w:p>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pPr>
        <w:pStyle w:val="Indenta"/>
        <w:rPr>
          <w:snapToGrid w:val="0"/>
        </w:rPr>
      </w:pPr>
      <w:r>
        <w:rPr>
          <w:snapToGrid w:val="0"/>
        </w:rPr>
        <w:tab/>
        <w:t>(i)</w:t>
      </w:r>
      <w:r>
        <w:rPr>
          <w:snapToGrid w:val="0"/>
        </w:rPr>
        <w:tab/>
        <w:t>that the applicant (if a natural person) has attained the age of 18 years; and</w:t>
      </w:r>
    </w:p>
    <w:p>
      <w:pPr>
        <w:pStyle w:val="Indenta"/>
      </w:pPr>
      <w:r>
        <w:tab/>
        <w:t>(iia)</w:t>
      </w:r>
      <w:r>
        <w:tab/>
        <w:t>the date of birth of the testator; and</w:t>
      </w:r>
    </w:p>
    <w:p>
      <w:pPr>
        <w:pStyle w:val="Indenta"/>
        <w:rPr>
          <w:snapToGrid w:val="0"/>
        </w:rPr>
      </w:pPr>
      <w:r>
        <w:rPr>
          <w:snapToGrid w:val="0"/>
        </w:rPr>
        <w:tab/>
        <w:t>(ii)</w:t>
      </w:r>
      <w:r>
        <w:rPr>
          <w:snapToGrid w:val="0"/>
        </w:rPr>
        <w:tab/>
        <w:t>the death of the testator, and the date and place of his death; and</w:t>
      </w:r>
    </w:p>
    <w:p>
      <w:pPr>
        <w:pStyle w:val="Indenta"/>
      </w:pPr>
      <w:r>
        <w:tab/>
        <w:t>(iii)</w:t>
      </w:r>
      <w:r>
        <w:tab/>
        <w:t>that the testator has left a will and the date the will was executed; and</w:t>
      </w:r>
    </w:p>
    <w:p>
      <w:pPr>
        <w:pStyle w:val="Indenta"/>
      </w:pPr>
      <w:r>
        <w:tab/>
        <w:t>(iv)</w:t>
      </w:r>
      <w:r>
        <w:tab/>
        <w:t>whether there is any codicil to the will and, if there is, the date the codicil was executed; and</w:t>
      </w:r>
    </w:p>
    <w:p>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 and</w:t>
      </w:r>
    </w:p>
    <w:p>
      <w:pPr>
        <w:pStyle w:val="Indenta"/>
      </w:pPr>
      <w:r>
        <w:tab/>
        <w:t>(via)</w:t>
      </w:r>
      <w:r>
        <w:tab/>
        <w:t>that the testator did not marry after the will was executed; and</w:t>
      </w:r>
    </w:p>
    <w:p>
      <w:pPr>
        <w:pStyle w:val="Indenta"/>
      </w:pPr>
      <w:r>
        <w:lastRenderedPageBreak/>
        <w:tab/>
        <w:t>(vib)</w:t>
      </w:r>
      <w:r>
        <w:tab/>
        <w:t>whether the testator was married at the time the will was executed; and</w:t>
      </w:r>
    </w:p>
    <w:p>
      <w:pPr>
        <w:pStyle w:val="Indenta"/>
      </w:pPr>
      <w:r>
        <w:tab/>
        <w:t>(vic)</w:t>
      </w:r>
      <w:r>
        <w:tab/>
        <w:t xml:space="preserve">if the testator was married at the time the will was executed, whether the marriage ended for the purposes of the </w:t>
      </w:r>
      <w:r>
        <w:rPr>
          <w:i/>
          <w:iCs/>
        </w:rPr>
        <w:t xml:space="preserve">Wills Act 1970 </w:t>
      </w:r>
      <w:r>
        <w:t>section 14A(2) after the will was executed; and</w:t>
      </w:r>
    </w:p>
    <w:p>
      <w:pPr>
        <w:pStyle w:val="Indenta"/>
      </w:pPr>
      <w:r>
        <w:tab/>
        <w:t>(vid)</w:t>
      </w:r>
      <w:r>
        <w:tab/>
        <w:t xml:space="preserve">if the testator was married at the time the will was executed and the marriage did end for the purposes of the </w:t>
      </w:r>
      <w:r>
        <w:rPr>
          <w:i/>
          <w:iCs/>
        </w:rPr>
        <w:t xml:space="preserve">Wills Act 1970 </w:t>
      </w:r>
      <w:r>
        <w:t>section 14A(2) after the will was executed, the date the marriage ended; and</w:t>
      </w:r>
    </w:p>
    <w:p>
      <w:pPr>
        <w:pStyle w:val="Indenta"/>
      </w:pPr>
      <w:r>
        <w:tab/>
        <w:t>(vie)</w:t>
      </w:r>
      <w:r>
        <w:tab/>
        <w:t>that the will and any codicil sought to be proved is not revoked by any later will; and</w:t>
      </w:r>
    </w:p>
    <w:p>
      <w:pPr>
        <w:pStyle w:val="Indenta"/>
        <w:rPr>
          <w:snapToGrid w:val="0"/>
        </w:rPr>
      </w:pPr>
      <w:r>
        <w:rPr>
          <w:snapToGrid w:val="0"/>
        </w:rPr>
        <w:tab/>
        <w:t>(vi)</w:t>
      </w:r>
      <w:r>
        <w:rPr>
          <w:snapToGrid w:val="0"/>
        </w:rPr>
        <w:tab/>
        <w:t>that the testator left estate within Western Australia; and</w:t>
      </w:r>
    </w:p>
    <w:p>
      <w:pPr>
        <w:pStyle w:val="Indenta"/>
        <w:rPr>
          <w:snapToGrid w:val="0"/>
        </w:rPr>
      </w:pPr>
      <w:r>
        <w:rPr>
          <w:snapToGrid w:val="0"/>
        </w:rPr>
        <w:tab/>
        <w:t>(vii)</w:t>
      </w:r>
      <w:r>
        <w:rPr>
          <w:snapToGrid w:val="0"/>
        </w:rPr>
        <w:tab/>
        <w:t>that the applicant, if given a grant, will administer the estate according to law; and</w:t>
      </w:r>
    </w:p>
    <w:p>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pPr>
        <w:pStyle w:val="Footnotesection"/>
      </w:pPr>
      <w:r>
        <w:tab/>
        <w:t xml:space="preserve">[Rule 8 amended: Gazette 18 December 1970 p. 3815; 20 October 1972 p. 4159; 27 Nov 2009 p. 4787-8.] </w:t>
      </w:r>
    </w:p>
    <w:p>
      <w:pPr>
        <w:pStyle w:val="Heading5"/>
        <w:rPr>
          <w:snapToGrid w:val="0"/>
        </w:rPr>
      </w:pPr>
      <w:bookmarkStart w:id="12" w:name="_Toc107325296"/>
      <w:r>
        <w:rPr>
          <w:rStyle w:val="CharSectno"/>
        </w:rPr>
        <w:t>9</w:t>
      </w:r>
      <w:r>
        <w:rPr>
          <w:snapToGrid w:val="0"/>
        </w:rPr>
        <w:t>.</w:t>
      </w:r>
      <w:r>
        <w:rPr>
          <w:snapToGrid w:val="0"/>
        </w:rPr>
        <w:tab/>
        <w:t>Administrator’s affidavit</w:t>
      </w:r>
      <w:bookmarkEnd w:id="12"/>
      <w:r>
        <w:rPr>
          <w:snapToGrid w:val="0"/>
        </w:rPr>
        <w:t xml:space="preserve"> </w:t>
      </w:r>
    </w:p>
    <w:p>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pPr>
        <w:pStyle w:val="Indenta"/>
        <w:rPr>
          <w:snapToGrid w:val="0"/>
        </w:rPr>
      </w:pPr>
      <w:r>
        <w:rPr>
          <w:snapToGrid w:val="0"/>
        </w:rPr>
        <w:tab/>
        <w:t>(i)</w:t>
      </w:r>
      <w:r>
        <w:rPr>
          <w:snapToGrid w:val="0"/>
        </w:rPr>
        <w:tab/>
        <w:t>that the applicant (if a natural person) has attained the age of 18 years;</w:t>
      </w:r>
    </w:p>
    <w:p>
      <w:pPr>
        <w:pStyle w:val="Indenta"/>
        <w:rPr>
          <w:snapToGrid w:val="0"/>
        </w:rPr>
      </w:pPr>
      <w:r>
        <w:rPr>
          <w:snapToGrid w:val="0"/>
        </w:rPr>
        <w:lastRenderedPageBreak/>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pPr>
        <w:pStyle w:val="Indenta"/>
        <w:rPr>
          <w:snapToGrid w:val="0"/>
        </w:rPr>
      </w:pPr>
      <w:r>
        <w:rPr>
          <w:snapToGrid w:val="0"/>
        </w:rPr>
        <w:tab/>
        <w:t>(iii)</w:t>
      </w:r>
      <w:r>
        <w:rPr>
          <w:snapToGrid w:val="0"/>
        </w:rPr>
        <w:tab/>
        <w:t>that the deceased died intestate;</w:t>
      </w:r>
    </w:p>
    <w:p>
      <w:pPr>
        <w:pStyle w:val="Indenta"/>
        <w:rPr>
          <w:snapToGrid w:val="0"/>
        </w:rPr>
      </w:pPr>
      <w:r>
        <w:rPr>
          <w:snapToGrid w:val="0"/>
        </w:rPr>
        <w:tab/>
        <w:t>(iv)</w:t>
      </w:r>
      <w:r>
        <w:rPr>
          <w:snapToGrid w:val="0"/>
        </w:rPr>
        <w:tab/>
        <w:t>that the applicant has made careful search and inquiry to ascertain whether the deceased left a will;</w:t>
      </w:r>
    </w:p>
    <w:p>
      <w:pPr>
        <w:pStyle w:val="Indenta"/>
        <w:rPr>
          <w:snapToGrid w:val="0"/>
        </w:rPr>
      </w:pPr>
      <w:r>
        <w:rPr>
          <w:snapToGrid w:val="0"/>
        </w:rPr>
        <w:tab/>
        <w:t>(v)</w:t>
      </w:r>
      <w:r>
        <w:rPr>
          <w:snapToGrid w:val="0"/>
        </w:rPr>
        <w:tab/>
        <w:t>that the intestate left estate within Western Australia, and, where the applicant is a natural person, the gross value thereof;</w:t>
      </w:r>
    </w:p>
    <w:p>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pPr>
        <w:pStyle w:val="Indenta"/>
        <w:rPr>
          <w:snapToGrid w:val="0"/>
        </w:rPr>
      </w:pPr>
      <w:r>
        <w:rPr>
          <w:snapToGrid w:val="0"/>
        </w:rPr>
        <w:tab/>
        <w:t>(ix)</w:t>
      </w:r>
      <w:r>
        <w:rPr>
          <w:snapToGrid w:val="0"/>
        </w:rPr>
        <w:tab/>
        <w:t>that the applicant if given a grant will administer the estate according to law; and</w:t>
      </w:r>
    </w:p>
    <w:p>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pPr>
        <w:pStyle w:val="Footnotesection"/>
      </w:pPr>
      <w:r>
        <w:tab/>
        <w:t xml:space="preserve">[Rule 9 inserted: Gazette 17 October 1986 p. 3894; amended: Gazette 30 June 2003 p. 2619.] </w:t>
      </w:r>
    </w:p>
    <w:p>
      <w:pPr>
        <w:pStyle w:val="Heading5"/>
        <w:rPr>
          <w:snapToGrid w:val="0"/>
        </w:rPr>
      </w:pPr>
      <w:bookmarkStart w:id="13" w:name="_Toc107325297"/>
      <w:r>
        <w:rPr>
          <w:rStyle w:val="CharSectno"/>
        </w:rPr>
        <w:t>9A</w:t>
      </w:r>
      <w:r>
        <w:rPr>
          <w:snapToGrid w:val="0"/>
        </w:rPr>
        <w:t>.</w:t>
      </w:r>
      <w:r>
        <w:rPr>
          <w:snapToGrid w:val="0"/>
        </w:rPr>
        <w:tab/>
        <w:t>Orders to administer</w:t>
      </w:r>
      <w:bookmarkEnd w:id="13"/>
      <w:r>
        <w:rPr>
          <w:snapToGrid w:val="0"/>
        </w:rPr>
        <w:t xml:space="preserve"> </w:t>
      </w:r>
    </w:p>
    <w:p>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pPr>
        <w:pStyle w:val="Indenta"/>
        <w:rPr>
          <w:snapToGrid w:val="0"/>
        </w:rPr>
      </w:pPr>
      <w:r>
        <w:rPr>
          <w:snapToGrid w:val="0"/>
        </w:rPr>
        <w:lastRenderedPageBreak/>
        <w:tab/>
        <w:t>(a)</w:t>
      </w:r>
      <w:r>
        <w:rPr>
          <w:snapToGrid w:val="0"/>
        </w:rPr>
        <w:tab/>
        <w:t>the information required by rule 8, other than paragraphs (i) and (ix); and</w:t>
      </w:r>
    </w:p>
    <w:p>
      <w:pPr>
        <w:pStyle w:val="Indenta"/>
        <w:rPr>
          <w:snapToGrid w:val="0"/>
        </w:rPr>
      </w:pPr>
      <w:r>
        <w:rPr>
          <w:snapToGrid w:val="0"/>
        </w:rPr>
        <w:tab/>
        <w:t>(b)</w:t>
      </w:r>
      <w:r>
        <w:rPr>
          <w:snapToGrid w:val="0"/>
        </w:rPr>
        <w:tab/>
        <w:t>the grounds upon which the application is based.</w:t>
      </w:r>
    </w:p>
    <w:p>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pPr>
        <w:pStyle w:val="Indenta"/>
        <w:rPr>
          <w:snapToGrid w:val="0"/>
        </w:rPr>
      </w:pPr>
      <w:r>
        <w:rPr>
          <w:snapToGrid w:val="0"/>
        </w:rPr>
        <w:tab/>
        <w:t>(a)</w:t>
      </w:r>
      <w:r>
        <w:rPr>
          <w:snapToGrid w:val="0"/>
        </w:rPr>
        <w:tab/>
        <w:t>the information required by rule 9, other than paragraph (i) and paragraphs (vi) to (viii) inclusive;</w:t>
      </w:r>
    </w:p>
    <w:p>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pPr>
        <w:pStyle w:val="Indenta"/>
        <w:rPr>
          <w:snapToGrid w:val="0"/>
        </w:rPr>
      </w:pPr>
      <w:r>
        <w:rPr>
          <w:snapToGrid w:val="0"/>
        </w:rPr>
        <w:tab/>
        <w:t>(c)</w:t>
      </w:r>
      <w:r>
        <w:rPr>
          <w:snapToGrid w:val="0"/>
        </w:rPr>
        <w:tab/>
        <w:t>the grounds upon which the application is based.</w:t>
      </w:r>
    </w:p>
    <w:p>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pPr>
        <w:pStyle w:val="Footnotesection"/>
      </w:pPr>
      <w:r>
        <w:tab/>
        <w:t xml:space="preserve">[Rule 9A inserted: Gazette 20 October 1972 p. 4160; amended: Gazette 17 October 1986 p. 3894.] </w:t>
      </w:r>
    </w:p>
    <w:p>
      <w:pPr>
        <w:pStyle w:val="Heading5"/>
        <w:rPr>
          <w:snapToGrid w:val="0"/>
        </w:rPr>
      </w:pPr>
      <w:bookmarkStart w:id="14" w:name="_Toc107325298"/>
      <w:r>
        <w:rPr>
          <w:rStyle w:val="CharSectno"/>
        </w:rPr>
        <w:lastRenderedPageBreak/>
        <w:t>9B</w:t>
      </w:r>
      <w:r>
        <w:rPr>
          <w:snapToGrid w:val="0"/>
        </w:rPr>
        <w:t>.</w:t>
      </w:r>
      <w:r>
        <w:rPr>
          <w:snapToGrid w:val="0"/>
        </w:rPr>
        <w:tab/>
        <w:t>Statement of assets and liabilities to be filed</w:t>
      </w:r>
      <w:bookmarkEnd w:id="14"/>
      <w:r>
        <w:rPr>
          <w:snapToGrid w:val="0"/>
        </w:rPr>
        <w:t xml:space="preserve"> </w:t>
      </w:r>
    </w:p>
    <w:p>
      <w:pPr>
        <w:pStyle w:val="Subsection"/>
        <w:keepNext/>
        <w:rPr>
          <w:snapToGrid w:val="0"/>
        </w:rPr>
      </w:pPr>
      <w:r>
        <w:rPr>
          <w:snapToGrid w:val="0"/>
        </w:rPr>
        <w:tab/>
        <w:t>(1)</w:t>
      </w:r>
      <w:r>
        <w:rPr>
          <w:snapToGrid w:val="0"/>
        </w:rPr>
        <w:tab/>
        <w:t>Subject to subrule (3), the affidavit of an applicant for a grant shall exhibit and verify a statement giving particulars of — </w:t>
      </w:r>
    </w:p>
    <w:p>
      <w:pPr>
        <w:pStyle w:val="Indenta"/>
        <w:rPr>
          <w:snapToGrid w:val="0"/>
        </w:rPr>
      </w:pPr>
      <w:r>
        <w:rPr>
          <w:snapToGrid w:val="0"/>
        </w:rPr>
        <w:tab/>
        <w:t>(a)</w:t>
      </w:r>
      <w:r>
        <w:rPr>
          <w:snapToGrid w:val="0"/>
        </w:rPr>
        <w:tab/>
        <w:t>all movable property, wherever situated, and all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wherever situated, owing by the deceased at the time of his death.</w:t>
      </w:r>
    </w:p>
    <w:p>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pPr>
        <w:pStyle w:val="Indenta"/>
        <w:rPr>
          <w:snapToGrid w:val="0"/>
        </w:rPr>
      </w:pPr>
      <w:r>
        <w:rPr>
          <w:snapToGrid w:val="0"/>
        </w:rPr>
        <w:tab/>
        <w:t>(a)</w:t>
      </w:r>
      <w:r>
        <w:rPr>
          <w:snapToGrid w:val="0"/>
        </w:rPr>
        <w:tab/>
        <w:t>all movable and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in Western Australia owing by the deceased at the time of his death.</w:t>
      </w:r>
    </w:p>
    <w:p>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pPr>
        <w:pStyle w:val="Footnotesection"/>
      </w:pPr>
      <w:r>
        <w:tab/>
        <w:t>[Rule 9B inserted: Gazette 1 August 1980 p. 2560</w:t>
      </w:r>
      <w:r>
        <w:noBreakHyphen/>
        <w:t xml:space="preserve">1.] </w:t>
      </w:r>
    </w:p>
    <w:p>
      <w:pPr>
        <w:pStyle w:val="Heading5"/>
        <w:rPr>
          <w:snapToGrid w:val="0"/>
        </w:rPr>
      </w:pPr>
      <w:bookmarkStart w:id="15" w:name="_Toc107325299"/>
      <w:r>
        <w:rPr>
          <w:rStyle w:val="CharSectno"/>
        </w:rPr>
        <w:t>10</w:t>
      </w:r>
      <w:r>
        <w:rPr>
          <w:snapToGrid w:val="0"/>
        </w:rPr>
        <w:t>.</w:t>
      </w:r>
      <w:r>
        <w:rPr>
          <w:snapToGrid w:val="0"/>
        </w:rPr>
        <w:tab/>
        <w:t>Inquiries to be answered before grant issues</w:t>
      </w:r>
      <w:bookmarkEnd w:id="15"/>
      <w:r>
        <w:rPr>
          <w:snapToGrid w:val="0"/>
        </w:rPr>
        <w:t xml:space="preserve"> </w:t>
      </w:r>
    </w:p>
    <w:p>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pPr>
        <w:pStyle w:val="Subsection"/>
        <w:rPr>
          <w:snapToGrid w:val="0"/>
        </w:rPr>
      </w:pPr>
      <w:r>
        <w:rPr>
          <w:snapToGrid w:val="0"/>
        </w:rPr>
        <w:lastRenderedPageBreak/>
        <w:tab/>
        <w:t>(2)</w:t>
      </w:r>
      <w:r>
        <w:rPr>
          <w:snapToGrid w:val="0"/>
        </w:rPr>
        <w:tab/>
        <w:t>Where the omission is deemed to be of no consequence the Registrar may dispense with full compliance with the requirements of rule 8, rule 9 or 9A.</w:t>
      </w:r>
    </w:p>
    <w:p>
      <w:pPr>
        <w:pStyle w:val="Subsection"/>
        <w:rPr>
          <w:snapToGrid w:val="0"/>
        </w:rPr>
      </w:pPr>
      <w:r>
        <w:rPr>
          <w:snapToGrid w:val="0"/>
        </w:rPr>
        <w:tab/>
        <w:t>(3)</w:t>
      </w:r>
      <w:r>
        <w:rPr>
          <w:snapToGrid w:val="0"/>
        </w:rPr>
        <w:tab/>
        <w:t>The Registrar may require proof of the identity of the deceased or of the applicant beyond that contained in the applicant’s affidavit.</w:t>
      </w:r>
    </w:p>
    <w:p>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pPr>
        <w:pStyle w:val="Footnotesection"/>
      </w:pPr>
      <w:r>
        <w:tab/>
        <w:t xml:space="preserve">[Rule 10 amended: Gazette 20 October 1972 p. 4160; 7 October 1977 p. 3604; 14 December 1979 p. 3876.] </w:t>
      </w:r>
    </w:p>
    <w:p>
      <w:pPr>
        <w:pStyle w:val="Heading5"/>
        <w:rPr>
          <w:snapToGrid w:val="0"/>
        </w:rPr>
      </w:pPr>
      <w:bookmarkStart w:id="16" w:name="_Toc107325300"/>
      <w:r>
        <w:rPr>
          <w:rStyle w:val="CharSectno"/>
        </w:rPr>
        <w:t>11</w:t>
      </w:r>
      <w:r>
        <w:rPr>
          <w:snapToGrid w:val="0"/>
        </w:rPr>
        <w:t>.</w:t>
      </w:r>
      <w:r>
        <w:rPr>
          <w:snapToGrid w:val="0"/>
        </w:rPr>
        <w:tab/>
        <w:t>Grant in additional name</w:t>
      </w:r>
      <w:bookmarkEnd w:id="16"/>
      <w:r>
        <w:rPr>
          <w:snapToGrid w:val="0"/>
        </w:rPr>
        <w:t xml:space="preserve"> </w:t>
      </w:r>
    </w:p>
    <w:p>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pPr>
        <w:pStyle w:val="Heading5"/>
        <w:rPr>
          <w:snapToGrid w:val="0"/>
        </w:rPr>
      </w:pPr>
      <w:bookmarkStart w:id="17" w:name="_Toc107325301"/>
      <w:r>
        <w:rPr>
          <w:rStyle w:val="CharSectno"/>
        </w:rPr>
        <w:t>12</w:t>
      </w:r>
      <w:r>
        <w:rPr>
          <w:snapToGrid w:val="0"/>
        </w:rPr>
        <w:t>.</w:t>
      </w:r>
      <w:r>
        <w:rPr>
          <w:snapToGrid w:val="0"/>
        </w:rPr>
        <w:tab/>
        <w:t>Marking of will</w:t>
      </w:r>
      <w:bookmarkEnd w:id="17"/>
      <w:r>
        <w:rPr>
          <w:snapToGrid w:val="0"/>
        </w:rPr>
        <w:t xml:space="preserve"> </w:t>
      </w:r>
    </w:p>
    <w:p>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pPr>
        <w:pStyle w:val="Subsection"/>
        <w:rPr>
          <w:snapToGrid w:val="0"/>
        </w:rPr>
      </w:pPr>
      <w:r>
        <w:rPr>
          <w:snapToGrid w:val="0"/>
        </w:rPr>
        <w:tab/>
        <w:t>(3)</w:t>
      </w:r>
      <w:r>
        <w:rPr>
          <w:snapToGrid w:val="0"/>
        </w:rPr>
        <w:tab/>
        <w:t xml:space="preserve">The signatures referred to in subrule (1) and any necessary exhibit note shall be endorsed on the cover of the will or on </w:t>
      </w:r>
      <w:r>
        <w:rPr>
          <w:snapToGrid w:val="0"/>
        </w:rPr>
        <w:lastRenderedPageBreak/>
        <w:t>such other place where the signatures and exhibit note will not appear in any photographic reproduction of the will.</w:t>
      </w:r>
    </w:p>
    <w:p>
      <w:pPr>
        <w:pStyle w:val="Footnotesection"/>
      </w:pPr>
      <w:r>
        <w:tab/>
        <w:t xml:space="preserve">[Rule 12 amended: Gazette 20 October 1972 p. 4160; 14 December 1979 p. 3876.] </w:t>
      </w:r>
    </w:p>
    <w:p>
      <w:pPr>
        <w:pStyle w:val="Heading5"/>
        <w:rPr>
          <w:snapToGrid w:val="0"/>
        </w:rPr>
      </w:pPr>
      <w:bookmarkStart w:id="18" w:name="_Toc107325302"/>
      <w:r>
        <w:rPr>
          <w:rStyle w:val="CharSectno"/>
        </w:rPr>
        <w:t>13</w:t>
      </w:r>
      <w:r>
        <w:rPr>
          <w:snapToGrid w:val="0"/>
        </w:rPr>
        <w:t>.</w:t>
      </w:r>
      <w:r>
        <w:rPr>
          <w:snapToGrid w:val="0"/>
        </w:rPr>
        <w:tab/>
        <w:t>Invalid will to be produced</w:t>
      </w:r>
      <w:bookmarkEnd w:id="18"/>
      <w:r>
        <w:rPr>
          <w:snapToGrid w:val="0"/>
        </w:rPr>
        <w:t xml:space="preserve"> </w:t>
      </w:r>
    </w:p>
    <w:p>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pPr>
        <w:pStyle w:val="Footnotesection"/>
      </w:pPr>
      <w:r>
        <w:tab/>
        <w:t xml:space="preserve">[Rule 13 amended: Gazette 14 December 1979 p. 3876.] </w:t>
      </w:r>
    </w:p>
    <w:p>
      <w:pPr>
        <w:pStyle w:val="Heading5"/>
        <w:rPr>
          <w:snapToGrid w:val="0"/>
        </w:rPr>
      </w:pPr>
      <w:bookmarkStart w:id="19" w:name="_Toc107325303"/>
      <w:r>
        <w:rPr>
          <w:rStyle w:val="CharSectno"/>
        </w:rPr>
        <w:t>14</w:t>
      </w:r>
      <w:r>
        <w:rPr>
          <w:snapToGrid w:val="0"/>
        </w:rPr>
        <w:t>.</w:t>
      </w:r>
      <w:r>
        <w:rPr>
          <w:snapToGrid w:val="0"/>
        </w:rPr>
        <w:tab/>
        <w:t>Address for service</w:t>
      </w:r>
      <w:bookmarkEnd w:id="19"/>
      <w:r>
        <w:rPr>
          <w:snapToGrid w:val="0"/>
        </w:rPr>
        <w:t xml:space="preserve"> </w:t>
      </w:r>
    </w:p>
    <w:p>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pPr>
        <w:pStyle w:val="Footnotesection"/>
      </w:pPr>
      <w:r>
        <w:tab/>
        <w:t xml:space="preserve">[Rule 14 inserted: Gazette 1 August 1980 p. 2561.] </w:t>
      </w:r>
    </w:p>
    <w:p>
      <w:pPr>
        <w:pStyle w:val="Heading5"/>
        <w:rPr>
          <w:snapToGrid w:val="0"/>
        </w:rPr>
      </w:pPr>
      <w:bookmarkStart w:id="20" w:name="_Toc107325304"/>
      <w:r>
        <w:rPr>
          <w:rStyle w:val="CharSectno"/>
        </w:rPr>
        <w:t>15</w:t>
      </w:r>
      <w:r>
        <w:rPr>
          <w:snapToGrid w:val="0"/>
        </w:rPr>
        <w:t>.</w:t>
      </w:r>
      <w:r>
        <w:rPr>
          <w:snapToGrid w:val="0"/>
        </w:rPr>
        <w:tab/>
        <w:t>Evidence as to due execution of will</w:t>
      </w:r>
      <w:bookmarkEnd w:id="20"/>
      <w:r>
        <w:rPr>
          <w:snapToGrid w:val="0"/>
        </w:rPr>
        <w:t xml:space="preserve"> </w:t>
      </w:r>
    </w:p>
    <w:p>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pPr>
        <w:pStyle w:val="Subsection"/>
        <w:rPr>
          <w:snapToGrid w:val="0"/>
        </w:rPr>
      </w:pPr>
      <w:r>
        <w:rPr>
          <w:snapToGrid w:val="0"/>
        </w:rPr>
        <w:tab/>
        <w:t>(2)</w:t>
      </w:r>
      <w:r>
        <w:rPr>
          <w:snapToGrid w:val="0"/>
        </w:rPr>
        <w:tab/>
        <w:t>An affidavit of due execution shall be in accordance with Form 1 with such variations as the circumstances may require.</w:t>
      </w:r>
    </w:p>
    <w:p>
      <w:pPr>
        <w:pStyle w:val="Subsection"/>
        <w:rPr>
          <w:snapToGrid w:val="0"/>
        </w:rPr>
      </w:pPr>
      <w:r>
        <w:rPr>
          <w:snapToGrid w:val="0"/>
        </w:rPr>
        <w:tab/>
        <w:t>(3)</w:t>
      </w:r>
      <w:r>
        <w:rPr>
          <w:snapToGrid w:val="0"/>
        </w:rPr>
        <w:tab/>
        <w:t xml:space="preserve">Where an affidavit cannot be obtained in accordance with subrule (1), the Registrar may, having regard to the desirability of protecting the interests of any person who may be prejudiced </w:t>
      </w:r>
      <w:r>
        <w:rPr>
          <w:snapToGrid w:val="0"/>
        </w:rPr>
        <w:lastRenderedPageBreak/>
        <w:t>by the will, accept evidence on affidavit from such person as he may think fit to show that the signature on the will is in the handwriting of the deceased, or of any other matter that may raise a presumption in favour of the due execution of the will.</w:t>
      </w:r>
    </w:p>
    <w:p>
      <w:pPr>
        <w:pStyle w:val="Subsection"/>
        <w:rPr>
          <w:snapToGrid w:val="0"/>
        </w:rPr>
      </w:pPr>
      <w:r>
        <w:rPr>
          <w:snapToGrid w:val="0"/>
        </w:rPr>
        <w:tab/>
        <w:t>(4)</w:t>
      </w:r>
      <w:r>
        <w:rPr>
          <w:snapToGrid w:val="0"/>
        </w:rPr>
        <w:tab/>
        <w:t>Where the Registrar, after considering the evidence — </w:t>
      </w:r>
    </w:p>
    <w:p>
      <w:pPr>
        <w:pStyle w:val="Indenta"/>
        <w:rPr>
          <w:snapToGrid w:val="0"/>
        </w:rPr>
      </w:pPr>
      <w:r>
        <w:rPr>
          <w:snapToGrid w:val="0"/>
        </w:rPr>
        <w:tab/>
        <w:t>(a)</w:t>
      </w:r>
      <w:r>
        <w:rPr>
          <w:snapToGrid w:val="0"/>
        </w:rPr>
        <w:tab/>
        <w:t>is satisfied that the will was not duly executed, he shall refuse the application and shall mark the will accordingly;</w:t>
      </w:r>
    </w:p>
    <w:p>
      <w:pPr>
        <w:pStyle w:val="Indenta"/>
        <w:rPr>
          <w:snapToGrid w:val="0"/>
        </w:rPr>
      </w:pPr>
      <w:r>
        <w:rPr>
          <w:snapToGrid w:val="0"/>
        </w:rPr>
        <w:tab/>
        <w:t>(b)</w:t>
      </w:r>
      <w:r>
        <w:rPr>
          <w:snapToGrid w:val="0"/>
        </w:rPr>
        <w:tab/>
        <w:t>is in doubt whether the will was duly executed, he may refer the matter to the Court on motion.</w:t>
      </w:r>
    </w:p>
    <w:p>
      <w:pPr>
        <w:pStyle w:val="Footnotesection"/>
      </w:pPr>
      <w:r>
        <w:tab/>
        <w:t xml:space="preserve">[Rule 15 amended: Gazette 14 December 1976 p. 3876.] </w:t>
      </w:r>
    </w:p>
    <w:p>
      <w:pPr>
        <w:pStyle w:val="Heading5"/>
        <w:rPr>
          <w:snapToGrid w:val="0"/>
        </w:rPr>
      </w:pPr>
      <w:bookmarkStart w:id="21" w:name="_Toc107325305"/>
      <w:r>
        <w:rPr>
          <w:rStyle w:val="CharSectno"/>
        </w:rPr>
        <w:t>16</w:t>
      </w:r>
      <w:r>
        <w:rPr>
          <w:snapToGrid w:val="0"/>
        </w:rPr>
        <w:t>.</w:t>
      </w:r>
      <w:r>
        <w:rPr>
          <w:snapToGrid w:val="0"/>
        </w:rPr>
        <w:tab/>
        <w:t>Execution of will of blind or illiterate testator</w:t>
      </w:r>
      <w:bookmarkEnd w:id="21"/>
      <w:r>
        <w:rPr>
          <w:snapToGrid w:val="0"/>
        </w:rPr>
        <w:t xml:space="preserve"> </w:t>
      </w:r>
    </w:p>
    <w:p>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pPr>
        <w:pStyle w:val="Footnotesection"/>
      </w:pPr>
      <w:r>
        <w:tab/>
        <w:t xml:space="preserve">[Rule 16 amended: Gazette 14 December 1979 p. 3876.] </w:t>
      </w:r>
    </w:p>
    <w:p>
      <w:pPr>
        <w:pStyle w:val="Heading5"/>
        <w:rPr>
          <w:snapToGrid w:val="0"/>
        </w:rPr>
      </w:pPr>
      <w:bookmarkStart w:id="22" w:name="_Toc107325306"/>
      <w:r>
        <w:rPr>
          <w:rStyle w:val="CharSectno"/>
        </w:rPr>
        <w:t>17</w:t>
      </w:r>
      <w:r>
        <w:rPr>
          <w:snapToGrid w:val="0"/>
        </w:rPr>
        <w:t>.</w:t>
      </w:r>
      <w:r>
        <w:rPr>
          <w:snapToGrid w:val="0"/>
        </w:rPr>
        <w:tab/>
        <w:t>Evidence as to terms, condition and date of execution of will</w:t>
      </w:r>
      <w:bookmarkEnd w:id="22"/>
      <w:r>
        <w:rPr>
          <w:snapToGrid w:val="0"/>
        </w:rPr>
        <w:t xml:space="preserve"> </w:t>
      </w:r>
    </w:p>
    <w:p>
      <w:pPr>
        <w:pStyle w:val="Subsection"/>
        <w:rPr>
          <w:snapToGrid w:val="0"/>
        </w:rPr>
      </w:pPr>
      <w:r>
        <w:rPr>
          <w:snapToGrid w:val="0"/>
        </w:rPr>
        <w:tab/>
        <w:t>(1)</w:t>
      </w:r>
      <w:r>
        <w:rPr>
          <w:snapToGrid w:val="0"/>
        </w:rPr>
        <w:tab/>
        <w:t xml:space="preserve">Where there appears in a will any obliteration, interlineation, or other alteration that is not authenticated in the manner prescribed by section 10 of the </w:t>
      </w:r>
      <w:r>
        <w:rPr>
          <w:i/>
          <w:snapToGrid w:val="0"/>
        </w:rPr>
        <w:t>Wills Act 1970</w:t>
      </w:r>
      <w:r>
        <w:rPr>
          <w:snapToGrid w:val="0"/>
        </w:rPr>
        <w:t xml:space="preserv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pPr>
        <w:pStyle w:val="Subsection"/>
        <w:rPr>
          <w:snapToGrid w:val="0"/>
        </w:rPr>
      </w:pPr>
      <w:r>
        <w:rPr>
          <w:snapToGrid w:val="0"/>
        </w:rPr>
        <w:tab/>
        <w:t>(2)</w:t>
      </w:r>
      <w:r>
        <w:rPr>
          <w:snapToGrid w:val="0"/>
        </w:rPr>
        <w:tab/>
        <w:t>Subrule (1) does not apply to an alteration that appears to the Registrar to be of no practical importance.</w:t>
      </w:r>
    </w:p>
    <w:p>
      <w:pPr>
        <w:pStyle w:val="Subsection"/>
        <w:rPr>
          <w:snapToGrid w:val="0"/>
        </w:rPr>
      </w:pPr>
      <w:r>
        <w:rPr>
          <w:snapToGrid w:val="0"/>
        </w:rPr>
        <w:tab/>
        <w:t>(3)</w:t>
      </w:r>
      <w:r>
        <w:rPr>
          <w:snapToGrid w:val="0"/>
        </w:rPr>
        <w:tab/>
        <w:t xml:space="preserve">Where from a mark on a will it appears to the Registrar that some other document has been attached to the will, or where a </w:t>
      </w:r>
      <w:r>
        <w:rPr>
          <w:snapToGrid w:val="0"/>
        </w:rPr>
        <w:lastRenderedPageBreak/>
        <w:t>will contains a reference to another document in such terms as to suggest that it ought to be incorporated in the will, the Registrar may require the document to be produced and may call for evidence in regard to the attachment or incorporation of the document.</w:t>
      </w:r>
    </w:p>
    <w:p>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pPr>
        <w:pStyle w:val="Footnotesection"/>
      </w:pPr>
      <w:r>
        <w:tab/>
        <w:t xml:space="preserve">[Rule 17 amended: Gazette 20 October 1972 p. 4160; 14 December 1979 p. 3876; 27 Nov 2009 p. 4788.] </w:t>
      </w:r>
    </w:p>
    <w:p>
      <w:pPr>
        <w:pStyle w:val="Heading5"/>
        <w:spacing w:before="120"/>
        <w:rPr>
          <w:snapToGrid w:val="0"/>
        </w:rPr>
      </w:pPr>
      <w:bookmarkStart w:id="23" w:name="_Toc107325307"/>
      <w:r>
        <w:rPr>
          <w:rStyle w:val="CharSectno"/>
        </w:rPr>
        <w:t>18</w:t>
      </w:r>
      <w:r>
        <w:rPr>
          <w:snapToGrid w:val="0"/>
        </w:rPr>
        <w:t>.</w:t>
      </w:r>
      <w:r>
        <w:rPr>
          <w:snapToGrid w:val="0"/>
        </w:rPr>
        <w:tab/>
        <w:t>Attempted revocation of will</w:t>
      </w:r>
      <w:bookmarkEnd w:id="23"/>
      <w:r>
        <w:rPr>
          <w:snapToGrid w:val="0"/>
        </w:rPr>
        <w:t xml:space="preserve"> </w:t>
      </w:r>
    </w:p>
    <w:p>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pPr>
        <w:pStyle w:val="Footnotesection"/>
      </w:pPr>
      <w:r>
        <w:tab/>
        <w:t xml:space="preserve">[Rule 18 amended: Gazette 14 December 1979 p. 3876.] </w:t>
      </w:r>
    </w:p>
    <w:p>
      <w:pPr>
        <w:pStyle w:val="Heading5"/>
        <w:spacing w:before="120"/>
        <w:rPr>
          <w:snapToGrid w:val="0"/>
        </w:rPr>
      </w:pPr>
      <w:bookmarkStart w:id="24" w:name="_Toc107325308"/>
      <w:r>
        <w:rPr>
          <w:rStyle w:val="CharSectno"/>
        </w:rPr>
        <w:t>19</w:t>
      </w:r>
      <w:r>
        <w:rPr>
          <w:snapToGrid w:val="0"/>
        </w:rPr>
        <w:t>.</w:t>
      </w:r>
      <w:r>
        <w:rPr>
          <w:snapToGrid w:val="0"/>
        </w:rPr>
        <w:tab/>
        <w:t>Affidavit as to due execution, terms, etc., of will</w:t>
      </w:r>
      <w:bookmarkEnd w:id="24"/>
      <w:r>
        <w:rPr>
          <w:snapToGrid w:val="0"/>
        </w:rPr>
        <w:t xml:space="preserve"> </w:t>
      </w:r>
    </w:p>
    <w:p>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pPr>
        <w:pStyle w:val="Footnotesection"/>
      </w:pPr>
      <w:r>
        <w:tab/>
        <w:t xml:space="preserve">[Rule 19 amended: Gazette 14 December 1979 p. 3876.] </w:t>
      </w:r>
    </w:p>
    <w:p>
      <w:pPr>
        <w:pStyle w:val="Heading5"/>
        <w:spacing w:before="120"/>
        <w:rPr>
          <w:snapToGrid w:val="0"/>
        </w:rPr>
      </w:pPr>
      <w:bookmarkStart w:id="25" w:name="_Toc107325309"/>
      <w:r>
        <w:rPr>
          <w:rStyle w:val="CharSectno"/>
        </w:rPr>
        <w:t>20</w:t>
      </w:r>
      <w:r>
        <w:rPr>
          <w:snapToGrid w:val="0"/>
        </w:rPr>
        <w:t>.</w:t>
      </w:r>
      <w:r>
        <w:rPr>
          <w:snapToGrid w:val="0"/>
        </w:rPr>
        <w:tab/>
        <w:t xml:space="preserve">Will not proved under section 9 of </w:t>
      </w:r>
      <w:r>
        <w:rPr>
          <w:i/>
          <w:snapToGrid w:val="0"/>
        </w:rPr>
        <w:t>Wills Act 1837</w:t>
      </w:r>
      <w:bookmarkEnd w:id="25"/>
    </w:p>
    <w:p>
      <w:pPr>
        <w:pStyle w:val="Subsection"/>
        <w:spacing w:before="100"/>
        <w:rPr>
          <w:snapToGrid w:val="0"/>
        </w:rPr>
      </w:pPr>
      <w:r>
        <w:rPr>
          <w:snapToGrid w:val="0"/>
        </w:rPr>
        <w:tab/>
        <w:t>(1)</w:t>
      </w:r>
      <w:r>
        <w:rPr>
          <w:snapToGrid w:val="0"/>
        </w:rPr>
        <w:tab/>
        <w:t xml:space="preserve">Nothing in rules 15, 16, 17 or 18 applies to any will that it is sought to establish otherwise than by reference to section 8 of </w:t>
      </w:r>
      <w:r>
        <w:rPr>
          <w:snapToGrid w:val="0"/>
        </w:rPr>
        <w:lastRenderedPageBreak/>
        <w:t xml:space="preserve">the </w:t>
      </w:r>
      <w:r>
        <w:rPr>
          <w:i/>
          <w:snapToGrid w:val="0"/>
        </w:rPr>
        <w:t>Wills Act 1970</w:t>
      </w:r>
      <w:r>
        <w:rPr>
          <w:snapToGrid w:val="0"/>
        </w:rPr>
        <w:t>; but the terms and validity of any such will shall be established to the satisfaction of the Registrar.</w:t>
      </w:r>
    </w:p>
    <w:p>
      <w:pPr>
        <w:pStyle w:val="Subsection"/>
        <w:rPr>
          <w:snapToGrid w:val="0"/>
        </w:rPr>
      </w:pPr>
      <w:r>
        <w:rPr>
          <w:snapToGrid w:val="0"/>
        </w:rPr>
        <w:tab/>
        <w:t>(2)</w:t>
      </w:r>
      <w:r>
        <w:rPr>
          <w:snapToGrid w:val="0"/>
        </w:rPr>
        <w:tab/>
        <w:t>Nothing in rules 15, 16, 17 or 18 applies to any document to which rule 20A applies.</w:t>
      </w:r>
    </w:p>
    <w:p>
      <w:pPr>
        <w:pStyle w:val="Footnotesection"/>
      </w:pPr>
      <w:r>
        <w:tab/>
        <w:t xml:space="preserve">[Rule 20 amended: Gazette 20 October 1972 p. 4160; 14 December 1979 p. 3876; 19 January 1990 p. 204; 27 Nov 2009 p. 4788.] </w:t>
      </w:r>
    </w:p>
    <w:p>
      <w:pPr>
        <w:pStyle w:val="Heading5"/>
        <w:rPr>
          <w:snapToGrid w:val="0"/>
        </w:rPr>
      </w:pPr>
      <w:bookmarkStart w:id="26" w:name="_Toc107325310"/>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26"/>
      <w:r>
        <w:rPr>
          <w:snapToGrid w:val="0"/>
        </w:rPr>
        <w:t xml:space="preserve"> </w:t>
      </w:r>
    </w:p>
    <w:p>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pPr>
        <w:pStyle w:val="Indenta"/>
        <w:rPr>
          <w:snapToGrid w:val="0"/>
        </w:rPr>
      </w:pPr>
      <w:r>
        <w:rPr>
          <w:snapToGrid w:val="0"/>
        </w:rPr>
        <w:tab/>
        <w:t>(a)</w:t>
      </w:r>
      <w:r>
        <w:rPr>
          <w:snapToGrid w:val="0"/>
        </w:rPr>
        <w:tab/>
        <w:t>the gross value of the estate wherever situated;</w:t>
      </w:r>
    </w:p>
    <w:p>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pPr>
        <w:pStyle w:val="Indenta"/>
        <w:rPr>
          <w:snapToGrid w:val="0"/>
        </w:rPr>
      </w:pPr>
      <w:r>
        <w:rPr>
          <w:snapToGrid w:val="0"/>
        </w:rPr>
        <w:tab/>
        <w:t>(c)</w:t>
      </w:r>
      <w:r>
        <w:rPr>
          <w:snapToGrid w:val="0"/>
        </w:rPr>
        <w:tab/>
        <w:t>the full names, ages and addresses of all persons who may be prejudiced by — </w:t>
      </w:r>
    </w:p>
    <w:p>
      <w:pPr>
        <w:pStyle w:val="Indenti"/>
        <w:rPr>
          <w:snapToGrid w:val="0"/>
        </w:rPr>
      </w:pPr>
      <w:r>
        <w:rPr>
          <w:snapToGrid w:val="0"/>
        </w:rPr>
        <w:tab/>
        <w:t>(i)</w:t>
      </w:r>
      <w:r>
        <w:rPr>
          <w:snapToGrid w:val="0"/>
        </w:rPr>
        <w:tab/>
        <w:t>the application of that Part where the applicant seeks to apply that Part; or</w:t>
      </w:r>
    </w:p>
    <w:p>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pPr>
        <w:pStyle w:val="Indenta"/>
        <w:rPr>
          <w:snapToGrid w:val="0"/>
        </w:rPr>
      </w:pPr>
      <w:r>
        <w:rPr>
          <w:snapToGrid w:val="0"/>
        </w:rPr>
        <w:tab/>
      </w:r>
      <w:r>
        <w:rPr>
          <w:snapToGrid w:val="0"/>
        </w:rPr>
        <w:tab/>
        <w:t>and, for each such person, the reason why it is said that the person may be prejudiced.</w:t>
      </w:r>
    </w:p>
    <w:p>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pPr>
        <w:pStyle w:val="Indenta"/>
        <w:rPr>
          <w:snapToGrid w:val="0"/>
        </w:rPr>
      </w:pPr>
      <w:r>
        <w:rPr>
          <w:snapToGrid w:val="0"/>
        </w:rPr>
        <w:lastRenderedPageBreak/>
        <w:tab/>
        <w:t>(a)</w:t>
      </w:r>
      <w:r>
        <w:rPr>
          <w:snapToGrid w:val="0"/>
        </w:rPr>
        <w:tab/>
        <w:t>the person — </w:t>
      </w:r>
    </w:p>
    <w:p>
      <w:pPr>
        <w:pStyle w:val="Indenti"/>
        <w:rPr>
          <w:snapToGrid w:val="0"/>
        </w:rPr>
      </w:pPr>
      <w:r>
        <w:rPr>
          <w:snapToGrid w:val="0"/>
        </w:rPr>
        <w:tab/>
        <w:t>(i)</w:t>
      </w:r>
      <w:r>
        <w:rPr>
          <w:snapToGrid w:val="0"/>
        </w:rPr>
        <w:tab/>
        <w:t>is not of full age or is incapable of consenting by reason of mental illness, defect or infirmity; or</w:t>
      </w:r>
    </w:p>
    <w:p>
      <w:pPr>
        <w:pStyle w:val="Indenti"/>
        <w:rPr>
          <w:snapToGrid w:val="0"/>
        </w:rPr>
      </w:pPr>
      <w:r>
        <w:rPr>
          <w:snapToGrid w:val="0"/>
        </w:rPr>
        <w:tab/>
        <w:t>(ii)</w:t>
      </w:r>
      <w:r>
        <w:rPr>
          <w:snapToGrid w:val="0"/>
        </w:rPr>
        <w:tab/>
        <w:t>cannot be found;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it is otherwise just or expedient to do so.</w:t>
      </w:r>
    </w:p>
    <w:p>
      <w:pPr>
        <w:pStyle w:val="Footnotesection"/>
      </w:pPr>
      <w:r>
        <w:tab/>
        <w:t xml:space="preserve">[Rule 20A inserted: Gazette 19 January 1990 p. 204 (Erratum: Gazette 26 January 1990 p. 657); amended: Gazette 5 March 1996 p. 830.] </w:t>
      </w:r>
    </w:p>
    <w:p>
      <w:pPr>
        <w:pStyle w:val="Heading5"/>
        <w:rPr>
          <w:snapToGrid w:val="0"/>
        </w:rPr>
      </w:pPr>
      <w:bookmarkStart w:id="27" w:name="_Toc107325311"/>
      <w:r>
        <w:rPr>
          <w:rStyle w:val="CharSectno"/>
        </w:rPr>
        <w:t>21</w:t>
      </w:r>
      <w:r>
        <w:rPr>
          <w:snapToGrid w:val="0"/>
        </w:rPr>
        <w:t>.</w:t>
      </w:r>
      <w:r>
        <w:rPr>
          <w:snapToGrid w:val="0"/>
        </w:rPr>
        <w:tab/>
        <w:t>Privileged wills</w:t>
      </w:r>
      <w:bookmarkEnd w:id="27"/>
      <w:r>
        <w:rPr>
          <w:snapToGrid w:val="0"/>
        </w:rPr>
        <w:t xml:space="preserve"> </w:t>
      </w:r>
    </w:p>
    <w:p>
      <w:pPr>
        <w:pStyle w:val="Subsection"/>
        <w:rPr>
          <w:snapToGrid w:val="0"/>
        </w:rPr>
      </w:pPr>
      <w:r>
        <w:rPr>
          <w:snapToGrid w:val="0"/>
        </w:rPr>
        <w:tab/>
      </w:r>
      <w:r>
        <w:rPr>
          <w:snapToGrid w:val="0"/>
        </w:rPr>
        <w:tab/>
        <w:t xml:space="preserve">Where it appears to the Registrar that there is a prima facie evidence that the will is one to which </w:t>
      </w:r>
      <w:r>
        <w:t xml:space="preserve">the </w:t>
      </w:r>
      <w:r>
        <w:rPr>
          <w:i/>
          <w:iCs/>
        </w:rPr>
        <w:t>Wills Act 1970</w:t>
      </w:r>
      <w:r>
        <w:t xml:space="preserve"> Part VI applies, </w:t>
      </w:r>
      <w:r>
        <w:rPr>
          <w:snapToGrid w:val="0"/>
        </w:rPr>
        <w:t>the will may be admitted to proof where the Registrar is satisfied that the will was signed by the testator or, if unsigned, that it is in the testator’s handwriting.</w:t>
      </w:r>
    </w:p>
    <w:p>
      <w:pPr>
        <w:pStyle w:val="Footnotesection"/>
      </w:pPr>
      <w:r>
        <w:tab/>
        <w:t xml:space="preserve">[Rule 21 inserted: Gazette 20 October 1972 p. 4161; amended: Gazette 14 December 1979 p. 3876; 27 Nov 2009 p. 4788.] </w:t>
      </w:r>
    </w:p>
    <w:p>
      <w:pPr>
        <w:pStyle w:val="Heading5"/>
        <w:rPr>
          <w:snapToGrid w:val="0"/>
        </w:rPr>
      </w:pPr>
      <w:bookmarkStart w:id="28" w:name="_Toc107325312"/>
      <w:r>
        <w:rPr>
          <w:rStyle w:val="CharSectno"/>
        </w:rPr>
        <w:t>22</w:t>
      </w:r>
      <w:r>
        <w:rPr>
          <w:snapToGrid w:val="0"/>
        </w:rPr>
        <w:t>.</w:t>
      </w:r>
      <w:r>
        <w:rPr>
          <w:snapToGrid w:val="0"/>
        </w:rPr>
        <w:tab/>
        <w:t>Notice of application for administration</w:t>
      </w:r>
      <w:bookmarkEnd w:id="28"/>
      <w:r>
        <w:rPr>
          <w:snapToGrid w:val="0"/>
        </w:rPr>
        <w:t xml:space="preserve"> </w:t>
      </w:r>
    </w:p>
    <w:p>
      <w:pPr>
        <w:pStyle w:val="Subsection"/>
        <w:rPr>
          <w:snapToGrid w:val="0"/>
        </w:rPr>
      </w:pPr>
      <w:r>
        <w:rPr>
          <w:snapToGrid w:val="0"/>
        </w:rPr>
        <w:tab/>
        <w:t>(1)</w:t>
      </w:r>
      <w:r>
        <w:rPr>
          <w:snapToGrid w:val="0"/>
        </w:rPr>
        <w:tab/>
        <w:t>Where the applicant for administration is not the sole person entitled to administration, there being another person or other persons within the jurisdiction also entitled thereto, the consents, duly verified, of any such persons shall be filed, or evidence shall be adduced that they were served with notice of the application, or that they cannot be found.</w:t>
      </w:r>
    </w:p>
    <w:p>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pPr>
        <w:pStyle w:val="Footnotesection"/>
      </w:pPr>
      <w:r>
        <w:tab/>
        <w:t xml:space="preserve">[Rule 22 inserted: Gazette 17 October 1986 p. 3894.] </w:t>
      </w:r>
    </w:p>
    <w:p>
      <w:pPr>
        <w:pStyle w:val="Ednotesection"/>
      </w:pPr>
      <w:r>
        <w:t>[</w:t>
      </w:r>
      <w:r>
        <w:rPr>
          <w:b/>
        </w:rPr>
        <w:t>23, 24.</w:t>
      </w:r>
      <w:r>
        <w:rPr>
          <w:b/>
        </w:rPr>
        <w:tab/>
      </w:r>
      <w:r>
        <w:t xml:space="preserve">Deleted: Gazette 20 October 1972 p. 4161.] </w:t>
      </w:r>
    </w:p>
    <w:p>
      <w:pPr>
        <w:pStyle w:val="Heading5"/>
        <w:rPr>
          <w:snapToGrid w:val="0"/>
        </w:rPr>
      </w:pPr>
      <w:bookmarkStart w:id="29" w:name="_Toc107325313"/>
      <w:r>
        <w:rPr>
          <w:rStyle w:val="CharSectno"/>
        </w:rPr>
        <w:lastRenderedPageBreak/>
        <w:t>25</w:t>
      </w:r>
      <w:r>
        <w:rPr>
          <w:snapToGrid w:val="0"/>
        </w:rPr>
        <w:t>.</w:t>
      </w:r>
      <w:r>
        <w:rPr>
          <w:snapToGrid w:val="0"/>
        </w:rPr>
        <w:tab/>
        <w:t>Grant to creditor</w:t>
      </w:r>
      <w:bookmarkEnd w:id="29"/>
      <w:r>
        <w:rPr>
          <w:snapToGrid w:val="0"/>
        </w:rPr>
        <w:t xml:space="preserve"> </w:t>
      </w:r>
    </w:p>
    <w:p>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pPr>
        <w:pStyle w:val="Footnotesection"/>
      </w:pPr>
      <w:r>
        <w:tab/>
        <w:t xml:space="preserve">[Rule 25 inserted: Gazette 17 October 1986 p. 3895.] </w:t>
      </w:r>
    </w:p>
    <w:p>
      <w:pPr>
        <w:pStyle w:val="Heading5"/>
        <w:rPr>
          <w:snapToGrid w:val="0"/>
        </w:rPr>
      </w:pPr>
      <w:bookmarkStart w:id="30" w:name="_Toc107325314"/>
      <w:r>
        <w:rPr>
          <w:rStyle w:val="CharSectno"/>
        </w:rPr>
        <w:t>26</w:t>
      </w:r>
      <w:r>
        <w:rPr>
          <w:snapToGrid w:val="0"/>
        </w:rPr>
        <w:t>.</w:t>
      </w:r>
      <w:r>
        <w:rPr>
          <w:snapToGrid w:val="0"/>
        </w:rPr>
        <w:tab/>
        <w:t>Grants on behalf of infants</w:t>
      </w:r>
      <w:bookmarkEnd w:id="30"/>
      <w:r>
        <w:rPr>
          <w:snapToGrid w:val="0"/>
        </w:rPr>
        <w:t xml:space="preserve"> </w:t>
      </w:r>
    </w:p>
    <w:p>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pPr>
        <w:pStyle w:val="Subsection"/>
        <w:rPr>
          <w:snapToGrid w:val="0"/>
        </w:rPr>
      </w:pPr>
      <w:r>
        <w:rPr>
          <w:snapToGrid w:val="0"/>
        </w:rPr>
        <w:tab/>
        <w:t>(3)</w:t>
      </w:r>
      <w:r>
        <w:rPr>
          <w:snapToGrid w:val="0"/>
        </w:rPr>
        <w:tab/>
        <w:t>Where a guardian applies for administration, he shall produce evidence of his election or assignment.</w:t>
      </w:r>
    </w:p>
    <w:p>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pPr>
        <w:pStyle w:val="Footnotesection"/>
      </w:pPr>
      <w:r>
        <w:tab/>
        <w:t xml:space="preserve">[Rule 26 amended: Gazette 20 October 1972 p. 4161; 14 December 1979 p. 3876.] </w:t>
      </w:r>
    </w:p>
    <w:p>
      <w:pPr>
        <w:pStyle w:val="Heading5"/>
        <w:rPr>
          <w:snapToGrid w:val="0"/>
        </w:rPr>
      </w:pPr>
      <w:bookmarkStart w:id="31" w:name="_Toc107325315"/>
      <w:r>
        <w:rPr>
          <w:rStyle w:val="CharSectno"/>
        </w:rPr>
        <w:t>27</w:t>
      </w:r>
      <w:r>
        <w:rPr>
          <w:snapToGrid w:val="0"/>
        </w:rPr>
        <w:t>.</w:t>
      </w:r>
      <w:r>
        <w:rPr>
          <w:snapToGrid w:val="0"/>
        </w:rPr>
        <w:tab/>
        <w:t>Guarantee where administration applied for</w:t>
      </w:r>
      <w:bookmarkEnd w:id="31"/>
      <w:r>
        <w:rPr>
          <w:snapToGrid w:val="0"/>
        </w:rPr>
        <w:t xml:space="preserve"> </w:t>
      </w:r>
    </w:p>
    <w:p>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pPr>
        <w:pStyle w:val="Indenta"/>
        <w:rPr>
          <w:snapToGrid w:val="0"/>
        </w:rPr>
      </w:pPr>
      <w:r>
        <w:rPr>
          <w:snapToGrid w:val="0"/>
        </w:rPr>
        <w:tab/>
        <w:t>(a)</w:t>
      </w:r>
      <w:r>
        <w:rPr>
          <w:snapToGrid w:val="0"/>
        </w:rPr>
        <w:tab/>
        <w:t>for the use and benefit of another person or where the grant is otherwise limited;</w:t>
      </w:r>
    </w:p>
    <w:p>
      <w:pPr>
        <w:pStyle w:val="Indenta"/>
        <w:rPr>
          <w:snapToGrid w:val="0"/>
        </w:rPr>
      </w:pPr>
      <w:r>
        <w:rPr>
          <w:snapToGrid w:val="0"/>
        </w:rPr>
        <w:tab/>
        <w:t>(b)</w:t>
      </w:r>
      <w:r>
        <w:rPr>
          <w:snapToGrid w:val="0"/>
        </w:rPr>
        <w:tab/>
        <w:t>to an applicant who appears to the Registrar to be resident elsewhere than in Western Australia;</w:t>
      </w:r>
    </w:p>
    <w:p>
      <w:pPr>
        <w:pStyle w:val="Indenta"/>
        <w:rPr>
          <w:snapToGrid w:val="0"/>
        </w:rPr>
      </w:pPr>
      <w:r>
        <w:rPr>
          <w:snapToGrid w:val="0"/>
        </w:rPr>
        <w:tab/>
        <w:t>(c)</w:t>
      </w:r>
      <w:r>
        <w:rPr>
          <w:snapToGrid w:val="0"/>
        </w:rPr>
        <w:tab/>
        <w:t>where a beneficiary is not of full age or capacity; or</w:t>
      </w:r>
    </w:p>
    <w:p>
      <w:pPr>
        <w:pStyle w:val="Indenta"/>
        <w:rPr>
          <w:snapToGrid w:val="0"/>
        </w:rPr>
      </w:pPr>
      <w:r>
        <w:rPr>
          <w:snapToGrid w:val="0"/>
        </w:rPr>
        <w:lastRenderedPageBreak/>
        <w:tab/>
        <w:t>(d)</w:t>
      </w:r>
      <w:r>
        <w:rPr>
          <w:snapToGrid w:val="0"/>
        </w:rPr>
        <w:tab/>
        <w:t>where a beneficiary is not resident in Western Australia and has no agent or attorney there;</w:t>
      </w:r>
    </w:p>
    <w:p>
      <w:pPr>
        <w:pStyle w:val="Subsection"/>
        <w:rPr>
          <w:snapToGrid w:val="0"/>
        </w:rPr>
      </w:pPr>
      <w:r>
        <w:rPr>
          <w:snapToGrid w:val="0"/>
        </w:rPr>
        <w:tab/>
      </w:r>
      <w:r>
        <w:rPr>
          <w:snapToGrid w:val="0"/>
        </w:rPr>
        <w:tab/>
        <w:t>or except where the Registrar considers that there are special circumstances making it desirable to require a guarantee.</w:t>
      </w:r>
    </w:p>
    <w:p>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pPr>
        <w:pStyle w:val="Indenta"/>
        <w:rPr>
          <w:snapToGrid w:val="0"/>
        </w:rPr>
      </w:pPr>
      <w:r>
        <w:rPr>
          <w:snapToGrid w:val="0"/>
        </w:rPr>
        <w:tab/>
        <w:t>(a)</w:t>
      </w:r>
      <w:r>
        <w:rPr>
          <w:snapToGrid w:val="0"/>
        </w:rPr>
        <w:tab/>
        <w:t>a corporation authorised by the law of Western Australia to obtain a grant; or</w:t>
      </w:r>
    </w:p>
    <w:p>
      <w:pPr>
        <w:pStyle w:val="Indenta"/>
      </w:pPr>
      <w:r>
        <w:tab/>
        <w:t>(b)</w:t>
      </w:r>
      <w:r>
        <w:tab/>
        <w:t>a legal practitioner.</w:t>
      </w:r>
    </w:p>
    <w:p>
      <w:pPr>
        <w:pStyle w:val="Subsection"/>
        <w:rPr>
          <w:snapToGrid w:val="0"/>
        </w:rPr>
      </w:pPr>
      <w:r>
        <w:rPr>
          <w:snapToGrid w:val="0"/>
        </w:rPr>
        <w:tab/>
        <w:t>(3)</w:t>
      </w:r>
      <w:r>
        <w:rPr>
          <w:snapToGrid w:val="0"/>
        </w:rPr>
        <w:tab/>
        <w:t>A guarantee entered into by a surety for the purposes of section 26 of the Act shall be in Form 2.</w:t>
      </w:r>
    </w:p>
    <w:p>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pPr>
        <w:pStyle w:val="Subsection"/>
        <w:rPr>
          <w:snapToGrid w:val="0"/>
        </w:rPr>
      </w:pPr>
      <w:r>
        <w:rPr>
          <w:snapToGrid w:val="0"/>
        </w:rPr>
        <w:tab/>
        <w:t>(7)</w:t>
      </w:r>
      <w:r>
        <w:rPr>
          <w:snapToGrid w:val="0"/>
        </w:rPr>
        <w:tab/>
        <w:t>A surety other than a corporation shall justify to the satisfaction of the Registrar.</w:t>
      </w:r>
    </w:p>
    <w:p>
      <w:pPr>
        <w:pStyle w:val="Subsection"/>
        <w:keepNext/>
        <w:rPr>
          <w:snapToGrid w:val="0"/>
        </w:rPr>
      </w:pPr>
      <w:r>
        <w:rPr>
          <w:snapToGrid w:val="0"/>
        </w:rPr>
        <w:lastRenderedPageBreak/>
        <w:tab/>
        <w:t>(8)</w:t>
      </w:r>
      <w:r>
        <w:rPr>
          <w:snapToGrid w:val="0"/>
        </w:rPr>
        <w:tab/>
        <w:t>Except where the surety is a corporation, the guarantee shall be attested by a person authorised to administer oaths.</w:t>
      </w:r>
    </w:p>
    <w:p>
      <w:pPr>
        <w:pStyle w:val="Footnotesection"/>
      </w:pPr>
      <w:r>
        <w:tab/>
        <w:t>[Rule 27 inserted: Gazette 7 Oct 1977 p. 3604</w:t>
      </w:r>
      <w:r>
        <w:noBreakHyphen/>
        <w:t>5; amended: Gazette 14 Dec 1979 p. 3876; 1 Aug 1980 p. 2561; 19 Apr 2005 p. 1297; SL 2022/74 r. 7.]</w:t>
      </w:r>
    </w:p>
    <w:p>
      <w:pPr>
        <w:pStyle w:val="Heading5"/>
        <w:rPr>
          <w:snapToGrid w:val="0"/>
        </w:rPr>
      </w:pPr>
      <w:bookmarkStart w:id="32" w:name="_Toc107325316"/>
      <w:r>
        <w:rPr>
          <w:rStyle w:val="CharSectno"/>
        </w:rPr>
        <w:t>27A</w:t>
      </w:r>
      <w:r>
        <w:rPr>
          <w:snapToGrid w:val="0"/>
        </w:rPr>
        <w:t>.</w:t>
      </w:r>
      <w:r>
        <w:rPr>
          <w:snapToGrid w:val="0"/>
        </w:rPr>
        <w:tab/>
        <w:t>Guarantee where application to reseal</w:t>
      </w:r>
      <w:bookmarkEnd w:id="32"/>
      <w:r>
        <w:rPr>
          <w:snapToGrid w:val="0"/>
        </w:rPr>
        <w:t xml:space="preserve"> </w:t>
      </w:r>
    </w:p>
    <w:p>
      <w:pPr>
        <w:pStyle w:val="Subsection"/>
        <w:rPr>
          <w:snapToGrid w:val="0"/>
        </w:rPr>
      </w:pPr>
      <w:r>
        <w:rPr>
          <w:snapToGrid w:val="0"/>
        </w:rPr>
        <w:tab/>
      </w:r>
      <w:r>
        <w:rPr>
          <w:snapToGrid w:val="0"/>
        </w:rPr>
        <w:tab/>
        <w:t>On an application for the sealing of a grant of administration — </w:t>
      </w:r>
    </w:p>
    <w:p>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pPr>
        <w:pStyle w:val="Indenta"/>
        <w:rPr>
          <w:snapToGrid w:val="0"/>
        </w:rPr>
      </w:pPr>
      <w:r>
        <w:rPr>
          <w:snapToGrid w:val="0"/>
        </w:rPr>
        <w:tab/>
        <w:t>(b)</w:t>
      </w:r>
      <w:r>
        <w:rPr>
          <w:snapToGrid w:val="0"/>
        </w:rPr>
        <w:tab/>
        <w:t>subrule 10(4) and rule 27(2), (4), (5), (6), (7) and (8) shall apply with any necessary modifications; and</w:t>
      </w:r>
    </w:p>
    <w:p>
      <w:pPr>
        <w:pStyle w:val="Indenta"/>
        <w:rPr>
          <w:snapToGrid w:val="0"/>
        </w:rPr>
      </w:pPr>
      <w:r>
        <w:rPr>
          <w:snapToGrid w:val="0"/>
        </w:rPr>
        <w:tab/>
        <w:t>(c)</w:t>
      </w:r>
      <w:r>
        <w:rPr>
          <w:snapToGrid w:val="0"/>
        </w:rPr>
        <w:tab/>
        <w:t>a guarantee entered into by a surety for the purposes of section 62 of the Act shall be in Form 2A.</w:t>
      </w:r>
    </w:p>
    <w:p>
      <w:pPr>
        <w:pStyle w:val="Footnotesection"/>
      </w:pPr>
      <w:r>
        <w:tab/>
        <w:t xml:space="preserve">[Rule 27A inserted: Gazette 7 October 1977 p. 3605; amended: Gazette 14 December 1979 p. 3876; 1 August 1980 p. 2561.] </w:t>
      </w:r>
    </w:p>
    <w:p>
      <w:pPr>
        <w:pStyle w:val="Heading5"/>
        <w:rPr>
          <w:snapToGrid w:val="0"/>
        </w:rPr>
      </w:pPr>
      <w:bookmarkStart w:id="33" w:name="_Toc107325317"/>
      <w:r>
        <w:rPr>
          <w:rStyle w:val="CharSectno"/>
        </w:rPr>
        <w:t>28</w:t>
      </w:r>
      <w:r>
        <w:rPr>
          <w:snapToGrid w:val="0"/>
        </w:rPr>
        <w:t>.</w:t>
      </w:r>
      <w:r>
        <w:rPr>
          <w:snapToGrid w:val="0"/>
        </w:rPr>
        <w:tab/>
        <w:t>Effect of renunciation</w:t>
      </w:r>
      <w:bookmarkEnd w:id="33"/>
      <w:r>
        <w:rPr>
          <w:snapToGrid w:val="0"/>
        </w:rPr>
        <w:t xml:space="preserve"> </w:t>
      </w:r>
    </w:p>
    <w:p>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pPr>
        <w:pStyle w:val="Footnotesection"/>
      </w:pPr>
      <w:r>
        <w:tab/>
        <w:t xml:space="preserve">[Rule 28 amended: Gazette 14 December 1979 p. 3876.] </w:t>
      </w:r>
    </w:p>
    <w:p>
      <w:pPr>
        <w:pStyle w:val="Heading5"/>
        <w:rPr>
          <w:snapToGrid w:val="0"/>
        </w:rPr>
      </w:pPr>
      <w:bookmarkStart w:id="34" w:name="_Toc107325318"/>
      <w:r>
        <w:rPr>
          <w:rStyle w:val="CharSectno"/>
        </w:rPr>
        <w:t>29</w:t>
      </w:r>
      <w:r>
        <w:rPr>
          <w:snapToGrid w:val="0"/>
        </w:rPr>
        <w:t>.</w:t>
      </w:r>
      <w:r>
        <w:rPr>
          <w:snapToGrid w:val="0"/>
        </w:rPr>
        <w:tab/>
        <w:t>Citations generally</w:t>
      </w:r>
      <w:bookmarkEnd w:id="34"/>
      <w:r>
        <w:rPr>
          <w:snapToGrid w:val="0"/>
        </w:rPr>
        <w:t xml:space="preserve"> </w:t>
      </w:r>
    </w:p>
    <w:p>
      <w:pPr>
        <w:pStyle w:val="Subsection"/>
        <w:rPr>
          <w:snapToGrid w:val="0"/>
        </w:rPr>
      </w:pPr>
      <w:r>
        <w:rPr>
          <w:snapToGrid w:val="0"/>
        </w:rPr>
        <w:tab/>
        <w:t>(1)</w:t>
      </w:r>
      <w:r>
        <w:rPr>
          <w:snapToGrid w:val="0"/>
        </w:rPr>
        <w:tab/>
        <w:t>A citation shall be settled by the Registrar before being issued.</w:t>
      </w:r>
    </w:p>
    <w:p>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w:t>
      </w:r>
      <w:r>
        <w:rPr>
          <w:snapToGrid w:val="0"/>
        </w:rPr>
        <w:lastRenderedPageBreak/>
        <w:t xml:space="preserve">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pPr>
        <w:pStyle w:val="Subsection"/>
        <w:rPr>
          <w:snapToGrid w:val="0"/>
        </w:rPr>
      </w:pPr>
      <w:r>
        <w:rPr>
          <w:snapToGrid w:val="0"/>
        </w:rPr>
        <w:tab/>
        <w:t>(3)</w:t>
      </w:r>
      <w:r>
        <w:rPr>
          <w:snapToGrid w:val="0"/>
        </w:rPr>
        <w:tab/>
        <w:t>The citor shall enter a caveat before issuing a citation.</w:t>
      </w:r>
    </w:p>
    <w:p>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pPr>
        <w:pStyle w:val="Footnotesection"/>
      </w:pPr>
      <w:r>
        <w:tab/>
        <w:t xml:space="preserve">[Rule 29 amended: Gazette 14 December 1979 p. 3876.] </w:t>
      </w:r>
    </w:p>
    <w:p>
      <w:pPr>
        <w:pStyle w:val="Heading5"/>
        <w:rPr>
          <w:snapToGrid w:val="0"/>
        </w:rPr>
      </w:pPr>
      <w:bookmarkStart w:id="35" w:name="_Toc107325319"/>
      <w:r>
        <w:rPr>
          <w:rStyle w:val="CharSectno"/>
        </w:rPr>
        <w:t>30</w:t>
      </w:r>
      <w:r>
        <w:rPr>
          <w:snapToGrid w:val="0"/>
        </w:rPr>
        <w:t>.</w:t>
      </w:r>
      <w:r>
        <w:rPr>
          <w:snapToGrid w:val="0"/>
        </w:rPr>
        <w:tab/>
        <w:t>Citation to accept or refuse or to take a grant</w:t>
      </w:r>
      <w:bookmarkEnd w:id="35"/>
      <w:r>
        <w:rPr>
          <w:snapToGrid w:val="0"/>
        </w:rPr>
        <w:t xml:space="preserve"> </w:t>
      </w:r>
    </w:p>
    <w:p>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pPr>
        <w:pStyle w:val="Subsection"/>
        <w:rPr>
          <w:snapToGrid w:val="0"/>
        </w:rPr>
      </w:pPr>
      <w:r>
        <w:rPr>
          <w:snapToGrid w:val="0"/>
        </w:rPr>
        <w:tab/>
        <w:t>(3)</w:t>
      </w:r>
      <w:r>
        <w:rPr>
          <w:snapToGrid w:val="0"/>
        </w:rPr>
        <w:tab/>
        <w:t xml:space="preserve">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w:t>
      </w:r>
      <w:r>
        <w:rPr>
          <w:snapToGrid w:val="0"/>
        </w:rPr>
        <w:lastRenderedPageBreak/>
        <w:t>a grant shall issue while proceedings as to the validity of the will are pending.</w:t>
      </w:r>
    </w:p>
    <w:p>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pPr>
        <w:pStyle w:val="Indenta"/>
        <w:rPr>
          <w:snapToGrid w:val="0"/>
        </w:rPr>
      </w:pPr>
      <w:r>
        <w:rPr>
          <w:snapToGrid w:val="0"/>
        </w:rPr>
        <w:tab/>
        <w:t>(a)</w:t>
      </w:r>
      <w:r>
        <w:rPr>
          <w:snapToGrid w:val="0"/>
        </w:rPr>
        <w:tab/>
        <w:t>in the case of a citation under subrule (1), apply to the Registrar for a grant to himself;</w:t>
      </w:r>
    </w:p>
    <w:p>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pPr>
        <w:pStyle w:val="Indenta"/>
        <w:rPr>
          <w:snapToGrid w:val="0"/>
        </w:rPr>
      </w:pPr>
      <w:r>
        <w:rPr>
          <w:snapToGrid w:val="0"/>
        </w:rPr>
        <w:tab/>
        <w:t>(a)</w:t>
      </w:r>
      <w:r>
        <w:rPr>
          <w:snapToGrid w:val="0"/>
        </w:rPr>
        <w:tab/>
        <w:t>in the case of a citation under subrule (1), apply by summons to the Registrar for an order for a grant to himself;</w:t>
      </w:r>
    </w:p>
    <w:p>
      <w:pPr>
        <w:pStyle w:val="Indenta"/>
        <w:rPr>
          <w:snapToGrid w:val="0"/>
        </w:rPr>
      </w:pPr>
      <w:r>
        <w:rPr>
          <w:snapToGrid w:val="0"/>
        </w:rPr>
        <w:lastRenderedPageBreak/>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pPr>
        <w:pStyle w:val="Indenta"/>
        <w:keepNext/>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pPr>
        <w:pStyle w:val="Subsection"/>
        <w:keepNext/>
        <w:rPr>
          <w:snapToGrid w:val="0"/>
        </w:rPr>
      </w:pPr>
      <w:r>
        <w:rPr>
          <w:snapToGrid w:val="0"/>
        </w:rPr>
        <w:tab/>
      </w:r>
      <w:r>
        <w:rPr>
          <w:snapToGrid w:val="0"/>
        </w:rPr>
        <w:tab/>
        <w:t>and the summons shall be served on the person cited.</w:t>
      </w:r>
    </w:p>
    <w:p>
      <w:pPr>
        <w:pStyle w:val="Footnotesection"/>
      </w:pPr>
      <w:r>
        <w:tab/>
        <w:t xml:space="preserve">[Rule 30 amended: Gazette 14 December 1979 p. 3876.] </w:t>
      </w:r>
    </w:p>
    <w:p>
      <w:pPr>
        <w:pStyle w:val="Heading5"/>
        <w:spacing w:before="120"/>
        <w:rPr>
          <w:snapToGrid w:val="0"/>
        </w:rPr>
      </w:pPr>
      <w:bookmarkStart w:id="36" w:name="_Toc107325320"/>
      <w:r>
        <w:rPr>
          <w:rStyle w:val="CharSectno"/>
        </w:rPr>
        <w:t>31</w:t>
      </w:r>
      <w:r>
        <w:rPr>
          <w:snapToGrid w:val="0"/>
        </w:rPr>
        <w:t>.</w:t>
      </w:r>
      <w:r>
        <w:rPr>
          <w:snapToGrid w:val="0"/>
        </w:rPr>
        <w:tab/>
        <w:t>Citation to propound a will</w:t>
      </w:r>
      <w:bookmarkEnd w:id="36"/>
      <w:r>
        <w:rPr>
          <w:snapToGrid w:val="0"/>
        </w:rPr>
        <w:t xml:space="preserve"> </w:t>
      </w:r>
    </w:p>
    <w:p>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pPr>
        <w:pStyle w:val="Heading5"/>
        <w:spacing w:before="120"/>
        <w:rPr>
          <w:snapToGrid w:val="0"/>
        </w:rPr>
      </w:pPr>
      <w:bookmarkStart w:id="37" w:name="_Toc107325321"/>
      <w:r>
        <w:rPr>
          <w:rStyle w:val="CharSectno"/>
        </w:rPr>
        <w:t>32</w:t>
      </w:r>
      <w:r>
        <w:rPr>
          <w:snapToGrid w:val="0"/>
        </w:rPr>
        <w:t>.</w:t>
      </w:r>
      <w:r>
        <w:rPr>
          <w:snapToGrid w:val="0"/>
        </w:rPr>
        <w:tab/>
        <w:t>Citation to bring in a will</w:t>
      </w:r>
      <w:bookmarkEnd w:id="37"/>
      <w:r>
        <w:rPr>
          <w:snapToGrid w:val="0"/>
        </w:rPr>
        <w:t xml:space="preserve"> </w:t>
      </w:r>
    </w:p>
    <w:p>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pPr>
        <w:pStyle w:val="Heading5"/>
        <w:spacing w:before="120"/>
        <w:rPr>
          <w:snapToGrid w:val="0"/>
        </w:rPr>
      </w:pPr>
      <w:bookmarkStart w:id="38" w:name="_Toc107325322"/>
      <w:r>
        <w:rPr>
          <w:rStyle w:val="CharSectno"/>
        </w:rPr>
        <w:t>33</w:t>
      </w:r>
      <w:r>
        <w:rPr>
          <w:snapToGrid w:val="0"/>
        </w:rPr>
        <w:t>.</w:t>
      </w:r>
      <w:r>
        <w:rPr>
          <w:snapToGrid w:val="0"/>
        </w:rPr>
        <w:tab/>
        <w:t>Caveats</w:t>
      </w:r>
      <w:bookmarkEnd w:id="38"/>
      <w:r>
        <w:rPr>
          <w:snapToGrid w:val="0"/>
        </w:rPr>
        <w:t xml:space="preserve"> </w:t>
      </w:r>
    </w:p>
    <w:p>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pPr>
        <w:pStyle w:val="Subsection"/>
        <w:rPr>
          <w:snapToGrid w:val="0"/>
        </w:rPr>
      </w:pPr>
      <w:r>
        <w:rPr>
          <w:snapToGrid w:val="0"/>
        </w:rPr>
        <w:lastRenderedPageBreak/>
        <w:tab/>
        <w:t>(2)</w:t>
      </w:r>
      <w:r>
        <w:rPr>
          <w:snapToGrid w:val="0"/>
        </w:rPr>
        <w:tab/>
        <w:t>A caveat shall be in accordance with Form 3, and shall state fully the nature of the interest of the caveator.</w:t>
      </w:r>
    </w:p>
    <w:p>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pPr>
        <w:pStyle w:val="Footnotesection"/>
      </w:pPr>
      <w:r>
        <w:tab/>
        <w:t xml:space="preserve">[Rule 33 amended: Gazette 14 December 1979 p. 3876.] </w:t>
      </w:r>
    </w:p>
    <w:p>
      <w:pPr>
        <w:pStyle w:val="Heading5"/>
        <w:rPr>
          <w:snapToGrid w:val="0"/>
        </w:rPr>
      </w:pPr>
      <w:bookmarkStart w:id="39" w:name="_Toc107325323"/>
      <w:r>
        <w:rPr>
          <w:rStyle w:val="CharSectno"/>
        </w:rPr>
        <w:t>34</w:t>
      </w:r>
      <w:r>
        <w:rPr>
          <w:snapToGrid w:val="0"/>
        </w:rPr>
        <w:t>.</w:t>
      </w:r>
      <w:r>
        <w:rPr>
          <w:snapToGrid w:val="0"/>
        </w:rPr>
        <w:tab/>
        <w:t>Application for leave to swear to death</w:t>
      </w:r>
      <w:bookmarkEnd w:id="39"/>
      <w:r>
        <w:rPr>
          <w:snapToGrid w:val="0"/>
        </w:rPr>
        <w:t xml:space="preserve"> </w:t>
      </w:r>
    </w:p>
    <w:p>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pPr>
        <w:pStyle w:val="Footnotesection"/>
      </w:pPr>
      <w:r>
        <w:tab/>
        <w:t xml:space="preserve">[Rule 34 amended: Gazette 30 March 1973 p. 818; 14 December 1979 p. 3876.] </w:t>
      </w:r>
    </w:p>
    <w:p>
      <w:pPr>
        <w:pStyle w:val="Heading5"/>
        <w:rPr>
          <w:snapToGrid w:val="0"/>
        </w:rPr>
      </w:pPr>
      <w:bookmarkStart w:id="40" w:name="_Toc107325324"/>
      <w:r>
        <w:rPr>
          <w:rStyle w:val="CharSectno"/>
        </w:rPr>
        <w:lastRenderedPageBreak/>
        <w:t>35</w:t>
      </w:r>
      <w:r>
        <w:rPr>
          <w:snapToGrid w:val="0"/>
        </w:rPr>
        <w:t>.</w:t>
      </w:r>
      <w:r>
        <w:rPr>
          <w:snapToGrid w:val="0"/>
        </w:rPr>
        <w:tab/>
        <w:t>Amendment and revocation of grant</w:t>
      </w:r>
      <w:bookmarkEnd w:id="40"/>
      <w:r>
        <w:rPr>
          <w:snapToGrid w:val="0"/>
        </w:rPr>
        <w:t xml:space="preserve"> </w:t>
      </w:r>
    </w:p>
    <w:p>
      <w:pPr>
        <w:pStyle w:val="Subsection"/>
        <w:rPr>
          <w:snapToGrid w:val="0"/>
        </w:rPr>
      </w:pPr>
      <w:r>
        <w:rPr>
          <w:snapToGrid w:val="0"/>
        </w:rPr>
        <w:tab/>
        <w:t>(1)</w:t>
      </w:r>
      <w:r>
        <w:rPr>
          <w:snapToGrid w:val="0"/>
        </w:rPr>
        <w:tab/>
        <w:t>Where the Registrar is satisfied that a grant should be amended or revoked, he may make an order accordingly.</w:t>
      </w:r>
    </w:p>
    <w:p>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pPr>
        <w:pStyle w:val="Footnotesection"/>
      </w:pPr>
      <w:r>
        <w:tab/>
        <w:t xml:space="preserve">[Rule 35 amended: Gazette 20 October 1972 p. 4161; 14 December 1979 p. 3876; 1 August 1980 p. 2560.] </w:t>
      </w:r>
    </w:p>
    <w:p>
      <w:pPr>
        <w:pStyle w:val="Heading5"/>
        <w:rPr>
          <w:snapToGrid w:val="0"/>
        </w:rPr>
      </w:pPr>
      <w:bookmarkStart w:id="41" w:name="_Toc107325325"/>
      <w:r>
        <w:rPr>
          <w:rStyle w:val="CharSectno"/>
        </w:rPr>
        <w:t>36</w:t>
      </w:r>
      <w:r>
        <w:rPr>
          <w:snapToGrid w:val="0"/>
        </w:rPr>
        <w:t>.</w:t>
      </w:r>
      <w:r>
        <w:rPr>
          <w:snapToGrid w:val="0"/>
        </w:rPr>
        <w:tab/>
        <w:t>Taxation of costs</w:t>
      </w:r>
      <w:bookmarkEnd w:id="41"/>
      <w:r>
        <w:rPr>
          <w:snapToGrid w:val="0"/>
        </w:rPr>
        <w:t xml:space="preserve"> </w:t>
      </w:r>
    </w:p>
    <w:p>
      <w:pPr>
        <w:pStyle w:val="Subsection"/>
        <w:keepNext/>
        <w:rPr>
          <w:snapToGrid w:val="0"/>
        </w:rPr>
      </w:pPr>
      <w:r>
        <w:rPr>
          <w:snapToGrid w:val="0"/>
        </w:rPr>
        <w:tab/>
      </w:r>
      <w:r>
        <w:rPr>
          <w:snapToGrid w:val="0"/>
        </w:rPr>
        <w:tab/>
        <w:t>The taxing officer shall tax all bills of costs referred to him for taxation.</w:t>
      </w:r>
    </w:p>
    <w:p>
      <w:pPr>
        <w:pStyle w:val="Footnotesection"/>
      </w:pPr>
      <w:r>
        <w:tab/>
        <w:t xml:space="preserve">[Rule 36 amended: Gazette 14 December 1979 p. 3876.] </w:t>
      </w:r>
    </w:p>
    <w:p>
      <w:pPr>
        <w:pStyle w:val="Heading5"/>
        <w:rPr>
          <w:snapToGrid w:val="0"/>
        </w:rPr>
      </w:pPr>
      <w:bookmarkStart w:id="42" w:name="_Toc107325326"/>
      <w:r>
        <w:rPr>
          <w:rStyle w:val="CharSectno"/>
        </w:rPr>
        <w:t>37</w:t>
      </w:r>
      <w:r>
        <w:rPr>
          <w:snapToGrid w:val="0"/>
        </w:rPr>
        <w:t>.</w:t>
      </w:r>
      <w:r>
        <w:rPr>
          <w:snapToGrid w:val="0"/>
        </w:rPr>
        <w:tab/>
        <w:t>Executors and administrators to pass accounts</w:t>
      </w:r>
      <w:bookmarkEnd w:id="42"/>
      <w:r>
        <w:rPr>
          <w:snapToGrid w:val="0"/>
        </w:rPr>
        <w:t xml:space="preserve"> </w:t>
      </w:r>
    </w:p>
    <w:p>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pPr>
        <w:pStyle w:val="Subsection"/>
        <w:rPr>
          <w:snapToGrid w:val="0"/>
        </w:rPr>
      </w:pPr>
      <w:r>
        <w:rPr>
          <w:snapToGrid w:val="0"/>
        </w:rPr>
        <w:tab/>
        <w:t>(3)</w:t>
      </w:r>
      <w:r>
        <w:rPr>
          <w:snapToGrid w:val="0"/>
        </w:rPr>
        <w:tab/>
        <w:t xml:space="preserve">The accounts and plan of distribution mentioned in this rule shall be filed within 12 months after the grant, or within such </w:t>
      </w:r>
      <w:r>
        <w:rPr>
          <w:snapToGrid w:val="0"/>
        </w:rPr>
        <w:lastRenderedPageBreak/>
        <w:t>further time as a Judge or the Registrar may allow, and shall be verified by the affidavit of the executor or administrator.</w:t>
      </w:r>
    </w:p>
    <w:p>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pPr>
        <w:pStyle w:val="Subsection"/>
        <w:rPr>
          <w:snapToGrid w:val="0"/>
        </w:rPr>
      </w:pPr>
      <w:r>
        <w:rPr>
          <w:snapToGrid w:val="0"/>
        </w:rPr>
        <w:tab/>
        <w:t>(8)</w:t>
      </w:r>
      <w:r>
        <w:rPr>
          <w:snapToGrid w:val="0"/>
        </w:rPr>
        <w:tab/>
        <w:t>Any person interested may attend before the Registrar upon the taking of the accounts.</w:t>
      </w:r>
    </w:p>
    <w:p>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pPr>
        <w:pStyle w:val="Subsection"/>
        <w:keepNext/>
        <w:rPr>
          <w:snapToGrid w:val="0"/>
        </w:rPr>
      </w:pPr>
      <w:r>
        <w:rPr>
          <w:snapToGrid w:val="0"/>
        </w:rPr>
        <w:tab/>
        <w:t>(10)</w:t>
      </w:r>
      <w:r>
        <w:rPr>
          <w:snapToGrid w:val="0"/>
        </w:rPr>
        <w:tab/>
        <w:t>The Registrar’s allowance of an account shall be recorded by a certificate.</w:t>
      </w:r>
    </w:p>
    <w:p>
      <w:pPr>
        <w:pStyle w:val="Footnotesection"/>
      </w:pPr>
      <w:r>
        <w:tab/>
        <w:t xml:space="preserve">[Rule 37 amended: Gazette 14 December 1979 p. 3876; 1 August 1980 p. 2561.] </w:t>
      </w:r>
    </w:p>
    <w:p>
      <w:pPr>
        <w:pStyle w:val="Heading5"/>
        <w:rPr>
          <w:snapToGrid w:val="0"/>
        </w:rPr>
      </w:pPr>
      <w:bookmarkStart w:id="43" w:name="_Toc107325327"/>
      <w:r>
        <w:rPr>
          <w:rStyle w:val="CharSectno"/>
        </w:rPr>
        <w:t>38</w:t>
      </w:r>
      <w:r>
        <w:rPr>
          <w:snapToGrid w:val="0"/>
        </w:rPr>
        <w:t>.</w:t>
      </w:r>
      <w:r>
        <w:rPr>
          <w:snapToGrid w:val="0"/>
        </w:rPr>
        <w:tab/>
        <w:t>Form of grant, etc.</w:t>
      </w:r>
      <w:bookmarkEnd w:id="43"/>
    </w:p>
    <w:p>
      <w:pPr>
        <w:pStyle w:val="Subsection"/>
        <w:keepNext/>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pPr>
        <w:pStyle w:val="Footnotesection"/>
      </w:pPr>
      <w:r>
        <w:tab/>
        <w:t xml:space="preserve">[Rule 38 inserted: Gazette 12 January 1996 p. 106.] </w:t>
      </w:r>
    </w:p>
    <w:p>
      <w:pPr>
        <w:pStyle w:val="Heading5"/>
        <w:rPr>
          <w:snapToGrid w:val="0"/>
        </w:rPr>
      </w:pPr>
      <w:bookmarkStart w:id="44" w:name="_Toc107325328"/>
      <w:r>
        <w:rPr>
          <w:rStyle w:val="CharSectno"/>
        </w:rPr>
        <w:lastRenderedPageBreak/>
        <w:t>39</w:t>
      </w:r>
      <w:r>
        <w:rPr>
          <w:snapToGrid w:val="0"/>
        </w:rPr>
        <w:t>.</w:t>
      </w:r>
      <w:r>
        <w:rPr>
          <w:snapToGrid w:val="0"/>
        </w:rPr>
        <w:tab/>
        <w:t>Requirements as to documents</w:t>
      </w:r>
      <w:bookmarkEnd w:id="44"/>
      <w:r>
        <w:rPr>
          <w:snapToGrid w:val="0"/>
        </w:rPr>
        <w:t xml:space="preserve"> </w:t>
      </w:r>
    </w:p>
    <w:p>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pPr>
        <w:pStyle w:val="Footnotesection"/>
      </w:pPr>
      <w:r>
        <w:tab/>
        <w:t xml:space="preserve">[Rule 39 inserted: Gazette 12 January 1996 p. 106.] </w:t>
      </w:r>
    </w:p>
    <w:p>
      <w:pPr>
        <w:pStyle w:val="Ednotesection"/>
      </w:pPr>
      <w:r>
        <w:t>[</w:t>
      </w:r>
      <w:r>
        <w:rPr>
          <w:b/>
        </w:rPr>
        <w:t>40, 41.</w:t>
      </w:r>
      <w:r>
        <w:tab/>
        <w:t xml:space="preserve">Deleted: Gazette 12 January 1996 p. 106.] </w:t>
      </w:r>
    </w:p>
    <w:p>
      <w:pPr>
        <w:pStyle w:val="Heading5"/>
        <w:rPr>
          <w:snapToGrid w:val="0"/>
        </w:rPr>
      </w:pPr>
      <w:bookmarkStart w:id="45" w:name="_Toc107325329"/>
      <w:r>
        <w:rPr>
          <w:rStyle w:val="CharSectno"/>
        </w:rPr>
        <w:t>42</w:t>
      </w:r>
      <w:r>
        <w:rPr>
          <w:snapToGrid w:val="0"/>
        </w:rPr>
        <w:t>.</w:t>
      </w:r>
      <w:r>
        <w:rPr>
          <w:snapToGrid w:val="0"/>
        </w:rPr>
        <w:tab/>
        <w:t>Will to be engrossed in certain cases</w:t>
      </w:r>
      <w:bookmarkEnd w:id="45"/>
      <w:r>
        <w:rPr>
          <w:snapToGrid w:val="0"/>
        </w:rPr>
        <w:t xml:space="preserve"> </w:t>
      </w:r>
    </w:p>
    <w:p>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pPr>
        <w:pStyle w:val="Subsection"/>
        <w:keepNext/>
        <w:rPr>
          <w:snapToGrid w:val="0"/>
        </w:rPr>
      </w:pPr>
      <w:r>
        <w:rPr>
          <w:snapToGrid w:val="0"/>
        </w:rPr>
        <w:tab/>
        <w:t>(5)</w:t>
      </w:r>
      <w:r>
        <w:rPr>
          <w:snapToGrid w:val="0"/>
        </w:rPr>
        <w:tab/>
        <w:t xml:space="preserve">Where a will or codicil, or any part thereof, is written in pencil, there shall be lodged a facsimile copy of the will or codicil, in which the pencil writings in the original shall be reproduced in </w:t>
      </w:r>
      <w:r>
        <w:rPr>
          <w:snapToGrid w:val="0"/>
        </w:rPr>
        <w:lastRenderedPageBreak/>
        <w:t>red ink. The copy may be made on paper of such size as the Registrar may direct, and shall be kept on the Court file.</w:t>
      </w:r>
    </w:p>
    <w:p>
      <w:pPr>
        <w:pStyle w:val="Footnotesection"/>
      </w:pPr>
      <w:r>
        <w:tab/>
        <w:t xml:space="preserve">[Rule 42 amended: Gazette 7 December 1973 p. 4487; 14 December 1979 p. 3876; 1 August 1980 p. 2561.] </w:t>
      </w:r>
    </w:p>
    <w:p>
      <w:pPr>
        <w:pStyle w:val="Heading5"/>
        <w:spacing w:before="120"/>
        <w:rPr>
          <w:snapToGrid w:val="0"/>
        </w:rPr>
      </w:pPr>
      <w:bookmarkStart w:id="46" w:name="_Toc107325330"/>
      <w:r>
        <w:rPr>
          <w:rStyle w:val="CharSectno"/>
        </w:rPr>
        <w:t>43</w:t>
      </w:r>
      <w:r>
        <w:rPr>
          <w:snapToGrid w:val="0"/>
        </w:rPr>
        <w:t>.</w:t>
      </w:r>
      <w:r>
        <w:rPr>
          <w:snapToGrid w:val="0"/>
        </w:rPr>
        <w:tab/>
        <w:t>Documents to be lodged with application to reseal</w:t>
      </w:r>
      <w:bookmarkEnd w:id="46"/>
      <w:r>
        <w:rPr>
          <w:snapToGrid w:val="0"/>
        </w:rPr>
        <w:t xml:space="preserve"> </w:t>
      </w:r>
    </w:p>
    <w:p>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pPr>
        <w:pStyle w:val="Subsection"/>
        <w:keepNext/>
        <w:rPr>
          <w:snapToGrid w:val="0"/>
        </w:rPr>
      </w:pPr>
      <w:r>
        <w:rPr>
          <w:snapToGrid w:val="0"/>
        </w:rPr>
        <w:tab/>
        <w:t>(3)</w:t>
      </w:r>
      <w:r>
        <w:rPr>
          <w:snapToGrid w:val="0"/>
        </w:rPr>
        <w:tab/>
        <w:t>The copy required by subrule (2) shall, unless otherwise directed by the Registrar, be a photographic copy made in the Registry.</w:t>
      </w:r>
    </w:p>
    <w:p>
      <w:pPr>
        <w:pStyle w:val="Footnotesection"/>
      </w:pPr>
      <w:r>
        <w:tab/>
        <w:t xml:space="preserve">[Rule 43 amended: Gazette 18 December 1970 p. 3815; 14 December 1979 p. 3876.] </w:t>
      </w:r>
    </w:p>
    <w:p>
      <w:pPr>
        <w:pStyle w:val="Heading5"/>
        <w:spacing w:before="120"/>
        <w:rPr>
          <w:snapToGrid w:val="0"/>
        </w:rPr>
      </w:pPr>
      <w:bookmarkStart w:id="47" w:name="_Toc107325331"/>
      <w:r>
        <w:rPr>
          <w:rStyle w:val="CharSectno"/>
        </w:rPr>
        <w:t>43A</w:t>
      </w:r>
      <w:r>
        <w:rPr>
          <w:snapToGrid w:val="0"/>
        </w:rPr>
        <w:t>.</w:t>
      </w:r>
      <w:r>
        <w:rPr>
          <w:snapToGrid w:val="0"/>
        </w:rPr>
        <w:tab/>
        <w:t>Searches</w:t>
      </w:r>
      <w:bookmarkEnd w:id="47"/>
      <w:r>
        <w:rPr>
          <w:snapToGrid w:val="0"/>
        </w:rPr>
        <w:t xml:space="preserve"> </w:t>
      </w:r>
    </w:p>
    <w:p>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pPr>
        <w:pStyle w:val="Indenta"/>
        <w:rPr>
          <w:snapToGrid w:val="0"/>
        </w:rPr>
      </w:pPr>
      <w:r>
        <w:rPr>
          <w:snapToGrid w:val="0"/>
        </w:rPr>
        <w:tab/>
        <w:t>(a)</w:t>
      </w:r>
      <w:r>
        <w:rPr>
          <w:snapToGrid w:val="0"/>
        </w:rPr>
        <w:tab/>
        <w:t>a will or codicil that has been proved;</w:t>
      </w:r>
    </w:p>
    <w:p>
      <w:pPr>
        <w:pStyle w:val="Indenta"/>
        <w:rPr>
          <w:snapToGrid w:val="0"/>
        </w:rPr>
      </w:pPr>
      <w:r>
        <w:rPr>
          <w:snapToGrid w:val="0"/>
        </w:rPr>
        <w:tab/>
        <w:t>(b)</w:t>
      </w:r>
      <w:r>
        <w:rPr>
          <w:snapToGrid w:val="0"/>
        </w:rPr>
        <w:tab/>
        <w:t>a grant of probate or administration;</w:t>
      </w:r>
    </w:p>
    <w:p>
      <w:pPr>
        <w:pStyle w:val="Indenta"/>
        <w:rPr>
          <w:snapToGrid w:val="0"/>
        </w:rPr>
      </w:pPr>
      <w:r>
        <w:rPr>
          <w:snapToGrid w:val="0"/>
        </w:rPr>
        <w:tab/>
        <w:t>(c)</w:t>
      </w:r>
      <w:r>
        <w:rPr>
          <w:snapToGrid w:val="0"/>
        </w:rPr>
        <w:tab/>
        <w:t>an order to administer; and</w:t>
      </w:r>
    </w:p>
    <w:p>
      <w:pPr>
        <w:pStyle w:val="Indenta"/>
        <w:keepNext/>
        <w:rPr>
          <w:snapToGrid w:val="0"/>
        </w:rPr>
      </w:pPr>
      <w:r>
        <w:rPr>
          <w:snapToGrid w:val="0"/>
        </w:rPr>
        <w:tab/>
        <w:t>(d)</w:t>
      </w:r>
      <w:r>
        <w:rPr>
          <w:snapToGrid w:val="0"/>
        </w:rPr>
        <w:tab/>
        <w:t>with the leave of the Registrar, any other document.</w:t>
      </w:r>
    </w:p>
    <w:p>
      <w:pPr>
        <w:pStyle w:val="Footnotesection"/>
      </w:pPr>
      <w:r>
        <w:tab/>
        <w:t xml:space="preserve">[Rule 43A inserted: Gazette 20 October 1972 p. 4161; amended: Gazette 14 December 1979 p. 3876.] </w:t>
      </w:r>
    </w:p>
    <w:p>
      <w:pPr>
        <w:pStyle w:val="Heading5"/>
      </w:pPr>
      <w:bookmarkStart w:id="48" w:name="_Toc107325332"/>
      <w:r>
        <w:rPr>
          <w:rStyle w:val="CharSectno"/>
        </w:rPr>
        <w:lastRenderedPageBreak/>
        <w:t>43B</w:t>
      </w:r>
      <w:r>
        <w:t>.</w:t>
      </w:r>
      <w:r>
        <w:tab/>
        <w:t>Legal costs for non</w:t>
      </w:r>
      <w:r>
        <w:noBreakHyphen/>
        <w:t>contentious probate applications</w:t>
      </w:r>
      <w:bookmarkEnd w:id="48"/>
    </w:p>
    <w:p>
      <w:pPr>
        <w:pStyle w:val="Subsection"/>
        <w:keepNext/>
      </w:pPr>
      <w:r>
        <w:tab/>
      </w:r>
      <w:r>
        <w:tab/>
        <w:t xml:space="preserve">Subject to the </w:t>
      </w:r>
      <w:r>
        <w:rPr>
          <w:i/>
        </w:rPr>
        <w:t xml:space="preserve">Legal Profession Uniform Law (WA) </w:t>
      </w:r>
      <w:r>
        <w:t xml:space="preserve">Part 4.3, law practices (as defined in section 6(1) of that Law) are entitled to charge and shall be allowed out of the estates of deceased persons — </w:t>
      </w:r>
    </w:p>
    <w:p>
      <w:pPr>
        <w:pStyle w:val="Indenta"/>
      </w:pPr>
      <w:r>
        <w:tab/>
        <w:t>(a)</w:t>
      </w:r>
      <w:r>
        <w:tab/>
        <w:t>the remuneration they are entitled to charge under that Law; and</w:t>
      </w:r>
    </w:p>
    <w:p>
      <w:pPr>
        <w:pStyle w:val="Indenta"/>
        <w:keepNext/>
      </w:pPr>
      <w:r>
        <w:tab/>
        <w:t>(b)</w:t>
      </w:r>
      <w:r>
        <w:tab/>
        <w:t>proper disbursements necessarily made or incurred,</w:t>
      </w:r>
    </w:p>
    <w:p>
      <w:pPr>
        <w:pStyle w:val="Subsection"/>
        <w:keepNext/>
      </w:pPr>
      <w:r>
        <w:tab/>
      </w:r>
      <w:r>
        <w:tab/>
        <w:t>in respect of the non-contentious administration of those estates.</w:t>
      </w:r>
    </w:p>
    <w:p>
      <w:pPr>
        <w:pStyle w:val="Footnotesection"/>
      </w:pPr>
      <w:r>
        <w:tab/>
        <w:t>[Rule 43B inserted: Gazette 27 Nov 2009 p. 4788; amended: SL 2022/74 r. 8.]</w:t>
      </w:r>
    </w:p>
    <w:p>
      <w:pPr>
        <w:pStyle w:val="Heading5"/>
        <w:rPr>
          <w:snapToGrid w:val="0"/>
        </w:rPr>
      </w:pPr>
      <w:bookmarkStart w:id="49" w:name="_Toc107325333"/>
      <w:r>
        <w:rPr>
          <w:rStyle w:val="CharSectno"/>
        </w:rPr>
        <w:t>44</w:t>
      </w:r>
      <w:r>
        <w:rPr>
          <w:snapToGrid w:val="0"/>
        </w:rPr>
        <w:t>.</w:t>
      </w:r>
      <w:r>
        <w:rPr>
          <w:snapToGrid w:val="0"/>
        </w:rPr>
        <w:tab/>
        <w:t>Application to pending proceedings</w:t>
      </w:r>
      <w:bookmarkEnd w:id="49"/>
      <w:r>
        <w:rPr>
          <w:snapToGrid w:val="0"/>
        </w:rPr>
        <w:t xml:space="preserve"> </w:t>
      </w:r>
    </w:p>
    <w:p>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pPr>
        <w:pStyle w:val="Footnotesection"/>
      </w:pPr>
      <w:r>
        <w:tab/>
        <w:t xml:space="preserve">[Rule 44 amended: Gazette 14 December 1979 p. 3876.] </w:t>
      </w:r>
    </w:p>
    <w:p>
      <w:pPr>
        <w:pStyle w:val="Ednotesection"/>
      </w:pPr>
      <w:r>
        <w:t>[</w:t>
      </w:r>
      <w:r>
        <w:rPr>
          <w:b/>
          <w:bCs/>
        </w:rPr>
        <w:t>45.</w:t>
      </w:r>
      <w:r>
        <w:tab/>
        <w:t xml:space="preserve">Omitted under the Reprints Act 1984 s. 7(4)(f).] </w:t>
      </w:r>
    </w:p>
    <w:p>
      <w:p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50" w:name="_Toc107302998"/>
      <w:bookmarkStart w:id="51" w:name="_Toc107303562"/>
      <w:bookmarkStart w:id="52" w:name="_Toc107325334"/>
      <w:r>
        <w:rPr>
          <w:rStyle w:val="CharSchNo"/>
        </w:rPr>
        <w:lastRenderedPageBreak/>
        <w:t>First Schedule</w:t>
      </w:r>
      <w:bookmarkEnd w:id="50"/>
      <w:bookmarkEnd w:id="51"/>
      <w:bookmarkEnd w:id="52"/>
    </w:p>
    <w:p>
      <w:pPr>
        <w:pStyle w:val="yShoulderClause"/>
        <w:rPr>
          <w:snapToGrid w:val="0"/>
        </w:rPr>
      </w:pPr>
      <w:r>
        <w:rPr>
          <w:snapToGrid w:val="0"/>
        </w:rPr>
        <w:t>rule 15</w:t>
      </w:r>
    </w:p>
    <w:p>
      <w:pPr>
        <w:pStyle w:val="yTable"/>
        <w:spacing w:after="120"/>
        <w:jc w:val="center"/>
        <w:rPr>
          <w:b/>
          <w:snapToGrid w:val="0"/>
        </w:rPr>
      </w:pPr>
      <w:r>
        <w:rPr>
          <w:b/>
          <w:snapToGrid w:val="0"/>
        </w:rPr>
        <w:t>Form 1</w:t>
      </w:r>
    </w:p>
    <w:p>
      <w:pPr>
        <w:pStyle w:val="yTable"/>
        <w:jc w:val="center"/>
        <w:rPr>
          <w:snapToGrid w:val="0"/>
        </w:rPr>
      </w:pPr>
      <w:r>
        <w:rPr>
          <w:snapToGrid w:val="0"/>
        </w:rPr>
        <w:t>AFFIDAVIT OF ATTESTING WITNESS (WHERE REQUISITE)</w:t>
      </w:r>
    </w:p>
    <w:p>
      <w:pPr>
        <w:pStyle w:val="yTable"/>
        <w:tabs>
          <w:tab w:val="right" w:pos="7088"/>
        </w:tabs>
        <w:spacing w:before="240"/>
        <w:rPr>
          <w:snapToGrid w:val="0"/>
        </w:rPr>
      </w:pPr>
      <w:r>
        <w:rPr>
          <w:snapToGrid w:val="0"/>
        </w:rPr>
        <w:t>In the Will of                                                                                               , late of</w:t>
      </w:r>
    </w:p>
    <w:p>
      <w:pPr>
        <w:pStyle w:val="yTable"/>
        <w:tabs>
          <w:tab w:val="right" w:pos="7088"/>
        </w:tabs>
        <w:spacing w:before="0"/>
        <w:rPr>
          <w:snapToGrid w:val="0"/>
        </w:rPr>
      </w:pPr>
      <w:r>
        <w:rPr>
          <w:snapToGrid w:val="0"/>
        </w:rPr>
        <w:t xml:space="preserve">                                                      , deceased.</w:t>
      </w:r>
    </w:p>
    <w:p>
      <w:pPr>
        <w:pStyle w:val="yTable"/>
        <w:tabs>
          <w:tab w:val="right" w:pos="7088"/>
        </w:tabs>
        <w:spacing w:before="120"/>
        <w:rPr>
          <w:snapToGrid w:val="0"/>
        </w:rPr>
      </w:pPr>
      <w:r>
        <w:rPr>
          <w:snapToGrid w:val="0"/>
        </w:rPr>
        <w:t>I,                                                 , of                                                             , in the</w:t>
      </w:r>
    </w:p>
    <w:p>
      <w:pPr>
        <w:pStyle w:val="yTable"/>
        <w:tabs>
          <w:tab w:val="right" w:pos="7088"/>
        </w:tabs>
        <w:spacing w:before="0"/>
        <w:rPr>
          <w:snapToGrid w:val="0"/>
        </w:rPr>
      </w:pPr>
      <w:r>
        <w:rPr>
          <w:snapToGrid w:val="0"/>
        </w:rPr>
        <w:t>State of Western Australia,                                                        being duly sworn,</w:t>
      </w:r>
    </w:p>
    <w:p>
      <w:pPr>
        <w:pStyle w:val="yTable"/>
        <w:tabs>
          <w:tab w:val="right" w:pos="7088"/>
        </w:tabs>
        <w:spacing w:before="0"/>
        <w:rPr>
          <w:snapToGrid w:val="0"/>
        </w:rPr>
      </w:pPr>
      <w:r>
        <w:rPr>
          <w:snapToGrid w:val="0"/>
        </w:rPr>
        <w:t>make oath and say as follows: — </w:t>
      </w:r>
    </w:p>
    <w:p>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pPr>
        <w:pStyle w:val="yTable"/>
        <w:tabs>
          <w:tab w:val="right" w:pos="7088"/>
        </w:tabs>
        <w:spacing w:before="0"/>
        <w:rPr>
          <w:snapToGrid w:val="0"/>
        </w:rPr>
      </w:pPr>
      <w:r>
        <w:rPr>
          <w:snapToGrid w:val="0"/>
        </w:rPr>
        <w:t>said                             late of                                                                  , deceased, bearing date the                                 day of                                 , 19     , and produced and shown to me and marked ‘A’.</w:t>
      </w:r>
    </w:p>
    <w:p>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pPr>
        <w:pStyle w:val="yTable"/>
        <w:tabs>
          <w:tab w:val="right" w:pos="7088"/>
        </w:tabs>
        <w:spacing w:before="120"/>
        <w:rPr>
          <w:snapToGrid w:val="0"/>
        </w:rPr>
      </w:pPr>
      <w:r>
        <w:rPr>
          <w:snapToGrid w:val="0"/>
        </w:rPr>
        <w:t>Sworn by the deponent, this                               day of                                19     ,</w:t>
      </w:r>
    </w:p>
    <w:p>
      <w:pPr>
        <w:pStyle w:val="yTable"/>
        <w:tabs>
          <w:tab w:val="right" w:pos="7088"/>
        </w:tabs>
        <w:spacing w:before="0"/>
        <w:rPr>
          <w:snapToGrid w:val="0"/>
        </w:rPr>
      </w:pPr>
      <w:r>
        <w:rPr>
          <w:snapToGrid w:val="0"/>
        </w:rPr>
        <w:t>at                                                       , before me,</w:t>
      </w:r>
    </w:p>
    <w:p>
      <w:pPr>
        <w:pStyle w:val="yTable"/>
        <w:pageBreakBefore/>
        <w:jc w:val="right"/>
        <w:rPr>
          <w:snapToGrid w:val="0"/>
        </w:rPr>
      </w:pPr>
      <w:r>
        <w:rPr>
          <w:snapToGrid w:val="0"/>
        </w:rPr>
        <w:lastRenderedPageBreak/>
        <w:t>rule 27</w:t>
      </w:r>
    </w:p>
    <w:p>
      <w:pPr>
        <w:pStyle w:val="yTable"/>
        <w:tabs>
          <w:tab w:val="right" w:pos="7088"/>
        </w:tabs>
        <w:spacing w:after="120"/>
        <w:jc w:val="center"/>
        <w:rPr>
          <w:b/>
          <w:snapToGrid w:val="0"/>
        </w:rPr>
      </w:pPr>
      <w:r>
        <w:rPr>
          <w:b/>
          <w:snapToGrid w:val="0"/>
        </w:rPr>
        <w:t>Form 2</w:t>
      </w:r>
    </w:p>
    <w:p>
      <w:pPr>
        <w:pStyle w:val="yTable"/>
        <w:tabs>
          <w:tab w:val="right" w:pos="7088"/>
        </w:tabs>
        <w:jc w:val="center"/>
        <w:rPr>
          <w:snapToGrid w:val="0"/>
        </w:rPr>
      </w:pPr>
      <w:r>
        <w:rPr>
          <w:snapToGrid w:val="0"/>
        </w:rPr>
        <w:t>SURETY’S GUARANTEE</w:t>
      </w:r>
    </w:p>
    <w:p>
      <w:pPr>
        <w:pStyle w:val="yTable"/>
        <w:tabs>
          <w:tab w:val="right" w:pos="7088"/>
        </w:tabs>
        <w:spacing w:before="240"/>
        <w:rPr>
          <w:snapToGrid w:val="0"/>
        </w:rPr>
      </w:pPr>
      <w:r>
        <w:rPr>
          <w:snapToGrid w:val="0"/>
        </w:rPr>
        <w:t>Whereas                                          (1) of                                        (2) died on the</w:t>
      </w:r>
    </w:p>
    <w:p>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pPr>
        <w:pStyle w:val="yTable"/>
        <w:tabs>
          <w:tab w:val="right" w:pos="7088"/>
        </w:tabs>
        <w:spacing w:before="0"/>
        <w:rPr>
          <w:snapToGrid w:val="0"/>
        </w:rPr>
      </w:pPr>
      <w:r>
        <w:rPr>
          <w:snapToGrid w:val="0"/>
        </w:rPr>
        <w:t>(3) (hereinafter called “the administrator(s)”) is/are (4) the intended administrator(s) of his estate.</w:t>
      </w:r>
    </w:p>
    <w:p>
      <w:pPr>
        <w:pStyle w:val="yTable"/>
        <w:tabs>
          <w:tab w:val="right" w:pos="7088"/>
        </w:tabs>
        <w:spacing w:before="120"/>
        <w:rPr>
          <w:snapToGrid w:val="0"/>
        </w:rPr>
      </w:pPr>
      <w:r>
        <w:rPr>
          <w:snapToGrid w:val="0"/>
        </w:rPr>
        <w:t>Now therefore:</w:t>
      </w:r>
    </w:p>
    <w:p>
      <w:pPr>
        <w:pStyle w:val="yTable"/>
        <w:tabs>
          <w:tab w:val="left" w:pos="567"/>
          <w:tab w:val="right" w:pos="7088"/>
        </w:tabs>
        <w:spacing w:before="120"/>
        <w:rPr>
          <w:snapToGrid w:val="0"/>
        </w:rPr>
      </w:pPr>
      <w:r>
        <w:rPr>
          <w:snapToGrid w:val="0"/>
        </w:rPr>
        <w:t>1.</w:t>
      </w:r>
      <w:r>
        <w:rPr>
          <w:snapToGrid w:val="0"/>
        </w:rPr>
        <w:tab/>
        <w:t>I/We (5)                                  of                                      (and</w:t>
      </w:r>
    </w:p>
    <w:p>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pPr>
        <w:pStyle w:val="yTable"/>
        <w:tabs>
          <w:tab w:val="left" w:pos="2694"/>
          <w:tab w:val="left" w:pos="5954"/>
          <w:tab w:val="right" w:pos="6521"/>
        </w:tabs>
        <w:spacing w:before="120"/>
        <w:rPr>
          <w:snapToGrid w:val="0"/>
        </w:rPr>
      </w:pPr>
      <w:r>
        <w:rPr>
          <w:snapToGrid w:val="0"/>
        </w:rPr>
        <w:t>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(9)</w:t>
      </w:r>
    </w:p>
    <w:p>
      <w:pPr>
        <w:pStyle w:val="yTable"/>
        <w:tabs>
          <w:tab w:val="right" w:pos="7088"/>
        </w:tabs>
        <w:spacing w:before="120"/>
        <w:rPr>
          <w:snapToGrid w:val="0"/>
        </w:rPr>
      </w:pPr>
      <w:r>
        <w:rPr>
          <w:snapToGrid w:val="0"/>
        </w:rPr>
        <w:t>(The Common Seal of</w:t>
      </w:r>
    </w:p>
    <w:p>
      <w:pPr>
        <w:pStyle w:val="yTable"/>
        <w:tabs>
          <w:tab w:val="right" w:pos="7088"/>
        </w:tabs>
        <w:spacing w:before="0"/>
        <w:rPr>
          <w:snapToGrid w:val="0"/>
        </w:rPr>
      </w:pPr>
      <w:r>
        <w:rPr>
          <w:snapToGrid w:val="0"/>
        </w:rPr>
        <w:lastRenderedPageBreak/>
        <w:t xml:space="preserve">was hereunto affixed in the </w:t>
      </w:r>
    </w:p>
    <w:p>
      <w:pPr>
        <w:pStyle w:val="yTable"/>
        <w:tabs>
          <w:tab w:val="right" w:pos="7088"/>
        </w:tabs>
        <w:spacing w:before="0"/>
        <w:rPr>
          <w:snapToGrid w:val="0"/>
        </w:rPr>
      </w:pPr>
      <w:r>
        <w:rPr>
          <w:snapToGrid w:val="0"/>
        </w:rPr>
        <w:t>presence of                                            ).</w:t>
      </w:r>
    </w:p>
    <w:p>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pPr>
        <w:pStyle w:val="yTable"/>
        <w:pageBreakBefore/>
        <w:tabs>
          <w:tab w:val="right" w:pos="7088"/>
        </w:tabs>
        <w:jc w:val="center"/>
        <w:rPr>
          <w:b/>
          <w:snapToGrid w:val="0"/>
        </w:rPr>
      </w:pPr>
      <w:r>
        <w:rPr>
          <w:b/>
          <w:snapToGrid w:val="0"/>
        </w:rPr>
        <w:lastRenderedPageBreak/>
        <w:t>Form 2A</w:t>
      </w:r>
    </w:p>
    <w:p>
      <w:pPr>
        <w:pStyle w:val="yTable"/>
        <w:tabs>
          <w:tab w:val="right" w:pos="7088"/>
        </w:tabs>
        <w:spacing w:before="120"/>
        <w:jc w:val="center"/>
        <w:rPr>
          <w:snapToGrid w:val="0"/>
        </w:rPr>
      </w:pPr>
      <w:r>
        <w:rPr>
          <w:snapToGrid w:val="0"/>
        </w:rPr>
        <w:t>SURETY’S GUARANTEE ON APPLICATION TO RESEAL</w:t>
      </w:r>
    </w:p>
    <w:p>
      <w:pPr>
        <w:pStyle w:val="yTable"/>
        <w:tabs>
          <w:tab w:val="right" w:pos="7088"/>
        </w:tabs>
        <w:spacing w:before="240"/>
        <w:rPr>
          <w:snapToGrid w:val="0"/>
        </w:rPr>
      </w:pPr>
      <w:r>
        <w:rPr>
          <w:snapToGrid w:val="0"/>
        </w:rPr>
        <w:t>In the Estate of                                            (1) deceased</w:t>
      </w:r>
    </w:p>
    <w:p>
      <w:pPr>
        <w:pStyle w:val="yTable"/>
        <w:tabs>
          <w:tab w:val="right" w:pos="7088"/>
        </w:tabs>
        <w:spacing w:before="0"/>
        <w:rPr>
          <w:snapToGrid w:val="0"/>
        </w:rPr>
      </w:pPr>
      <w:r>
        <w:rPr>
          <w:snapToGrid w:val="0"/>
        </w:rPr>
        <w:t>Whereas                                     (1) of                                                   (2) died on</w:t>
      </w:r>
    </w:p>
    <w:p>
      <w:pPr>
        <w:pStyle w:val="yTable"/>
        <w:tabs>
          <w:tab w:val="right" w:pos="7088"/>
        </w:tabs>
        <w:spacing w:before="0"/>
        <w:rPr>
          <w:snapToGrid w:val="0"/>
        </w:rPr>
      </w:pPr>
      <w:r>
        <w:rPr>
          <w:snapToGrid w:val="0"/>
        </w:rPr>
        <w:t>the                                     day of                                            19      , and letters of</w:t>
      </w:r>
    </w:p>
    <w:p>
      <w:pPr>
        <w:pStyle w:val="yTable"/>
        <w:tabs>
          <w:tab w:val="right" w:pos="7088"/>
        </w:tabs>
        <w:spacing w:before="0"/>
        <w:rPr>
          <w:snapToGrid w:val="0"/>
        </w:rPr>
      </w:pPr>
      <w:r>
        <w:rPr>
          <w:snapToGrid w:val="0"/>
        </w:rPr>
        <w:t>administration of his estate were on the                     day of                        19      ,</w:t>
      </w:r>
    </w:p>
    <w:p>
      <w:pPr>
        <w:pStyle w:val="yTable"/>
        <w:tabs>
          <w:tab w:val="right" w:pos="7088"/>
        </w:tabs>
        <w:spacing w:before="0"/>
        <w:rPr>
          <w:snapToGrid w:val="0"/>
        </w:rPr>
      </w:pPr>
      <w:r>
        <w:rPr>
          <w:snapToGrid w:val="0"/>
        </w:rPr>
        <w:t>granted by the                                          (3) to (and                                             ) (4) and are about to be sealed in Western Australia.</w:t>
      </w:r>
    </w:p>
    <w:p>
      <w:pPr>
        <w:pStyle w:val="yTable"/>
        <w:tabs>
          <w:tab w:val="right" w:pos="7088"/>
        </w:tabs>
        <w:spacing w:before="120"/>
        <w:rPr>
          <w:snapToGrid w:val="0"/>
        </w:rPr>
      </w:pPr>
      <w:r>
        <w:rPr>
          <w:snapToGrid w:val="0"/>
        </w:rPr>
        <w:t>Now therefore:</w:t>
      </w:r>
    </w:p>
    <w:p>
      <w:pPr>
        <w:pStyle w:val="yTable"/>
        <w:tabs>
          <w:tab w:val="left" w:pos="567"/>
          <w:tab w:val="left" w:pos="6096"/>
          <w:tab w:val="right" w:pos="7088"/>
        </w:tabs>
        <w:rPr>
          <w:snapToGrid w:val="0"/>
        </w:rPr>
      </w:pPr>
      <w:r>
        <w:rPr>
          <w:snapToGrid w:val="0"/>
        </w:rPr>
        <w:t>1.</w:t>
      </w:r>
      <w:r>
        <w:rPr>
          <w:snapToGrid w:val="0"/>
        </w:rPr>
        <w:tab/>
        <w:t xml:space="preserve">I/We (5)                                  of                                              (and </w:t>
      </w:r>
    </w:p>
    <w:p>
      <w:pPr>
        <w:pStyle w:val="yTable"/>
        <w:tabs>
          <w:tab w:val="right" w:pos="7088"/>
        </w:tabs>
        <w:spacing w:before="0"/>
        <w:rPr>
          <w:snapToGrid w:val="0"/>
        </w:rPr>
      </w:pPr>
      <w:r>
        <w:rPr>
          <w:snapToGrid w:val="0"/>
        </w:rPr>
        <w:t>of                                                ) (6) hereby (jointly and severally) (7) guarantee</w:t>
      </w:r>
    </w:p>
    <w:p>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pPr>
        <w:pStyle w:val="yTable"/>
        <w:tabs>
          <w:tab w:val="right" w:pos="7088"/>
        </w:tabs>
        <w:spacing w:before="120"/>
        <w:rPr>
          <w:snapToGrid w:val="0"/>
        </w:rPr>
      </w:pPr>
      <w:r>
        <w:rPr>
          <w:snapToGrid w:val="0"/>
        </w:rPr>
        <w:t xml:space="preserve">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(10)</w:t>
      </w:r>
    </w:p>
    <w:p>
      <w:pPr>
        <w:pStyle w:val="yTable"/>
        <w:tabs>
          <w:tab w:val="left" w:pos="3544"/>
          <w:tab w:val="right" w:pos="7088"/>
        </w:tabs>
        <w:spacing w:before="120"/>
        <w:rPr>
          <w:snapToGrid w:val="0"/>
        </w:rPr>
      </w:pPr>
      <w:r>
        <w:rPr>
          <w:snapToGrid w:val="0"/>
        </w:rPr>
        <w:t>(The Common Seal of</w:t>
      </w:r>
    </w:p>
    <w:p>
      <w:pPr>
        <w:pStyle w:val="yTable"/>
        <w:tabs>
          <w:tab w:val="left" w:pos="3544"/>
          <w:tab w:val="right" w:pos="7088"/>
        </w:tabs>
        <w:spacing w:before="0"/>
        <w:rPr>
          <w:snapToGrid w:val="0"/>
        </w:rPr>
      </w:pPr>
      <w:r>
        <w:rPr>
          <w:snapToGrid w:val="0"/>
        </w:rPr>
        <w:lastRenderedPageBreak/>
        <w:t>was hereunto affixed in the</w:t>
      </w:r>
    </w:p>
    <w:p>
      <w:pPr>
        <w:pStyle w:val="yTable"/>
        <w:tabs>
          <w:tab w:val="left" w:pos="3544"/>
          <w:tab w:val="right" w:pos="7088"/>
        </w:tabs>
        <w:spacing w:before="0"/>
        <w:rPr>
          <w:snapToGrid w:val="0"/>
        </w:rPr>
      </w:pPr>
      <w:r>
        <w:rPr>
          <w:snapToGrid w:val="0"/>
        </w:rPr>
        <w:t>presence of                                              ).</w:t>
      </w:r>
    </w:p>
    <w:p>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pPr>
        <w:pStyle w:val="yTable"/>
        <w:pageBreakBefore/>
        <w:tabs>
          <w:tab w:val="right" w:pos="7088"/>
        </w:tabs>
        <w:jc w:val="right"/>
        <w:rPr>
          <w:snapToGrid w:val="0"/>
        </w:rPr>
      </w:pPr>
      <w:r>
        <w:rPr>
          <w:snapToGrid w:val="0"/>
        </w:rPr>
        <w:lastRenderedPageBreak/>
        <w:t>rule 33</w:t>
      </w:r>
    </w:p>
    <w:p>
      <w:pPr>
        <w:pStyle w:val="yTable"/>
        <w:tabs>
          <w:tab w:val="right" w:pos="7088"/>
        </w:tabs>
        <w:jc w:val="center"/>
        <w:rPr>
          <w:b/>
          <w:snapToGrid w:val="0"/>
        </w:rPr>
      </w:pPr>
      <w:r>
        <w:rPr>
          <w:b/>
          <w:snapToGrid w:val="0"/>
        </w:rPr>
        <w:t>Form 3</w:t>
      </w:r>
    </w:p>
    <w:p>
      <w:pPr>
        <w:pStyle w:val="yTable"/>
        <w:tabs>
          <w:tab w:val="right" w:pos="7088"/>
        </w:tabs>
        <w:spacing w:before="120"/>
        <w:jc w:val="center"/>
        <w:rPr>
          <w:snapToGrid w:val="0"/>
        </w:rPr>
      </w:pPr>
      <w:r>
        <w:rPr>
          <w:snapToGrid w:val="0"/>
        </w:rPr>
        <w:t>CAVEAT</w:t>
      </w:r>
    </w:p>
    <w:p>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pPr>
        <w:pStyle w:val="yTable"/>
        <w:tabs>
          <w:tab w:val="right" w:pos="7088"/>
        </w:tabs>
        <w:spacing w:before="120"/>
        <w:rPr>
          <w:snapToGrid w:val="0"/>
        </w:rPr>
      </w:pPr>
      <w:r>
        <w:rPr>
          <w:snapToGrid w:val="0"/>
        </w:rPr>
        <w:t>Take further notice that my address for service is: — </w:t>
      </w:r>
    </w:p>
    <w:p>
      <w:pPr>
        <w:pStyle w:val="yTable"/>
        <w:spacing w:before="120"/>
        <w:rPr>
          <w:snapToGrid w:val="0"/>
        </w:rPr>
      </w:pPr>
      <w:r>
        <w:rPr>
          <w:snapToGrid w:val="0"/>
        </w:rPr>
        <w:t>Dated this                                  day of                                           , 19      .</w:t>
      </w:r>
    </w:p>
    <w:p>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pPr>
        <w:pStyle w:val="yTable"/>
        <w:tabs>
          <w:tab w:val="right" w:pos="7088"/>
        </w:tabs>
        <w:spacing w:before="120"/>
        <w:rPr>
          <w:snapToGrid w:val="0"/>
        </w:rPr>
      </w:pPr>
      <w:r>
        <w:rPr>
          <w:snapToGrid w:val="0"/>
        </w:rPr>
        <w:t>Witness:</w:t>
      </w:r>
    </w:p>
    <w:p>
      <w:pPr>
        <w:pStyle w:val="yTable"/>
        <w:pageBreakBefore/>
        <w:tabs>
          <w:tab w:val="right" w:pos="7088"/>
        </w:tabs>
        <w:jc w:val="right"/>
        <w:rPr>
          <w:snapToGrid w:val="0"/>
        </w:rPr>
      </w:pPr>
      <w:r>
        <w:rPr>
          <w:snapToGrid w:val="0"/>
        </w:rPr>
        <w:lastRenderedPageBreak/>
        <w:t>rule 37</w:t>
      </w:r>
    </w:p>
    <w:p>
      <w:pPr>
        <w:pStyle w:val="yTable"/>
        <w:tabs>
          <w:tab w:val="right" w:pos="7088"/>
        </w:tabs>
        <w:jc w:val="center"/>
        <w:rPr>
          <w:b/>
          <w:snapToGrid w:val="0"/>
        </w:rPr>
      </w:pPr>
      <w:r>
        <w:rPr>
          <w:b/>
          <w:snapToGrid w:val="0"/>
        </w:rPr>
        <w:t>Form 4</w:t>
      </w:r>
    </w:p>
    <w:p>
      <w:pPr>
        <w:pStyle w:val="yTable"/>
        <w:tabs>
          <w:tab w:val="right" w:pos="7088"/>
        </w:tabs>
        <w:spacing w:before="120"/>
        <w:jc w:val="center"/>
        <w:rPr>
          <w:snapToGrid w:val="0"/>
        </w:rPr>
      </w:pPr>
      <w:r>
        <w:rPr>
          <w:snapToGrid w:val="0"/>
        </w:rPr>
        <w:t>ACCOUNTS OF EXECUTORS AND ADMINISTRATORS</w:t>
      </w:r>
    </w:p>
    <w:p>
      <w:pPr>
        <w:pStyle w:val="yTable"/>
        <w:tabs>
          <w:tab w:val="right" w:pos="7088"/>
        </w:tabs>
        <w:spacing w:before="240"/>
        <w:rPr>
          <w:snapToGrid w:val="0"/>
        </w:rPr>
      </w:pPr>
      <w:r>
        <w:rPr>
          <w:snapToGrid w:val="0"/>
        </w:rPr>
        <w:t>The account of the administration of the estate of the abovenamed deceased by the Executor(s) (or Administrator) to the</w:t>
      </w:r>
    </w:p>
    <w:p>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pPr>
        <w:pStyle w:val="yTable"/>
        <w:tabs>
          <w:tab w:val="right" w:pos="7088"/>
        </w:tabs>
        <w:spacing w:before="120"/>
        <w:jc w:val="center"/>
        <w:rPr>
          <w:snapToGrid w:val="0"/>
        </w:rPr>
      </w:pPr>
      <w:r>
        <w:rPr>
          <w:snapToGrid w:val="0"/>
        </w:rPr>
        <w:t>Part A</w:t>
      </w:r>
    </w:p>
    <w:p>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tc>
          <w:tcPr>
            <w:tcW w:w="1843" w:type="dxa"/>
            <w:tcBorders>
              <w:left w:val="nil"/>
              <w:bottom w:val="nil"/>
            </w:tcBorders>
          </w:tcPr>
          <w:p>
            <w:pPr>
              <w:pStyle w:val="yTable"/>
              <w:jc w:val="center"/>
              <w:rPr>
                <w:snapToGrid w:val="0"/>
              </w:rPr>
            </w:pPr>
            <w:r>
              <w:rPr>
                <w:snapToGrid w:val="0"/>
              </w:rPr>
              <w:t>Number of Item</w:t>
            </w:r>
          </w:p>
        </w:tc>
        <w:tc>
          <w:tcPr>
            <w:tcW w:w="1134" w:type="dxa"/>
            <w:tcBorders>
              <w:bottom w:val="nil"/>
            </w:tcBorders>
          </w:tcPr>
          <w:p>
            <w:pPr>
              <w:pStyle w:val="yTable"/>
              <w:jc w:val="center"/>
              <w:rPr>
                <w:snapToGrid w:val="0"/>
              </w:rPr>
            </w:pPr>
            <w:r>
              <w:rPr>
                <w:snapToGrid w:val="0"/>
              </w:rPr>
              <w:t>Date</w:t>
            </w:r>
          </w:p>
        </w:tc>
        <w:tc>
          <w:tcPr>
            <w:tcW w:w="1985" w:type="dxa"/>
            <w:tcBorders>
              <w:bottom w:val="nil"/>
            </w:tcBorders>
          </w:tcPr>
          <w:p>
            <w:pPr>
              <w:pStyle w:val="yTable"/>
              <w:jc w:val="center"/>
              <w:rPr>
                <w:snapToGrid w:val="0"/>
              </w:rPr>
            </w:pPr>
            <w:r>
              <w:rPr>
                <w:snapToGrid w:val="0"/>
              </w:rPr>
              <w:t>Particulars</w:t>
            </w:r>
          </w:p>
        </w:tc>
        <w:tc>
          <w:tcPr>
            <w:tcW w:w="1134" w:type="dxa"/>
            <w:tcBorders>
              <w:bottom w:val="nil"/>
            </w:tcBorders>
          </w:tcPr>
          <w:p>
            <w:pPr>
              <w:pStyle w:val="yTable"/>
              <w:jc w:val="center"/>
              <w:rPr>
                <w:snapToGrid w:val="0"/>
              </w:rPr>
            </w:pPr>
            <w:r>
              <w:rPr>
                <w:snapToGrid w:val="0"/>
              </w:rPr>
              <w:t>$</w:t>
            </w:r>
          </w:p>
        </w:tc>
        <w:tc>
          <w:tcPr>
            <w:tcW w:w="992" w:type="dxa"/>
            <w:tcBorders>
              <w:bottom w:val="nil"/>
              <w:right w:val="nil"/>
            </w:tcBorders>
          </w:tcPr>
          <w:p>
            <w:pPr>
              <w:pStyle w:val="yTable"/>
              <w:jc w:val="center"/>
              <w:rPr>
                <w:snapToGrid w:val="0"/>
              </w:rPr>
            </w:pPr>
          </w:p>
        </w:tc>
      </w:tr>
      <w:tr>
        <w:tc>
          <w:tcPr>
            <w:tcW w:w="1843" w:type="dxa"/>
            <w:tcBorders>
              <w:left w:val="nil"/>
              <w:bottom w:val="nil"/>
            </w:tcBorders>
          </w:tcPr>
          <w:p>
            <w:pPr>
              <w:pStyle w:val="yTable"/>
              <w:rPr>
                <w:snapToGrid w:val="0"/>
              </w:rPr>
            </w:pPr>
          </w:p>
        </w:tc>
        <w:tc>
          <w:tcPr>
            <w:tcW w:w="1134" w:type="dxa"/>
            <w:tcBorders>
              <w:bottom w:val="nil"/>
            </w:tcBorders>
          </w:tcPr>
          <w:p>
            <w:pPr>
              <w:pStyle w:val="yTable"/>
              <w:rPr>
                <w:snapToGrid w:val="0"/>
              </w:rPr>
            </w:pPr>
          </w:p>
        </w:tc>
        <w:tc>
          <w:tcPr>
            <w:tcW w:w="1985" w:type="dxa"/>
            <w:tcBorders>
              <w:bottom w:val="nil"/>
            </w:tcBorders>
          </w:tcPr>
          <w:p>
            <w:pPr>
              <w:pStyle w:val="yTable"/>
              <w:rPr>
                <w:snapToGrid w:val="0"/>
              </w:rPr>
            </w:pPr>
          </w:p>
          <w:p>
            <w:pPr>
              <w:pStyle w:val="yTable"/>
              <w:rPr>
                <w:snapToGrid w:val="0"/>
              </w:rPr>
            </w:pPr>
          </w:p>
          <w:p>
            <w:pPr>
              <w:pStyle w:val="yTable"/>
              <w:rPr>
                <w:snapToGrid w:val="0"/>
              </w:rPr>
            </w:pPr>
          </w:p>
        </w:tc>
        <w:tc>
          <w:tcPr>
            <w:tcW w:w="1134" w:type="dxa"/>
            <w:tcBorders>
              <w:bottom w:val="single" w:sz="4" w:space="0" w:color="auto"/>
            </w:tcBorders>
          </w:tcPr>
          <w:p>
            <w:pPr>
              <w:pStyle w:val="yTable"/>
              <w:rPr>
                <w:snapToGrid w:val="0"/>
              </w:rPr>
            </w:pPr>
          </w:p>
        </w:tc>
        <w:tc>
          <w:tcPr>
            <w:tcW w:w="992" w:type="dxa"/>
            <w:tcBorders>
              <w:bottom w:val="single" w:sz="4" w:space="0" w:color="auto"/>
              <w:right w:val="nil"/>
            </w:tcBorders>
          </w:tcPr>
          <w:p>
            <w:pPr>
              <w:pStyle w:val="yTable"/>
              <w:rPr>
                <w:snapToGrid w:val="0"/>
              </w:rPr>
            </w:pP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pPr>
              <w:pStyle w:val="yTable"/>
              <w:rPr>
                <w:snapToGrid w:val="0"/>
              </w:rPr>
            </w:pPr>
          </w:p>
        </w:tc>
        <w:tc>
          <w:tcPr>
            <w:tcW w:w="992" w:type="dxa"/>
            <w:tcBorders>
              <w:top w:val="nil"/>
              <w:bottom w:val="nil"/>
              <w:right w:val="nil"/>
            </w:tcBorders>
          </w:tcPr>
          <w:p>
            <w:pPr>
              <w:pStyle w:val="yTable"/>
              <w:rPr>
                <w:snapToGrid w:val="0"/>
              </w:rPr>
            </w:pPr>
          </w:p>
        </w:tc>
      </w:tr>
      <w:tr>
        <w:trPr>
          <w:cantSplit/>
        </w:trPr>
        <w:tc>
          <w:tcPr>
            <w:tcW w:w="7088" w:type="dxa"/>
            <w:gridSpan w:val="5"/>
            <w:tcBorders>
              <w:top w:val="nil"/>
              <w:left w:val="nil"/>
              <w:bottom w:val="nil"/>
              <w:right w:val="nil"/>
            </w:tcBorders>
          </w:tcPr>
          <w:p>
            <w:pPr>
              <w:pStyle w:val="yTable"/>
              <w:jc w:val="center"/>
              <w:rPr>
                <w:snapToGrid w:val="0"/>
              </w:rPr>
            </w:pPr>
            <w:r>
              <w:rPr>
                <w:snapToGrid w:val="0"/>
              </w:rPr>
              <w:t xml:space="preserve">  Disbursements</w:t>
            </w: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rPr>
                <w:snapToGrid w:val="0"/>
              </w:rPr>
            </w:pPr>
          </w:p>
        </w:tc>
        <w:tc>
          <w:tcPr>
            <w:tcW w:w="1134" w:type="dxa"/>
            <w:tcBorders>
              <w:top w:val="nil"/>
              <w:bottom w:val="nil"/>
            </w:tcBorders>
          </w:tcPr>
          <w:p>
            <w:pPr>
              <w:pStyle w:val="yTable"/>
              <w:jc w:val="center"/>
              <w:rPr>
                <w:snapToGrid w:val="0"/>
              </w:rPr>
            </w:pPr>
            <w:r>
              <w:rPr>
                <w:snapToGrid w:val="0"/>
              </w:rPr>
              <w:t>$</w:t>
            </w:r>
          </w:p>
        </w:tc>
        <w:tc>
          <w:tcPr>
            <w:tcW w:w="992" w:type="dxa"/>
            <w:tcBorders>
              <w:top w:val="nil"/>
              <w:bottom w:val="nil"/>
              <w:right w:val="nil"/>
            </w:tcBorders>
          </w:tcPr>
          <w:p>
            <w:pPr>
              <w:pStyle w:val="yTable"/>
              <w:rPr>
                <w:snapToGrid w:val="0"/>
              </w:rPr>
            </w:pPr>
          </w:p>
        </w:tc>
      </w:tr>
      <w:tr>
        <w:tc>
          <w:tcPr>
            <w:tcW w:w="1843" w:type="dxa"/>
            <w:tcBorders>
              <w:top w:val="nil"/>
              <w:left w:val="nil"/>
              <w:bottom w:val="nil"/>
              <w:right w:val="nil"/>
            </w:tcBorders>
          </w:tcPr>
          <w:p>
            <w:pPr>
              <w:pStyle w:val="yTable"/>
              <w:rPr>
                <w:snapToGrid w:val="0"/>
              </w:rPr>
            </w:pPr>
          </w:p>
        </w:tc>
        <w:tc>
          <w:tcPr>
            <w:tcW w:w="1134" w:type="dxa"/>
            <w:tcBorders>
              <w:top w:val="nil"/>
              <w:left w:val="single" w:sz="4" w:space="0" w:color="auto"/>
              <w:bottom w:val="nil"/>
              <w:right w:val="nil"/>
            </w:tcBorders>
          </w:tcPr>
          <w:p>
            <w:pPr>
              <w:pStyle w:val="yTable"/>
              <w:rPr>
                <w:snapToGrid w:val="0"/>
              </w:rPr>
            </w:pPr>
          </w:p>
        </w:tc>
        <w:tc>
          <w:tcPr>
            <w:tcW w:w="1985" w:type="dxa"/>
            <w:tcBorders>
              <w:top w:val="nil"/>
              <w:left w:val="single" w:sz="4" w:space="0" w:color="auto"/>
              <w:bottom w:val="nil"/>
              <w:right w:val="single" w:sz="4" w:space="0" w:color="auto"/>
            </w:tcBorders>
          </w:tcPr>
          <w:p>
            <w:pPr>
              <w:pStyle w:val="yTable"/>
              <w:tabs>
                <w:tab w:val="right" w:leader="dot" w:pos="1650"/>
              </w:tabs>
              <w:rPr>
                <w:snapToGrid w:val="0"/>
              </w:rPr>
            </w:pPr>
          </w:p>
          <w:p>
            <w:pPr>
              <w:pStyle w:val="yTable"/>
              <w:tabs>
                <w:tab w:val="right" w:leader="dot" w:pos="1650"/>
              </w:tabs>
              <w:rPr>
                <w:snapToGrid w:val="0"/>
              </w:rPr>
            </w:pPr>
          </w:p>
          <w:p>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pPr>
              <w:pStyle w:val="yTable"/>
              <w:rPr>
                <w:snapToGrid w:val="0"/>
              </w:rPr>
            </w:pPr>
          </w:p>
        </w:tc>
        <w:tc>
          <w:tcPr>
            <w:tcW w:w="992" w:type="dxa"/>
            <w:tcBorders>
              <w:top w:val="nil"/>
              <w:left w:val="single" w:sz="4" w:space="0" w:color="auto"/>
              <w:bottom w:val="single" w:sz="4" w:space="0" w:color="auto"/>
              <w:right w:val="nil"/>
            </w:tcBorders>
          </w:tcPr>
          <w:p>
            <w:pPr>
              <w:pStyle w:val="yTable"/>
              <w:rPr>
                <w:snapToGrid w:val="0"/>
              </w:rPr>
            </w:pPr>
          </w:p>
        </w:tc>
      </w:tr>
      <w:tr>
        <w:tc>
          <w:tcPr>
            <w:tcW w:w="1843" w:type="dxa"/>
            <w:tcBorders>
              <w:top w:val="nil"/>
              <w:left w:val="nil"/>
            </w:tcBorders>
          </w:tcPr>
          <w:p>
            <w:pPr>
              <w:pStyle w:val="yTable"/>
              <w:rPr>
                <w:snapToGrid w:val="0"/>
              </w:rPr>
            </w:pPr>
          </w:p>
        </w:tc>
        <w:tc>
          <w:tcPr>
            <w:tcW w:w="1134" w:type="dxa"/>
            <w:tcBorders>
              <w:top w:val="nil"/>
            </w:tcBorders>
          </w:tcPr>
          <w:p>
            <w:pPr>
              <w:pStyle w:val="yTable"/>
              <w:rPr>
                <w:snapToGrid w:val="0"/>
              </w:rPr>
            </w:pPr>
          </w:p>
        </w:tc>
        <w:tc>
          <w:tcPr>
            <w:tcW w:w="1985" w:type="dxa"/>
            <w:tcBorders>
              <w:top w:val="nil"/>
            </w:tcBorders>
          </w:tcPr>
          <w:p>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pPr>
              <w:pStyle w:val="yTable"/>
              <w:rPr>
                <w:snapToGrid w:val="0"/>
              </w:rPr>
            </w:pPr>
          </w:p>
        </w:tc>
        <w:tc>
          <w:tcPr>
            <w:tcW w:w="992" w:type="dxa"/>
            <w:tcBorders>
              <w:top w:val="nil"/>
              <w:right w:val="nil"/>
            </w:tcBorders>
          </w:tcPr>
          <w:p>
            <w:pPr>
              <w:pStyle w:val="yTable"/>
              <w:rPr>
                <w:snapToGrid w:val="0"/>
              </w:rPr>
            </w:pPr>
          </w:p>
        </w:tc>
      </w:tr>
    </w:tbl>
    <w:p>
      <w:pPr>
        <w:pStyle w:val="yTable"/>
        <w:tabs>
          <w:tab w:val="right" w:pos="7088"/>
        </w:tabs>
        <w:spacing w:before="160"/>
        <w:jc w:val="center"/>
        <w:rPr>
          <w:snapToGrid w:val="0"/>
        </w:rPr>
      </w:pPr>
      <w:r>
        <w:rPr>
          <w:snapToGrid w:val="0"/>
        </w:rPr>
        <w:t>Part B</w:t>
      </w:r>
    </w:p>
    <w:p>
      <w:pPr>
        <w:pStyle w:val="yTable"/>
        <w:tabs>
          <w:tab w:val="right" w:pos="7088"/>
        </w:tabs>
        <w:jc w:val="center"/>
        <w:rPr>
          <w:snapToGrid w:val="0"/>
        </w:rPr>
      </w:pPr>
      <w:r>
        <w:rPr>
          <w:snapToGrid w:val="0"/>
        </w:rPr>
        <w:t>PORTION OF ESTATE DISTRIBUTED IN SPECIE</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C</w:t>
      </w:r>
    </w:p>
    <w:p>
      <w:pPr>
        <w:pStyle w:val="yTable"/>
        <w:tabs>
          <w:tab w:val="right" w:pos="7088"/>
        </w:tabs>
        <w:jc w:val="center"/>
        <w:rPr>
          <w:snapToGrid w:val="0"/>
        </w:rPr>
      </w:pPr>
      <w:r>
        <w:rPr>
          <w:snapToGrid w:val="0"/>
        </w:rPr>
        <w:t>PORTION OF ESTATE RETAINED OR REMAINING UNCOLLECTED</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D</w:t>
      </w:r>
    </w:p>
    <w:p>
      <w:pPr>
        <w:pStyle w:val="yTable"/>
        <w:tabs>
          <w:tab w:val="right" w:pos="7088"/>
        </w:tabs>
        <w:jc w:val="center"/>
        <w:rPr>
          <w:snapToGrid w:val="0"/>
        </w:rPr>
      </w:pPr>
      <w:r>
        <w:rPr>
          <w:snapToGrid w:val="0"/>
        </w:rPr>
        <w:t>STATEMENT OF MONEYS AND SECURITIES HELD BY</w:t>
      </w:r>
      <w:r>
        <w:rPr>
          <w:snapToGrid w:val="0"/>
        </w:rPr>
        <w:br/>
        <w:t>THE EXECUTOR(S) (OR ADMINISTRATOR)</w:t>
      </w:r>
    </w:p>
    <w:p>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pPr>
        <w:pStyle w:val="yTable"/>
        <w:tabs>
          <w:tab w:val="right" w:pos="7088"/>
        </w:tabs>
        <w:spacing w:before="160"/>
        <w:jc w:val="center"/>
        <w:rPr>
          <w:snapToGrid w:val="0"/>
        </w:rPr>
      </w:pPr>
      <w:r>
        <w:rPr>
          <w:snapToGrid w:val="0"/>
        </w:rPr>
        <w:lastRenderedPageBreak/>
        <w:t>Part E</w:t>
      </w:r>
    </w:p>
    <w:p>
      <w:pPr>
        <w:pStyle w:val="yTable"/>
        <w:tabs>
          <w:tab w:val="right" w:pos="7088"/>
        </w:tabs>
        <w:jc w:val="center"/>
        <w:rPr>
          <w:snapToGrid w:val="0"/>
        </w:rPr>
      </w:pPr>
      <w:r>
        <w:rPr>
          <w:snapToGrid w:val="0"/>
        </w:rPr>
        <w:t>PLAN OF DISTRIBUTION</w:t>
      </w:r>
    </w:p>
    <w:p>
      <w:pPr>
        <w:pStyle w:val="yTable"/>
        <w:tabs>
          <w:tab w:val="right" w:pos="7088"/>
        </w:tabs>
        <w:jc w:val="center"/>
        <w:rPr>
          <w:snapToGrid w:val="0"/>
        </w:rPr>
      </w:pPr>
      <w:r>
        <w:rPr>
          <w:snapToGrid w:val="0"/>
        </w:rPr>
        <w:t>(Where requisite)</w:t>
      </w:r>
    </w:p>
    <w:p>
      <w:pPr>
        <w:pStyle w:val="yTable"/>
        <w:rPr>
          <w:snapToGrid w:val="0"/>
        </w:rPr>
      </w:pPr>
      <w:r>
        <w:rPr>
          <w:snapToGrid w:val="0"/>
        </w:rPr>
        <w:t>Dated the                                    day of                                         19       .</w:t>
      </w:r>
    </w:p>
    <w:p>
      <w:pPr>
        <w:pStyle w:val="yTable"/>
        <w:tabs>
          <w:tab w:val="right" w:pos="7088"/>
        </w:tabs>
        <w:spacing w:before="120"/>
        <w:jc w:val="right"/>
        <w:rPr>
          <w:snapToGrid w:val="0"/>
        </w:rPr>
      </w:pPr>
      <w:r>
        <w:rPr>
          <w:snapToGrid w:val="0"/>
        </w:rPr>
        <w:t>Signature(s) of Executor(s) (Administrator).</w:t>
      </w:r>
    </w:p>
    <w:p>
      <w:pPr>
        <w:pStyle w:val="yTable"/>
        <w:pageBreakBefore/>
        <w:jc w:val="right"/>
        <w:rPr>
          <w:snapToGrid w:val="0"/>
        </w:rPr>
      </w:pPr>
      <w:r>
        <w:rPr>
          <w:snapToGrid w:val="0"/>
        </w:rPr>
        <w:lastRenderedPageBreak/>
        <w:t>rule 37</w:t>
      </w:r>
    </w:p>
    <w:p>
      <w:pPr>
        <w:pStyle w:val="yTable"/>
        <w:tabs>
          <w:tab w:val="right" w:pos="7088"/>
        </w:tabs>
        <w:jc w:val="center"/>
        <w:rPr>
          <w:b/>
          <w:snapToGrid w:val="0"/>
        </w:rPr>
      </w:pPr>
      <w:r>
        <w:rPr>
          <w:b/>
          <w:snapToGrid w:val="0"/>
        </w:rPr>
        <w:t>Form 5</w:t>
      </w:r>
    </w:p>
    <w:p>
      <w:pPr>
        <w:pStyle w:val="yTable"/>
        <w:tabs>
          <w:tab w:val="right" w:pos="7088"/>
        </w:tabs>
        <w:spacing w:before="120"/>
        <w:jc w:val="center"/>
        <w:rPr>
          <w:snapToGrid w:val="0"/>
        </w:rPr>
      </w:pPr>
      <w:r>
        <w:rPr>
          <w:snapToGrid w:val="0"/>
        </w:rPr>
        <w:t>NOTICE OF FILING ACCOUNTS</w:t>
      </w:r>
    </w:p>
    <w:p>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pPr>
        <w:pStyle w:val="yTable"/>
        <w:tabs>
          <w:tab w:val="left" w:pos="2694"/>
          <w:tab w:val="left" w:pos="5954"/>
          <w:tab w:val="right" w:pos="6521"/>
        </w:tabs>
        <w:rPr>
          <w:snapToGrid w:val="0"/>
        </w:rPr>
      </w:pPr>
      <w:r>
        <w:rPr>
          <w:snapToGrid w:val="0"/>
        </w:rPr>
        <w:t>Dated this                                   day of                                        , 19       .</w:t>
      </w:r>
    </w:p>
    <w:p>
      <w:pPr>
        <w:pStyle w:val="yTable"/>
        <w:tabs>
          <w:tab w:val="right" w:pos="7088"/>
        </w:tabs>
        <w:spacing w:before="240"/>
        <w:jc w:val="right"/>
        <w:rPr>
          <w:snapToGrid w:val="0"/>
        </w:rPr>
      </w:pPr>
      <w:r>
        <w:rPr>
          <w:snapToGrid w:val="0"/>
        </w:rPr>
        <w:t xml:space="preserve">Registrar. </w:t>
      </w:r>
    </w:p>
    <w:p>
      <w:pPr>
        <w:pStyle w:val="yFootnotesection"/>
      </w:pPr>
      <w:r>
        <w:tab/>
        <w:t>[First Schedule amended: Gazette 20 October 1972 p. 4162; 7 October 1977 p. 3606</w:t>
      </w:r>
      <w:r>
        <w:noBreakHyphen/>
        <w:t xml:space="preserve">7; 14 December 1979 p. 3876; 6 March 1981 p. 895; 12 January 1996 p. 106.] </w:t>
      </w:r>
    </w:p>
    <w:p>
      <w:pPr>
        <w:pStyle w:val="yEdnoteschedule"/>
      </w:pPr>
      <w:r>
        <w:t>[Second Schedule deleted: Gazette 27 Nov 2009 p. 4789.]</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54" w:name="_Toc107302999"/>
      <w:bookmarkStart w:id="55" w:name="_Toc107303563"/>
      <w:bookmarkStart w:id="56" w:name="_Toc107325335"/>
      <w:r>
        <w:lastRenderedPageBreak/>
        <w:t>Notes</w:t>
      </w:r>
      <w:bookmarkEnd w:id="54"/>
      <w:bookmarkEnd w:id="55"/>
      <w:bookmarkEnd w:id="56"/>
    </w:p>
    <w:p>
      <w:pPr>
        <w:pStyle w:val="nStatement"/>
      </w:pPr>
      <w:r>
        <w:t xml:space="preserve">This is a compilation of the </w:t>
      </w:r>
      <w:r>
        <w:rPr>
          <w:i/>
          <w:noProof/>
        </w:rPr>
        <w:t>Non-contentious Probate Rules 1967</w:t>
      </w:r>
      <w:r>
        <w:t xml:space="preserve"> and includes amendments made by other written laws. For provisions that have come into operation, and for information about any reprints, see the compilation table.</w:t>
      </w:r>
    </w:p>
    <w:p>
      <w:pPr>
        <w:pStyle w:val="nHeading3"/>
      </w:pPr>
      <w:bookmarkStart w:id="57" w:name="_Toc107325336"/>
      <w:r>
        <w:t>Compilation table</w:t>
      </w:r>
      <w:bookmarkEnd w:id="57"/>
    </w:p>
    <w:tbl>
      <w:tblPr>
        <w:tblW w:w="7101" w:type="dxa"/>
        <w:tblInd w:w="1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3064"/>
        <w:gridCol w:w="35"/>
        <w:gridCol w:w="19"/>
        <w:gridCol w:w="1222"/>
        <w:gridCol w:w="28"/>
        <w:gridCol w:w="7"/>
        <w:gridCol w:w="19"/>
        <w:gridCol w:w="2675"/>
        <w:gridCol w:w="11"/>
        <w:gridCol w:w="7"/>
      </w:tblGrid>
      <w:tr>
        <w:trPr>
          <w:gridBefore w:val="1"/>
          <w:wBefore w:w="14" w:type="dxa"/>
          <w:tblHeader/>
        </w:trPr>
        <w:tc>
          <w:tcPr>
            <w:tcW w:w="3118" w:type="dxa"/>
            <w:gridSpan w:val="3"/>
          </w:tcPr>
          <w:p>
            <w:pPr>
              <w:pStyle w:val="nTable"/>
              <w:spacing w:after="40"/>
              <w:rPr>
                <w:b/>
              </w:rPr>
            </w:pPr>
            <w:r>
              <w:rPr>
                <w:b/>
              </w:rPr>
              <w:t>Citation</w:t>
            </w:r>
          </w:p>
        </w:tc>
        <w:tc>
          <w:tcPr>
            <w:tcW w:w="1276" w:type="dxa"/>
            <w:gridSpan w:val="4"/>
          </w:tcPr>
          <w:p>
            <w:pPr>
              <w:pStyle w:val="nTable"/>
              <w:spacing w:after="40"/>
              <w:rPr>
                <w:b/>
              </w:rPr>
            </w:pPr>
            <w:r>
              <w:rPr>
                <w:b/>
              </w:rPr>
              <w:t>Published</w:t>
            </w:r>
          </w:p>
        </w:tc>
        <w:tc>
          <w:tcPr>
            <w:tcW w:w="2693" w:type="dxa"/>
            <w:gridSpan w:val="3"/>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Non-contentious Probate Rules 1967</w:t>
            </w:r>
          </w:p>
        </w:tc>
        <w:tc>
          <w:tcPr>
            <w:tcW w:w="1276" w:type="dxa"/>
            <w:gridSpan w:val="4"/>
          </w:tcPr>
          <w:p>
            <w:pPr>
              <w:pStyle w:val="nTable"/>
              <w:spacing w:after="40"/>
            </w:pPr>
            <w:r>
              <w:t>11 Sep 1967 p. 2249-64</w:t>
            </w:r>
          </w:p>
        </w:tc>
        <w:tc>
          <w:tcPr>
            <w:tcW w:w="2705" w:type="dxa"/>
            <w:gridSpan w:val="3"/>
          </w:tcPr>
          <w:p>
            <w:pPr>
              <w:pStyle w:val="nTable"/>
              <w:spacing w:after="40"/>
            </w:pPr>
            <w:r>
              <w:t>12 Oct 1967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18 Dec 1970 p. 3815</w:t>
            </w:r>
          </w:p>
        </w:tc>
        <w:tc>
          <w:tcPr>
            <w:tcW w:w="2705" w:type="dxa"/>
            <w:gridSpan w:val="3"/>
          </w:tcPr>
          <w:p>
            <w:pPr>
              <w:pStyle w:val="nTable"/>
              <w:spacing w:after="40"/>
            </w:pPr>
            <w:r>
              <w:t>1 Jan 1971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Oct 1972 p. 4159-62</w:t>
            </w:r>
          </w:p>
        </w:tc>
        <w:tc>
          <w:tcPr>
            <w:tcW w:w="2705" w:type="dxa"/>
            <w:gridSpan w:val="3"/>
          </w:tcPr>
          <w:p>
            <w:pPr>
              <w:pStyle w:val="nTable"/>
              <w:spacing w:after="40"/>
            </w:pPr>
            <w:r>
              <w:t>1 Nov 1972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23 Feb 1973 p. 531</w:t>
            </w:r>
          </w:p>
        </w:tc>
        <w:tc>
          <w:tcPr>
            <w:tcW w:w="2705" w:type="dxa"/>
            <w:gridSpan w:val="3"/>
          </w:tcPr>
          <w:p>
            <w:pPr>
              <w:pStyle w:val="nTable"/>
              <w:spacing w:after="40"/>
            </w:pPr>
            <w:r>
              <w:t>23 Feb 1973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30 Mar 1973 p. 818</w:t>
            </w:r>
          </w:p>
        </w:tc>
        <w:tc>
          <w:tcPr>
            <w:tcW w:w="2705" w:type="dxa"/>
            <w:gridSpan w:val="3"/>
          </w:tcPr>
          <w:p>
            <w:pPr>
              <w:pStyle w:val="nTable"/>
              <w:spacing w:after="40"/>
            </w:pPr>
            <w:r>
              <w:t>30 Mar 1973</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pPr>
            <w:r>
              <w:rPr>
                <w:b/>
              </w:rPr>
              <w:t xml:space="preserve">Reprinted in </w:t>
            </w:r>
            <w:r>
              <w:rPr>
                <w:b/>
                <w:i/>
                <w:iCs/>
              </w:rPr>
              <w:t>Gazette</w:t>
            </w:r>
            <w:r>
              <w:rPr>
                <w:b/>
              </w:rPr>
              <w:t xml:space="preserve"> 7 Aug 1973 p. 2985-3004</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Dec 1973 p. 4487</w:t>
            </w:r>
          </w:p>
        </w:tc>
        <w:tc>
          <w:tcPr>
            <w:tcW w:w="2705" w:type="dxa"/>
            <w:gridSpan w:val="3"/>
          </w:tcPr>
          <w:p>
            <w:pPr>
              <w:pStyle w:val="nTable"/>
              <w:spacing w:after="40"/>
            </w:pPr>
            <w:r>
              <w:t>1 Jan 1974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Oct 1977 p. 3604-7</w:t>
            </w:r>
          </w:p>
        </w:tc>
        <w:tc>
          <w:tcPr>
            <w:tcW w:w="2705" w:type="dxa"/>
            <w:gridSpan w:val="3"/>
          </w:tcPr>
          <w:p>
            <w:pPr>
              <w:pStyle w:val="nTable"/>
              <w:spacing w:after="40"/>
            </w:pPr>
            <w:r>
              <w:t xml:space="preserve">1 Dec 1977 (see r. 1 and </w:t>
            </w:r>
            <w:r>
              <w:rPr>
                <w:i/>
                <w:iCs/>
              </w:rPr>
              <w:t>Gazette</w:t>
            </w:r>
            <w:r>
              <w:t xml:space="preserve"> 11 Nov 1977 p. 4193)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Supreme Court (Miscellaneous Amendments) Rules 1979</w:t>
            </w:r>
          </w:p>
        </w:tc>
        <w:tc>
          <w:tcPr>
            <w:tcW w:w="1276" w:type="dxa"/>
            <w:gridSpan w:val="4"/>
          </w:tcPr>
          <w:p>
            <w:pPr>
              <w:pStyle w:val="nTable"/>
              <w:spacing w:after="40"/>
            </w:pPr>
            <w:r>
              <w:t>14 Dec 1979 p. 3869-76</w:t>
            </w:r>
          </w:p>
        </w:tc>
        <w:tc>
          <w:tcPr>
            <w:tcW w:w="2705" w:type="dxa"/>
            <w:gridSpan w:val="3"/>
          </w:tcPr>
          <w:p>
            <w:pPr>
              <w:pStyle w:val="nTable"/>
              <w:spacing w:after="40"/>
            </w:pPr>
            <w:r>
              <w:t xml:space="preserve">11 Feb 1980 (see r. 1 and </w:t>
            </w:r>
            <w:r>
              <w:rPr>
                <w:i/>
                <w:iCs/>
              </w:rPr>
              <w:t>Gazette</w:t>
            </w:r>
            <w:r>
              <w:t xml:space="preserve"> 8 Feb 1980 p. 383)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 Aug 1980 p. 2560-1</w:t>
            </w:r>
          </w:p>
        </w:tc>
        <w:tc>
          <w:tcPr>
            <w:tcW w:w="2705" w:type="dxa"/>
            <w:gridSpan w:val="3"/>
          </w:tcPr>
          <w:p>
            <w:pPr>
              <w:pStyle w:val="nTable"/>
              <w:spacing w:after="40"/>
            </w:pPr>
            <w:r>
              <w:t>1 Sep 1980 (see r. 2)</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6 Mar 1981 p. 895-993</w:t>
            </w:r>
          </w:p>
        </w:tc>
        <w:tc>
          <w:tcPr>
            <w:tcW w:w="2705" w:type="dxa"/>
            <w:gridSpan w:val="3"/>
          </w:tcPr>
          <w:p>
            <w:pPr>
              <w:pStyle w:val="nTable"/>
              <w:spacing w:after="40"/>
            </w:pPr>
            <w:r>
              <w:t>6 Mar 1981 (see r. 1(1))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Mar 1981 p. 993</w:t>
            </w:r>
          </w:p>
        </w:tc>
        <w:tc>
          <w:tcPr>
            <w:tcW w:w="2705" w:type="dxa"/>
            <w:gridSpan w:val="3"/>
          </w:tcPr>
          <w:p>
            <w:pPr>
              <w:pStyle w:val="nTable"/>
              <w:spacing w:after="40"/>
            </w:pPr>
            <w:r>
              <w:t>20 March 1981 (see r. 1(1))</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pPr>
            <w:r>
              <w:rPr>
                <w:b/>
              </w:rPr>
              <w:t xml:space="preserve">Reprinted in </w:t>
            </w:r>
            <w:r>
              <w:rPr>
                <w:b/>
                <w:i/>
                <w:iCs/>
              </w:rPr>
              <w:t>Gazette</w:t>
            </w:r>
            <w:r>
              <w:rPr>
                <w:b/>
              </w:rPr>
              <w:t xml:space="preserve"> 18 May 1981 p. 1513-32 (not including amendments in </w:t>
            </w:r>
            <w:r>
              <w:rPr>
                <w:b/>
                <w:i/>
                <w:iCs/>
              </w:rPr>
              <w:t>Gazette</w:t>
            </w:r>
            <w:r>
              <w:rPr>
                <w:b/>
              </w:rPr>
              <w:t xml:space="preserve"> </w:t>
            </w:r>
            <w:r>
              <w:rPr>
                <w:b/>
                <w:bCs/>
              </w:rPr>
              <w:t>6 and 20 Mar 1981)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Untitled rules</w:t>
            </w:r>
          </w:p>
        </w:tc>
        <w:tc>
          <w:tcPr>
            <w:tcW w:w="1304" w:type="dxa"/>
            <w:gridSpan w:val="4"/>
          </w:tcPr>
          <w:p>
            <w:pPr>
              <w:pStyle w:val="nTable"/>
              <w:spacing w:after="40"/>
            </w:pPr>
            <w:r>
              <w:t>13 Dec 1985 p. 4764-65</w:t>
            </w:r>
          </w:p>
        </w:tc>
        <w:tc>
          <w:tcPr>
            <w:tcW w:w="2701" w:type="dxa"/>
            <w:gridSpan w:val="3"/>
          </w:tcPr>
          <w:p>
            <w:pPr>
              <w:pStyle w:val="nTable"/>
              <w:spacing w:after="40"/>
            </w:pPr>
            <w:r>
              <w:t>1 Jan 1986 (see r. 1(1))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Rules Amendment Rules 1986</w:t>
            </w:r>
          </w:p>
        </w:tc>
        <w:tc>
          <w:tcPr>
            <w:tcW w:w="1304" w:type="dxa"/>
            <w:gridSpan w:val="4"/>
          </w:tcPr>
          <w:p>
            <w:pPr>
              <w:pStyle w:val="nTable"/>
              <w:spacing w:after="40"/>
            </w:pPr>
            <w:r>
              <w:t>17 Oct 1986 p. 3894-5</w:t>
            </w:r>
          </w:p>
        </w:tc>
        <w:tc>
          <w:tcPr>
            <w:tcW w:w="2701" w:type="dxa"/>
            <w:gridSpan w:val="3"/>
          </w:tcPr>
          <w:p>
            <w:pPr>
              <w:pStyle w:val="nTable"/>
              <w:spacing w:after="40"/>
            </w:pPr>
            <w:r>
              <w:t xml:space="preserve">7 Nov 1986 (see r. 2 and </w:t>
            </w:r>
            <w:r>
              <w:rPr>
                <w:i/>
                <w:iCs/>
              </w:rPr>
              <w:t>Gazette</w:t>
            </w:r>
            <w:r>
              <w:t xml:space="preserve"> 7 Nov 1986 p. 4140)</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6 Feb 1987 (see Gazette 18 Feb 1987 p. 411-36)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lastRenderedPageBreak/>
              <w:t>Non-Contentious Probate Amendment Rules 1989</w:t>
            </w:r>
          </w:p>
        </w:tc>
        <w:tc>
          <w:tcPr>
            <w:tcW w:w="1276" w:type="dxa"/>
            <w:gridSpan w:val="3"/>
          </w:tcPr>
          <w:p>
            <w:pPr>
              <w:pStyle w:val="nTable"/>
              <w:spacing w:after="40"/>
            </w:pPr>
            <w:r>
              <w:t>15 Dec 1989 p. 4520</w:t>
            </w:r>
          </w:p>
        </w:tc>
        <w:tc>
          <w:tcPr>
            <w:tcW w:w="2729" w:type="dxa"/>
            <w:gridSpan w:val="4"/>
          </w:tcPr>
          <w:p>
            <w:pPr>
              <w:pStyle w:val="nTable"/>
              <w:spacing w:after="40"/>
            </w:pPr>
            <w:r>
              <w:t>1 Jan 1990 (see r. 2)</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1989</w:t>
            </w:r>
          </w:p>
        </w:tc>
        <w:tc>
          <w:tcPr>
            <w:tcW w:w="1276" w:type="dxa"/>
            <w:gridSpan w:val="3"/>
          </w:tcPr>
          <w:p>
            <w:pPr>
              <w:pStyle w:val="nTable"/>
              <w:spacing w:after="40"/>
            </w:pPr>
            <w:r>
              <w:t>19 Jan 1990 p. 203-4 (erratum 26 Jan 1990 p. 657)</w:t>
            </w:r>
          </w:p>
        </w:tc>
        <w:tc>
          <w:tcPr>
            <w:tcW w:w="2729" w:type="dxa"/>
            <w:gridSpan w:val="4"/>
          </w:tcPr>
          <w:p>
            <w:pPr>
              <w:pStyle w:val="nTable"/>
              <w:spacing w:after="40"/>
            </w:pPr>
            <w:r>
              <w:t xml:space="preserve">26 Jan 1990 (see r. 2 and </w:t>
            </w:r>
            <w:r>
              <w:rPr>
                <w:i/>
                <w:iCs/>
              </w:rPr>
              <w:t>Gazette</w:t>
            </w:r>
            <w:r>
              <w:t xml:space="preserve"> 26 Jan 1990 p. 656)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1996</w:t>
            </w:r>
          </w:p>
        </w:tc>
        <w:tc>
          <w:tcPr>
            <w:tcW w:w="1276" w:type="dxa"/>
            <w:gridSpan w:val="3"/>
          </w:tcPr>
          <w:p>
            <w:pPr>
              <w:pStyle w:val="nTable"/>
              <w:spacing w:after="40"/>
            </w:pPr>
            <w:r>
              <w:t>12 Jan 1996 p. 106</w:t>
            </w:r>
          </w:p>
        </w:tc>
        <w:tc>
          <w:tcPr>
            <w:tcW w:w="2729" w:type="dxa"/>
            <w:gridSpan w:val="4"/>
          </w:tcPr>
          <w:p>
            <w:pPr>
              <w:pStyle w:val="nTable"/>
              <w:spacing w:after="40"/>
            </w:pPr>
            <w:r>
              <w:t>12 Jan 1996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(No. 2) 1996</w:t>
            </w:r>
          </w:p>
        </w:tc>
        <w:tc>
          <w:tcPr>
            <w:tcW w:w="1276" w:type="dxa"/>
            <w:gridSpan w:val="3"/>
          </w:tcPr>
          <w:p>
            <w:pPr>
              <w:pStyle w:val="nTable"/>
              <w:spacing w:after="40"/>
            </w:pPr>
            <w:r>
              <w:t>5 Mar 1996 p. 830-1</w:t>
            </w:r>
          </w:p>
        </w:tc>
        <w:tc>
          <w:tcPr>
            <w:tcW w:w="2729" w:type="dxa"/>
            <w:gridSpan w:val="4"/>
          </w:tcPr>
          <w:p>
            <w:pPr>
              <w:pStyle w:val="nTable"/>
              <w:spacing w:after="40"/>
            </w:pPr>
            <w:r>
              <w:t>5 Mar 1996</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9 Jun 2000</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Equality of Status Subsidiary Legislation Amendment Regulations 2003 </w:t>
            </w:r>
            <w:r>
              <w:t>Pt. 28</w:t>
            </w:r>
          </w:p>
        </w:tc>
        <w:tc>
          <w:tcPr>
            <w:tcW w:w="1276" w:type="dxa"/>
            <w:gridSpan w:val="3"/>
          </w:tcPr>
          <w:p>
            <w:pPr>
              <w:pStyle w:val="nTable"/>
              <w:spacing w:after="40"/>
            </w:pPr>
            <w:r>
              <w:t>30 Jun 2003 p. 2581-638</w:t>
            </w:r>
          </w:p>
        </w:tc>
        <w:tc>
          <w:tcPr>
            <w:tcW w:w="2729" w:type="dxa"/>
            <w:gridSpan w:val="4"/>
          </w:tcPr>
          <w:p>
            <w:pPr>
              <w:pStyle w:val="nTable"/>
              <w:spacing w:after="40"/>
            </w:pPr>
            <w:r>
              <w:t xml:space="preserve">1 Jul 2003 (see r. 2 and </w:t>
            </w:r>
            <w:r>
              <w:rPr>
                <w:i/>
                <w:iCs/>
              </w:rPr>
              <w:t>Gazette</w:t>
            </w:r>
            <w:r>
              <w:t xml:space="preserve"> 30 Jun 2003 p. 2579)</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Courts and Legal Practice (Consequential Amendments) Regulations 2005 </w:t>
            </w:r>
            <w:r>
              <w:t>r. 8</w:t>
            </w:r>
          </w:p>
        </w:tc>
        <w:tc>
          <w:tcPr>
            <w:tcW w:w="1276" w:type="dxa"/>
            <w:gridSpan w:val="3"/>
          </w:tcPr>
          <w:p>
            <w:pPr>
              <w:pStyle w:val="nTable"/>
              <w:spacing w:after="40"/>
            </w:pPr>
            <w:r>
              <w:t>19 Apr 2005 p. 1294-302</w:t>
            </w:r>
          </w:p>
        </w:tc>
        <w:tc>
          <w:tcPr>
            <w:tcW w:w="2729" w:type="dxa"/>
            <w:gridSpan w:val="4"/>
          </w:tcPr>
          <w:p>
            <w:pPr>
              <w:pStyle w:val="nTable"/>
              <w:spacing w:after="40"/>
            </w:pPr>
            <w:r>
              <w:t>19 Apr 2005</w:t>
            </w:r>
          </w:p>
        </w:tc>
      </w:tr>
      <w:tr>
        <w:trPr>
          <w:gridAfter w:val="2"/>
          <w:wAfter w:w="18" w:type="dxa"/>
          <w:cantSplit/>
        </w:trPr>
        <w:tc>
          <w:tcPr>
            <w:tcW w:w="3078" w:type="dxa"/>
            <w:gridSpan w:val="2"/>
            <w:tcBorders>
              <w:top w:val="nil"/>
              <w:bottom w:val="nil"/>
            </w:tcBorders>
          </w:tcPr>
          <w:p>
            <w:pPr>
              <w:pStyle w:val="nTable"/>
              <w:spacing w:after="40"/>
              <w:rPr>
                <w:i/>
              </w:rPr>
            </w:pPr>
            <w:r>
              <w:rPr>
                <w:i/>
              </w:rPr>
              <w:t>Non-contentious Probate Amendment Rules 2009</w:t>
            </w:r>
          </w:p>
        </w:tc>
        <w:tc>
          <w:tcPr>
            <w:tcW w:w="1276" w:type="dxa"/>
            <w:gridSpan w:val="3"/>
            <w:tcBorders>
              <w:top w:val="nil"/>
              <w:bottom w:val="nil"/>
            </w:tcBorders>
          </w:tcPr>
          <w:p>
            <w:pPr>
              <w:pStyle w:val="nTable"/>
              <w:spacing w:after="40"/>
            </w:pPr>
            <w:r>
              <w:t>27 Nov 2009 p. 4786-9</w:t>
            </w:r>
          </w:p>
        </w:tc>
        <w:tc>
          <w:tcPr>
            <w:tcW w:w="2729" w:type="dxa"/>
            <w:gridSpan w:val="4"/>
            <w:tcBorders>
              <w:top w:val="nil"/>
              <w:bottom w:val="nil"/>
            </w:tcBorders>
          </w:tcPr>
          <w:p>
            <w:pPr>
              <w:pStyle w:val="nTable"/>
              <w:spacing w:after="40"/>
            </w:pPr>
            <w:r>
              <w:t>r. 1 and 2: 27 Nov 2009 (see r. 2(a));</w:t>
            </w:r>
          </w:p>
          <w:p>
            <w:pPr>
              <w:pStyle w:val="nTable"/>
              <w:spacing w:before="0" w:after="40"/>
            </w:pPr>
            <w:r>
              <w:t>Rules other than r. 1 and 2: 28 Nov 2009 (see r. 2(b))</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Borders>
              <w:bottom w:val="single" w:sz="8" w:space="0" w:color="auto"/>
            </w:tcBorders>
          </w:tcPr>
          <w:p>
            <w:pPr>
              <w:pStyle w:val="nTable"/>
              <w:spacing w:after="40"/>
              <w:rPr>
                <w:i/>
              </w:rPr>
            </w:pPr>
            <w:r>
              <w:rPr>
                <w:i/>
              </w:rPr>
              <w:t>Supreme Court Rules Amendment (Legal Profession) Rules 2022</w:t>
            </w:r>
            <w:r>
              <w:t xml:space="preserve"> Pt. 3</w:t>
            </w:r>
          </w:p>
        </w:tc>
        <w:tc>
          <w:tcPr>
            <w:tcW w:w="1276" w:type="dxa"/>
            <w:gridSpan w:val="3"/>
            <w:tcBorders>
              <w:bottom w:val="single" w:sz="8" w:space="0" w:color="auto"/>
            </w:tcBorders>
          </w:tcPr>
          <w:p>
            <w:pPr>
              <w:pStyle w:val="nTable"/>
              <w:spacing w:after="40"/>
            </w:pPr>
            <w:r>
              <w:t>SL 2022/74 14 Jun 2022</w:t>
            </w:r>
          </w:p>
        </w:tc>
        <w:tc>
          <w:tcPr>
            <w:tcW w:w="2729" w:type="dxa"/>
            <w:gridSpan w:val="4"/>
            <w:tcBorders>
              <w:bottom w:val="single" w:sz="8" w:space="0" w:color="auto"/>
            </w:tcBorders>
          </w:tcPr>
          <w:p>
            <w:pPr>
              <w:pStyle w:val="nTable"/>
              <w:spacing w:after="40"/>
            </w:pPr>
            <w:r>
              <w:t>1 Jul 2022 (see r. 2(b) and SL 2022/113 cl. 2)</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59" w:name="_Toc107303002"/>
      <w:bookmarkStart w:id="60" w:name="_Toc107303565"/>
      <w:bookmarkStart w:id="61" w:name="_Toc107325337"/>
      <w:r>
        <w:rPr>
          <w:sz w:val="28"/>
        </w:rPr>
        <w:lastRenderedPageBreak/>
        <w:t>Defined terms</w:t>
      </w:r>
      <w:bookmarkEnd w:id="59"/>
      <w:bookmarkEnd w:id="60"/>
      <w:bookmarkEnd w:id="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2(1)</w:t>
      </w:r>
    </w:p>
    <w:p>
      <w:pPr>
        <w:pStyle w:val="DefinedTerms"/>
      </w:pPr>
      <w:r>
        <w:t>grant</w:t>
      </w:r>
      <w:r>
        <w:tab/>
        <w:t>2(1)</w:t>
      </w:r>
    </w:p>
    <w:p>
      <w:pPr>
        <w:pStyle w:val="DefinedTerms"/>
      </w:pPr>
      <w:r>
        <w:t>prescribed fee</w:t>
      </w:r>
      <w:r>
        <w:tab/>
        <w:t>2(1)</w:t>
      </w:r>
    </w:p>
    <w:p>
      <w:pPr>
        <w:pStyle w:val="DefinedTerms"/>
      </w:pPr>
      <w:r>
        <w:t>Registrar</w:t>
      </w:r>
      <w:r>
        <w:tab/>
        <w:t>2(1)</w:t>
      </w:r>
    </w:p>
    <w:p>
      <w:pPr>
        <w:pStyle w:val="DefinedTerms"/>
      </w:pPr>
      <w:r>
        <w:t>Registry</w:t>
      </w:r>
      <w:r>
        <w:tab/>
        <w:t>2(1)</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96"/>
      <w:gridCol w:w="5667"/>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96" w:type="dxa"/>
        </w:tcPr>
        <w:p>
          <w:pPr>
            <w:pStyle w:val="Header"/>
            <w:spacing w:before="40"/>
          </w:pPr>
        </w:p>
      </w:tc>
      <w:tc>
        <w:tcPr>
          <w:tcW w:w="5667" w:type="dxa"/>
        </w:tcPr>
        <w:p>
          <w:pPr>
            <w:pStyle w:val="Header"/>
            <w:spacing w:before="40"/>
          </w:pPr>
        </w:p>
      </w:tc>
    </w:tr>
    <w:tr>
      <w:trPr>
        <w:jc w:val="center"/>
      </w:trPr>
      <w:tc>
        <w:tcPr>
          <w:tcW w:w="1596" w:type="dxa"/>
        </w:tcPr>
        <w:p>
          <w:pPr>
            <w:pStyle w:val="Header"/>
            <w:spacing w:before="40"/>
          </w:pPr>
        </w:p>
      </w:tc>
      <w:tc>
        <w:tcPr>
          <w:tcW w:w="5667" w:type="dxa"/>
        </w:tcPr>
        <w:p>
          <w:pPr>
            <w:pStyle w:val="Header"/>
            <w:spacing w:before="40"/>
          </w:pPr>
        </w:p>
      </w:tc>
    </w:tr>
    <w:tr>
      <w:trPr>
        <w:cantSplit/>
        <w:jc w:val="center"/>
      </w:trPr>
      <w:tc>
        <w:tcPr>
          <w:tcW w:w="1596" w:type="dxa"/>
        </w:tcPr>
        <w:p>
          <w:pPr>
            <w:pStyle w:val="Header"/>
            <w:spacing w:before="40"/>
          </w:pPr>
          <w:r>
            <w:rPr>
              <w:b/>
            </w:rPr>
            <w:fldChar w:fldCharType="begin"/>
          </w:r>
          <w:r>
            <w:rPr>
              <w:b/>
            </w:rPr>
            <w:instrText>STYLEREF CharSchNo</w:instrText>
          </w:r>
          <w:r>
            <w:rPr>
              <w:b/>
            </w:rPr>
            <w:fldChar w:fldCharType="end"/>
          </w:r>
        </w:p>
      </w:tc>
      <w:tc>
        <w:tcPr>
          <w:tcW w:w="5662"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579"/>
      <w:gridCol w:w="1684"/>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cantSplit/>
        <w:jc w:val="center"/>
      </w:trPr>
      <w:tc>
        <w:tcPr>
          <w:tcW w:w="5579" w:type="dxa"/>
        </w:tcPr>
        <w:p>
          <w:pPr>
            <w:pStyle w:val="Header"/>
            <w:spacing w:before="40"/>
            <w:jc w:val="right"/>
          </w:pPr>
          <w:r>
            <w:fldChar w:fldCharType="begin"/>
          </w:r>
          <w:r>
            <w:instrText xml:space="preserve"> STYLEREF CharSchText </w:instrText>
          </w:r>
          <w:r>
            <w:fldChar w:fldCharType="end"/>
          </w:r>
        </w:p>
      </w:tc>
      <w:tc>
        <w:tcPr>
          <w:tcW w:w="1679"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3" w:name="Schedule"/>
    <w:bookmarkEnd w:id="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8" w:name="Compilation"/>
    <w:bookmarkEnd w:id="5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 w:name="DefinedTerms"/>
    <w:bookmarkEnd w:id="6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 w:name="Coversheet"/>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2C7C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44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5CCB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E0F9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B44C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CAD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3E6D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0449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0C5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20F6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758071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62801"/>
    <w:docVar w:name="WAFER_20140121144005" w:val="RemoveTocBookmarks,RemoveUnusedBookmarks,RemoveLanguageTags,UsedStyles,ResetPageSize,UpdateArrangement"/>
    <w:docVar w:name="WAFER_20140121144005_GUID" w:val="8648cba6-c799-4275-a842-2a56eb488e81"/>
    <w:docVar w:name="WAFER_20140121153141" w:val="RemoveTocBookmarks,RunningHeaders"/>
    <w:docVar w:name="WAFER_20140121153141_GUID" w:val="26b9b259-7fa7-49d8-9765-52bff882c335"/>
    <w:docVar w:name="WAFER_20150610165858" w:val="ResetPageSize,UpdateArrangement,UpdateNTable"/>
    <w:docVar w:name="WAFER_20150610165858_GUID" w:val="83054f06-ffca-457a-bedf-1bd59ba8d407"/>
    <w:docVar w:name="WAFER_20150610165907" w:val="ResetPageSize,UpdateArrangement,UpdateNTable"/>
    <w:docVar w:name="WAFER_20150610165907_GUID" w:val="ae3d12f2-adf0-4836-9ab9-f3d398eeb39f"/>
    <w:docVar w:name="WAFER_20151106151601" w:val="UpdateStyles,UsedStyles"/>
    <w:docVar w:name="WAFER_20151106151601_GUID" w:val="998c6502-f9bb-46fd-91db-e6fc33c65e74"/>
    <w:docVar w:name="WAFER_202206090925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9092512_GUID" w:val="a95b5b23-beaa-408b-ae49-dac111fc8de7"/>
    <w:docVar w:name="WAFER_202206271628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801_GUID" w:val="8b961ede-af6e-4d1b-9f58-b55fe340ea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7768FBDB-EEE0-4ED7-8FE9-32F0B001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10581</Words>
  <Characters>48783</Characters>
  <Application>Microsoft Office Word</Application>
  <DocSecurity>0</DocSecurity>
  <Lines>1318</Lines>
  <Paragraphs>751</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
  <LinksUpToDate>false</LinksUpToDate>
  <CharactersWithSpaces>58613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1967 - 04-e0-00</dc:title>
  <dc:subject/>
  <dc:creator/>
  <cp:keywords/>
  <dc:description/>
  <cp:lastModifiedBy>Master Repository Process</cp:lastModifiedBy>
  <cp:revision>4</cp:revision>
  <cp:lastPrinted>2000-06-13T04:21:00Z</cp:lastPrinted>
  <dcterms:created xsi:type="dcterms:W3CDTF">2022-06-30T04:50:00Z</dcterms:created>
  <dcterms:modified xsi:type="dcterms:W3CDTF">2022-06-30T04:50:00Z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DocumentType">
    <vt:lpwstr>Reg</vt:lpwstr>
  </property>
  <property fmtid="{D5CDD505-2E9C-101B-9397-08002B2CF9AE}" pid="4" name="AsAtDate">
    <vt:lpwstr>01 Jul 2022</vt:lpwstr>
  </property>
  <property fmtid="{D5CDD505-2E9C-101B-9397-08002B2CF9AE}" pid="5" name="Suffix">
    <vt:lpwstr>04-e0-00</vt:lpwstr>
  </property>
  <property fmtid="{D5CDD505-2E9C-101B-9397-08002B2CF9AE}" pid="6" name="CommencementDate">
    <vt:lpwstr>20220701</vt:lpwstr>
  </property>
</Properties>
</file>