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_Toc107417310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_Toc107417311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_Toc107417313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_Toc107417314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_Toc107417315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_Toc107417316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_Toc107417317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_Toc107417320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_Toc107417321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_Toc107417322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_Toc107417323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_Toc107417324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_Toc107417325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_Toc107417326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_Toc107417328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_Toc107417329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_Toc107417331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_Toc107417333 \h </w:instrText>
      </w:r>
      <w:r>
        <w:fldChar w:fldCharType="separate"/>
      </w:r>
      <w:r>
        <w:t>13</w:t>
      </w:r>
      <w:r>
        <w:fldChar w:fldCharType="end"/>
      </w:r>
    </w:p>
    <w:p>
      <w:pPr>
        <w:pStyle w:val="TOC8"/>
        <w:rPr>
          <w:rFonts w:asciiTheme="minorHAnsi" w:eastAsiaTheme="minorEastAsia" w:hAnsiTheme="minorHAnsi" w:cstheme="minorBidi"/>
          <w:szCs w:val="22"/>
        </w:rPr>
      </w:pPr>
      <w:r>
        <w:t>9B.</w:t>
      </w:r>
      <w:r>
        <w:tab/>
        <w:t>Supplementary provisions relating to fees</w:t>
      </w:r>
      <w:r>
        <w:tab/>
      </w:r>
      <w:r>
        <w:fldChar w:fldCharType="begin"/>
      </w:r>
      <w:r>
        <w:instrText xml:space="preserve"> PAGEREF _Toc107417334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_Toc107417337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_Toc107417339 \h </w:instrText>
      </w:r>
      <w:r>
        <w:fldChar w:fldCharType="separate"/>
      </w:r>
      <w:r>
        <w:t>16</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_Toc107417340 \h </w:instrText>
      </w:r>
      <w:r>
        <w:fldChar w:fldCharType="separate"/>
      </w:r>
      <w:r>
        <w:t>17</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_Toc107417341 \h </w:instrText>
      </w:r>
      <w:r>
        <w:fldChar w:fldCharType="separate"/>
      </w:r>
      <w:r>
        <w:t>17</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_Toc107417342 \h </w:instrText>
      </w:r>
      <w:r>
        <w:fldChar w:fldCharType="separate"/>
      </w:r>
      <w:r>
        <w:t>18</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_Toc107417343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_Toc107417354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_Toc107417355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106958004"/>
      <w:bookmarkStart w:id="4" w:name="_Toc106959249"/>
      <w:bookmarkStart w:id="5" w:name="_Toc107417309"/>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22 May 2009 p. 1700.]</w:t>
      </w:r>
    </w:p>
    <w:p>
      <w:pPr>
        <w:pStyle w:val="Heading5"/>
      </w:pPr>
      <w:bookmarkStart w:id="6" w:name="_Toc107417310"/>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7" w:name="_Toc10741731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6 September 2004.</w:t>
      </w:r>
    </w:p>
    <w:p>
      <w:pPr>
        <w:pStyle w:val="Heading2"/>
      </w:pPr>
      <w:bookmarkStart w:id="8" w:name="_Toc106958007"/>
      <w:bookmarkStart w:id="9" w:name="_Toc106959252"/>
      <w:bookmarkStart w:id="10" w:name="_Toc107417312"/>
      <w:r>
        <w:rPr>
          <w:rStyle w:val="CharPartNo"/>
        </w:rPr>
        <w:lastRenderedPageBreak/>
        <w:t>Part 2</w:t>
      </w:r>
      <w:r>
        <w:rPr>
          <w:b w:val="0"/>
        </w:rPr>
        <w:t> </w:t>
      </w:r>
      <w:r>
        <w:t>—</w:t>
      </w:r>
      <w:r>
        <w:rPr>
          <w:b w:val="0"/>
        </w:rPr>
        <w:t> </w:t>
      </w:r>
      <w:r>
        <w:rPr>
          <w:rStyle w:val="CharPartText"/>
        </w:rPr>
        <w:t>General</w:t>
      </w:r>
      <w:bookmarkEnd w:id="8"/>
      <w:bookmarkEnd w:id="9"/>
      <w:bookmarkEnd w:id="10"/>
    </w:p>
    <w:p>
      <w:pPr>
        <w:pStyle w:val="Footnoteheading"/>
      </w:pPr>
      <w:r>
        <w:tab/>
        <w:t>[Heading inserted: Gazette 22 May 2009 p. 1701.]</w:t>
      </w:r>
    </w:p>
    <w:p>
      <w:pPr>
        <w:pStyle w:val="Heading5"/>
      </w:pPr>
      <w:bookmarkStart w:id="11" w:name="_Toc107417313"/>
      <w:r>
        <w:rPr>
          <w:rStyle w:val="CharSectno"/>
        </w:rPr>
        <w:t>3A</w:t>
      </w:r>
      <w:r>
        <w:t>.</w:t>
      </w:r>
      <w:r>
        <w:tab/>
        <w:t>Immaterial differences between counterparts (Act s. 4(1CA)(b)(v))</w:t>
      </w:r>
      <w:bookmarkEnd w:id="11"/>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lastRenderedPageBreak/>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12" w:name="_Toc107417314"/>
      <w:r>
        <w:rPr>
          <w:rStyle w:val="CharSectno"/>
        </w:rPr>
        <w:t>3</w:t>
      </w:r>
      <w:r>
        <w:t>.</w:t>
      </w:r>
      <w:r>
        <w:tab/>
        <w:t>Paper documents for lodgment, requirements for</w:t>
      </w:r>
      <w:bookmarkEnd w:id="12"/>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3" w:name="_Toc107417315"/>
      <w:r>
        <w:rPr>
          <w:rStyle w:val="CharSectno"/>
        </w:rPr>
        <w:t>4</w:t>
      </w:r>
      <w:r>
        <w:t>.</w:t>
      </w:r>
      <w:r>
        <w:tab/>
      </w:r>
      <w:r>
        <w:rPr>
          <w:snapToGrid w:val="0"/>
        </w:rPr>
        <w:t>Certificates of title for land in existing certificate</w:t>
      </w:r>
      <w:bookmarkEnd w:id="13"/>
    </w:p>
    <w:p>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or certificates of title the Registrar may, if the Registrar thinks fit, instead of creating the certificate of title so applied for, </w:t>
      </w:r>
      <w:r>
        <w:rPr>
          <w:snapToGrid w:val="0"/>
        </w:rPr>
        <w:lastRenderedPageBreak/>
        <w:t>create and register a certificate of title for each lot or location or for any number of lots or locations included in that land.</w:t>
      </w:r>
    </w:p>
    <w:p>
      <w:pPr>
        <w:pStyle w:val="Heading5"/>
        <w:rPr>
          <w:snapToGrid w:val="0"/>
        </w:rPr>
      </w:pPr>
      <w:bookmarkStart w:id="14" w:name="_Toc107417316"/>
      <w:r>
        <w:rPr>
          <w:rStyle w:val="CharSectno"/>
        </w:rPr>
        <w:t>5</w:t>
      </w:r>
      <w:r>
        <w:t>.</w:t>
      </w:r>
      <w:r>
        <w:tab/>
      </w:r>
      <w:r>
        <w:rPr>
          <w:snapToGrid w:val="0"/>
        </w:rPr>
        <w:t>New certificate of title if old one too full for further endorsement</w:t>
      </w:r>
      <w:bookmarkEnd w:id="14"/>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5" w:name="_Toc107417317"/>
      <w:r>
        <w:rPr>
          <w:rStyle w:val="CharSectno"/>
        </w:rPr>
        <w:t>8</w:t>
      </w:r>
      <w:r>
        <w:t>.</w:t>
      </w:r>
      <w:r>
        <w:tab/>
      </w:r>
      <w:r>
        <w:rPr>
          <w:snapToGrid w:val="0"/>
        </w:rPr>
        <w:t>Area prescribed (Act s. 129C(1a))</w:t>
      </w:r>
      <w:bookmarkEnd w:id="15"/>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lastRenderedPageBreak/>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6" w:name="_Toc106958013"/>
      <w:bookmarkStart w:id="17" w:name="_Toc106959258"/>
      <w:bookmarkStart w:id="18" w:name="_Toc107417318"/>
      <w:r>
        <w:rPr>
          <w:rStyle w:val="CharPartNo"/>
        </w:rPr>
        <w:lastRenderedPageBreak/>
        <w:t>Part 3A</w:t>
      </w:r>
      <w:r>
        <w:t> — </w:t>
      </w:r>
      <w:r>
        <w:rPr>
          <w:rStyle w:val="CharPartText"/>
        </w:rPr>
        <w:t xml:space="preserve">Provisions relating to </w:t>
      </w:r>
      <w:r>
        <w:rPr>
          <w:rStyle w:val="CharPartText"/>
          <w:i/>
        </w:rPr>
        <w:t>Electronic Conveyancing Act 2014</w:t>
      </w:r>
      <w:bookmarkEnd w:id="16"/>
      <w:bookmarkEnd w:id="17"/>
      <w:bookmarkEnd w:id="18"/>
    </w:p>
    <w:p>
      <w:pPr>
        <w:pStyle w:val="Footnoteheading"/>
      </w:pPr>
      <w:r>
        <w:tab/>
        <w:t>[Heading inserted: Gazette 30 May 2014 p. 1685.]</w:t>
      </w:r>
    </w:p>
    <w:p>
      <w:pPr>
        <w:pStyle w:val="Heading3"/>
      </w:pPr>
      <w:bookmarkStart w:id="19" w:name="_Toc106958014"/>
      <w:bookmarkStart w:id="20" w:name="_Toc106959259"/>
      <w:bookmarkStart w:id="21" w:name="_Toc107417319"/>
      <w:r>
        <w:rPr>
          <w:rStyle w:val="CharDivNo"/>
        </w:rPr>
        <w:t>Division 1</w:t>
      </w:r>
      <w:r>
        <w:t> — </w:t>
      </w:r>
      <w:r>
        <w:rPr>
          <w:rStyle w:val="CharDivText"/>
        </w:rPr>
        <w:t>Certain registry instruments must be lodged by means of an ELN</w:t>
      </w:r>
      <w:bookmarkEnd w:id="19"/>
      <w:bookmarkEnd w:id="20"/>
      <w:bookmarkEnd w:id="21"/>
    </w:p>
    <w:p>
      <w:pPr>
        <w:pStyle w:val="Footnoteheading"/>
      </w:pPr>
      <w:r>
        <w:tab/>
        <w:t>[Heading inserted: Gazette 24 Nov 2017 p. 5680.]</w:t>
      </w:r>
    </w:p>
    <w:p>
      <w:pPr>
        <w:pStyle w:val="Heading5"/>
      </w:pPr>
      <w:bookmarkStart w:id="22" w:name="_Toc107417320"/>
      <w:r>
        <w:rPr>
          <w:rStyle w:val="CharSectno"/>
        </w:rPr>
        <w:t>8A</w:t>
      </w:r>
      <w:r>
        <w:t>.</w:t>
      </w:r>
      <w:r>
        <w:tab/>
        <w:t>Terms used</w:t>
      </w:r>
      <w:bookmarkEnd w:id="22"/>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23" w:name="_Toc107417321"/>
      <w:r>
        <w:rPr>
          <w:rStyle w:val="CharSectno"/>
        </w:rPr>
        <w:t>8B</w:t>
      </w:r>
      <w:r>
        <w:t>.</w:t>
      </w:r>
      <w:r>
        <w:tab/>
        <w:t>Registry instruments to which this Division applies</w:t>
      </w:r>
      <w:bookmarkEnd w:id="23"/>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24" w:name="_Toc107417322"/>
      <w:r>
        <w:rPr>
          <w:rStyle w:val="CharSectno"/>
        </w:rPr>
        <w:t>8C</w:t>
      </w:r>
      <w:r>
        <w:t>.</w:t>
      </w:r>
      <w:r>
        <w:tab/>
        <w:t>Certain registry instruments must be lodged by means of an ELN</w:t>
      </w:r>
      <w:bookmarkEnd w:id="24"/>
    </w:p>
    <w:p>
      <w:pPr>
        <w:pStyle w:val="Subsection"/>
      </w:pPr>
      <w:r>
        <w:tab/>
        <w:t>(1)</w:t>
      </w:r>
      <w:r>
        <w:tab/>
        <w:t>If a registry instrument can be lodged by means of an ELN, it must not be lodged otherwise than by means of an ELN.</w:t>
      </w:r>
    </w:p>
    <w:p>
      <w:pPr>
        <w:pStyle w:val="Subsection"/>
      </w:pPr>
      <w:r>
        <w:lastRenderedPageBreak/>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25" w:name="_Toc107417323"/>
      <w:r>
        <w:rPr>
          <w:rStyle w:val="CharSectno"/>
        </w:rPr>
        <w:t>8D</w:t>
      </w:r>
      <w:r>
        <w:t>.</w:t>
      </w:r>
      <w:r>
        <w:tab/>
        <w:t>Where party to transaction is self</w:t>
      </w:r>
      <w:r>
        <w:noBreakHyphen/>
        <w:t>represented</w:t>
      </w:r>
      <w:bookmarkEnd w:id="25"/>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26" w:name="_Toc107417324"/>
      <w:r>
        <w:rPr>
          <w:rStyle w:val="CharSectno"/>
        </w:rPr>
        <w:t>8E</w:t>
      </w:r>
      <w:r>
        <w:t>.</w:t>
      </w:r>
      <w:r>
        <w:tab/>
        <w:t>Where 2 or more registry instruments lodged simultaneously</w:t>
      </w:r>
      <w:bookmarkEnd w:id="26"/>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27" w:name="_Toc107417325"/>
      <w:r>
        <w:rPr>
          <w:rStyle w:val="CharSectno"/>
        </w:rPr>
        <w:t>8F</w:t>
      </w:r>
      <w:r>
        <w:t>.</w:t>
      </w:r>
      <w:r>
        <w:tab/>
        <w:t>Registrar’s power to exempt</w:t>
      </w:r>
      <w:bookmarkEnd w:id="27"/>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28" w:name="_Toc107417326"/>
      <w:r>
        <w:rPr>
          <w:rStyle w:val="CharSectno"/>
        </w:rPr>
        <w:lastRenderedPageBreak/>
        <w:t>8G</w:t>
      </w:r>
      <w:r>
        <w:t>.</w:t>
      </w:r>
      <w:r>
        <w:tab/>
        <w:t>When r. 8C(1) commences to apply to lodging certain registry instruments</w:t>
      </w:r>
      <w:bookmarkEnd w:id="28"/>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29" w:name="_Toc106958022"/>
      <w:bookmarkStart w:id="30" w:name="_Toc106959267"/>
      <w:bookmarkStart w:id="31" w:name="_Toc107417327"/>
      <w:r>
        <w:rPr>
          <w:rStyle w:val="CharDivNo"/>
        </w:rPr>
        <w:t>Division 2</w:t>
      </w:r>
      <w:r>
        <w:t> — </w:t>
      </w:r>
      <w:r>
        <w:rPr>
          <w:rStyle w:val="CharDivText"/>
        </w:rPr>
        <w:t>General requirements</w:t>
      </w:r>
      <w:bookmarkEnd w:id="29"/>
      <w:bookmarkEnd w:id="30"/>
      <w:bookmarkEnd w:id="31"/>
    </w:p>
    <w:p>
      <w:pPr>
        <w:pStyle w:val="Footnoteheading"/>
      </w:pPr>
      <w:r>
        <w:tab/>
        <w:t>[Heading inserted: Gazette 24 Nov 2017 p. 5682.]</w:t>
      </w:r>
    </w:p>
    <w:p>
      <w:pPr>
        <w:pStyle w:val="Heading5"/>
      </w:pPr>
      <w:bookmarkStart w:id="32" w:name="_Toc107417328"/>
      <w:r>
        <w:rPr>
          <w:rStyle w:val="CharSectno"/>
        </w:rPr>
        <w:t>9AA</w:t>
      </w:r>
      <w:r>
        <w:t>.</w:t>
      </w:r>
      <w:r>
        <w:tab/>
        <w:t>Requirements relating to electronic lodgment of mortgages</w:t>
      </w:r>
      <w:bookmarkEnd w:id="32"/>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lastRenderedPageBreak/>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33" w:name="_Toc107417329"/>
      <w:r>
        <w:rPr>
          <w:rStyle w:val="CharSectno"/>
        </w:rPr>
        <w:t>9AB</w:t>
      </w:r>
      <w:r>
        <w:t>.</w:t>
      </w:r>
      <w:r>
        <w:tab/>
        <w:t>Duplicate certificates of title where documents lodged electronically</w:t>
      </w:r>
      <w:bookmarkEnd w:id="3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lastRenderedPageBreak/>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34" w:name="_Toc106958025"/>
      <w:bookmarkStart w:id="35" w:name="_Toc106959270"/>
      <w:bookmarkStart w:id="36" w:name="_Toc107417330"/>
      <w:r>
        <w:rPr>
          <w:rStyle w:val="CharPartNo"/>
        </w:rPr>
        <w:lastRenderedPageBreak/>
        <w:t>Part 3B</w:t>
      </w:r>
      <w:r>
        <w:rPr>
          <w:rStyle w:val="CharDivNo"/>
        </w:rPr>
        <w:t> </w:t>
      </w:r>
      <w:r>
        <w:t>—</w:t>
      </w:r>
      <w:r>
        <w:rPr>
          <w:rStyle w:val="CharDivText"/>
        </w:rPr>
        <w:t> </w:t>
      </w:r>
      <w:r>
        <w:rPr>
          <w:rStyle w:val="CharPartText"/>
        </w:rPr>
        <w:t>Provisions relating to electronic service</w:t>
      </w:r>
      <w:bookmarkEnd w:id="34"/>
      <w:bookmarkEnd w:id="35"/>
      <w:bookmarkEnd w:id="36"/>
    </w:p>
    <w:p>
      <w:pPr>
        <w:pStyle w:val="Footnoteheading"/>
      </w:pPr>
      <w:r>
        <w:tab/>
        <w:t>[Heading inserted: Gazette 22 Mar 2016 p. 835.]</w:t>
      </w:r>
    </w:p>
    <w:p>
      <w:pPr>
        <w:pStyle w:val="Heading5"/>
      </w:pPr>
      <w:bookmarkStart w:id="37" w:name="_Toc107417331"/>
      <w:r>
        <w:rPr>
          <w:rStyle w:val="CharSectno"/>
        </w:rPr>
        <w:t>9AC</w:t>
      </w:r>
      <w:r>
        <w:t>.</w:t>
      </w:r>
      <w:r>
        <w:tab/>
        <w:t>Electronic service of notices</w:t>
      </w:r>
      <w:bookmarkEnd w:id="37"/>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38" w:name="_Toc106958027"/>
      <w:bookmarkStart w:id="39" w:name="_Toc106959272"/>
      <w:bookmarkStart w:id="40" w:name="_Toc107417332"/>
      <w:r>
        <w:rPr>
          <w:rStyle w:val="CharPartNo"/>
        </w:rPr>
        <w:lastRenderedPageBreak/>
        <w:t>Part 3</w:t>
      </w:r>
      <w:r>
        <w:t> — </w:t>
      </w:r>
      <w:r>
        <w:rPr>
          <w:rStyle w:val="CharPartText"/>
        </w:rPr>
        <w:t>Fees</w:t>
      </w:r>
      <w:bookmarkEnd w:id="38"/>
      <w:bookmarkEnd w:id="39"/>
      <w:bookmarkEnd w:id="40"/>
    </w:p>
    <w:p>
      <w:pPr>
        <w:pStyle w:val="Footnoteheading"/>
      </w:pPr>
      <w:r>
        <w:tab/>
        <w:t>[Heading inserted: Gazette 22 May 2009 p. 1701; amended: SL 2021/151 r. 12.]</w:t>
      </w:r>
    </w:p>
    <w:p>
      <w:pPr>
        <w:pStyle w:val="Heading5"/>
      </w:pPr>
      <w:bookmarkStart w:id="41" w:name="_Toc107417333"/>
      <w:r>
        <w:rPr>
          <w:rStyle w:val="CharSectno"/>
        </w:rPr>
        <w:t>9A</w:t>
      </w:r>
      <w:r>
        <w:t>.</w:t>
      </w:r>
      <w:r>
        <w:tab/>
        <w:t>Fees (Sch. 1)</w:t>
      </w:r>
      <w:bookmarkEnd w:id="41"/>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w:t>
      </w:r>
    </w:p>
    <w:p>
      <w:pPr>
        <w:pStyle w:val="Heading5"/>
      </w:pPr>
      <w:bookmarkStart w:id="42" w:name="_Toc107417334"/>
      <w:r>
        <w:rPr>
          <w:rStyle w:val="CharSectno"/>
        </w:rPr>
        <w:t>9B</w:t>
      </w:r>
      <w:r>
        <w:t>.</w:t>
      </w:r>
      <w:r>
        <w:tab/>
        <w:t>Supplementary provisions relating to fees</w:t>
      </w:r>
      <w:bookmarkEnd w:id="42"/>
    </w:p>
    <w:p>
      <w:pPr>
        <w:pStyle w:val="Subsection"/>
      </w:pPr>
      <w:r>
        <w:tab/>
        <w:t>(1)</w:t>
      </w:r>
      <w:r>
        <w:tab/>
        <w:t>If a single approved form is used for 2 or more surrenders, Schedule 1 Division 1 item 3 applies separately in respect of each surrender.</w:t>
      </w:r>
    </w:p>
    <w:p>
      <w:pPr>
        <w:pStyle w:val="Subsection"/>
      </w:pPr>
      <w:r>
        <w:tab/>
        <w:t>(2)</w:t>
      </w:r>
      <w:r>
        <w:tab/>
        <w:t xml:space="preserve">The fee payable in respect of a caveat under Schedule 1 Division 2 item 1 remains payable (and therefore does not have </w:t>
      </w:r>
      <w:r>
        <w:lastRenderedPageBreak/>
        <w:t>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Subsection"/>
      </w:pPr>
      <w:r>
        <w:tab/>
        <w:t>(4)</w:t>
      </w:r>
      <w:r>
        <w:tab/>
        <w:t xml:space="preserve">The Registrar may, in a particular case, waive or refund a fee payable under a provision of Schedule 1 listed in subregulation (5) if the Registrar is satisfied that — </w:t>
      </w:r>
    </w:p>
    <w:p>
      <w:pPr>
        <w:pStyle w:val="Indenta"/>
      </w:pPr>
      <w:r>
        <w:tab/>
        <w:t>(a)</w:t>
      </w:r>
      <w:r>
        <w:tab/>
        <w:t>the case has arisen to deal with, or has otherwise arisen due to, the loss or destruction of, or damage to, a duplicate certificate of title; and</w:t>
      </w:r>
    </w:p>
    <w:p>
      <w:pPr>
        <w:pStyle w:val="Indenta"/>
      </w:pPr>
      <w:r>
        <w:tab/>
        <w:t>(b)</w:t>
      </w:r>
      <w:r>
        <w:tab/>
        <w:t xml:space="preserve">the loss, destruction or damage occurred as a result of — </w:t>
      </w:r>
    </w:p>
    <w:p>
      <w:pPr>
        <w:pStyle w:val="Indenti"/>
      </w:pPr>
      <w:r>
        <w:tab/>
        <w:t>(i)</w:t>
      </w:r>
      <w:r>
        <w:tab/>
        <w:t>a cyclone, earthquake, flood, storm, tsunami or other natural event; or</w:t>
      </w:r>
    </w:p>
    <w:p>
      <w:pPr>
        <w:pStyle w:val="Indenti"/>
      </w:pPr>
      <w:r>
        <w:tab/>
        <w:t>(ii)</w:t>
      </w:r>
      <w:r>
        <w:tab/>
        <w:t xml:space="preserve">an emergency (as defined in the </w:t>
      </w:r>
      <w:r>
        <w:rPr>
          <w:i/>
        </w:rPr>
        <w:t>Emergency Management Act 2005</w:t>
      </w:r>
      <w:r>
        <w:t xml:space="preserve"> section 3) in respect of which a state of emergency was declared under section 56 of that Act.</w:t>
      </w:r>
    </w:p>
    <w:p>
      <w:pPr>
        <w:pStyle w:val="Subsection"/>
      </w:pPr>
      <w:r>
        <w:tab/>
        <w:t>(5)</w:t>
      </w:r>
      <w:r>
        <w:tab/>
        <w:t xml:space="preserve">The provisions of Schedule 1 are as follows — </w:t>
      </w:r>
    </w:p>
    <w:p>
      <w:pPr>
        <w:pStyle w:val="Indenta"/>
      </w:pPr>
      <w:r>
        <w:tab/>
        <w:t>(a)</w:t>
      </w:r>
      <w:r>
        <w:tab/>
        <w:t>Division 4 item 6;</w:t>
      </w:r>
    </w:p>
    <w:p>
      <w:pPr>
        <w:pStyle w:val="Indenta"/>
      </w:pPr>
      <w:r>
        <w:tab/>
        <w:t>(b)</w:t>
      </w:r>
      <w:r>
        <w:tab/>
        <w:t>Division 5 item 1;</w:t>
      </w:r>
    </w:p>
    <w:p>
      <w:pPr>
        <w:pStyle w:val="Indenta"/>
      </w:pPr>
      <w:r>
        <w:tab/>
        <w:t>(c)</w:t>
      </w:r>
      <w:r>
        <w:tab/>
        <w:t>Division 5 item 3;</w:t>
      </w:r>
    </w:p>
    <w:p>
      <w:pPr>
        <w:pStyle w:val="Indenta"/>
      </w:pPr>
      <w:r>
        <w:tab/>
        <w:t>(d)</w:t>
      </w:r>
      <w:r>
        <w:tab/>
        <w:t>Division 6 item 6;</w:t>
      </w:r>
    </w:p>
    <w:p>
      <w:pPr>
        <w:pStyle w:val="Indenta"/>
      </w:pPr>
      <w:r>
        <w:tab/>
        <w:t>(e)</w:t>
      </w:r>
      <w:r>
        <w:tab/>
        <w:t>Division 7 item 1;</w:t>
      </w:r>
    </w:p>
    <w:p>
      <w:pPr>
        <w:pStyle w:val="Indenta"/>
      </w:pPr>
      <w:r>
        <w:tab/>
        <w:t>(f)</w:t>
      </w:r>
      <w:r>
        <w:tab/>
        <w:t>Division 7 item 6(b);</w:t>
      </w:r>
    </w:p>
    <w:p>
      <w:pPr>
        <w:pStyle w:val="Indenta"/>
      </w:pPr>
      <w:r>
        <w:tab/>
        <w:t>(g)</w:t>
      </w:r>
      <w:r>
        <w:tab/>
        <w:t>Division 7 item 12.</w:t>
      </w:r>
    </w:p>
    <w:p>
      <w:pPr>
        <w:pStyle w:val="Footnotesection"/>
      </w:pPr>
      <w:r>
        <w:tab/>
        <w:t>[Regulation 9A inserted: SL 2021/88 r. 9.]</w:t>
      </w:r>
    </w:p>
    <w:p>
      <w:pPr>
        <w:pStyle w:val="Ednotesection"/>
      </w:pPr>
      <w:r>
        <w:t>[</w:t>
      </w:r>
      <w:r>
        <w:rPr>
          <w:b/>
          <w:bCs/>
        </w:rPr>
        <w:t>9.</w:t>
      </w:r>
      <w:r>
        <w:rPr>
          <w:b/>
          <w:bCs/>
        </w:rPr>
        <w:tab/>
      </w:r>
      <w:r>
        <w:t>Deleted: Gazette 19 Jun 2009 p. 2236.]</w:t>
      </w:r>
    </w:p>
    <w:p>
      <w:pPr>
        <w:pStyle w:val="Heading2"/>
      </w:pPr>
      <w:bookmarkStart w:id="43" w:name="_Toc106958030"/>
      <w:bookmarkStart w:id="44" w:name="_Toc106959275"/>
      <w:bookmarkStart w:id="45" w:name="_Toc107417335"/>
      <w:r>
        <w:rPr>
          <w:rStyle w:val="CharPartNo"/>
        </w:rPr>
        <w:lastRenderedPageBreak/>
        <w:t>Part 4</w:t>
      </w:r>
      <w:r>
        <w:rPr>
          <w:b w:val="0"/>
        </w:rPr>
        <w:t> </w:t>
      </w:r>
      <w:r>
        <w:t>—</w:t>
      </w:r>
      <w:r>
        <w:rPr>
          <w:b w:val="0"/>
        </w:rPr>
        <w:t> </w:t>
      </w:r>
      <w:r>
        <w:rPr>
          <w:rStyle w:val="CharPartText"/>
        </w:rPr>
        <w:t>Inspection of Register</w:t>
      </w:r>
      <w:bookmarkEnd w:id="43"/>
      <w:bookmarkEnd w:id="44"/>
      <w:bookmarkEnd w:id="45"/>
    </w:p>
    <w:p>
      <w:pPr>
        <w:pStyle w:val="Footnoteheading"/>
      </w:pPr>
      <w:r>
        <w:tab/>
        <w:t>[Heading inserted: Gazette 22 May 2009 p. 1702.]</w:t>
      </w:r>
    </w:p>
    <w:p>
      <w:pPr>
        <w:pStyle w:val="Heading3"/>
      </w:pPr>
      <w:bookmarkStart w:id="46" w:name="_Toc106958031"/>
      <w:bookmarkStart w:id="47" w:name="_Toc106959276"/>
      <w:bookmarkStart w:id="48" w:name="_Toc107417336"/>
      <w:r>
        <w:rPr>
          <w:rStyle w:val="CharDivNo"/>
        </w:rPr>
        <w:t>Division 1</w:t>
      </w:r>
      <w:r>
        <w:t> — </w:t>
      </w:r>
      <w:r>
        <w:rPr>
          <w:rStyle w:val="CharDivText"/>
        </w:rPr>
        <w:t>Times for inspection of Register and related documents</w:t>
      </w:r>
      <w:bookmarkEnd w:id="46"/>
      <w:bookmarkEnd w:id="47"/>
      <w:bookmarkEnd w:id="48"/>
    </w:p>
    <w:p>
      <w:pPr>
        <w:pStyle w:val="Footnoteheading"/>
      </w:pPr>
      <w:r>
        <w:tab/>
        <w:t>[Heading inserted: Gazette 22 May 2009 p. 1702.]</w:t>
      </w:r>
    </w:p>
    <w:p>
      <w:pPr>
        <w:pStyle w:val="Heading5"/>
        <w:rPr>
          <w:snapToGrid w:val="0"/>
        </w:rPr>
      </w:pPr>
      <w:bookmarkStart w:id="49" w:name="_Toc107417337"/>
      <w:r>
        <w:rPr>
          <w:rStyle w:val="CharSectno"/>
        </w:rPr>
        <w:t>10</w:t>
      </w:r>
      <w:r>
        <w:rPr>
          <w:snapToGrid w:val="0"/>
        </w:rPr>
        <w:t>.</w:t>
      </w:r>
      <w:r>
        <w:rPr>
          <w:snapToGrid w:val="0"/>
        </w:rPr>
        <w:tab/>
        <w:t>Times for inspection prescribed (Act s. 239(1))</w:t>
      </w:r>
      <w:bookmarkEnd w:id="49"/>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50" w:name="_Toc106958033"/>
      <w:bookmarkStart w:id="51" w:name="_Toc106959278"/>
      <w:bookmarkStart w:id="52" w:name="_Toc107417338"/>
      <w:r>
        <w:rPr>
          <w:rStyle w:val="CharDivNo"/>
        </w:rPr>
        <w:t>Division 2</w:t>
      </w:r>
      <w:r>
        <w:t> — </w:t>
      </w:r>
      <w:r>
        <w:rPr>
          <w:rStyle w:val="CharDivText"/>
        </w:rPr>
        <w:t>Names index</w:t>
      </w:r>
      <w:bookmarkEnd w:id="50"/>
      <w:bookmarkEnd w:id="51"/>
      <w:bookmarkEnd w:id="52"/>
    </w:p>
    <w:p>
      <w:pPr>
        <w:pStyle w:val="Footnoteheading"/>
      </w:pPr>
      <w:r>
        <w:tab/>
        <w:t>[Heading inserted: Gazette 22 May 2009 p. 1703.]</w:t>
      </w:r>
    </w:p>
    <w:p>
      <w:pPr>
        <w:pStyle w:val="Heading5"/>
      </w:pPr>
      <w:bookmarkStart w:id="53" w:name="_Toc107417339"/>
      <w:r>
        <w:rPr>
          <w:rStyle w:val="CharSectno"/>
        </w:rPr>
        <w:t>11</w:t>
      </w:r>
      <w:r>
        <w:t>.</w:t>
      </w:r>
      <w:r>
        <w:tab/>
        <w:t>Terms used</w:t>
      </w:r>
      <w:bookmarkEnd w:id="53"/>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lastRenderedPageBreak/>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54" w:name="_Toc107417340"/>
      <w:r>
        <w:rPr>
          <w:rStyle w:val="CharSectno"/>
        </w:rPr>
        <w:t>12</w:t>
      </w:r>
      <w:r>
        <w:t>.</w:t>
      </w:r>
      <w:r>
        <w:tab/>
        <w:t>Names index prescribed (Act s. 239(1)(k))</w:t>
      </w:r>
      <w:bookmarkEnd w:id="54"/>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55" w:name="_Toc107417341"/>
      <w:r>
        <w:rPr>
          <w:rStyle w:val="CharSectno"/>
        </w:rPr>
        <w:t>13</w:t>
      </w:r>
      <w:r>
        <w:t>.</w:t>
      </w:r>
      <w:r>
        <w:tab/>
      </w:r>
      <w:r>
        <w:rPr>
          <w:snapToGrid w:val="0"/>
        </w:rPr>
        <w:t>Application for information in names index to be excluded from inspections</w:t>
      </w:r>
      <w:bookmarkEnd w:id="55"/>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 xml:space="preserve">From the time when the Registrar receives an application made under subregulation (1), the information in respect of which the </w:t>
      </w:r>
      <w:r>
        <w:rPr>
          <w:snapToGrid w:val="0"/>
        </w:rPr>
        <w:lastRenderedPageBreak/>
        <w:t>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56" w:name="_Toc107417342"/>
      <w:r>
        <w:rPr>
          <w:rStyle w:val="CharSectno"/>
        </w:rPr>
        <w:t>14</w:t>
      </w:r>
      <w:r>
        <w:t>.</w:t>
      </w:r>
      <w:r>
        <w:tab/>
        <w:t>Suppressed information, provision of to government organisations</w:t>
      </w:r>
      <w:bookmarkEnd w:id="56"/>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57" w:name="_Toc107417343"/>
      <w:r>
        <w:rPr>
          <w:rStyle w:val="CharSectno"/>
        </w:rPr>
        <w:lastRenderedPageBreak/>
        <w:t>15</w:t>
      </w:r>
      <w:r>
        <w:t>.</w:t>
      </w:r>
      <w:r>
        <w:tab/>
        <w:t>Suppressed information, provision of to others</w:t>
      </w:r>
      <w:bookmarkEnd w:id="57"/>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 w:name="_Toc106958039"/>
      <w:bookmarkStart w:id="59" w:name="_Toc106959284"/>
      <w:bookmarkStart w:id="60" w:name="_Toc107417344"/>
      <w:r>
        <w:rPr>
          <w:rStyle w:val="CharSchNo"/>
        </w:rPr>
        <w:lastRenderedPageBreak/>
        <w:t>Schedule 1</w:t>
      </w:r>
      <w:r>
        <w:t xml:space="preserve"> — </w:t>
      </w:r>
      <w:r>
        <w:rPr>
          <w:rStyle w:val="CharSchText"/>
        </w:rPr>
        <w:t>Fees</w:t>
      </w:r>
      <w:bookmarkEnd w:id="58"/>
      <w:bookmarkEnd w:id="59"/>
      <w:bookmarkEnd w:id="60"/>
    </w:p>
    <w:p>
      <w:pPr>
        <w:pStyle w:val="yShoulderClause"/>
      </w:pPr>
      <w:r>
        <w:t>[r. 9A, 9B]</w:t>
      </w:r>
    </w:p>
    <w:p>
      <w:pPr>
        <w:pStyle w:val="yFootnoteheading"/>
      </w:pPr>
      <w:r>
        <w:tab/>
        <w:t>[Heading inserted: Gazette 21 May 2019 p. 1476.]</w:t>
      </w:r>
    </w:p>
    <w:p>
      <w:pPr>
        <w:pStyle w:val="yHeading3"/>
      </w:pPr>
      <w:bookmarkStart w:id="61" w:name="_Toc106958040"/>
      <w:bookmarkStart w:id="62" w:name="_Toc106959285"/>
      <w:bookmarkStart w:id="63" w:name="_Toc107417345"/>
      <w:r>
        <w:rPr>
          <w:rStyle w:val="CharSDivNo"/>
        </w:rPr>
        <w:t>Division 1</w:t>
      </w:r>
      <w:r>
        <w:t> — </w:t>
      </w:r>
      <w:r>
        <w:rPr>
          <w:rStyle w:val="CharSDivText"/>
        </w:rPr>
        <w:t>Registrations and recordings</w:t>
      </w:r>
      <w:bookmarkEnd w:id="61"/>
      <w:bookmarkEnd w:id="62"/>
      <w:bookmarkEnd w:id="63"/>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$187.60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$14.60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$187.60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$197.60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$217.60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$187.60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$187.60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$187.60</w:t>
            </w:r>
          </w:p>
        </w:tc>
      </w:tr>
    </w:tbl>
    <w:p>
      <w:pPr>
        <w:pStyle w:val="yFootnotesection"/>
      </w:pPr>
      <w:r>
        <w:tab/>
        <w:t>[Division 1 inserted: Gazette 21 May 2019 p. 1476</w:t>
      </w:r>
      <w:r>
        <w:noBreakHyphen/>
        <w:t>7; amended: SL 2020/76 r. 8; SL 2021/88 r. 10(4); SL 2022/62 r. 11.]</w:t>
      </w:r>
    </w:p>
    <w:p>
      <w:pPr>
        <w:pStyle w:val="yHeading3"/>
      </w:pPr>
      <w:bookmarkStart w:id="64" w:name="_Toc106958041"/>
      <w:bookmarkStart w:id="65" w:name="_Toc106959286"/>
      <w:bookmarkStart w:id="66" w:name="_Toc107417346"/>
      <w:r>
        <w:rPr>
          <w:rStyle w:val="CharSDivNo"/>
        </w:rPr>
        <w:t>Division 2</w:t>
      </w:r>
      <w:r>
        <w:t> — </w:t>
      </w:r>
      <w:r>
        <w:rPr>
          <w:rStyle w:val="CharSDivText"/>
        </w:rPr>
        <w:t>Lodgments</w:t>
      </w:r>
      <w:bookmarkEnd w:id="64"/>
      <w:bookmarkEnd w:id="65"/>
      <w:bookmarkEnd w:id="66"/>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$303.00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$79.50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$303.00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$303.00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$79.50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$303.00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$93.80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$6.70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$187.60</w:t>
            </w:r>
          </w:p>
        </w:tc>
      </w:tr>
    </w:tbl>
    <w:p>
      <w:pPr>
        <w:pStyle w:val="yFootnotesection"/>
      </w:pPr>
      <w:r>
        <w:tab/>
        <w:t>[Division 2 inserted: Gazette 21 May 2019 p. 1477; amended: SL 2020/76 r. 8; SL 2021/88 r. 10(4); SL 2022/62 r. 11.]</w:t>
      </w:r>
    </w:p>
    <w:p>
      <w:pPr>
        <w:pStyle w:val="yHeading3"/>
      </w:pPr>
      <w:bookmarkStart w:id="67" w:name="_Toc106958042"/>
      <w:bookmarkStart w:id="68" w:name="_Toc106959287"/>
      <w:bookmarkStart w:id="69" w:name="_Toc107417347"/>
      <w:r>
        <w:rPr>
          <w:rStyle w:val="CharSDivNo"/>
        </w:rPr>
        <w:lastRenderedPageBreak/>
        <w:t>Division 3</w:t>
      </w:r>
      <w:r>
        <w:t> — </w:t>
      </w:r>
      <w:r>
        <w:rPr>
          <w:rStyle w:val="CharSDivText"/>
        </w:rPr>
        <w:t>Withdrawals</w:t>
      </w:r>
      <w:bookmarkEnd w:id="67"/>
      <w:bookmarkEnd w:id="68"/>
      <w:bookmarkEnd w:id="69"/>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$187.60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$187.60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$93.80</w:t>
            </w:r>
          </w:p>
        </w:tc>
      </w:tr>
    </w:tbl>
    <w:p>
      <w:pPr>
        <w:pStyle w:val="yFootnotesection"/>
      </w:pPr>
      <w:r>
        <w:tab/>
        <w:t>[Division 3 inserted: Gazette 21 May 2019 p. 1478; amended: SL 2020/76 r. 8; SL 2021/88 r. 10(4); SL 2022/62 r. 11.]</w:t>
      </w:r>
    </w:p>
    <w:p>
      <w:pPr>
        <w:pStyle w:val="yHeading3"/>
      </w:pPr>
      <w:bookmarkStart w:id="70" w:name="_Toc106958043"/>
      <w:bookmarkStart w:id="71" w:name="_Toc106959288"/>
      <w:bookmarkStart w:id="72" w:name="_Toc107417348"/>
      <w:r>
        <w:rPr>
          <w:rStyle w:val="CharSDivNo"/>
        </w:rPr>
        <w:t>Division 4</w:t>
      </w:r>
      <w:r>
        <w:t> — </w:t>
      </w:r>
      <w:r>
        <w:rPr>
          <w:rStyle w:val="CharSDivText"/>
        </w:rPr>
        <w:t>Applications</w:t>
      </w:r>
      <w:bookmarkEnd w:id="70"/>
      <w:bookmarkEnd w:id="71"/>
      <w:bookmarkEnd w:id="72"/>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$187.60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$6.70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$187.60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$6.70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$187.60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$187.60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$350.90</w:t>
            </w:r>
          </w:p>
        </w:tc>
      </w:tr>
      <w:tr>
        <w:trPr>
          <w:cantSplit/>
        </w:trPr>
        <w:tc>
          <w:tcPr>
            <w:tcW w:w="624" w:type="dxa"/>
          </w:tcPr>
          <w:p>
            <w:pPr>
              <w:pStyle w:val="yTableNAm"/>
              <w:rPr>
                <w:snapToGrid w:val="0"/>
              </w:rPr>
            </w:pPr>
            <w:r>
              <w:rPr>
                <w:snapToGrid w:val="0"/>
              </w:rPr>
              <w:lastRenderedPageBreak/>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$187.60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$187.60</w:t>
            </w:r>
          </w:p>
        </w:tc>
      </w:tr>
    </w:tbl>
    <w:p>
      <w:pPr>
        <w:pStyle w:val="yFootnotesection"/>
      </w:pPr>
      <w:r>
        <w:tab/>
        <w:t>[Division 4 inserted: Gazette 21 May 2019 p. 1478; amended: SL 2020/76 r. 8; SL 2021/88 r. 10(4); SL 2022/62 r. 11.]</w:t>
      </w:r>
    </w:p>
    <w:p>
      <w:pPr>
        <w:pStyle w:val="yHeading3"/>
      </w:pPr>
      <w:bookmarkStart w:id="73" w:name="_Toc106958044"/>
      <w:bookmarkStart w:id="74" w:name="_Toc106959289"/>
      <w:bookmarkStart w:id="75" w:name="_Toc107417349"/>
      <w:r>
        <w:rPr>
          <w:rStyle w:val="CharSDivNo"/>
        </w:rPr>
        <w:t>Division 5</w:t>
      </w:r>
      <w:r>
        <w:t> — </w:t>
      </w:r>
      <w:r>
        <w:rPr>
          <w:rStyle w:val="CharSDivText"/>
        </w:rPr>
        <w:t>Certificates</w:t>
      </w:r>
      <w:bookmarkEnd w:id="73"/>
      <w:bookmarkEnd w:id="74"/>
      <w:bookmarkEnd w:id="75"/>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$67.00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$67.00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w:t>
      </w:r>
    </w:p>
    <w:p>
      <w:pPr>
        <w:pStyle w:val="yHeading3"/>
      </w:pPr>
      <w:bookmarkStart w:id="76" w:name="_Toc106958045"/>
      <w:bookmarkStart w:id="77" w:name="_Toc106959290"/>
      <w:bookmarkStart w:id="78" w:name="_Toc107417350"/>
      <w:r>
        <w:rPr>
          <w:rStyle w:val="CharSDivNo"/>
        </w:rPr>
        <w:t>Division 6</w:t>
      </w:r>
      <w:r>
        <w:t> — </w:t>
      </w:r>
      <w:r>
        <w:rPr>
          <w:rStyle w:val="CharSDivText"/>
        </w:rPr>
        <w:t>Inspection and/or copies of documents</w:t>
      </w:r>
      <w:bookmarkEnd w:id="76"/>
      <w:bookmarkEnd w:id="77"/>
      <w:bookmarkEnd w:id="78"/>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$28.20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$28.20</w:t>
            </w:r>
          </w:p>
        </w:tc>
      </w:tr>
      <w:tr>
        <w:trPr>
          <w:cantSplit/>
        </w:trPr>
        <w:tc>
          <w:tcPr>
            <w:tcW w:w="621" w:type="dxa"/>
          </w:tcPr>
          <w:p>
            <w:pPr>
              <w:pStyle w:val="yTableNAm"/>
              <w:rPr>
                <w:snapToGrid w:val="0"/>
              </w:rPr>
            </w:pPr>
            <w:r>
              <w:rPr>
                <w:snapToGrid w:val="0"/>
              </w:rPr>
              <w:lastRenderedPageBreak/>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$28.20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$14.10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$14.10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$28.20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$14.10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$28.20 </w:t>
            </w:r>
            <w:r>
              <w:rPr>
                <w:snapToGrid w:val="0"/>
              </w:rPr>
              <w:t>per document</w:t>
            </w:r>
          </w:p>
        </w:tc>
      </w:tr>
      <w:tr>
        <w:trPr>
          <w:cantSplit/>
        </w:trPr>
        <w:tc>
          <w:tcPr>
            <w:tcW w:w="621" w:type="dxa"/>
          </w:tcPr>
          <w:p>
            <w:pPr>
              <w:pStyle w:val="yTableNAm"/>
              <w:rPr>
                <w:snapToGrid w:val="0"/>
              </w:rPr>
            </w:pPr>
            <w:r>
              <w:rPr>
                <w:snapToGrid w:val="0"/>
              </w:rPr>
              <w:lastRenderedPageBreak/>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$28.20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$14.10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$14.10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$28.20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$28.20</w:t>
            </w:r>
          </w:p>
        </w:tc>
      </w:tr>
    </w:tbl>
    <w:p>
      <w:pPr>
        <w:pStyle w:val="yFootnotesection"/>
      </w:pPr>
      <w:r>
        <w:tab/>
        <w:t>[Division 6 inserted: Gazette 21 May 2019 p. 1479</w:t>
      </w:r>
      <w:r>
        <w:noBreakHyphen/>
        <w:t>80; amended: SL 2020/76 r. 8; SL 2021/88 r. 10(2) and (4); SL 2022/62 r. 11.]</w:t>
      </w:r>
    </w:p>
    <w:p>
      <w:pPr>
        <w:pStyle w:val="yHeading3"/>
      </w:pPr>
      <w:bookmarkStart w:id="79" w:name="_Toc106958046"/>
      <w:bookmarkStart w:id="80" w:name="_Toc106959291"/>
      <w:bookmarkStart w:id="81" w:name="_Toc107417351"/>
      <w:r>
        <w:rPr>
          <w:rStyle w:val="CharSDivNo"/>
        </w:rPr>
        <w:t>Division 7</w:t>
      </w:r>
      <w:r>
        <w:t> — </w:t>
      </w:r>
      <w:r>
        <w:rPr>
          <w:rStyle w:val="CharSDivText"/>
        </w:rPr>
        <w:t>Miscellaneous</w:t>
      </w:r>
      <w:bookmarkEnd w:id="79"/>
      <w:bookmarkEnd w:id="80"/>
      <w:bookmarkEnd w:id="81"/>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$187.60</w:t>
            </w:r>
            <w:r>
              <w:br/>
              <w:t xml:space="preserve">plus actual cost above </w:t>
            </w:r>
            <w:r>
              <w:rPr>
                <w:szCs w:val="22"/>
              </w:rPr>
              <w:t>$187.60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$163.30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$163.30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$163.30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$122.20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$93.80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$163.30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$233.00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lastRenderedPageBreak/>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$6.70</w:t>
            </w:r>
          </w:p>
        </w:tc>
      </w:tr>
    </w:tbl>
    <w:p>
      <w:pPr>
        <w:pStyle w:val="yFootnotesection"/>
      </w:pPr>
      <w:r>
        <w:tab/>
        <w:t>[Division 7 inserted: Gazette 21 May 2019 p. 1480</w:t>
      </w:r>
      <w:r>
        <w:noBreakHyphen/>
        <w:t>81; amended: SL 2020/76 r. 8; SL 2021/88 r. 10(3) and (4); SL 2022/62 r. 11.]</w:t>
      </w:r>
    </w:p>
    <w:p>
      <w:pPr>
        <w:pStyle w:val="yScheduleHeading"/>
      </w:pPr>
      <w:bookmarkStart w:id="82" w:name="_Toc106958047"/>
      <w:bookmarkStart w:id="83" w:name="_Toc106959292"/>
      <w:bookmarkStart w:id="84" w:name="_Toc107417352"/>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82"/>
      <w:bookmarkEnd w:id="83"/>
      <w:bookmarkEnd w:id="84"/>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lastRenderedPageBreak/>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pPr>
        <w:pStyle w:val="nHeading2"/>
      </w:pPr>
      <w:bookmarkStart w:id="86" w:name="_Toc106958048"/>
      <w:bookmarkStart w:id="87" w:name="_Toc106959293"/>
      <w:bookmarkStart w:id="88" w:name="_Toc107417353"/>
      <w:r>
        <w:lastRenderedPageBreak/>
        <w:t>Notes</w:t>
      </w:r>
      <w:bookmarkEnd w:id="86"/>
      <w:bookmarkEnd w:id="87"/>
      <w:bookmarkEnd w:id="88"/>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w:t>
      </w:r>
    </w:p>
    <w:p>
      <w:pPr>
        <w:pStyle w:val="nHeading3"/>
      </w:pPr>
      <w:bookmarkStart w:id="89" w:name="_Toc107417354"/>
      <w:r>
        <w:t>Compilation table</w:t>
      </w:r>
      <w:bookmarkEnd w:id="89"/>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lastRenderedPageBreak/>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lastRenderedPageBreak/>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bottom w:val="single" w:sz="4" w:space="0" w:color="auto"/>
            </w:tcBorders>
          </w:tcPr>
          <w:p>
            <w:pPr>
              <w:pStyle w:val="nTable"/>
              <w:spacing w:after="40"/>
            </w:pPr>
            <w:r>
              <w:t>SL 2022/62 3 Jun 2022</w:t>
            </w:r>
          </w:p>
        </w:tc>
        <w:tc>
          <w:tcPr>
            <w:tcW w:w="2693" w:type="dxa"/>
            <w:gridSpan w:val="2"/>
            <w:tcBorders>
              <w:bottom w:val="single" w:sz="4" w:space="0" w:color="auto"/>
            </w:tcBorders>
          </w:tcPr>
          <w:p>
            <w:pPr>
              <w:pStyle w:val="nTable"/>
              <w:spacing w:after="40"/>
            </w:pPr>
            <w:r>
              <w:t>1 Jul 2022 (see r. 2(b))</w:t>
            </w:r>
          </w:p>
        </w:tc>
      </w:tr>
    </w:tbl>
    <w:p>
      <w:pPr>
        <w:pStyle w:val="nHeading3"/>
      </w:pPr>
      <w:bookmarkStart w:id="90" w:name="_Toc107417355"/>
      <w:r>
        <w:t>Other notes</w:t>
      </w:r>
      <w:bookmarkEnd w:id="90"/>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92" w:name="_Toc106958052"/>
      <w:bookmarkStart w:id="93" w:name="_Toc106959296"/>
      <w:bookmarkStart w:id="94" w:name="_Toc107417356"/>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65403"/>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8080</Words>
  <Characters>37900</Characters>
  <Application>Microsoft Office Word</Application>
  <DocSecurity>0</DocSecurity>
  <Lines>1516</Lines>
  <Paragraphs>901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2004 - 05-l0-00</dc:title>
  <dc:subject/>
  <dc:creator/>
  <cp:keywords/>
  <dc:description/>
  <cp:lastModifiedBy>Master Repository Process</cp:lastModifiedBy>
  <cp:revision>4</cp:revision>
  <cp:lastPrinted>2019-06-20T02:42:00Z</cp:lastPrinted>
  <dcterms:created xsi:type="dcterms:W3CDTF">2022-06-30T05:08:00Z</dcterms:created>
  <dcterms:modified xsi:type="dcterms:W3CDTF">2022-06-30T05:08:00Z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01 Jul 2022</vt:lpwstr>
  </property>
  <property fmtid="{D5CDD505-2E9C-101B-9397-08002B2CF9AE}" pid="8" name="Suffix">
    <vt:lpwstr>05-l0-00</vt:lpwstr>
  </property>
  <property fmtid="{D5CDD505-2E9C-101B-9397-08002B2CF9AE}" pid="9" name="CommencementDate">
    <vt:lpwstr>20220701</vt:lpwstr>
  </property>
</Properties>
</file>