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_Toc107412599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_Toc107412600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and application of certain Acts</w:t>
      </w:r>
      <w:r>
        <w:tab/>
      </w:r>
      <w:r>
        <w:fldChar w:fldCharType="begin"/>
      </w:r>
      <w:r>
        <w:instrText xml:space="preserve"> PAGEREF _Toc107412601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 in this Act</w:t>
      </w:r>
      <w:r>
        <w:tab/>
      </w:r>
      <w:r>
        <w:fldChar w:fldCharType="begin"/>
      </w:r>
      <w:r>
        <w:instrText xml:space="preserve"> PAGEREF _Toc107412602 \h </w:instrText>
      </w:r>
      <w:r>
        <w:fldChar w:fldCharType="separate"/>
      </w:r>
      <w:r>
        <w:t>3</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_Toc107412603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The Court</w:t>
      </w:r>
    </w:p>
    <w:p>
      <w:pPr>
        <w:pStyle w:val="TOC4"/>
        <w:tabs>
          <w:tab w:val="right" w:leader="dot" w:pos="7077"/>
        </w:tabs>
        <w:rPr>
          <w:rFonts w:asciiTheme="minorHAnsi" w:eastAsiaTheme="minorEastAsia" w:hAnsiTheme="minorHAnsi" w:cstheme="minorBidi"/>
          <w:b w:val="0"/>
          <w:szCs w:val="22"/>
        </w:rPr>
      </w:pPr>
      <w:r>
        <w:t>Division 1 — Establishment of the District Court of Western Australia</w:t>
      </w:r>
    </w:p>
    <w:p>
      <w:pPr>
        <w:pStyle w:val="TOC8"/>
        <w:rPr>
          <w:rFonts w:asciiTheme="minorHAnsi" w:eastAsiaTheme="minorEastAsia" w:hAnsiTheme="minorHAnsi" w:cstheme="minorBidi"/>
          <w:szCs w:val="22"/>
        </w:rPr>
      </w:pPr>
      <w:r>
        <w:t xml:space="preserve">7. </w:t>
      </w:r>
      <w:r>
        <w:tab/>
        <w:t>Establishment of the Court</w:t>
      </w:r>
      <w:r>
        <w:tab/>
      </w:r>
      <w:r>
        <w:fldChar w:fldCharType="begin"/>
      </w:r>
      <w:r>
        <w:instrText xml:space="preserve"> PAGEREF _Toc107412606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to be a court of record, constitution</w:t>
      </w:r>
      <w:r>
        <w:tab/>
      </w:r>
      <w:r>
        <w:fldChar w:fldCharType="begin"/>
      </w:r>
      <w:r>
        <w:instrText xml:space="preserve"> PAGEREF _Toc107412607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Seal of the Court</w:t>
      </w:r>
      <w:r>
        <w:tab/>
      </w:r>
      <w:r>
        <w:fldChar w:fldCharType="begin"/>
      </w:r>
      <w:r>
        <w:instrText xml:space="preserve"> PAGEREF _Toc107412608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District Court judges</w:t>
      </w:r>
    </w:p>
    <w:p>
      <w:pPr>
        <w:pStyle w:val="TOC8"/>
        <w:rPr>
          <w:rFonts w:asciiTheme="minorHAnsi" w:eastAsiaTheme="minorEastAsia" w:hAnsiTheme="minorHAnsi" w:cstheme="minorBidi"/>
          <w:szCs w:val="22"/>
        </w:rPr>
      </w:pPr>
      <w:r>
        <w:t>10</w:t>
      </w:r>
      <w:r>
        <w:rPr>
          <w:snapToGrid w:val="0"/>
        </w:rPr>
        <w:t>.</w:t>
      </w:r>
      <w:r>
        <w:rPr>
          <w:snapToGrid w:val="0"/>
        </w:rPr>
        <w:tab/>
        <w:t>Appointment, qualifications and seniority</w:t>
      </w:r>
      <w:r>
        <w:tab/>
      </w:r>
      <w:r>
        <w:fldChar w:fldCharType="begin"/>
      </w:r>
      <w:r>
        <w:instrText xml:space="preserve"> PAGEREF _Toc107412610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Tenure of office and oath of office</w:t>
      </w:r>
      <w:r>
        <w:tab/>
      </w:r>
      <w:r>
        <w:fldChar w:fldCharType="begin"/>
      </w:r>
      <w:r>
        <w:instrText xml:space="preserve"> PAGEREF _Toc107412611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Salaries and allowances</w:t>
      </w:r>
      <w:r>
        <w:tab/>
      </w:r>
      <w:r>
        <w:fldChar w:fldCharType="begin"/>
      </w:r>
      <w:r>
        <w:instrText xml:space="preserve"> PAGEREF _Toc107412612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Leave of absence</w:t>
      </w:r>
      <w:r>
        <w:tab/>
      </w:r>
      <w:r>
        <w:fldChar w:fldCharType="begin"/>
      </w:r>
      <w:r>
        <w:instrText xml:space="preserve"> PAGEREF _Toc107412613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Application of </w:t>
      </w:r>
      <w:r>
        <w:rPr>
          <w:i/>
          <w:snapToGrid w:val="0"/>
        </w:rPr>
        <w:t>Judges’ Salaries and Pensions Act 1950</w:t>
      </w:r>
      <w:r>
        <w:tab/>
      </w:r>
      <w:r>
        <w:fldChar w:fldCharType="begin"/>
      </w:r>
      <w:r>
        <w:instrText xml:space="preserve"> PAGEREF _Toc107412614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snapToGrid w:val="0"/>
        </w:rPr>
        <w:t>Superannuation and Family Benefits Act 1938</w:t>
      </w:r>
      <w:r>
        <w:tab/>
      </w:r>
      <w:r>
        <w:fldChar w:fldCharType="begin"/>
      </w:r>
      <w:r>
        <w:instrText xml:space="preserve"> PAGEREF _Toc107412615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Application of </w:t>
      </w:r>
      <w:r>
        <w:rPr>
          <w:i/>
          <w:snapToGrid w:val="0"/>
        </w:rPr>
        <w:t>Judges’ Retirement Act 1937</w:t>
      </w:r>
      <w:r>
        <w:tab/>
      </w:r>
      <w:r>
        <w:fldChar w:fldCharType="begin"/>
      </w:r>
      <w:r>
        <w:instrText xml:space="preserve"> PAGEREF _Toc107412616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 not to practise as legal practitioner</w:t>
      </w:r>
      <w:r>
        <w:tab/>
      </w:r>
      <w:r>
        <w:fldChar w:fldCharType="begin"/>
      </w:r>
      <w:r>
        <w:instrText xml:space="preserve"> PAGEREF _Toc107412617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Acting appointments</w:t>
      </w:r>
      <w:r>
        <w:tab/>
      </w:r>
      <w:r>
        <w:fldChar w:fldCharType="begin"/>
      </w:r>
      <w:r>
        <w:instrText xml:space="preserve"> PAGEREF _Toc107412618 \h </w:instrText>
      </w:r>
      <w:r>
        <w:fldChar w:fldCharType="separate"/>
      </w:r>
      <w:r>
        <w:t>11</w:t>
      </w:r>
      <w:r>
        <w:fldChar w:fldCharType="end"/>
      </w:r>
    </w:p>
    <w:p>
      <w:pPr>
        <w:pStyle w:val="TOC8"/>
        <w:rPr>
          <w:rFonts w:asciiTheme="minorHAnsi" w:eastAsiaTheme="minorEastAsia" w:hAnsiTheme="minorHAnsi" w:cstheme="minorBidi"/>
          <w:szCs w:val="22"/>
        </w:rPr>
      </w:pPr>
      <w:r>
        <w:t>18A</w:t>
      </w:r>
      <w:r>
        <w:rPr>
          <w:snapToGrid w:val="0"/>
        </w:rPr>
        <w:t xml:space="preserve">. </w:t>
      </w:r>
      <w:r>
        <w:rPr>
          <w:snapToGrid w:val="0"/>
        </w:rPr>
        <w:tab/>
        <w:t>Auxiliary appointments</w:t>
      </w:r>
      <w:r>
        <w:tab/>
      </w:r>
      <w:r>
        <w:fldChar w:fldCharType="begin"/>
      </w:r>
      <w:r>
        <w:instrText xml:space="preserve"> PAGEREF _Toc107412619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Sittings of the Court</w:t>
      </w:r>
    </w:p>
    <w:p>
      <w:pPr>
        <w:pStyle w:val="TOC8"/>
        <w:rPr>
          <w:rFonts w:asciiTheme="minorHAnsi" w:eastAsiaTheme="minorEastAsia" w:hAnsiTheme="minorHAnsi" w:cstheme="minorBidi"/>
          <w:szCs w:val="22"/>
        </w:rPr>
      </w:pPr>
      <w:r>
        <w:t>19</w:t>
      </w:r>
      <w:r>
        <w:rPr>
          <w:snapToGrid w:val="0"/>
        </w:rPr>
        <w:t>.</w:t>
      </w:r>
      <w:r>
        <w:rPr>
          <w:snapToGrid w:val="0"/>
        </w:rPr>
        <w:tab/>
        <w:t>Places and times</w:t>
      </w:r>
      <w:r>
        <w:tab/>
      </w:r>
      <w:r>
        <w:fldChar w:fldCharType="begin"/>
      </w:r>
      <w:r>
        <w:instrText xml:space="preserve"> PAGEREF _Toc107412621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Chief Judge may direct where judges to sit and may direct 2 or more judges to sit concurrently</w:t>
      </w:r>
      <w:r>
        <w:tab/>
      </w:r>
      <w:r>
        <w:fldChar w:fldCharType="begin"/>
      </w:r>
      <w:r>
        <w:instrText xml:space="preserve"> PAGEREF _Toc107412622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Sitting in chambers</w:t>
      </w:r>
      <w:r>
        <w:tab/>
      </w:r>
      <w:r>
        <w:fldChar w:fldCharType="begin"/>
      </w:r>
      <w:r>
        <w:instrText xml:space="preserve"> PAGEREF _Toc107412623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Records to be moved on discontinuance of a place where Court is held</w:t>
      </w:r>
      <w:r>
        <w:tab/>
      </w:r>
      <w:r>
        <w:fldChar w:fldCharType="begin"/>
      </w:r>
      <w:r>
        <w:instrText xml:space="preserve"> PAGEREF _Toc107412624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Members of the Police Force to attend the Court</w:t>
      </w:r>
      <w:r>
        <w:tab/>
      </w:r>
      <w:r>
        <w:fldChar w:fldCharType="begin"/>
      </w:r>
      <w:r>
        <w:instrText xml:space="preserve"> PAGEREF _Toc107412625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Commissioners</w:t>
      </w:r>
    </w:p>
    <w:p>
      <w:pPr>
        <w:pStyle w:val="TOC8"/>
        <w:rPr>
          <w:rFonts w:asciiTheme="minorHAnsi" w:eastAsiaTheme="minorEastAsia" w:hAnsiTheme="minorHAnsi" w:cstheme="minorBidi"/>
          <w:szCs w:val="22"/>
        </w:rPr>
      </w:pPr>
      <w:r>
        <w:t>24</w:t>
      </w:r>
      <w:r>
        <w:rPr>
          <w:snapToGrid w:val="0"/>
        </w:rPr>
        <w:t>.</w:t>
      </w:r>
      <w:r>
        <w:rPr>
          <w:snapToGrid w:val="0"/>
        </w:rPr>
        <w:tab/>
        <w:t>Appointment and jurisdiction of commissioners</w:t>
      </w:r>
      <w:r>
        <w:tab/>
      </w:r>
      <w:r>
        <w:fldChar w:fldCharType="begin"/>
      </w:r>
      <w:r>
        <w:instrText xml:space="preserve"> PAGEREF _Toc107412627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w:t>
      </w:r>
      <w:r>
        <w:t>—</w:t>
      </w:r>
      <w:r>
        <w:rPr>
          <w:b w:val="0"/>
        </w:rPr>
        <w:t xml:space="preserve"> </w:t>
      </w:r>
      <w:r>
        <w:t>Registrars</w:t>
      </w:r>
    </w:p>
    <w:p>
      <w:pPr>
        <w:pStyle w:val="TOC8"/>
        <w:rPr>
          <w:rFonts w:asciiTheme="minorHAnsi" w:eastAsiaTheme="minorEastAsia" w:hAnsiTheme="minorHAnsi" w:cstheme="minorBidi"/>
          <w:szCs w:val="22"/>
        </w:rPr>
      </w:pPr>
      <w:r>
        <w:t>25</w:t>
      </w:r>
      <w:r>
        <w:rPr>
          <w:snapToGrid w:val="0"/>
        </w:rPr>
        <w:t>.</w:t>
      </w:r>
      <w:r>
        <w:rPr>
          <w:snapToGrid w:val="0"/>
        </w:rPr>
        <w:tab/>
        <w:t>Appointment of registrars and other officers</w:t>
      </w:r>
      <w:r>
        <w:tab/>
      </w:r>
      <w:r>
        <w:fldChar w:fldCharType="begin"/>
      </w:r>
      <w:r>
        <w:instrText xml:space="preserve"> PAGEREF _Toc107412629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Registrar’s functions and evidentiary provision</w:t>
      </w:r>
      <w:r>
        <w:tab/>
      </w:r>
      <w:r>
        <w:fldChar w:fldCharType="begin"/>
      </w:r>
      <w:r>
        <w:instrText xml:space="preserve"> PAGEREF _Toc107412630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Registrar may administer oaths etc.</w:t>
      </w:r>
      <w:r>
        <w:tab/>
      </w:r>
      <w:r>
        <w:fldChar w:fldCharType="begin"/>
      </w:r>
      <w:r>
        <w:instrText xml:space="preserve"> PAGEREF _Toc107412631 \h </w:instrText>
      </w:r>
      <w:r>
        <w:fldChar w:fldCharType="separate"/>
      </w:r>
      <w:r>
        <w:t>17</w:t>
      </w:r>
      <w:r>
        <w:fldChar w:fldCharType="end"/>
      </w:r>
    </w:p>
    <w:p>
      <w:pPr>
        <w:pStyle w:val="TOC8"/>
        <w:rPr>
          <w:rFonts w:asciiTheme="minorHAnsi" w:eastAsiaTheme="minorEastAsia" w:hAnsiTheme="minorHAnsi" w:cstheme="minorBidi"/>
          <w:szCs w:val="22"/>
        </w:rPr>
      </w:pPr>
      <w:r>
        <w:t>27A.</w:t>
      </w:r>
      <w:r>
        <w:tab/>
        <w:t>Employment of personal staff for judges</w:t>
      </w:r>
      <w:r>
        <w:tab/>
      </w:r>
      <w:r>
        <w:fldChar w:fldCharType="begin"/>
      </w:r>
      <w:r>
        <w:instrText xml:space="preserve"> PAGEREF _Toc107412632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Indemnity to persons acting under this Act</w:t>
      </w:r>
      <w:r>
        <w:tab/>
      </w:r>
      <w:r>
        <w:fldChar w:fldCharType="begin"/>
      </w:r>
      <w:r>
        <w:instrText xml:space="preserve"> PAGEREF _Toc107412633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Limitation period for actions that contravene this Act</w:t>
      </w:r>
      <w:r>
        <w:tab/>
      </w:r>
      <w:r>
        <w:fldChar w:fldCharType="begin"/>
      </w:r>
      <w:r>
        <w:instrText xml:space="preserve"> PAGEREF _Toc107412634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Representation in the Court</w:t>
      </w:r>
    </w:p>
    <w:p>
      <w:pPr>
        <w:pStyle w:val="TOC8"/>
        <w:rPr>
          <w:rFonts w:asciiTheme="minorHAnsi" w:eastAsiaTheme="minorEastAsia" w:hAnsiTheme="minorHAnsi" w:cstheme="minorBidi"/>
          <w:szCs w:val="22"/>
        </w:rPr>
      </w:pPr>
      <w:r>
        <w:t>39</w:t>
      </w:r>
      <w:r>
        <w:rPr>
          <w:snapToGrid w:val="0"/>
        </w:rPr>
        <w:t>.</w:t>
      </w:r>
      <w:r>
        <w:rPr>
          <w:snapToGrid w:val="0"/>
        </w:rPr>
        <w:tab/>
        <w:t>Who may appear</w:t>
      </w:r>
      <w:r>
        <w:tab/>
      </w:r>
      <w:r>
        <w:fldChar w:fldCharType="begin"/>
      </w:r>
      <w:r>
        <w:instrText xml:space="preserve"> PAGEREF _Toc107412636 \h </w:instrText>
      </w:r>
      <w:r>
        <w:fldChar w:fldCharType="separate"/>
      </w:r>
      <w:r>
        <w:t>19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Legal practitioners to have no privilege</w:t>
      </w:r>
      <w:r>
        <w:tab/>
      </w:r>
      <w:r>
        <w:fldChar w:fldCharType="begin"/>
      </w:r>
      <w:r>
        <w:instrText xml:space="preserve"> PAGEREF _Toc107412637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Jurors</w:t>
      </w:r>
    </w:p>
    <w:p>
      <w:pPr>
        <w:pStyle w:val="TOC8"/>
        <w:rPr>
          <w:rFonts w:asciiTheme="minorHAnsi" w:eastAsiaTheme="minorEastAsia" w:hAnsiTheme="minorHAnsi" w:cstheme="minorBidi"/>
          <w:szCs w:val="22"/>
        </w:rPr>
      </w:pPr>
      <w:r>
        <w:t>41</w:t>
      </w:r>
      <w:r>
        <w:rPr>
          <w:snapToGrid w:val="0"/>
        </w:rPr>
        <w:t>.</w:t>
      </w:r>
      <w:r>
        <w:rPr>
          <w:snapToGrid w:val="0"/>
        </w:rPr>
        <w:tab/>
        <w:t xml:space="preserve">Application of </w:t>
      </w:r>
      <w:r>
        <w:rPr>
          <w:i/>
          <w:snapToGrid w:val="0"/>
        </w:rPr>
        <w:t>Juries Act 1957</w:t>
      </w:r>
      <w:r>
        <w:tab/>
      </w:r>
      <w:r>
        <w:fldChar w:fldCharType="begin"/>
      </w:r>
      <w:r>
        <w:instrText xml:space="preserve"> PAGEREF _Toc107412639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of the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Criminal jurisdiction and procedure</w:t>
      </w:r>
    </w:p>
    <w:p>
      <w:pPr>
        <w:pStyle w:val="TOC8"/>
        <w:rPr>
          <w:rFonts w:asciiTheme="minorHAnsi" w:eastAsiaTheme="minorEastAsia" w:hAnsiTheme="minorHAnsi" w:cstheme="minorBidi"/>
          <w:szCs w:val="22"/>
        </w:rPr>
      </w:pPr>
      <w:r>
        <w:t>42</w:t>
      </w:r>
      <w:r>
        <w:rPr>
          <w:snapToGrid w:val="0"/>
        </w:rPr>
        <w:t>.</w:t>
      </w:r>
      <w:r>
        <w:rPr>
          <w:snapToGrid w:val="0"/>
        </w:rPr>
        <w:tab/>
        <w:t>Criminal jurisdiction</w:t>
      </w:r>
      <w:r>
        <w:tab/>
      </w:r>
      <w:r>
        <w:fldChar w:fldCharType="begin"/>
      </w:r>
      <w:r>
        <w:instrText xml:space="preserve"> PAGEREF _Toc107412642 \h </w:instrText>
      </w:r>
      <w:r>
        <w:fldChar w:fldCharType="separate"/>
      </w:r>
      <w:r>
        <w:t>21</w:t>
      </w:r>
      <w:r>
        <w:fldChar w:fldCharType="end"/>
      </w:r>
    </w:p>
    <w:p>
      <w:pPr>
        <w:pStyle w:val="TOC8"/>
        <w:rPr>
          <w:rFonts w:asciiTheme="minorHAnsi" w:eastAsiaTheme="minorEastAsia" w:hAnsiTheme="minorHAnsi" w:cstheme="minorBidi"/>
          <w:szCs w:val="22"/>
        </w:rPr>
      </w:pPr>
      <w:r>
        <w:t>43.</w:t>
      </w:r>
      <w:r>
        <w:tab/>
        <w:t>Exercise of criminal jurisdiction</w:t>
      </w:r>
      <w:r>
        <w:tab/>
      </w:r>
      <w:r>
        <w:fldChar w:fldCharType="begin"/>
      </w:r>
      <w:r>
        <w:instrText xml:space="preserve"> PAGEREF _Toc107412643 \h </w:instrText>
      </w:r>
      <w:r>
        <w:fldChar w:fldCharType="separate"/>
      </w:r>
      <w:r>
        <w:t>22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Practice and procedure to be same as Supreme Court</w:t>
      </w:r>
      <w:r>
        <w:tab/>
      </w:r>
      <w:r>
        <w:fldChar w:fldCharType="begin"/>
      </w:r>
      <w:r>
        <w:instrText xml:space="preserve"> PAGEREF _Toc107412644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Change of trial from or to Supreme Court</w:t>
      </w:r>
      <w:r>
        <w:tab/>
      </w:r>
      <w:r>
        <w:fldChar w:fldCharType="begin"/>
      </w:r>
      <w:r>
        <w:instrText xml:space="preserve"> PAGEREF _Toc107412645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Civil jurisdiction</w:t>
      </w:r>
    </w:p>
    <w:p>
      <w:pPr>
        <w:pStyle w:val="TOC8"/>
        <w:rPr>
          <w:rFonts w:asciiTheme="minorHAnsi" w:eastAsiaTheme="minorEastAsia" w:hAnsiTheme="minorHAnsi" w:cstheme="minorBidi"/>
          <w:szCs w:val="22"/>
        </w:rPr>
      </w:pPr>
      <w:r>
        <w:t>50</w:t>
      </w:r>
      <w:r>
        <w:rPr>
          <w:snapToGrid w:val="0"/>
        </w:rPr>
        <w:t>.</w:t>
      </w:r>
      <w:r>
        <w:rPr>
          <w:snapToGrid w:val="0"/>
        </w:rPr>
        <w:tab/>
        <w:t>Civil jurisdiction</w:t>
      </w:r>
      <w:r>
        <w:tab/>
      </w:r>
      <w:r>
        <w:fldChar w:fldCharType="begin"/>
      </w:r>
      <w:r>
        <w:instrText xml:space="preserve"> PAGEREF _Toc107412647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 xml:space="preserve">Verdict or judgment for amount over </w:t>
      </w:r>
      <w:r>
        <w:t>the jurisdictional limit</w:t>
      </w:r>
      <w:r>
        <w:tab/>
      </w:r>
      <w:r>
        <w:fldChar w:fldCharType="begin"/>
      </w:r>
      <w:r>
        <w:instrText xml:space="preserve"> PAGEREF _Toc107412648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Practice and procedure to be same as Supreme Court</w:t>
      </w:r>
      <w:r>
        <w:tab/>
      </w:r>
      <w:r>
        <w:fldChar w:fldCharType="begin"/>
      </w:r>
      <w:r>
        <w:instrText xml:space="preserve"> PAGEREF _Toc107412649 \h </w:instrText>
      </w:r>
      <w:r>
        <w:fldChar w:fldCharType="separate"/>
      </w:r>
      <w:r>
        <w:t>25</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Powers and authorities of judges, registrars and other officers</w:t>
      </w:r>
      <w:r>
        <w:tab/>
      </w:r>
      <w:r>
        <w:fldChar w:fldCharType="begin"/>
      </w:r>
      <w:r>
        <w:instrText xml:space="preserve"> PAGEREF _Toc107412650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Absconding debtors, jurisdiction over</w:t>
      </w:r>
      <w:r>
        <w:tab/>
      </w:r>
      <w:r>
        <w:fldChar w:fldCharType="begin"/>
      </w:r>
      <w:r>
        <w:instrText xml:space="preserve"> PAGEREF _Toc107412651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Court has powers of Supreme Court</w:t>
      </w:r>
      <w:r>
        <w:tab/>
      </w:r>
      <w:r>
        <w:fldChar w:fldCharType="begin"/>
      </w:r>
      <w:r>
        <w:instrText xml:space="preserve"> PAGEREF _Toc107412652 \h </w:instrText>
      </w:r>
      <w:r>
        <w:fldChar w:fldCharType="separate"/>
      </w:r>
      <w:r>
        <w:t>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Rules of law and equity applicable to the Court</w:t>
      </w:r>
      <w:r>
        <w:tab/>
      </w:r>
      <w:r>
        <w:fldChar w:fldCharType="begin"/>
      </w:r>
      <w:r>
        <w:instrText xml:space="preserve"> PAGEREF _Toc107412653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Defences or counterclaims in the Court and transfers from the Court</w:t>
      </w:r>
      <w:r>
        <w:tab/>
      </w:r>
      <w:r>
        <w:fldChar w:fldCharType="begin"/>
      </w:r>
      <w:r>
        <w:instrText xml:space="preserve"> PAGEREF _Toc107412654 \h </w:instrText>
      </w:r>
      <w:r>
        <w:fldChar w:fldCharType="separate"/>
      </w:r>
      <w:r>
        <w:t>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Splitting demands, abandonment of excess</w:t>
      </w:r>
      <w:r>
        <w:tab/>
      </w:r>
      <w:r>
        <w:fldChar w:fldCharType="begin"/>
      </w:r>
      <w:r>
        <w:instrText xml:space="preserve"> PAGEREF _Toc107412655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Suing on separate security a separate cause of action</w:t>
      </w:r>
      <w:r>
        <w:tab/>
      </w:r>
      <w:r>
        <w:fldChar w:fldCharType="begin"/>
      </w:r>
      <w:r>
        <w:instrText xml:space="preserve"> PAGEREF _Toc107412656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Facts establishing jurisdiction need not be stated</w:t>
      </w:r>
      <w:r>
        <w:tab/>
      </w:r>
      <w:r>
        <w:fldChar w:fldCharType="begin"/>
      </w:r>
      <w:r>
        <w:instrText xml:space="preserve"> PAGEREF _Toc107412657 \h </w:instrText>
      </w:r>
      <w:r>
        <w:fldChar w:fldCharType="separate"/>
      </w:r>
      <w:r>
        <w:t>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Contempt</w:t>
      </w:r>
      <w:r>
        <w:tab/>
      </w:r>
      <w:r>
        <w:fldChar w:fldCharType="begin"/>
      </w:r>
      <w:r>
        <w:instrText xml:space="preserve"> PAGEREF _Toc107412658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Costs</w:t>
      </w:r>
    </w:p>
    <w:p>
      <w:pPr>
        <w:pStyle w:val="TOC8"/>
        <w:rPr>
          <w:rFonts w:asciiTheme="minorHAnsi" w:eastAsiaTheme="minorEastAsia" w:hAnsiTheme="minorHAnsi" w:cstheme="minorBidi"/>
          <w:szCs w:val="22"/>
        </w:rPr>
      </w:pPr>
      <w:r>
        <w:t>64</w:t>
      </w:r>
      <w:r>
        <w:rPr>
          <w:snapToGrid w:val="0"/>
        </w:rPr>
        <w:t>.</w:t>
      </w:r>
      <w:r>
        <w:rPr>
          <w:snapToGrid w:val="0"/>
        </w:rPr>
        <w:tab/>
        <w:t>Costs of action or proceeding</w:t>
      </w:r>
      <w:r>
        <w:tab/>
      </w:r>
      <w:r>
        <w:fldChar w:fldCharType="begin"/>
      </w:r>
      <w:r>
        <w:instrText xml:space="preserve"> PAGEREF _Toc107412660 \h </w:instrText>
      </w:r>
      <w:r>
        <w:fldChar w:fldCharType="separate"/>
      </w:r>
      <w:r>
        <w:t>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Costs where the Court has no jurisdiction</w:t>
      </w:r>
      <w:r>
        <w:tab/>
      </w:r>
      <w:r>
        <w:fldChar w:fldCharType="begin"/>
      </w:r>
      <w:r>
        <w:instrText xml:space="preserve"> PAGEREF _Toc107412661 \h </w:instrText>
      </w:r>
      <w:r>
        <w:fldChar w:fldCharType="separate"/>
      </w:r>
      <w:r>
        <w:t>31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Solicitor and client costs, witness expenses</w:t>
      </w:r>
      <w:r>
        <w:tab/>
      </w:r>
      <w:r>
        <w:fldChar w:fldCharType="begin"/>
      </w:r>
      <w:r>
        <w:instrText xml:space="preserve"> PAGEREF _Toc107412662 \h </w:instrText>
      </w:r>
      <w:r>
        <w:fldChar w:fldCharType="separate"/>
      </w:r>
      <w:r>
        <w:t>31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Costs, taxation of</w:t>
      </w:r>
      <w:r>
        <w:tab/>
      </w:r>
      <w:r>
        <w:fldChar w:fldCharType="begin"/>
      </w:r>
      <w:r>
        <w:instrText xml:space="preserve"> PAGEREF _Toc107412663 \h </w:instrText>
      </w:r>
      <w:r>
        <w:fldChar w:fldCharType="separate"/>
      </w:r>
      <w:r>
        <w:t>32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Solicitor and client costs to be taxed in Supreme Court</w:t>
      </w:r>
      <w:r>
        <w:tab/>
      </w:r>
      <w:r>
        <w:fldChar w:fldCharType="begin"/>
      </w:r>
      <w:r>
        <w:instrText xml:space="preserve"> PAGEREF _Toc107412664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 — Commencement of action</w:t>
      </w:r>
    </w:p>
    <w:p>
      <w:pPr>
        <w:pStyle w:val="TOC8"/>
        <w:rPr>
          <w:rFonts w:asciiTheme="minorHAnsi" w:eastAsiaTheme="minorEastAsia" w:hAnsiTheme="minorHAnsi" w:cstheme="minorBidi"/>
          <w:szCs w:val="22"/>
        </w:rPr>
      </w:pPr>
      <w:r>
        <w:t>69</w:t>
      </w:r>
      <w:r>
        <w:rPr>
          <w:snapToGrid w:val="0"/>
        </w:rPr>
        <w:t>.</w:t>
      </w:r>
      <w:r>
        <w:rPr>
          <w:snapToGrid w:val="0"/>
        </w:rPr>
        <w:tab/>
        <w:t>Where action to be commenced</w:t>
      </w:r>
      <w:r>
        <w:tab/>
      </w:r>
      <w:r>
        <w:fldChar w:fldCharType="begin"/>
      </w:r>
      <w:r>
        <w:instrText xml:space="preserve"> PAGEREF _Toc107412666 \h </w:instrText>
      </w:r>
      <w:r>
        <w:fldChar w:fldCharType="separate"/>
      </w:r>
      <w:r>
        <w:t>33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Defendant may object to where action commenced</w:t>
      </w:r>
      <w:r>
        <w:tab/>
      </w:r>
      <w:r>
        <w:fldChar w:fldCharType="begin"/>
      </w:r>
      <w:r>
        <w:instrText xml:space="preserve"> PAGEREF _Toc107412667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 — Remitting and transferring actions and matters</w:t>
      </w:r>
    </w:p>
    <w:p>
      <w:pPr>
        <w:pStyle w:val="TOC8"/>
        <w:rPr>
          <w:rFonts w:asciiTheme="minorHAnsi" w:eastAsiaTheme="minorEastAsia" w:hAnsiTheme="minorHAnsi" w:cstheme="minorBidi"/>
          <w:szCs w:val="22"/>
        </w:rPr>
      </w:pPr>
      <w:r>
        <w:t>71</w:t>
      </w:r>
      <w:r>
        <w:rPr>
          <w:snapToGrid w:val="0"/>
        </w:rPr>
        <w:t>.</w:t>
      </w:r>
      <w:r>
        <w:rPr>
          <w:snapToGrid w:val="0"/>
        </w:rPr>
        <w:tab/>
        <w:t>Transfer to different place</w:t>
      </w:r>
      <w:r>
        <w:tab/>
      </w:r>
      <w:r>
        <w:fldChar w:fldCharType="begin"/>
      </w:r>
      <w:r>
        <w:instrText xml:space="preserve"> PAGEREF _Toc107412669 \h </w:instrText>
      </w:r>
      <w:r>
        <w:fldChar w:fldCharType="separate"/>
      </w:r>
      <w:r>
        <w:t>34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Judge may change venue</w:t>
      </w:r>
      <w:r>
        <w:tab/>
      </w:r>
      <w:r>
        <w:fldChar w:fldCharType="begin"/>
      </w:r>
      <w:r>
        <w:instrText xml:space="preserve"> PAGEREF _Toc107412670 \h </w:instrText>
      </w:r>
      <w:r>
        <w:fldChar w:fldCharType="separate"/>
      </w:r>
      <w:r>
        <w:t>34</w:t>
      </w:r>
      <w:r>
        <w:fldChar w:fldCharType="end"/>
      </w:r>
    </w:p>
    <w:p>
      <w:pPr>
        <w:pStyle w:val="TOC8"/>
        <w:rPr>
          <w:rFonts w:asciiTheme="minorHAnsi" w:eastAsiaTheme="minorEastAsia" w:hAnsiTheme="minorHAnsi" w:cstheme="minorBidi"/>
          <w:szCs w:val="22"/>
        </w:rPr>
      </w:pPr>
      <w:r>
        <w:t>74.</w:t>
      </w:r>
      <w:r>
        <w:tab/>
        <w:t>Court may transfer case to Magistrates Court</w:t>
      </w:r>
      <w:r>
        <w:tab/>
      </w:r>
      <w:r>
        <w:fldChar w:fldCharType="begin"/>
      </w:r>
      <w:r>
        <w:instrText xml:space="preserve"> PAGEREF _Toc107412671 \h </w:instrText>
      </w:r>
      <w:r>
        <w:fldChar w:fldCharType="separate"/>
      </w:r>
      <w:r>
        <w:t>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Supreme Court may remit District Court action to Supreme Court</w:t>
      </w:r>
      <w:r>
        <w:tab/>
      </w:r>
      <w:r>
        <w:fldChar w:fldCharType="begin"/>
      </w:r>
      <w:r>
        <w:instrText xml:space="preserve"> PAGEREF _Toc107412672 \h </w:instrText>
      </w:r>
      <w:r>
        <w:fldChar w:fldCharType="separate"/>
      </w:r>
      <w:r>
        <w:t>35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District Court may remit to Supreme Court</w:t>
      </w:r>
      <w:r>
        <w:tab/>
      </w:r>
      <w:r>
        <w:fldChar w:fldCharType="begin"/>
      </w:r>
      <w:r>
        <w:instrText xml:space="preserve"> PAGEREF _Toc107412673 \h </w:instrText>
      </w:r>
      <w:r>
        <w:fldChar w:fldCharType="separate"/>
      </w:r>
      <w:r>
        <w:t>35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Proceedings after order to remit</w:t>
      </w:r>
      <w:r>
        <w:tab/>
      </w:r>
      <w:r>
        <w:fldChar w:fldCharType="begin"/>
      </w:r>
      <w:r>
        <w:instrText xml:space="preserve"> PAGEREF _Toc107412674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 certiorari, prohibition and mandamus</w:t>
      </w:r>
    </w:p>
    <w:p>
      <w:pPr>
        <w:pStyle w:val="TOC8"/>
        <w:rPr>
          <w:rFonts w:asciiTheme="minorHAnsi" w:eastAsiaTheme="minorEastAsia" w:hAnsiTheme="minorHAnsi" w:cstheme="minorBidi"/>
          <w:szCs w:val="22"/>
        </w:rPr>
      </w:pPr>
      <w:r>
        <w:t>79</w:t>
      </w:r>
      <w:r>
        <w:rPr>
          <w:snapToGrid w:val="0"/>
        </w:rPr>
        <w:t>.</w:t>
      </w:r>
      <w:r>
        <w:rPr>
          <w:snapToGrid w:val="0"/>
        </w:rPr>
        <w:tab/>
        <w:t>Appeal to the Court of Appeal</w:t>
      </w:r>
      <w:r>
        <w:tab/>
      </w:r>
      <w:r>
        <w:fldChar w:fldCharType="begin"/>
      </w:r>
      <w:r>
        <w:instrText xml:space="preserve"> PAGEREF _Toc107412676 \h </w:instrText>
      </w:r>
      <w:r>
        <w:fldChar w:fldCharType="separate"/>
      </w:r>
      <w:r>
        <w:t>37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Appeals, etc. to be only as provided by this Act</w:t>
      </w:r>
      <w:r>
        <w:tab/>
      </w:r>
      <w:r>
        <w:fldChar w:fldCharType="begin"/>
      </w:r>
      <w:r>
        <w:instrText xml:space="preserve"> PAGEREF _Toc107412677 \h </w:instrText>
      </w:r>
      <w:r>
        <w:fldChar w:fldCharType="separate"/>
      </w:r>
      <w:r>
        <w:t>38</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Certiorari may issue, procedure</w:t>
      </w:r>
      <w:r>
        <w:tab/>
      </w:r>
      <w:r>
        <w:fldChar w:fldCharType="begin"/>
      </w:r>
      <w:r>
        <w:instrText xml:space="preserve"> PAGEREF _Toc107412678 \h </w:instrText>
      </w:r>
      <w:r>
        <w:fldChar w:fldCharType="separate"/>
      </w:r>
      <w:r>
        <w:t>38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Stay of proceedings may be ordered in certiorari or prohibition proceedings</w:t>
      </w:r>
      <w:r>
        <w:tab/>
      </w:r>
      <w:r>
        <w:fldChar w:fldCharType="begin"/>
      </w:r>
      <w:r>
        <w:instrText xml:space="preserve"> PAGEREF _Toc107412679 \h </w:instrText>
      </w:r>
      <w:r>
        <w:fldChar w:fldCharType="separate"/>
      </w:r>
      <w:r>
        <w:t>38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Prohibition proceedings, procedure</w:t>
      </w:r>
      <w:r>
        <w:tab/>
      </w:r>
      <w:r>
        <w:fldChar w:fldCharType="begin"/>
      </w:r>
      <w:r>
        <w:instrText xml:space="preserve"> PAGEREF _Toc107412680 \h </w:instrText>
      </w:r>
      <w:r>
        <w:fldChar w:fldCharType="separate"/>
      </w:r>
      <w:r>
        <w:t>39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Order in lieu of mandamus</w:t>
      </w:r>
      <w:r>
        <w:tab/>
      </w:r>
      <w:r>
        <w:fldChar w:fldCharType="begin"/>
      </w:r>
      <w:r>
        <w:instrText xml:space="preserve"> PAGEREF _Toc107412681 \h </w:instrText>
      </w:r>
      <w:r>
        <w:fldChar w:fldCharType="separate"/>
      </w:r>
      <w:r>
        <w:t>40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Notice to be given of writ of certiorari or prohibition on ex parte application</w:t>
      </w:r>
      <w:r>
        <w:tab/>
      </w:r>
      <w:r>
        <w:fldChar w:fldCharType="begin"/>
      </w:r>
      <w:r>
        <w:instrText xml:space="preserve"> PAGEREF _Toc107412682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VIII — Practice and procedure and rules of court</w:t>
      </w:r>
    </w:p>
    <w:p>
      <w:pPr>
        <w:pStyle w:val="TOC8"/>
        <w:rPr>
          <w:rFonts w:asciiTheme="minorHAnsi" w:eastAsiaTheme="minorEastAsia" w:hAnsiTheme="minorHAnsi" w:cstheme="minorBidi"/>
          <w:szCs w:val="22"/>
        </w:rPr>
      </w:pPr>
      <w:r>
        <w:t>86</w:t>
      </w:r>
      <w:r>
        <w:rPr>
          <w:snapToGrid w:val="0"/>
        </w:rPr>
        <w:t>.</w:t>
      </w:r>
      <w:r>
        <w:rPr>
          <w:snapToGrid w:val="0"/>
        </w:rPr>
        <w:tab/>
        <w:t>Action may be dealt with at more than one place</w:t>
      </w:r>
      <w:r>
        <w:tab/>
      </w:r>
      <w:r>
        <w:fldChar w:fldCharType="begin"/>
      </w:r>
      <w:r>
        <w:instrText xml:space="preserve"> PAGEREF _Toc107412684 \h </w:instrText>
      </w:r>
      <w:r>
        <w:fldChar w:fldCharType="separate"/>
      </w:r>
      <w:r>
        <w:t>41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Rules of court to govern practice and procedure</w:t>
      </w:r>
      <w:r>
        <w:tab/>
      </w:r>
      <w:r>
        <w:fldChar w:fldCharType="begin"/>
      </w:r>
      <w:r>
        <w:instrText xml:space="preserve"> PAGEREF _Toc107412685 \h </w:instrText>
      </w:r>
      <w:r>
        <w:fldChar w:fldCharType="separate"/>
      </w:r>
      <w:r>
        <w:t>41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Rules of court, making, content</w:t>
      </w:r>
      <w:r>
        <w:tab/>
      </w:r>
      <w:r>
        <w:fldChar w:fldCharType="begin"/>
      </w:r>
      <w:r>
        <w:instrText xml:space="preserve"> PAGEREF _Toc107412686 \h </w:instrText>
      </w:r>
      <w:r>
        <w:fldChar w:fldCharType="separate"/>
      </w:r>
      <w:r>
        <w:t>41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Rules to be published and laid before Parliament</w:t>
      </w:r>
      <w:r>
        <w:tab/>
      </w:r>
      <w:r>
        <w:fldChar w:fldCharType="begin"/>
      </w:r>
      <w:r>
        <w:instrText xml:space="preserve"> PAGEREF _Toc107412687 \h </w:instrText>
      </w:r>
      <w:r>
        <w:fldChar w:fldCharType="separate"/>
      </w:r>
      <w:r>
        <w:t>43</w:t>
      </w:r>
      <w:r>
        <w:fldChar w:fldCharType="end"/>
      </w:r>
    </w:p>
    <w:p>
      <w:pPr>
        <w:pStyle w:val="TOC8"/>
        <w:rPr>
          <w:rFonts w:asciiTheme="minorHAnsi" w:eastAsiaTheme="minorEastAsia" w:hAnsiTheme="minorHAnsi" w:cstheme="minorBidi"/>
          <w:szCs w:val="22"/>
        </w:rPr>
      </w:pPr>
      <w:r>
        <w:t>89A.</w:t>
      </w:r>
      <w:r>
        <w:tab/>
        <w:t>Regulations</w:t>
      </w:r>
      <w:r>
        <w:tab/>
      </w:r>
      <w:r>
        <w:fldChar w:fldCharType="begin"/>
      </w:r>
      <w:r>
        <w:instrText xml:space="preserve"> PAGEREF _Toc107412688 \h </w:instrText>
      </w:r>
      <w:r>
        <w:fldChar w:fldCharType="separate"/>
      </w:r>
      <w:r>
        <w:t>44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Saving</w:t>
      </w:r>
      <w:r>
        <w:tab/>
      </w:r>
      <w:r>
        <w:fldChar w:fldCharType="begin"/>
      </w:r>
      <w:r>
        <w:instrText xml:space="preserve"> PAGEREF _Toc107412689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_Toc107412692 \h </w:instrText>
      </w:r>
      <w:r>
        <w:fldChar w:fldCharType="separate"/>
      </w:r>
      <w:r>
        <w:t>47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_Toc107412693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_Toc107412694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District Court of Western Australia Act 1969</w:t>
      </w:r>
    </w:p>
    <w:p>
      <w:pPr>
        <w:pStyle w:val="LongTitle"/>
        <w:rPr>
          <w:snapToGrid w:val="0"/>
        </w:rPr>
      </w:pPr>
      <w:r>
        <w:rPr>
          <w:snapToGrid w:val="0"/>
        </w:rPr>
        <w:t>An Act to establish the District Court of Western Australia and for incidental purposes.</w:t>
      </w:r>
    </w:p>
    <w:p>
      <w:pPr>
        <w:pStyle w:val="Heading2"/>
      </w:pPr>
      <w:bookmarkStart w:id="3" w:name="_Toc107316594"/>
      <w:bookmarkStart w:id="4" w:name="_Toc107317306"/>
      <w:bookmarkStart w:id="5" w:name="_Toc107412598"/>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spacing w:before="120"/>
        <w:rPr>
          <w:snapToGrid w:val="0"/>
        </w:rPr>
      </w:pPr>
      <w:bookmarkStart w:id="6" w:name="_Toc107412599"/>
      <w:r>
        <w:rPr>
          <w:rStyle w:val="CharSectno"/>
        </w:rPr>
        <w:t>1</w:t>
      </w:r>
      <w:r>
        <w:rPr>
          <w:snapToGrid w:val="0"/>
        </w:rPr>
        <w:t>.</w:t>
      </w:r>
      <w:r>
        <w:rPr>
          <w:snapToGrid w:val="0"/>
        </w:rPr>
        <w:tab/>
        <w:t>Short title</w:t>
      </w:r>
      <w:bookmarkEnd w:id="6"/>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w:t>
      </w:r>
    </w:p>
    <w:p>
      <w:pPr>
        <w:pStyle w:val="Heading5"/>
        <w:spacing w:before="120"/>
        <w:rPr>
          <w:snapToGrid w:val="0"/>
        </w:rPr>
      </w:pPr>
      <w:bookmarkStart w:id="7" w:name="_Toc107412600"/>
      <w:r>
        <w:rPr>
          <w:rStyle w:val="CharSectno"/>
        </w:rPr>
        <w:t>2</w:t>
      </w:r>
      <w:r>
        <w:rPr>
          <w:snapToGrid w:val="0"/>
        </w:rPr>
        <w:t>.</w:t>
      </w:r>
      <w:r>
        <w:rPr>
          <w:snapToGrid w:val="0"/>
        </w:rPr>
        <w:tab/>
        <w:t>Commencement</w:t>
      </w:r>
      <w:bookmarkEnd w:id="7"/>
    </w:p>
    <w:p>
      <w:pPr>
        <w:pStyle w:val="Subsection"/>
        <w:spacing w:before="100"/>
      </w:pPr>
      <w:r>
        <w:tab/>
      </w:r>
      <w:r>
        <w:tab/>
        <w:t xml:space="preserve">This Act shall come </w:t>
      </w:r>
      <w:r>
        <w:rPr>
          <w:snapToGrid w:val="0"/>
        </w:rPr>
        <w:t>into</w:t>
      </w:r>
      <w:r>
        <w:t xml:space="preserve"> operation on a date to be fixed by proclamation.</w:t>
      </w:r>
    </w:p>
    <w:p>
      <w:pPr>
        <w:pStyle w:val="Ednotesection"/>
        <w:spacing w:before="120"/>
        <w:ind w:left="890" w:hanging="890"/>
      </w:pPr>
      <w:r>
        <w:t>[</w:t>
      </w:r>
      <w:r>
        <w:rPr>
          <w:b/>
        </w:rPr>
        <w:t>3.</w:t>
      </w:r>
      <w:r>
        <w:tab/>
        <w:t>Deleted: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8" w:name="_Toc107412601"/>
      <w:r>
        <w:rPr>
          <w:rStyle w:val="CharSectno"/>
        </w:rPr>
        <w:t>5</w:t>
      </w:r>
      <w:r>
        <w:rPr>
          <w:snapToGrid w:val="0"/>
        </w:rPr>
        <w:t>.</w:t>
      </w:r>
      <w:r>
        <w:rPr>
          <w:snapToGrid w:val="0"/>
        </w:rPr>
        <w:tab/>
        <w:t>Construction and application of certain Acts</w:t>
      </w:r>
      <w:bookmarkEnd w:id="8"/>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No. 14 of 1970 s. 4; No. 40 of 1972 s. 4; No. 122 of 1984 s. 5; No. 14 of 1996 s. 4; No. 23 of 2002 s. 13; No. 59 of 2004 s. 85; No. 84 of 2004 s. 33.]</w:t>
      </w:r>
    </w:p>
    <w:p>
      <w:pPr>
        <w:pStyle w:val="Heading5"/>
        <w:rPr>
          <w:snapToGrid w:val="0"/>
        </w:rPr>
      </w:pPr>
      <w:bookmarkStart w:id="9" w:name="_Toc107412602"/>
      <w:r>
        <w:rPr>
          <w:rStyle w:val="CharSectno"/>
        </w:rPr>
        <w:lastRenderedPageBreak/>
        <w:t>6</w:t>
      </w:r>
      <w:r>
        <w:rPr>
          <w:snapToGrid w:val="0"/>
        </w:rPr>
        <w:t>.</w:t>
      </w:r>
      <w:r>
        <w:rPr>
          <w:snapToGrid w:val="0"/>
        </w:rPr>
        <w:tab/>
        <w:t>Terms used in this Act</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Chief Judge</w:t>
      </w:r>
      <w:r>
        <w:t xml:space="preserve"> means the District Court judge appointed the Chief Judge and includes a District Court judge appointed to act in the office of Chief Judge under section 18(2a);</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rPr>
          <w:b/>
        </w:rPr>
        <w:tab/>
      </w:r>
      <w:r>
        <w:rPr>
          <w:rStyle w:val="CharDefText"/>
        </w:rPr>
        <w:t>Court</w:t>
      </w:r>
      <w:r>
        <w:t xml:space="preserve"> means the District Court of Western Australia established under this Act;</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lastRenderedPageBreak/>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No. 7 of 1982 s. 8; No. 122 of 1984 s. 6; No. 53 of 1992 s. 9(3); No. 23 of 1997 s. 4; No. 57 of 1997 s. 48(1); No. 65 of 2003 s. 32(2), 111(2), (3), 125(2); No. 59 of 2004 s. 82(1) and 85; No. 21 of 2008 s. 660(2) and (3); No. 9 of 2022 s. 351.]</w:t>
      </w:r>
    </w:p>
    <w:p>
      <w:pPr>
        <w:pStyle w:val="Heading5"/>
        <w:pageBreakBefore/>
        <w:spacing w:before="0"/>
      </w:pPr>
      <w:bookmarkStart w:id="10" w:name="_Toc107412603"/>
      <w:r>
        <w:rPr>
          <w:rStyle w:val="CharSectno"/>
        </w:rPr>
        <w:lastRenderedPageBreak/>
        <w:t>7A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58.]</w:t>
      </w:r>
    </w:p>
    <w:p>
      <w:pPr>
        <w:pStyle w:val="Heading2"/>
      </w:pPr>
      <w:bookmarkStart w:id="11" w:name="_Toc107316600"/>
      <w:bookmarkStart w:id="12" w:name="_Toc107317312"/>
      <w:bookmarkStart w:id="13" w:name="_Toc107412604"/>
      <w:r>
        <w:rPr>
          <w:rStyle w:val="CharPartNo"/>
        </w:rPr>
        <w:lastRenderedPageBreak/>
        <w:t>Part II</w:t>
      </w:r>
      <w:r>
        <w:t> — </w:t>
      </w:r>
      <w:r>
        <w:rPr>
          <w:rStyle w:val="CharPartText"/>
        </w:rPr>
        <w:t>The Court</w:t>
      </w:r>
      <w:bookmarkEnd w:id="11"/>
      <w:bookmarkEnd w:id="12"/>
      <w:bookmarkEnd w:id="13"/>
    </w:p>
    <w:p>
      <w:pPr>
        <w:pStyle w:val="Heading3"/>
      </w:pPr>
      <w:bookmarkStart w:id="14" w:name="_Toc107316601"/>
      <w:bookmarkStart w:id="15" w:name="_Toc107317313"/>
      <w:bookmarkStart w:id="16" w:name="_Toc107412605"/>
      <w:r>
        <w:rPr>
          <w:rStyle w:val="CharDivNo"/>
        </w:rPr>
        <w:t>Division 1</w:t>
      </w:r>
      <w:r>
        <w:t> — </w:t>
      </w:r>
      <w:r>
        <w:rPr>
          <w:rStyle w:val="CharDivText"/>
        </w:rPr>
        <w:t>Establishment of the District Court of Western Australia</w:t>
      </w:r>
      <w:bookmarkEnd w:id="14"/>
      <w:bookmarkEnd w:id="15"/>
      <w:bookmarkEnd w:id="16"/>
    </w:p>
    <w:p>
      <w:pPr>
        <w:pStyle w:val="Heading5"/>
      </w:pPr>
      <w:bookmarkStart w:id="17" w:name="_Toc107412606"/>
      <w:r>
        <w:rPr>
          <w:rStyle w:val="CharSectno"/>
        </w:rPr>
        <w:t>7</w:t>
      </w:r>
      <w:r>
        <w:t xml:space="preserve">. </w:t>
      </w:r>
      <w:r>
        <w:tab/>
        <w:t>Establishment of the Court</w:t>
      </w:r>
      <w:bookmarkEnd w:id="17"/>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18" w:name="_Toc107412607"/>
      <w:r>
        <w:rPr>
          <w:rStyle w:val="CharSectno"/>
        </w:rPr>
        <w:t>8</w:t>
      </w:r>
      <w:r>
        <w:rPr>
          <w:snapToGrid w:val="0"/>
        </w:rPr>
        <w:t>.</w:t>
      </w:r>
      <w:r>
        <w:rPr>
          <w:snapToGrid w:val="0"/>
        </w:rPr>
        <w:tab/>
        <w:t>Court to be a court of record, constitution</w:t>
      </w:r>
      <w:bookmarkEnd w:id="18"/>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 and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19" w:name="_Toc107412608"/>
      <w:r>
        <w:rPr>
          <w:rStyle w:val="CharSectno"/>
        </w:rPr>
        <w:t>9</w:t>
      </w:r>
      <w:r>
        <w:rPr>
          <w:snapToGrid w:val="0"/>
        </w:rPr>
        <w:t>.</w:t>
      </w:r>
      <w:r>
        <w:rPr>
          <w:snapToGrid w:val="0"/>
        </w:rPr>
        <w:tab/>
        <w:t>Seal of the Court</w:t>
      </w:r>
      <w:bookmarkEnd w:id="19"/>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20" w:name="_Toc107316605"/>
      <w:bookmarkStart w:id="21" w:name="_Toc107317317"/>
      <w:bookmarkStart w:id="22" w:name="_Toc107412609"/>
      <w:r>
        <w:rPr>
          <w:rStyle w:val="CharDivNo"/>
        </w:rPr>
        <w:lastRenderedPageBreak/>
        <w:t>Division 2</w:t>
      </w:r>
      <w:r>
        <w:rPr>
          <w:snapToGrid w:val="0"/>
        </w:rPr>
        <w:t> — </w:t>
      </w:r>
      <w:r>
        <w:rPr>
          <w:rStyle w:val="CharDivText"/>
        </w:rPr>
        <w:t>District Court judges</w:t>
      </w:r>
      <w:bookmarkEnd w:id="20"/>
      <w:bookmarkEnd w:id="21"/>
      <w:bookmarkEnd w:id="22"/>
    </w:p>
    <w:p>
      <w:pPr>
        <w:pStyle w:val="Heading5"/>
        <w:spacing w:before="160"/>
        <w:rPr>
          <w:snapToGrid w:val="0"/>
        </w:rPr>
      </w:pPr>
      <w:bookmarkStart w:id="23" w:name="_Toc107412610"/>
      <w:r>
        <w:rPr>
          <w:rStyle w:val="CharSectno"/>
        </w:rPr>
        <w:t>10</w:t>
      </w:r>
      <w:r>
        <w:rPr>
          <w:snapToGrid w:val="0"/>
        </w:rPr>
        <w:t>.</w:t>
      </w:r>
      <w:r>
        <w:rPr>
          <w:snapToGrid w:val="0"/>
        </w:rPr>
        <w:tab/>
        <w:t>Appointment, qualifications and seniority</w:t>
      </w:r>
      <w:bookmarkEnd w:id="23"/>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No. 112 of 1978 s. 6; No. 122 of 1984 s. 7; No. 57 of 1997 s. 48(2); No. 65 of 2003 s. 111(4) and 125(3); No. 21 of 2008 s. 660(4); No. 9 of 2022 s. 352.]</w:t>
      </w:r>
    </w:p>
    <w:p>
      <w:pPr>
        <w:pStyle w:val="Heading5"/>
        <w:spacing w:before="160"/>
        <w:rPr>
          <w:snapToGrid w:val="0"/>
        </w:rPr>
      </w:pPr>
      <w:bookmarkStart w:id="24" w:name="_Toc107412611"/>
      <w:r>
        <w:rPr>
          <w:rStyle w:val="CharSectno"/>
        </w:rPr>
        <w:t>11</w:t>
      </w:r>
      <w:r>
        <w:rPr>
          <w:snapToGrid w:val="0"/>
        </w:rPr>
        <w:t>.</w:t>
      </w:r>
      <w:r>
        <w:rPr>
          <w:snapToGrid w:val="0"/>
        </w:rPr>
        <w:tab/>
        <w:t>Tenure of office and oath of office</w:t>
      </w:r>
      <w:bookmarkEnd w:id="24"/>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 xml:space="preserve">Before a person who is appointed to be a District Court judge, an acting District Court judge, an auxiliary District Court judge, or a commissioner of the Court, performs any function of the </w:t>
      </w:r>
      <w:r>
        <w:lastRenderedPageBreak/>
        <w:t>office, he or she shall take before the Governor, a Supreme Court judge, or some person authorised for the purpose by the Governor, an oath or affirmation in the form set out in Schedule 1.</w:t>
      </w:r>
    </w:p>
    <w:p>
      <w:pPr>
        <w:pStyle w:val="Footnotesection"/>
      </w:pPr>
      <w:r>
        <w:tab/>
        <w:t>[Section 11 amended: No. 7 of 1982 s. 9; No. 23 of 1997 s. 5; No. 65 of 2003 s. 125(4); No. 24 of 2005 s. 18.]</w:t>
      </w:r>
    </w:p>
    <w:p>
      <w:pPr>
        <w:pStyle w:val="Heading5"/>
        <w:rPr>
          <w:snapToGrid w:val="0"/>
        </w:rPr>
      </w:pPr>
      <w:bookmarkStart w:id="25" w:name="_Toc107412612"/>
      <w:r>
        <w:rPr>
          <w:rStyle w:val="CharSectno"/>
        </w:rPr>
        <w:t>12</w:t>
      </w:r>
      <w:r>
        <w:rPr>
          <w:snapToGrid w:val="0"/>
        </w:rPr>
        <w:t>.</w:t>
      </w:r>
      <w:r>
        <w:rPr>
          <w:snapToGrid w:val="0"/>
        </w:rPr>
        <w:tab/>
        <w:t>Salaries and allowances</w:t>
      </w:r>
      <w:bookmarkEnd w:id="25"/>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w:t>
      </w:r>
      <w:r>
        <w:rPr>
          <w:snapToGrid w:val="0"/>
        </w:rPr>
        <w:lastRenderedPageBreak/>
        <w:t>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26" w:name="_Toc107412613"/>
      <w:r>
        <w:rPr>
          <w:rStyle w:val="CharSectno"/>
        </w:rPr>
        <w:t>13</w:t>
      </w:r>
      <w:r>
        <w:rPr>
          <w:snapToGrid w:val="0"/>
        </w:rPr>
        <w:t>.</w:t>
      </w:r>
      <w:r>
        <w:rPr>
          <w:snapToGrid w:val="0"/>
        </w:rPr>
        <w:tab/>
        <w:t>Leave of absence</w:t>
      </w:r>
      <w:bookmarkEnd w:id="26"/>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27" w:name="_Toc107412614"/>
      <w:r>
        <w:rPr>
          <w:rStyle w:val="CharSectno"/>
        </w:rPr>
        <w:t>14</w:t>
      </w:r>
      <w:r>
        <w:rPr>
          <w:snapToGrid w:val="0"/>
        </w:rPr>
        <w:t>.</w:t>
      </w:r>
      <w:r>
        <w:rPr>
          <w:snapToGrid w:val="0"/>
        </w:rPr>
        <w:tab/>
        <w:t xml:space="preserve">Application of </w:t>
      </w:r>
      <w:r>
        <w:rPr>
          <w:i/>
          <w:snapToGrid w:val="0"/>
        </w:rPr>
        <w:t>Judges’ Salaries and Pensions Act 1950</w:t>
      </w:r>
      <w:bookmarkEnd w:id="27"/>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No. 82 of 1987 s. 8; No. 28 of 2003 s. 46.]</w:t>
      </w:r>
    </w:p>
    <w:p>
      <w:pPr>
        <w:pStyle w:val="Heading5"/>
        <w:rPr>
          <w:snapToGrid w:val="0"/>
        </w:rPr>
      </w:pPr>
      <w:bookmarkStart w:id="28" w:name="_Toc107412615"/>
      <w:r>
        <w:rPr>
          <w:rStyle w:val="CharSectno"/>
        </w:rPr>
        <w:lastRenderedPageBreak/>
        <w:t>15</w:t>
      </w:r>
      <w:r>
        <w:rPr>
          <w:snapToGrid w:val="0"/>
        </w:rPr>
        <w:t>.</w:t>
      </w:r>
      <w:r>
        <w:rPr>
          <w:snapToGrid w:val="0"/>
        </w:rPr>
        <w:tab/>
        <w:t xml:space="preserve">Application of </w:t>
      </w:r>
      <w:r>
        <w:rPr>
          <w:i/>
          <w:snapToGrid w:val="0"/>
        </w:rPr>
        <w:t>Superannuation and Family Benefits Act 1938</w:t>
      </w:r>
      <w:bookmarkEnd w:id="28"/>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1</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1</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No. 100 of 1970 s. 3.]</w:t>
      </w:r>
    </w:p>
    <w:p>
      <w:pPr>
        <w:pStyle w:val="Heading5"/>
        <w:rPr>
          <w:snapToGrid w:val="0"/>
        </w:rPr>
      </w:pPr>
      <w:bookmarkStart w:id="29" w:name="_Toc107412616"/>
      <w:r>
        <w:rPr>
          <w:rStyle w:val="CharSectno"/>
        </w:rPr>
        <w:t>16</w:t>
      </w:r>
      <w:r>
        <w:rPr>
          <w:snapToGrid w:val="0"/>
        </w:rPr>
        <w:t>.</w:t>
      </w:r>
      <w:r>
        <w:rPr>
          <w:snapToGrid w:val="0"/>
        </w:rPr>
        <w:tab/>
        <w:t xml:space="preserve">Application of </w:t>
      </w:r>
      <w:r>
        <w:rPr>
          <w:i/>
          <w:snapToGrid w:val="0"/>
        </w:rPr>
        <w:t>Judges’ Retirement Act 1937</w:t>
      </w:r>
      <w:bookmarkEnd w:id="29"/>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30" w:name="_Toc107412617"/>
      <w:r>
        <w:rPr>
          <w:rStyle w:val="CharSectno"/>
        </w:rPr>
        <w:t>17</w:t>
      </w:r>
      <w:r>
        <w:rPr>
          <w:snapToGrid w:val="0"/>
        </w:rPr>
        <w:t>.</w:t>
      </w:r>
      <w:r>
        <w:rPr>
          <w:snapToGrid w:val="0"/>
        </w:rPr>
        <w:tab/>
        <w:t>Judge not to practise as legal practitioner</w:t>
      </w:r>
      <w:bookmarkEnd w:id="30"/>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lastRenderedPageBreak/>
        <w:tab/>
        <w:t>[(2)</w:t>
      </w:r>
      <w:r>
        <w:tab/>
        <w:t>deleted]</w:t>
      </w:r>
    </w:p>
    <w:p>
      <w:pPr>
        <w:pStyle w:val="Footnotesection"/>
      </w:pPr>
      <w:r>
        <w:tab/>
        <w:t>[Section 17 amended: No. 14 of 1970 s. 6; No. 40 of 1972 s. 6; No. 65 of 2003 s. 32(3).]</w:t>
      </w:r>
    </w:p>
    <w:p>
      <w:pPr>
        <w:pStyle w:val="Heading5"/>
        <w:rPr>
          <w:snapToGrid w:val="0"/>
        </w:rPr>
      </w:pPr>
      <w:bookmarkStart w:id="31" w:name="_Toc107412618"/>
      <w:r>
        <w:rPr>
          <w:rStyle w:val="CharSectno"/>
        </w:rPr>
        <w:t>18</w:t>
      </w:r>
      <w:r>
        <w:rPr>
          <w:snapToGrid w:val="0"/>
        </w:rPr>
        <w:t>.</w:t>
      </w:r>
      <w:r>
        <w:rPr>
          <w:snapToGrid w:val="0"/>
        </w:rPr>
        <w:tab/>
        <w:t>Acting appointments</w:t>
      </w:r>
      <w:bookmarkEnd w:id="31"/>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 or</w:t>
      </w:r>
    </w:p>
    <w:p>
      <w:pPr>
        <w:pStyle w:val="Indenta"/>
        <w:rPr>
          <w:snapToGrid w:val="0"/>
        </w:rPr>
      </w:pPr>
      <w:r>
        <w:rPr>
          <w:snapToGrid w:val="0"/>
        </w:rPr>
        <w:lastRenderedPageBreak/>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No. 7 of 1982 s. 11; No. 122 of 1984 s. 13; No. 23 of 1997 s. 7.]</w:t>
      </w:r>
    </w:p>
    <w:p>
      <w:pPr>
        <w:pStyle w:val="Heading5"/>
        <w:rPr>
          <w:snapToGrid w:val="0"/>
        </w:rPr>
      </w:pPr>
      <w:bookmarkStart w:id="32" w:name="_Toc107412619"/>
      <w:r>
        <w:rPr>
          <w:rStyle w:val="CharSectno"/>
        </w:rPr>
        <w:t>18A</w:t>
      </w:r>
      <w:r>
        <w:rPr>
          <w:snapToGrid w:val="0"/>
        </w:rPr>
        <w:t xml:space="preserve">. </w:t>
      </w:r>
      <w:r>
        <w:rPr>
          <w:snapToGrid w:val="0"/>
        </w:rPr>
        <w:tab/>
        <w:t>Auxiliary appointments</w:t>
      </w:r>
      <w:bookmarkEnd w:id="32"/>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lastRenderedPageBreak/>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No. 23 of 1997 s. 8; amended: No. 65 of 2003 s. 125(5) and (6).]</w:t>
      </w:r>
    </w:p>
    <w:p>
      <w:pPr>
        <w:pStyle w:val="Heading3"/>
      </w:pPr>
      <w:bookmarkStart w:id="33" w:name="_Toc107316616"/>
      <w:bookmarkStart w:id="34" w:name="_Toc107317328"/>
      <w:bookmarkStart w:id="35" w:name="_Toc107412620"/>
      <w:r>
        <w:rPr>
          <w:rStyle w:val="CharDivNo"/>
        </w:rPr>
        <w:lastRenderedPageBreak/>
        <w:t>Division 3</w:t>
      </w:r>
      <w:r>
        <w:rPr>
          <w:snapToGrid w:val="0"/>
        </w:rPr>
        <w:t> — </w:t>
      </w:r>
      <w:r>
        <w:rPr>
          <w:rStyle w:val="CharDivText"/>
        </w:rPr>
        <w:t>Sittings of the Court</w:t>
      </w:r>
      <w:bookmarkEnd w:id="33"/>
      <w:bookmarkEnd w:id="34"/>
      <w:bookmarkEnd w:id="35"/>
    </w:p>
    <w:p>
      <w:pPr>
        <w:pStyle w:val="Heading5"/>
        <w:rPr>
          <w:snapToGrid w:val="0"/>
        </w:rPr>
      </w:pPr>
      <w:bookmarkStart w:id="36" w:name="_Toc107412621"/>
      <w:r>
        <w:rPr>
          <w:rStyle w:val="CharSectno"/>
        </w:rPr>
        <w:t>19</w:t>
      </w:r>
      <w:r>
        <w:rPr>
          <w:snapToGrid w:val="0"/>
        </w:rPr>
        <w:t>.</w:t>
      </w:r>
      <w:r>
        <w:rPr>
          <w:snapToGrid w:val="0"/>
        </w:rPr>
        <w:tab/>
        <w:t>Places and times</w:t>
      </w:r>
      <w:bookmarkEnd w:id="36"/>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 xml:space="preserve">Notwithstanding the provisions of subsections (1) to (6) inclusive, the Court and District Court judges may sit and act at </w:t>
      </w:r>
      <w:r>
        <w:rPr>
          <w:snapToGrid w:val="0"/>
        </w:rPr>
        <w:lastRenderedPageBreak/>
        <w:t>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No. 58 of 1975 s. 3; No. 122 of 1984 s. 13; No. 53 of 1992 s. 9(3).]</w:t>
      </w:r>
    </w:p>
    <w:p>
      <w:pPr>
        <w:pStyle w:val="Heading5"/>
        <w:rPr>
          <w:snapToGrid w:val="0"/>
        </w:rPr>
      </w:pPr>
      <w:bookmarkStart w:id="37" w:name="_Toc107412622"/>
      <w:r>
        <w:rPr>
          <w:rStyle w:val="CharSectno"/>
        </w:rPr>
        <w:t>20</w:t>
      </w:r>
      <w:r>
        <w:rPr>
          <w:snapToGrid w:val="0"/>
        </w:rPr>
        <w:t>.</w:t>
      </w:r>
      <w:r>
        <w:rPr>
          <w:snapToGrid w:val="0"/>
        </w:rPr>
        <w:tab/>
        <w:t>Chief Judge may direct where judges to sit and may direct 2 or more judges to sit concurrently</w:t>
      </w:r>
      <w:bookmarkEnd w:id="37"/>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No. 122 of 1984 s. 13.]</w:t>
      </w:r>
    </w:p>
    <w:p>
      <w:pPr>
        <w:pStyle w:val="Heading5"/>
        <w:rPr>
          <w:snapToGrid w:val="0"/>
        </w:rPr>
      </w:pPr>
      <w:bookmarkStart w:id="38" w:name="_Toc107412623"/>
      <w:r>
        <w:rPr>
          <w:rStyle w:val="CharSectno"/>
        </w:rPr>
        <w:t>21</w:t>
      </w:r>
      <w:r>
        <w:rPr>
          <w:snapToGrid w:val="0"/>
        </w:rPr>
        <w:t>.</w:t>
      </w:r>
      <w:r>
        <w:rPr>
          <w:snapToGrid w:val="0"/>
        </w:rPr>
        <w:tab/>
        <w:t>Sitting in chambers</w:t>
      </w:r>
      <w:bookmarkEnd w:id="38"/>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39" w:name="_Toc107412624"/>
      <w:r>
        <w:rPr>
          <w:rStyle w:val="CharSectno"/>
        </w:rPr>
        <w:t>22</w:t>
      </w:r>
      <w:r>
        <w:rPr>
          <w:snapToGrid w:val="0"/>
        </w:rPr>
        <w:t>.</w:t>
      </w:r>
      <w:r>
        <w:rPr>
          <w:snapToGrid w:val="0"/>
        </w:rPr>
        <w:tab/>
        <w:t>Records to be moved on discontinuance of a place where Court is held</w:t>
      </w:r>
      <w:bookmarkEnd w:id="39"/>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w:t>
      </w:r>
      <w:r>
        <w:rPr>
          <w:snapToGrid w:val="0"/>
        </w:rPr>
        <w:lastRenderedPageBreak/>
        <w:t xml:space="preserve">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40" w:name="_Toc107412625"/>
      <w:r>
        <w:rPr>
          <w:rStyle w:val="CharSectno"/>
        </w:rPr>
        <w:t>23</w:t>
      </w:r>
      <w:r>
        <w:rPr>
          <w:snapToGrid w:val="0"/>
        </w:rPr>
        <w:t>.</w:t>
      </w:r>
      <w:r>
        <w:rPr>
          <w:snapToGrid w:val="0"/>
        </w:rPr>
        <w:tab/>
        <w:t>Members of the Police Force to attend the Court</w:t>
      </w:r>
      <w:bookmarkEnd w:id="40"/>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41" w:name="_Toc107316622"/>
      <w:bookmarkStart w:id="42" w:name="_Toc107317334"/>
      <w:bookmarkStart w:id="43" w:name="_Toc107412626"/>
      <w:r>
        <w:rPr>
          <w:rStyle w:val="CharDivNo"/>
        </w:rPr>
        <w:t>Division 4</w:t>
      </w:r>
      <w:r>
        <w:rPr>
          <w:snapToGrid w:val="0"/>
        </w:rPr>
        <w:t> — </w:t>
      </w:r>
      <w:r>
        <w:rPr>
          <w:rStyle w:val="CharDivText"/>
        </w:rPr>
        <w:t>Commissioners</w:t>
      </w:r>
      <w:bookmarkEnd w:id="41"/>
      <w:bookmarkEnd w:id="42"/>
      <w:bookmarkEnd w:id="43"/>
    </w:p>
    <w:p>
      <w:pPr>
        <w:pStyle w:val="Heading5"/>
        <w:rPr>
          <w:snapToGrid w:val="0"/>
        </w:rPr>
      </w:pPr>
      <w:bookmarkStart w:id="44" w:name="_Toc107412627"/>
      <w:r>
        <w:rPr>
          <w:rStyle w:val="CharSectno"/>
        </w:rPr>
        <w:t>24</w:t>
      </w:r>
      <w:r>
        <w:rPr>
          <w:snapToGrid w:val="0"/>
        </w:rPr>
        <w:t>.</w:t>
      </w:r>
      <w:r>
        <w:rPr>
          <w:snapToGrid w:val="0"/>
        </w:rPr>
        <w:tab/>
        <w:t>Appointment and jurisdiction of commissioners</w:t>
      </w:r>
      <w:bookmarkEnd w:id="44"/>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No. 57 of 1997 s. 48(3); No. 27 of 2000 s. 4; No. 65 of 2003 s. 125(7); No. 59 of 2004 s. 85.]</w:t>
      </w:r>
    </w:p>
    <w:p>
      <w:pPr>
        <w:pStyle w:val="Heading3"/>
        <w:pageBreakBefore/>
        <w:spacing w:before="0"/>
        <w:rPr>
          <w:b w:val="0"/>
        </w:rPr>
      </w:pPr>
      <w:bookmarkStart w:id="45" w:name="_Toc107316624"/>
      <w:bookmarkStart w:id="46" w:name="_Toc107317336"/>
      <w:bookmarkStart w:id="47" w:name="_Toc107412628"/>
      <w:r>
        <w:rPr>
          <w:rStyle w:val="CharDivNo"/>
        </w:rPr>
        <w:lastRenderedPageBreak/>
        <w:t>Division 5</w:t>
      </w:r>
      <w:r>
        <w:rPr>
          <w:b w:val="0"/>
        </w:rPr>
        <w:t> </w:t>
      </w:r>
      <w:r>
        <w:t>—</w:t>
      </w:r>
      <w:r>
        <w:rPr>
          <w:b w:val="0"/>
        </w:rPr>
        <w:t xml:space="preserve"> </w:t>
      </w:r>
      <w:r>
        <w:rPr>
          <w:rStyle w:val="CharDivText"/>
        </w:rPr>
        <w:t>Registrars</w:t>
      </w:r>
      <w:bookmarkEnd w:id="45"/>
      <w:bookmarkEnd w:id="46"/>
      <w:bookmarkEnd w:id="47"/>
    </w:p>
    <w:p>
      <w:pPr>
        <w:pStyle w:val="Footnoteheading"/>
        <w:tabs>
          <w:tab w:val="left" w:pos="851"/>
        </w:tabs>
      </w:pPr>
      <w:r>
        <w:tab/>
        <w:t>[Heading inserted: No. 59 of 2004 s. 85.]</w:t>
      </w:r>
    </w:p>
    <w:p>
      <w:pPr>
        <w:pStyle w:val="Heading5"/>
        <w:rPr>
          <w:snapToGrid w:val="0"/>
        </w:rPr>
      </w:pPr>
      <w:bookmarkStart w:id="48" w:name="_Toc107412629"/>
      <w:r>
        <w:rPr>
          <w:rStyle w:val="CharSectno"/>
        </w:rPr>
        <w:t>25</w:t>
      </w:r>
      <w:r>
        <w:rPr>
          <w:snapToGrid w:val="0"/>
        </w:rPr>
        <w:t>.</w:t>
      </w:r>
      <w:r>
        <w:rPr>
          <w:snapToGrid w:val="0"/>
        </w:rPr>
        <w:tab/>
        <w:t>Appointment of registrars and other officers</w:t>
      </w:r>
      <w:bookmarkEnd w:id="48"/>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No. 40 of 1972 s. 7; No. 53 of 1992 s. 9; No. 32 of 1994 s. 3(2).]</w:t>
      </w:r>
    </w:p>
    <w:p>
      <w:pPr>
        <w:pStyle w:val="Heading5"/>
        <w:rPr>
          <w:snapToGrid w:val="0"/>
        </w:rPr>
      </w:pPr>
      <w:bookmarkStart w:id="49" w:name="_Toc107412630"/>
      <w:r>
        <w:rPr>
          <w:rStyle w:val="CharSectno"/>
        </w:rPr>
        <w:t>26</w:t>
      </w:r>
      <w:r>
        <w:rPr>
          <w:snapToGrid w:val="0"/>
        </w:rPr>
        <w:t>.</w:t>
      </w:r>
      <w:r>
        <w:rPr>
          <w:snapToGrid w:val="0"/>
        </w:rPr>
        <w:tab/>
        <w:t>Registrar’s functions and evidentiary provision</w:t>
      </w:r>
      <w:bookmarkEnd w:id="49"/>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No. 14 of 1970 s. 7; No. 98 of 1985 s. 3; No. 53 of 1992 s. 9(3).]</w:t>
      </w:r>
    </w:p>
    <w:p>
      <w:pPr>
        <w:pStyle w:val="Heading5"/>
        <w:rPr>
          <w:snapToGrid w:val="0"/>
        </w:rPr>
      </w:pPr>
      <w:bookmarkStart w:id="50" w:name="_Toc107412631"/>
      <w:r>
        <w:rPr>
          <w:rStyle w:val="CharSectno"/>
        </w:rPr>
        <w:t>27</w:t>
      </w:r>
      <w:r>
        <w:rPr>
          <w:snapToGrid w:val="0"/>
        </w:rPr>
        <w:t>.</w:t>
      </w:r>
      <w:r>
        <w:rPr>
          <w:snapToGrid w:val="0"/>
        </w:rPr>
        <w:tab/>
        <w:t>Registrar may administer oaths etc.</w:t>
      </w:r>
      <w:bookmarkEnd w:id="50"/>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lastRenderedPageBreak/>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r>
        <w:tab/>
        <w:t>[Section 27 amended: No. 24 of 2005 s. 19.]</w:t>
      </w:r>
    </w:p>
    <w:p>
      <w:pPr>
        <w:pStyle w:val="Heading5"/>
      </w:pPr>
      <w:bookmarkStart w:id="51" w:name="_Toc107412632"/>
      <w:r>
        <w:rPr>
          <w:rStyle w:val="CharSectno"/>
        </w:rPr>
        <w:t>27A</w:t>
      </w:r>
      <w:r>
        <w:t>.</w:t>
      </w:r>
      <w:r>
        <w:tab/>
        <w:t>Employment of personal staff for judges</w:t>
      </w:r>
      <w:bookmarkEnd w:id="51"/>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No. 27 of 2000 s. 5.]</w:t>
      </w:r>
    </w:p>
    <w:p>
      <w:pPr>
        <w:pStyle w:val="Ednotesection"/>
      </w:pPr>
      <w:r>
        <w:t>[</w:t>
      </w:r>
      <w:r>
        <w:rPr>
          <w:b/>
        </w:rPr>
        <w:t>28</w:t>
      </w:r>
      <w:r>
        <w:rPr>
          <w:b/>
        </w:rPr>
        <w:noBreakHyphen/>
        <w:t>35.</w:t>
      </w:r>
      <w:r>
        <w:tab/>
        <w:t>Deleted: No. 59 of 2004 s. 85.]</w:t>
      </w:r>
    </w:p>
    <w:p>
      <w:pPr>
        <w:pStyle w:val="Heading5"/>
        <w:rPr>
          <w:snapToGrid w:val="0"/>
        </w:rPr>
      </w:pPr>
      <w:bookmarkStart w:id="52" w:name="_Toc107412633"/>
      <w:r>
        <w:rPr>
          <w:rStyle w:val="CharSectno"/>
        </w:rPr>
        <w:t>36</w:t>
      </w:r>
      <w:r>
        <w:rPr>
          <w:snapToGrid w:val="0"/>
        </w:rPr>
        <w:t>.</w:t>
      </w:r>
      <w:r>
        <w:rPr>
          <w:snapToGrid w:val="0"/>
        </w:rPr>
        <w:tab/>
        <w:t>Indemnity to persons acting under this Act</w:t>
      </w:r>
      <w:bookmarkEnd w:id="52"/>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53" w:name="_Toc107412634"/>
      <w:r>
        <w:rPr>
          <w:rStyle w:val="CharSectno"/>
        </w:rPr>
        <w:lastRenderedPageBreak/>
        <w:t>37</w:t>
      </w:r>
      <w:r>
        <w:rPr>
          <w:snapToGrid w:val="0"/>
        </w:rPr>
        <w:t>.</w:t>
      </w:r>
      <w:r>
        <w:rPr>
          <w:snapToGrid w:val="0"/>
        </w:rPr>
        <w:tab/>
        <w:t>Limitation period for actions that contravene this Act</w:t>
      </w:r>
      <w:bookmarkEnd w:id="53"/>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No. 20 of 2005 s. 10(1).]</w:t>
      </w:r>
    </w:p>
    <w:p>
      <w:pPr>
        <w:pStyle w:val="Ednotesection"/>
      </w:pPr>
      <w:r>
        <w:t>[</w:t>
      </w:r>
      <w:r>
        <w:rPr>
          <w:b/>
        </w:rPr>
        <w:t>38.</w:t>
      </w:r>
      <w:r>
        <w:rPr>
          <w:b/>
        </w:rPr>
        <w:tab/>
      </w:r>
      <w:r>
        <w:t>Deleted: No. 59 of 2004 s. 85.]</w:t>
      </w:r>
    </w:p>
    <w:p>
      <w:pPr>
        <w:pStyle w:val="Heading3"/>
      </w:pPr>
      <w:bookmarkStart w:id="54" w:name="_Toc107316631"/>
      <w:bookmarkStart w:id="55" w:name="_Toc107317343"/>
      <w:bookmarkStart w:id="56" w:name="_Toc107412635"/>
      <w:r>
        <w:rPr>
          <w:rStyle w:val="CharDivNo"/>
        </w:rPr>
        <w:t>Division 6</w:t>
      </w:r>
      <w:r>
        <w:rPr>
          <w:snapToGrid w:val="0"/>
        </w:rPr>
        <w:t> — </w:t>
      </w:r>
      <w:r>
        <w:rPr>
          <w:rStyle w:val="CharDivText"/>
        </w:rPr>
        <w:t>Representation in the Court</w:t>
      </w:r>
      <w:bookmarkEnd w:id="54"/>
      <w:bookmarkEnd w:id="55"/>
      <w:bookmarkEnd w:id="56"/>
    </w:p>
    <w:p>
      <w:pPr>
        <w:pStyle w:val="Heading5"/>
        <w:rPr>
          <w:snapToGrid w:val="0"/>
        </w:rPr>
      </w:pPr>
      <w:bookmarkStart w:id="57" w:name="_Toc107412636"/>
      <w:r>
        <w:rPr>
          <w:rStyle w:val="CharSectno"/>
        </w:rPr>
        <w:t>39</w:t>
      </w:r>
      <w:r>
        <w:rPr>
          <w:snapToGrid w:val="0"/>
        </w:rPr>
        <w:t>.</w:t>
      </w:r>
      <w:r>
        <w:rPr>
          <w:snapToGrid w:val="0"/>
        </w:rPr>
        <w:tab/>
        <w:t>Who may appear</w:t>
      </w:r>
      <w:bookmarkEnd w:id="57"/>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No. 65 of 2003 s. 32(4); No. 21 of 2008 s. 660(5).]</w:t>
      </w:r>
    </w:p>
    <w:p>
      <w:pPr>
        <w:pStyle w:val="Heading5"/>
        <w:rPr>
          <w:snapToGrid w:val="0"/>
        </w:rPr>
      </w:pPr>
      <w:bookmarkStart w:id="58" w:name="_Toc107412637"/>
      <w:r>
        <w:rPr>
          <w:rStyle w:val="CharSectno"/>
        </w:rPr>
        <w:t>40</w:t>
      </w:r>
      <w:r>
        <w:rPr>
          <w:snapToGrid w:val="0"/>
        </w:rPr>
        <w:t>.</w:t>
      </w:r>
      <w:r>
        <w:rPr>
          <w:snapToGrid w:val="0"/>
        </w:rPr>
        <w:tab/>
        <w:t>Legal practitioners to have no privilege</w:t>
      </w:r>
      <w:bookmarkEnd w:id="58"/>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No. 65 of 2003 s. 32(5).]</w:t>
      </w:r>
    </w:p>
    <w:p>
      <w:pPr>
        <w:pStyle w:val="Heading3"/>
      </w:pPr>
      <w:bookmarkStart w:id="59" w:name="_Toc107316634"/>
      <w:bookmarkStart w:id="60" w:name="_Toc107317346"/>
      <w:bookmarkStart w:id="61" w:name="_Toc107412638"/>
      <w:r>
        <w:rPr>
          <w:rStyle w:val="CharDivNo"/>
        </w:rPr>
        <w:lastRenderedPageBreak/>
        <w:t>Division 7</w:t>
      </w:r>
      <w:r>
        <w:rPr>
          <w:snapToGrid w:val="0"/>
        </w:rPr>
        <w:t> — </w:t>
      </w:r>
      <w:r>
        <w:rPr>
          <w:rStyle w:val="CharDivText"/>
        </w:rPr>
        <w:t>Jurors</w:t>
      </w:r>
      <w:bookmarkEnd w:id="59"/>
      <w:bookmarkEnd w:id="60"/>
      <w:bookmarkEnd w:id="61"/>
    </w:p>
    <w:p>
      <w:pPr>
        <w:pStyle w:val="Heading5"/>
        <w:rPr>
          <w:snapToGrid w:val="0"/>
        </w:rPr>
      </w:pPr>
      <w:bookmarkStart w:id="62" w:name="_Toc107412639"/>
      <w:r>
        <w:rPr>
          <w:rStyle w:val="CharSectno"/>
        </w:rPr>
        <w:t>41</w:t>
      </w:r>
      <w:r>
        <w:rPr>
          <w:snapToGrid w:val="0"/>
        </w:rPr>
        <w:t>.</w:t>
      </w:r>
      <w:r>
        <w:rPr>
          <w:snapToGrid w:val="0"/>
        </w:rPr>
        <w:tab/>
        <w:t xml:space="preserve">Application of </w:t>
      </w:r>
      <w:r>
        <w:rPr>
          <w:i/>
          <w:snapToGrid w:val="0"/>
        </w:rPr>
        <w:t>Juries Act 1957</w:t>
      </w:r>
      <w:bookmarkEnd w:id="62"/>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No. 14 of 1970 s. 8; No. 58 of 1975 s. 4; No. 53 of 1992 s. 9(3).]</w:t>
      </w:r>
    </w:p>
    <w:p>
      <w:pPr>
        <w:pStyle w:val="Heading2"/>
      </w:pPr>
      <w:bookmarkStart w:id="63" w:name="_Toc107316636"/>
      <w:bookmarkStart w:id="64" w:name="_Toc107317348"/>
      <w:bookmarkStart w:id="65" w:name="_Toc107412640"/>
      <w:r>
        <w:rPr>
          <w:rStyle w:val="CharPartNo"/>
        </w:rPr>
        <w:lastRenderedPageBreak/>
        <w:t>Part III</w:t>
      </w:r>
      <w:r>
        <w:t> — </w:t>
      </w:r>
      <w:r>
        <w:rPr>
          <w:rStyle w:val="CharPartText"/>
        </w:rPr>
        <w:t>Jurisdiction of the Court</w:t>
      </w:r>
      <w:bookmarkEnd w:id="63"/>
      <w:bookmarkEnd w:id="64"/>
      <w:bookmarkEnd w:id="65"/>
    </w:p>
    <w:p>
      <w:pPr>
        <w:pStyle w:val="Heading3"/>
      </w:pPr>
      <w:bookmarkStart w:id="66" w:name="_Toc107316637"/>
      <w:bookmarkStart w:id="67" w:name="_Toc107317349"/>
      <w:bookmarkStart w:id="68" w:name="_Toc107412641"/>
      <w:r>
        <w:rPr>
          <w:rStyle w:val="CharDivNo"/>
        </w:rPr>
        <w:t>Division 1</w:t>
      </w:r>
      <w:r>
        <w:rPr>
          <w:snapToGrid w:val="0"/>
        </w:rPr>
        <w:t> — </w:t>
      </w:r>
      <w:r>
        <w:rPr>
          <w:rStyle w:val="CharDivText"/>
        </w:rPr>
        <w:t>Criminal jurisdiction and procedure</w:t>
      </w:r>
      <w:bookmarkEnd w:id="66"/>
      <w:bookmarkEnd w:id="67"/>
      <w:bookmarkEnd w:id="68"/>
    </w:p>
    <w:p>
      <w:pPr>
        <w:pStyle w:val="Heading5"/>
        <w:rPr>
          <w:snapToGrid w:val="0"/>
        </w:rPr>
      </w:pPr>
      <w:bookmarkStart w:id="69" w:name="_Toc107412642"/>
      <w:r>
        <w:rPr>
          <w:rStyle w:val="CharSectno"/>
        </w:rPr>
        <w:t>42</w:t>
      </w:r>
      <w:r>
        <w:rPr>
          <w:snapToGrid w:val="0"/>
        </w:rPr>
        <w:t>.</w:t>
      </w:r>
      <w:r>
        <w:rPr>
          <w:snapToGrid w:val="0"/>
        </w:rPr>
        <w:tab/>
        <w:t>Criminal jurisdiction</w:t>
      </w:r>
      <w:bookmarkEnd w:id="69"/>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pPr>
      <w:r>
        <w:tab/>
        <w:t>(2)</w:t>
      </w:r>
      <w:r>
        <w:tab/>
        <w:t xml:space="preserve">The Court does not have jurisdiction to try an accused person charged with an indictable offence that is — </w:t>
      </w:r>
    </w:p>
    <w:p>
      <w:pPr>
        <w:pStyle w:val="Indenta"/>
      </w:pPr>
      <w:r>
        <w:tab/>
        <w:t>(a)</w:t>
      </w:r>
      <w:r>
        <w:tab/>
        <w:t xml:space="preserve">a crime under </w:t>
      </w:r>
      <w:r>
        <w:rPr>
          <w:i/>
        </w:rPr>
        <w:t>The Criminal Code</w:t>
      </w:r>
      <w:r>
        <w:t xml:space="preserve"> section 279, 280, 283, 288 or 290; or</w:t>
      </w:r>
    </w:p>
    <w:p>
      <w:pPr>
        <w:pStyle w:val="Indenta"/>
      </w:pPr>
      <w:r>
        <w:tab/>
        <w:t>(b)</w:t>
      </w:r>
      <w:r>
        <w:tab/>
        <w:t>an offence, or offence of a class, prescribed in the regulations.</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No. 118 of 1981 s. 8; No. 52 of 1984 s. 49; No. 74 of 1985 s. 21; No. 14 of 1992 s. 6(8); No. 53 of 1992 s. 10; No. 36 of 1996 s. 32(1); No. 29 of 2008 s. 31; No. 3 of 2017 s. 9; No. 28 of 2018 s. 4.]</w:t>
      </w:r>
    </w:p>
    <w:p>
      <w:pPr>
        <w:pStyle w:val="Heading5"/>
        <w:pageBreakBefore/>
        <w:spacing w:before="0"/>
      </w:pPr>
      <w:bookmarkStart w:id="70" w:name="_Toc107412643"/>
      <w:r>
        <w:rPr>
          <w:rStyle w:val="CharSectno"/>
        </w:rPr>
        <w:lastRenderedPageBreak/>
        <w:t>43</w:t>
      </w:r>
      <w:r>
        <w:t>.</w:t>
      </w:r>
      <w:r>
        <w:tab/>
        <w:t>Exercise of criminal jurisdiction</w:t>
      </w:r>
      <w:bookmarkEnd w:id="70"/>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No. 84 of 2004 s. 34.]</w:t>
      </w:r>
    </w:p>
    <w:p>
      <w:pPr>
        <w:pStyle w:val="Heading5"/>
        <w:rPr>
          <w:snapToGrid w:val="0"/>
        </w:rPr>
      </w:pPr>
      <w:bookmarkStart w:id="71" w:name="_Toc107412644"/>
      <w:r>
        <w:rPr>
          <w:rStyle w:val="CharSectno"/>
        </w:rPr>
        <w:t>44</w:t>
      </w:r>
      <w:r>
        <w:rPr>
          <w:snapToGrid w:val="0"/>
        </w:rPr>
        <w:t>.</w:t>
      </w:r>
      <w:r>
        <w:rPr>
          <w:snapToGrid w:val="0"/>
        </w:rPr>
        <w:tab/>
        <w:t>Practice and procedure to be same as Supreme Court</w:t>
      </w:r>
      <w:bookmarkEnd w:id="71"/>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72" w:name="_Toc107412645"/>
      <w:r>
        <w:rPr>
          <w:rStyle w:val="CharSectno"/>
        </w:rPr>
        <w:t>45</w:t>
      </w:r>
      <w:r>
        <w:rPr>
          <w:snapToGrid w:val="0"/>
        </w:rPr>
        <w:t>.</w:t>
      </w:r>
      <w:r>
        <w:rPr>
          <w:snapToGrid w:val="0"/>
        </w:rPr>
        <w:tab/>
        <w:t>Change of trial from or to Supreme Court</w:t>
      </w:r>
      <w:bookmarkEnd w:id="72"/>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 xml:space="preserve">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w:t>
      </w:r>
      <w:r>
        <w:rPr>
          <w:snapToGrid w:val="0"/>
        </w:rPr>
        <w:lastRenderedPageBreak/>
        <w:t>such person as if the committal had been to, or the indictment presented in, the Supreme Court.</w:t>
      </w:r>
    </w:p>
    <w:p>
      <w:pPr>
        <w:pStyle w:val="Ednotesection"/>
        <w:ind w:left="0" w:firstLine="0"/>
      </w:pPr>
      <w:r>
        <w:t>[</w:t>
      </w:r>
      <w:r>
        <w:rPr>
          <w:b/>
        </w:rPr>
        <w:t>46</w:t>
      </w:r>
      <w:r>
        <w:rPr>
          <w:b/>
        </w:rPr>
        <w:noBreakHyphen/>
        <w:t>49.</w:t>
      </w:r>
      <w:r>
        <w:tab/>
        <w:t>Deleted: No. 84 of 2004 s. 35.]</w:t>
      </w:r>
    </w:p>
    <w:p>
      <w:pPr>
        <w:pStyle w:val="Heading3"/>
      </w:pPr>
      <w:bookmarkStart w:id="73" w:name="_Toc107316642"/>
      <w:bookmarkStart w:id="74" w:name="_Toc107317354"/>
      <w:bookmarkStart w:id="75" w:name="_Toc107412646"/>
      <w:r>
        <w:rPr>
          <w:rStyle w:val="CharDivNo"/>
        </w:rPr>
        <w:t>Division 2</w:t>
      </w:r>
      <w:r>
        <w:rPr>
          <w:snapToGrid w:val="0"/>
        </w:rPr>
        <w:t> — </w:t>
      </w:r>
      <w:r>
        <w:rPr>
          <w:rStyle w:val="CharDivText"/>
        </w:rPr>
        <w:t>Civil jurisdiction</w:t>
      </w:r>
      <w:bookmarkEnd w:id="73"/>
      <w:bookmarkEnd w:id="74"/>
      <w:bookmarkEnd w:id="75"/>
    </w:p>
    <w:p>
      <w:pPr>
        <w:pStyle w:val="Heading5"/>
        <w:rPr>
          <w:snapToGrid w:val="0"/>
        </w:rPr>
      </w:pPr>
      <w:bookmarkStart w:id="76" w:name="_Toc107412647"/>
      <w:r>
        <w:rPr>
          <w:rStyle w:val="CharSectno"/>
        </w:rPr>
        <w:t>50</w:t>
      </w:r>
      <w:r>
        <w:rPr>
          <w:snapToGrid w:val="0"/>
        </w:rPr>
        <w:t>.</w:t>
      </w:r>
      <w:r>
        <w:rPr>
          <w:snapToGrid w:val="0"/>
        </w:rPr>
        <w:tab/>
        <w:t>Civil jurisdiction</w:t>
      </w:r>
      <w:bookmarkEnd w:id="76"/>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 xml:space="preserve">an action for specific performance of or for the rectifying, delivering up, or cancelling of any agreement whatever, where the amount in dispute or the value of </w:t>
      </w:r>
      <w:r>
        <w:rPr>
          <w:snapToGrid w:val="0"/>
        </w:rPr>
        <w:lastRenderedPageBreak/>
        <w:t>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No. 14 of 1970 s. 10; No. 40 of 1972 s. 8; No. 69 of 1976 s. 5; No. 118 of 1981 s. 9; No. 122 of 1984 s. 8; No. 53 of 1992 s. 11(1) and 12; No. 59 of 2004 s. 82(2).]</w:t>
      </w:r>
    </w:p>
    <w:p>
      <w:pPr>
        <w:pStyle w:val="Heading5"/>
        <w:pageBreakBefore/>
        <w:spacing w:before="0"/>
        <w:rPr>
          <w:snapToGrid w:val="0"/>
        </w:rPr>
      </w:pPr>
      <w:bookmarkStart w:id="77" w:name="_Toc107412648"/>
      <w:r>
        <w:rPr>
          <w:rStyle w:val="CharSectno"/>
        </w:rPr>
        <w:lastRenderedPageBreak/>
        <w:t>51</w:t>
      </w:r>
      <w:r>
        <w:rPr>
          <w:snapToGrid w:val="0"/>
        </w:rPr>
        <w:t>.</w:t>
      </w:r>
      <w:r>
        <w:rPr>
          <w:snapToGrid w:val="0"/>
        </w:rPr>
        <w:tab/>
        <w:t xml:space="preserve">Verdict or judgment for amount over </w:t>
      </w:r>
      <w:r>
        <w:t>the jurisdictional limit</w:t>
      </w:r>
      <w:bookmarkEnd w:id="77"/>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No. 40 of 1972 s. 9; No. 69 of 1976 s. 6; No. 118 of 1981 s. 10; No. 122 of 1984 s. 9; No. 53 of 1992 s. 11(2); No. 59 of 2004 s. 82(3).]</w:t>
      </w:r>
    </w:p>
    <w:p>
      <w:pPr>
        <w:pStyle w:val="Heading5"/>
        <w:rPr>
          <w:snapToGrid w:val="0"/>
        </w:rPr>
      </w:pPr>
      <w:bookmarkStart w:id="78" w:name="_Toc107412649"/>
      <w:r>
        <w:rPr>
          <w:rStyle w:val="CharSectno"/>
        </w:rPr>
        <w:t>52</w:t>
      </w:r>
      <w:r>
        <w:rPr>
          <w:snapToGrid w:val="0"/>
        </w:rPr>
        <w:t>.</w:t>
      </w:r>
      <w:r>
        <w:rPr>
          <w:snapToGrid w:val="0"/>
        </w:rPr>
        <w:tab/>
        <w:t>Practice and procedure to be same as Supreme Court</w:t>
      </w:r>
      <w:bookmarkEnd w:id="78"/>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79" w:name="_Toc107412650"/>
      <w:r>
        <w:rPr>
          <w:rStyle w:val="CharSectno"/>
        </w:rPr>
        <w:t>53</w:t>
      </w:r>
      <w:r>
        <w:rPr>
          <w:snapToGrid w:val="0"/>
        </w:rPr>
        <w:t>.</w:t>
      </w:r>
      <w:r>
        <w:rPr>
          <w:snapToGrid w:val="0"/>
        </w:rPr>
        <w:tab/>
        <w:t>Powers and authorities of judges, registrars and other officers</w:t>
      </w:r>
      <w:bookmarkEnd w:id="79"/>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w:t>
      </w:r>
      <w:r>
        <w:rPr>
          <w:snapToGrid w:val="0"/>
        </w:rPr>
        <w:lastRenderedPageBreak/>
        <w:t>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No. 40 of 1972 s. 10; No. 53 of 1992 s. 9(3); No. 65 of 2003 s. 32(6); No. 59 of 2004 s. 85.]</w:t>
      </w:r>
    </w:p>
    <w:p>
      <w:pPr>
        <w:pStyle w:val="Heading5"/>
        <w:rPr>
          <w:snapToGrid w:val="0"/>
        </w:rPr>
      </w:pPr>
      <w:bookmarkStart w:id="80" w:name="_Toc107412651"/>
      <w:r>
        <w:rPr>
          <w:rStyle w:val="CharSectno"/>
        </w:rPr>
        <w:t>54</w:t>
      </w:r>
      <w:r>
        <w:rPr>
          <w:snapToGrid w:val="0"/>
        </w:rPr>
        <w:t>.</w:t>
      </w:r>
      <w:r>
        <w:rPr>
          <w:snapToGrid w:val="0"/>
        </w:rPr>
        <w:tab/>
        <w:t>Absconding debtors, jurisdiction over</w:t>
      </w:r>
      <w:bookmarkEnd w:id="80"/>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81" w:name="_Toc107412652"/>
      <w:r>
        <w:rPr>
          <w:rStyle w:val="CharSectno"/>
        </w:rPr>
        <w:t>55</w:t>
      </w:r>
      <w:r>
        <w:rPr>
          <w:snapToGrid w:val="0"/>
        </w:rPr>
        <w:t>.</w:t>
      </w:r>
      <w:r>
        <w:rPr>
          <w:snapToGrid w:val="0"/>
        </w:rPr>
        <w:tab/>
        <w:t>Court has powers of Supreme Court</w:t>
      </w:r>
      <w:bookmarkEnd w:id="81"/>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 xml:space="preserve">to make any order that could be made in regard to any action or matter, and shall in each such action or matter </w:t>
      </w:r>
      <w:r>
        <w:rPr>
          <w:snapToGrid w:val="0"/>
        </w:rPr>
        <w:lastRenderedPageBreak/>
        <w:t>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No. 59 of 2004 s. 85.]</w:t>
      </w:r>
    </w:p>
    <w:p>
      <w:pPr>
        <w:pStyle w:val="Heading5"/>
        <w:rPr>
          <w:snapToGrid w:val="0"/>
        </w:rPr>
      </w:pPr>
      <w:bookmarkStart w:id="82" w:name="_Toc107412653"/>
      <w:r>
        <w:rPr>
          <w:rStyle w:val="CharSectno"/>
        </w:rPr>
        <w:t>57</w:t>
      </w:r>
      <w:r>
        <w:rPr>
          <w:snapToGrid w:val="0"/>
        </w:rPr>
        <w:t>.</w:t>
      </w:r>
      <w:r>
        <w:rPr>
          <w:snapToGrid w:val="0"/>
        </w:rPr>
        <w:tab/>
        <w:t>Rules of law and equity applicable to the Court</w:t>
      </w:r>
      <w:bookmarkEnd w:id="82"/>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83" w:name="_Toc107412654"/>
      <w:r>
        <w:rPr>
          <w:rStyle w:val="CharSectno"/>
        </w:rPr>
        <w:t>58</w:t>
      </w:r>
      <w:r>
        <w:rPr>
          <w:snapToGrid w:val="0"/>
        </w:rPr>
        <w:t>.</w:t>
      </w:r>
      <w:r>
        <w:rPr>
          <w:snapToGrid w:val="0"/>
        </w:rPr>
        <w:tab/>
        <w:t>Defences or counterclaims in the Court and transfers from the Court</w:t>
      </w:r>
      <w:bookmarkEnd w:id="83"/>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pageBreakBefore/>
        <w:spacing w:before="0"/>
        <w:rPr>
          <w:snapToGrid w:val="0"/>
        </w:rPr>
      </w:pPr>
      <w:bookmarkStart w:id="84" w:name="_Toc107412655"/>
      <w:r>
        <w:rPr>
          <w:rStyle w:val="CharSectno"/>
        </w:rPr>
        <w:lastRenderedPageBreak/>
        <w:t>59</w:t>
      </w:r>
      <w:r>
        <w:rPr>
          <w:snapToGrid w:val="0"/>
        </w:rPr>
        <w:t>.</w:t>
      </w:r>
      <w:r>
        <w:rPr>
          <w:snapToGrid w:val="0"/>
        </w:rPr>
        <w:tab/>
        <w:t>Splitting demands, abandonment of excess</w:t>
      </w:r>
      <w:bookmarkEnd w:id="84"/>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85" w:name="_Toc107412656"/>
      <w:r>
        <w:rPr>
          <w:rStyle w:val="CharSectno"/>
        </w:rPr>
        <w:t>60</w:t>
      </w:r>
      <w:r>
        <w:rPr>
          <w:snapToGrid w:val="0"/>
        </w:rPr>
        <w:t>.</w:t>
      </w:r>
      <w:r>
        <w:rPr>
          <w:snapToGrid w:val="0"/>
        </w:rPr>
        <w:tab/>
        <w:t>Suing on separate security a separate cause of action</w:t>
      </w:r>
      <w:bookmarkEnd w:id="85"/>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No. 40 of 1972 s. 12; No. 69 of 1976 s. 7; No. 118 of 1981 s. 11; No. 122 of 1984 s. 10; No. 53 of 1992 s. 11(3); No. 59 of 2004 s. 82(4).]</w:t>
      </w:r>
    </w:p>
    <w:p>
      <w:pPr>
        <w:pStyle w:val="Heading5"/>
        <w:rPr>
          <w:snapToGrid w:val="0"/>
        </w:rPr>
      </w:pPr>
      <w:bookmarkStart w:id="86" w:name="_Toc107412657"/>
      <w:r>
        <w:rPr>
          <w:rStyle w:val="CharSectno"/>
        </w:rPr>
        <w:t>61</w:t>
      </w:r>
      <w:r>
        <w:rPr>
          <w:snapToGrid w:val="0"/>
        </w:rPr>
        <w:t>.</w:t>
      </w:r>
      <w:r>
        <w:rPr>
          <w:snapToGrid w:val="0"/>
        </w:rPr>
        <w:tab/>
        <w:t>Facts establishing jurisdiction need not be stated</w:t>
      </w:r>
      <w:bookmarkEnd w:id="86"/>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r>
        <w:t>[</w:t>
      </w:r>
      <w:r>
        <w:rPr>
          <w:b/>
        </w:rPr>
        <w:t>62.</w:t>
      </w:r>
      <w:r>
        <w:tab/>
        <w:t>Deleted: No. 59 of 2004 s. 85.]</w:t>
      </w:r>
    </w:p>
    <w:p>
      <w:pPr>
        <w:pStyle w:val="Heading5"/>
        <w:rPr>
          <w:snapToGrid w:val="0"/>
        </w:rPr>
      </w:pPr>
      <w:bookmarkStart w:id="87" w:name="_Toc107412658"/>
      <w:r>
        <w:rPr>
          <w:rStyle w:val="CharSectno"/>
        </w:rPr>
        <w:t>63</w:t>
      </w:r>
      <w:r>
        <w:rPr>
          <w:snapToGrid w:val="0"/>
        </w:rPr>
        <w:t>.</w:t>
      </w:r>
      <w:r>
        <w:rPr>
          <w:snapToGrid w:val="0"/>
        </w:rPr>
        <w:tab/>
        <w:t>Contempt</w:t>
      </w:r>
      <w:bookmarkEnd w:id="87"/>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xml:space="preserve">, clerk or officer of the Court during </w:t>
      </w:r>
      <w:r>
        <w:rPr>
          <w:snapToGrid w:val="0"/>
        </w:rPr>
        <w:lastRenderedPageBreak/>
        <w:t>his sitting or attendance in Court or any District Court judge in going to or returning from the Court; or</w:t>
      </w:r>
    </w:p>
    <w:p>
      <w:pPr>
        <w:pStyle w:val="Indenta"/>
        <w:rPr>
          <w:snapToGrid w:val="0"/>
        </w:rPr>
      </w:pPr>
      <w:r>
        <w:rPr>
          <w:snapToGrid w:val="0"/>
        </w:rPr>
        <w:tab/>
        <w:t>(b)</w:t>
      </w:r>
      <w:r>
        <w:rPr>
          <w:snapToGrid w:val="0"/>
        </w:rPr>
        <w:tab/>
        <w:t>wilfully interrupts proceedings of the Court; or</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 or</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 or</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lastRenderedPageBreak/>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No. 71 of 1986 s. 4; No. 53 of 1992 s. 13; No. 59 of 2004 s. 85.]</w:t>
      </w:r>
    </w:p>
    <w:p>
      <w:pPr>
        <w:pStyle w:val="Heading2"/>
      </w:pPr>
      <w:bookmarkStart w:id="88" w:name="_Toc107316655"/>
      <w:bookmarkStart w:id="89" w:name="_Toc107317367"/>
      <w:bookmarkStart w:id="90" w:name="_Toc107412659"/>
      <w:r>
        <w:rPr>
          <w:rStyle w:val="CharPartNo"/>
        </w:rPr>
        <w:lastRenderedPageBreak/>
        <w:t>Part IV</w:t>
      </w:r>
      <w:r>
        <w:rPr>
          <w:rStyle w:val="CharDivNo"/>
        </w:rPr>
        <w:t> </w:t>
      </w:r>
      <w:r>
        <w:t>—</w:t>
      </w:r>
      <w:r>
        <w:rPr>
          <w:rStyle w:val="CharDivText"/>
        </w:rPr>
        <w:t> </w:t>
      </w:r>
      <w:r>
        <w:rPr>
          <w:rStyle w:val="CharPartText"/>
        </w:rPr>
        <w:t>Costs</w:t>
      </w:r>
      <w:bookmarkEnd w:id="88"/>
      <w:bookmarkEnd w:id="89"/>
      <w:bookmarkEnd w:id="90"/>
    </w:p>
    <w:p>
      <w:pPr>
        <w:pStyle w:val="Heading5"/>
        <w:spacing w:before="180"/>
        <w:rPr>
          <w:snapToGrid w:val="0"/>
        </w:rPr>
      </w:pPr>
      <w:bookmarkStart w:id="91" w:name="_Toc107412660"/>
      <w:r>
        <w:rPr>
          <w:rStyle w:val="CharSectno"/>
        </w:rPr>
        <w:t>64</w:t>
      </w:r>
      <w:r>
        <w:rPr>
          <w:snapToGrid w:val="0"/>
        </w:rPr>
        <w:t>.</w:t>
      </w:r>
      <w:r>
        <w:rPr>
          <w:snapToGrid w:val="0"/>
        </w:rPr>
        <w:tab/>
        <w:t>Costs of action or proceeding</w:t>
      </w:r>
      <w:bookmarkEnd w:id="91"/>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No. 65 of 1987 s. 24; No. 65 of 2003 s. 32(7); No. 21 of 2008 s. 660(6); No. 9 of 2022 s. 353.]</w:t>
      </w:r>
    </w:p>
    <w:p>
      <w:pPr>
        <w:pStyle w:val="Heading5"/>
        <w:spacing w:before="180"/>
        <w:rPr>
          <w:snapToGrid w:val="0"/>
        </w:rPr>
      </w:pPr>
      <w:bookmarkStart w:id="92" w:name="_Toc107412661"/>
      <w:r>
        <w:rPr>
          <w:rStyle w:val="CharSectno"/>
        </w:rPr>
        <w:t>65</w:t>
      </w:r>
      <w:r>
        <w:rPr>
          <w:snapToGrid w:val="0"/>
        </w:rPr>
        <w:t>.</w:t>
      </w:r>
      <w:r>
        <w:rPr>
          <w:snapToGrid w:val="0"/>
        </w:rPr>
        <w:tab/>
        <w:t>Costs where the Court has no jurisdiction</w:t>
      </w:r>
      <w:bookmarkEnd w:id="92"/>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93" w:name="_Toc107412662"/>
      <w:r>
        <w:rPr>
          <w:rStyle w:val="CharSectno"/>
        </w:rPr>
        <w:t>66</w:t>
      </w:r>
      <w:r>
        <w:rPr>
          <w:snapToGrid w:val="0"/>
        </w:rPr>
        <w:t>.</w:t>
      </w:r>
      <w:r>
        <w:rPr>
          <w:snapToGrid w:val="0"/>
        </w:rPr>
        <w:tab/>
        <w:t>Solicitor and client costs, witness expenses</w:t>
      </w:r>
      <w:bookmarkEnd w:id="93"/>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w:t>
      </w:r>
      <w:r>
        <w:rPr>
          <w:snapToGrid w:val="0"/>
        </w:rPr>
        <w:t>and the expenses to be paid to witnesses shall be according to the scale, for the time being in force, in the Supreme Court.</w:t>
      </w:r>
    </w:p>
    <w:p>
      <w:pPr>
        <w:pStyle w:val="Footnotesection"/>
      </w:pPr>
      <w:r>
        <w:tab/>
        <w:t>[Section 66 amended: No. 65 of 1987 s. 25; No. 65 of 2003 s. 32(8); No. 21 of 2008 s. 660(7); No. 9 of 2022 s. 354.]</w:t>
      </w:r>
    </w:p>
    <w:p>
      <w:pPr>
        <w:pStyle w:val="Heading5"/>
        <w:rPr>
          <w:snapToGrid w:val="0"/>
        </w:rPr>
      </w:pPr>
      <w:bookmarkStart w:id="94" w:name="_Toc107412663"/>
      <w:r>
        <w:rPr>
          <w:rStyle w:val="CharSectno"/>
        </w:rPr>
        <w:lastRenderedPageBreak/>
        <w:t>67</w:t>
      </w:r>
      <w:r>
        <w:rPr>
          <w:snapToGrid w:val="0"/>
        </w:rPr>
        <w:t>.</w:t>
      </w:r>
      <w:r>
        <w:rPr>
          <w:snapToGrid w:val="0"/>
        </w:rPr>
        <w:tab/>
        <w:t>Costs, taxation of</w:t>
      </w:r>
      <w:bookmarkEnd w:id="94"/>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No. 40 of 1972 s. 13; No. 53 of 1992 s. 9(3).]</w:t>
      </w:r>
    </w:p>
    <w:p>
      <w:pPr>
        <w:pStyle w:val="Heading5"/>
        <w:rPr>
          <w:snapToGrid w:val="0"/>
        </w:rPr>
      </w:pPr>
      <w:bookmarkStart w:id="95" w:name="_Toc107412664"/>
      <w:r>
        <w:rPr>
          <w:rStyle w:val="CharSectno"/>
        </w:rPr>
        <w:t>68</w:t>
      </w:r>
      <w:r>
        <w:rPr>
          <w:snapToGrid w:val="0"/>
        </w:rPr>
        <w:t>.</w:t>
      </w:r>
      <w:r>
        <w:rPr>
          <w:snapToGrid w:val="0"/>
        </w:rPr>
        <w:tab/>
        <w:t>Solicitor and client costs to be taxed in Supreme Court</w:t>
      </w:r>
      <w:bookmarkEnd w:id="95"/>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96" w:name="_Toc107316661"/>
      <w:bookmarkStart w:id="97" w:name="_Toc107317373"/>
      <w:bookmarkStart w:id="98" w:name="_Toc107412665"/>
      <w:r>
        <w:rPr>
          <w:rStyle w:val="CharPartNo"/>
        </w:rPr>
        <w:lastRenderedPageBreak/>
        <w:t>Part V</w:t>
      </w:r>
      <w:r>
        <w:rPr>
          <w:rStyle w:val="CharDivNo"/>
        </w:rPr>
        <w:t> </w:t>
      </w:r>
      <w:r>
        <w:t>—</w:t>
      </w:r>
      <w:r>
        <w:rPr>
          <w:rStyle w:val="CharDivText"/>
        </w:rPr>
        <w:t> </w:t>
      </w:r>
      <w:r>
        <w:rPr>
          <w:rStyle w:val="CharPartText"/>
        </w:rPr>
        <w:t>Commencement of action</w:t>
      </w:r>
      <w:bookmarkEnd w:id="96"/>
      <w:bookmarkEnd w:id="97"/>
      <w:bookmarkEnd w:id="98"/>
    </w:p>
    <w:p>
      <w:pPr>
        <w:pStyle w:val="Heading5"/>
        <w:rPr>
          <w:snapToGrid w:val="0"/>
        </w:rPr>
      </w:pPr>
      <w:bookmarkStart w:id="99" w:name="_Toc107412666"/>
      <w:r>
        <w:rPr>
          <w:rStyle w:val="CharSectno"/>
        </w:rPr>
        <w:t>69</w:t>
      </w:r>
      <w:r>
        <w:rPr>
          <w:snapToGrid w:val="0"/>
        </w:rPr>
        <w:t>.</w:t>
      </w:r>
      <w:r>
        <w:rPr>
          <w:snapToGrid w:val="0"/>
        </w:rPr>
        <w:tab/>
        <w:t>Where action to be commenced</w:t>
      </w:r>
      <w:bookmarkEnd w:id="99"/>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 or</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100" w:name="_Toc107412667"/>
      <w:r>
        <w:rPr>
          <w:rStyle w:val="CharSectno"/>
        </w:rPr>
        <w:t>70</w:t>
      </w:r>
      <w:r>
        <w:rPr>
          <w:snapToGrid w:val="0"/>
        </w:rPr>
        <w:t>.</w:t>
      </w:r>
      <w:r>
        <w:rPr>
          <w:snapToGrid w:val="0"/>
        </w:rPr>
        <w:tab/>
        <w:t>Defendant may object to where action commenced</w:t>
      </w:r>
      <w:bookmarkEnd w:id="100"/>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101" w:name="_Toc107316664"/>
      <w:bookmarkStart w:id="102" w:name="_Toc107317376"/>
      <w:bookmarkStart w:id="103" w:name="_Toc107412668"/>
      <w:r>
        <w:rPr>
          <w:rStyle w:val="CharPartNo"/>
        </w:rPr>
        <w:lastRenderedPageBreak/>
        <w:t>Part VI</w:t>
      </w:r>
      <w:r>
        <w:rPr>
          <w:rStyle w:val="CharDivNo"/>
        </w:rPr>
        <w:t> </w:t>
      </w:r>
      <w:r>
        <w:t>—</w:t>
      </w:r>
      <w:r>
        <w:rPr>
          <w:rStyle w:val="CharDivText"/>
        </w:rPr>
        <w:t> </w:t>
      </w:r>
      <w:r>
        <w:rPr>
          <w:rStyle w:val="CharPartText"/>
        </w:rPr>
        <w:t>Remitting and transferring actions and matters</w:t>
      </w:r>
      <w:bookmarkEnd w:id="101"/>
      <w:bookmarkEnd w:id="102"/>
      <w:bookmarkEnd w:id="103"/>
    </w:p>
    <w:p>
      <w:pPr>
        <w:pStyle w:val="Heading5"/>
        <w:rPr>
          <w:snapToGrid w:val="0"/>
        </w:rPr>
      </w:pPr>
      <w:bookmarkStart w:id="104" w:name="_Toc107412669"/>
      <w:r>
        <w:rPr>
          <w:rStyle w:val="CharSectno"/>
        </w:rPr>
        <w:t>71</w:t>
      </w:r>
      <w:r>
        <w:rPr>
          <w:snapToGrid w:val="0"/>
        </w:rPr>
        <w:t>.</w:t>
      </w:r>
      <w:r>
        <w:rPr>
          <w:snapToGrid w:val="0"/>
        </w:rPr>
        <w:tab/>
        <w:t>Transfer to different place</w:t>
      </w:r>
      <w:bookmarkEnd w:id="104"/>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105" w:name="_Toc107412670"/>
      <w:r>
        <w:rPr>
          <w:rStyle w:val="CharSectno"/>
        </w:rPr>
        <w:t>72</w:t>
      </w:r>
      <w:r>
        <w:rPr>
          <w:snapToGrid w:val="0"/>
        </w:rPr>
        <w:t>.</w:t>
      </w:r>
      <w:r>
        <w:rPr>
          <w:snapToGrid w:val="0"/>
        </w:rPr>
        <w:tab/>
        <w:t>Judge may change venue</w:t>
      </w:r>
      <w:bookmarkEnd w:id="105"/>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r>
        <w:t>[</w:t>
      </w:r>
      <w:r>
        <w:rPr>
          <w:b/>
        </w:rPr>
        <w:t>73.</w:t>
      </w:r>
      <w:r>
        <w:tab/>
        <w:t>Deleted: No. 59 of 2004 s. 85.]</w:t>
      </w:r>
    </w:p>
    <w:p>
      <w:pPr>
        <w:pStyle w:val="Heading5"/>
      </w:pPr>
      <w:bookmarkStart w:id="106" w:name="_Toc107412671"/>
      <w:r>
        <w:rPr>
          <w:rStyle w:val="CharSectno"/>
        </w:rPr>
        <w:t>74</w:t>
      </w:r>
      <w:r>
        <w:t>.</w:t>
      </w:r>
      <w:r>
        <w:tab/>
        <w:t>Court may transfer case to Magistrates Court</w:t>
      </w:r>
      <w:bookmarkEnd w:id="106"/>
    </w:p>
    <w:p>
      <w:pPr>
        <w:pStyle w:val="Subsection"/>
      </w:pPr>
      <w:r>
        <w:tab/>
        <w:t>(1)</w:t>
      </w:r>
      <w:r>
        <w:tab/>
        <w:t>If an action or matter in the Court —</w:t>
      </w:r>
    </w:p>
    <w:p>
      <w:pPr>
        <w:pStyle w:val="Indenta"/>
      </w:pPr>
      <w:r>
        <w:tab/>
        <w:t>(a)</w:t>
      </w:r>
      <w:r>
        <w:tab/>
        <w:t>is within the Magistrates Court’s jurisdiction; or</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lastRenderedPageBreak/>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 and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No. 59 of 2004 s. 83.]</w:t>
      </w:r>
    </w:p>
    <w:p>
      <w:pPr>
        <w:pStyle w:val="Ednotesection"/>
      </w:pPr>
      <w:r>
        <w:t>[</w:t>
      </w:r>
      <w:r>
        <w:rPr>
          <w:b/>
        </w:rPr>
        <w:t>75.</w:t>
      </w:r>
      <w:r>
        <w:tab/>
        <w:t>Deleted: No. 59 of 2004 s. 85.]</w:t>
      </w:r>
    </w:p>
    <w:p>
      <w:pPr>
        <w:pStyle w:val="Heading5"/>
        <w:rPr>
          <w:snapToGrid w:val="0"/>
        </w:rPr>
      </w:pPr>
      <w:bookmarkStart w:id="107" w:name="_Toc107412672"/>
      <w:r>
        <w:rPr>
          <w:rStyle w:val="CharSectno"/>
        </w:rPr>
        <w:t>76</w:t>
      </w:r>
      <w:r>
        <w:rPr>
          <w:snapToGrid w:val="0"/>
        </w:rPr>
        <w:t>.</w:t>
      </w:r>
      <w:r>
        <w:rPr>
          <w:snapToGrid w:val="0"/>
        </w:rPr>
        <w:tab/>
        <w:t>Supreme Court may remit District Court action to Supreme Court</w:t>
      </w:r>
      <w:bookmarkEnd w:id="107"/>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108" w:name="_Toc107412673"/>
      <w:r>
        <w:rPr>
          <w:rStyle w:val="CharSectno"/>
        </w:rPr>
        <w:t>77</w:t>
      </w:r>
      <w:r>
        <w:rPr>
          <w:snapToGrid w:val="0"/>
        </w:rPr>
        <w:t>.</w:t>
      </w:r>
      <w:r>
        <w:rPr>
          <w:snapToGrid w:val="0"/>
        </w:rPr>
        <w:tab/>
        <w:t>District Court may remit to Supreme Court</w:t>
      </w:r>
      <w:bookmarkEnd w:id="108"/>
    </w:p>
    <w:p>
      <w:pPr>
        <w:pStyle w:val="Subsection"/>
        <w:rPr>
          <w:snapToGrid w:val="0"/>
        </w:rPr>
      </w:pPr>
      <w:r>
        <w:rPr>
          <w:snapToGrid w:val="0"/>
        </w:rPr>
        <w:tab/>
      </w:r>
      <w:r>
        <w:rPr>
          <w:snapToGrid w:val="0"/>
        </w:rPr>
        <w:tab/>
        <w:t xml:space="preserve">Where it appears to a District Court judge that any action or matter brought before the Court ought from its nature, or magnitude, or by reason of the question of law involved to be </w:t>
      </w:r>
      <w:r>
        <w:rPr>
          <w:snapToGrid w:val="0"/>
        </w:rPr>
        <w:lastRenderedPageBreak/>
        <w:t>heard and determined by the Supreme Court, he may make an order, remitting the action or matter to the Supreme Court.</w:t>
      </w:r>
    </w:p>
    <w:p>
      <w:pPr>
        <w:pStyle w:val="Heading5"/>
        <w:rPr>
          <w:snapToGrid w:val="0"/>
        </w:rPr>
      </w:pPr>
      <w:bookmarkStart w:id="109" w:name="_Toc107412674"/>
      <w:r>
        <w:rPr>
          <w:rStyle w:val="CharSectno"/>
        </w:rPr>
        <w:t>78</w:t>
      </w:r>
      <w:r>
        <w:rPr>
          <w:snapToGrid w:val="0"/>
        </w:rPr>
        <w:t>.</w:t>
      </w:r>
      <w:r>
        <w:rPr>
          <w:snapToGrid w:val="0"/>
        </w:rPr>
        <w:tab/>
        <w:t>Proceedings after order to remit</w:t>
      </w:r>
      <w:bookmarkEnd w:id="109"/>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110" w:name="_Toc107316671"/>
      <w:bookmarkStart w:id="111" w:name="_Toc107317383"/>
      <w:bookmarkStart w:id="112" w:name="_Toc107412675"/>
      <w:r>
        <w:rPr>
          <w:rStyle w:val="CharPartNo"/>
        </w:rPr>
        <w:lastRenderedPageBreak/>
        <w:t>Part VII</w:t>
      </w:r>
      <w:r>
        <w:rPr>
          <w:rStyle w:val="CharDivNo"/>
        </w:rPr>
        <w:t> </w:t>
      </w:r>
      <w:r>
        <w:t>—</w:t>
      </w:r>
      <w:r>
        <w:rPr>
          <w:rStyle w:val="CharDivText"/>
        </w:rPr>
        <w:t> </w:t>
      </w:r>
      <w:r>
        <w:rPr>
          <w:rStyle w:val="CharPartText"/>
        </w:rPr>
        <w:t>Appeals, certiorari, prohibition and mandamus</w:t>
      </w:r>
      <w:bookmarkEnd w:id="110"/>
      <w:bookmarkEnd w:id="111"/>
      <w:bookmarkEnd w:id="112"/>
    </w:p>
    <w:p>
      <w:pPr>
        <w:pStyle w:val="Heading5"/>
        <w:rPr>
          <w:snapToGrid w:val="0"/>
        </w:rPr>
      </w:pPr>
      <w:bookmarkStart w:id="113" w:name="_Toc107412676"/>
      <w:r>
        <w:rPr>
          <w:rStyle w:val="CharSectno"/>
        </w:rPr>
        <w:t>79</w:t>
      </w:r>
      <w:r>
        <w:rPr>
          <w:snapToGrid w:val="0"/>
        </w:rPr>
        <w:t>.</w:t>
      </w:r>
      <w:r>
        <w:rPr>
          <w:snapToGrid w:val="0"/>
        </w:rPr>
        <w:tab/>
        <w:t>Appeal to the Court of Appeal</w:t>
      </w:r>
      <w:bookmarkEnd w:id="113"/>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lastRenderedPageBreak/>
        <w:tab/>
        <w:t>(b)</w:t>
      </w:r>
      <w:r>
        <w:rPr>
          <w:snapToGrid w:val="0"/>
        </w:rPr>
        <w:tab/>
        <w:t>on the ground that the proceedings might or should have been taken at any other place where the Court was sitting.</w:t>
      </w:r>
    </w:p>
    <w:p>
      <w:pPr>
        <w:pStyle w:val="Footnotesection"/>
      </w:pPr>
      <w:r>
        <w:tab/>
        <w:t>[Section 79 amended: No. 109 of 1985 s. 3; No. 45 of 2004 s. 32(2)-(4); No. 23 of 2012 s. 45.]</w:t>
      </w:r>
    </w:p>
    <w:p>
      <w:pPr>
        <w:pStyle w:val="Heading5"/>
        <w:rPr>
          <w:snapToGrid w:val="0"/>
        </w:rPr>
      </w:pPr>
      <w:bookmarkStart w:id="114" w:name="_Toc107412677"/>
      <w:r>
        <w:rPr>
          <w:rStyle w:val="CharSectno"/>
        </w:rPr>
        <w:t>80</w:t>
      </w:r>
      <w:r>
        <w:rPr>
          <w:snapToGrid w:val="0"/>
        </w:rPr>
        <w:t>.</w:t>
      </w:r>
      <w:r>
        <w:rPr>
          <w:snapToGrid w:val="0"/>
        </w:rPr>
        <w:tab/>
        <w:t>Appeals, etc. to be only as provided by this Act</w:t>
      </w:r>
      <w:bookmarkEnd w:id="114"/>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115" w:name="_Toc107412678"/>
      <w:r>
        <w:rPr>
          <w:rStyle w:val="CharSectno"/>
        </w:rPr>
        <w:t>81</w:t>
      </w:r>
      <w:r>
        <w:rPr>
          <w:snapToGrid w:val="0"/>
        </w:rPr>
        <w:t>.</w:t>
      </w:r>
      <w:r>
        <w:rPr>
          <w:snapToGrid w:val="0"/>
        </w:rPr>
        <w:tab/>
        <w:t>Certiorari may issue, procedure</w:t>
      </w:r>
      <w:bookmarkEnd w:id="115"/>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116" w:name="_Toc107412679"/>
      <w:r>
        <w:rPr>
          <w:rStyle w:val="CharSectno"/>
        </w:rPr>
        <w:t>82</w:t>
      </w:r>
      <w:r>
        <w:rPr>
          <w:snapToGrid w:val="0"/>
        </w:rPr>
        <w:t>.</w:t>
      </w:r>
      <w:r>
        <w:rPr>
          <w:snapToGrid w:val="0"/>
        </w:rPr>
        <w:tab/>
        <w:t>Stay of proceedings may be ordered in certiorari or prohibition proceedings</w:t>
      </w:r>
      <w:bookmarkEnd w:id="116"/>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lastRenderedPageBreak/>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117" w:name="_Toc107412680"/>
      <w:r>
        <w:rPr>
          <w:rStyle w:val="CharSectno"/>
        </w:rPr>
        <w:t>83</w:t>
      </w:r>
      <w:r>
        <w:rPr>
          <w:snapToGrid w:val="0"/>
        </w:rPr>
        <w:t>.</w:t>
      </w:r>
      <w:r>
        <w:rPr>
          <w:snapToGrid w:val="0"/>
        </w:rPr>
        <w:tab/>
        <w:t>Prohibition proceedings, procedure</w:t>
      </w:r>
      <w:bookmarkEnd w:id="117"/>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 and</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118" w:name="_Toc107412681"/>
      <w:r>
        <w:rPr>
          <w:rStyle w:val="CharSectno"/>
        </w:rPr>
        <w:lastRenderedPageBreak/>
        <w:t>84</w:t>
      </w:r>
      <w:r>
        <w:rPr>
          <w:snapToGrid w:val="0"/>
        </w:rPr>
        <w:t>.</w:t>
      </w:r>
      <w:r>
        <w:rPr>
          <w:snapToGrid w:val="0"/>
        </w:rPr>
        <w:tab/>
        <w:t>Order in lieu of mandamus</w:t>
      </w:r>
      <w:bookmarkEnd w:id="118"/>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119" w:name="_Toc107412682"/>
      <w:r>
        <w:rPr>
          <w:rStyle w:val="CharSectno"/>
        </w:rPr>
        <w:t>85</w:t>
      </w:r>
      <w:r>
        <w:rPr>
          <w:snapToGrid w:val="0"/>
        </w:rPr>
        <w:t>.</w:t>
      </w:r>
      <w:r>
        <w:rPr>
          <w:snapToGrid w:val="0"/>
        </w:rPr>
        <w:tab/>
        <w:t>Notice to be given of writ of certiorari or prohibition on ex parte application</w:t>
      </w:r>
      <w:bookmarkEnd w:id="119"/>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120" w:name="_Toc107316679"/>
      <w:bookmarkStart w:id="121" w:name="_Toc107317391"/>
      <w:bookmarkStart w:id="122" w:name="_Toc107412683"/>
      <w:r>
        <w:rPr>
          <w:rStyle w:val="CharPartNo"/>
        </w:rPr>
        <w:lastRenderedPageBreak/>
        <w:t>Part VIII</w:t>
      </w:r>
      <w:r>
        <w:rPr>
          <w:rStyle w:val="CharDivNo"/>
        </w:rPr>
        <w:t> </w:t>
      </w:r>
      <w:r>
        <w:t>—</w:t>
      </w:r>
      <w:r>
        <w:rPr>
          <w:rStyle w:val="CharDivText"/>
        </w:rPr>
        <w:t> </w:t>
      </w:r>
      <w:r>
        <w:rPr>
          <w:rStyle w:val="CharPartText"/>
        </w:rPr>
        <w:t>Practice and procedure and rules of court</w:t>
      </w:r>
      <w:bookmarkEnd w:id="120"/>
      <w:bookmarkEnd w:id="121"/>
      <w:bookmarkEnd w:id="122"/>
    </w:p>
    <w:p>
      <w:pPr>
        <w:pStyle w:val="Heading5"/>
        <w:rPr>
          <w:snapToGrid w:val="0"/>
        </w:rPr>
      </w:pPr>
      <w:bookmarkStart w:id="123" w:name="_Toc107412684"/>
      <w:r>
        <w:rPr>
          <w:rStyle w:val="CharSectno"/>
        </w:rPr>
        <w:t>86</w:t>
      </w:r>
      <w:r>
        <w:rPr>
          <w:snapToGrid w:val="0"/>
        </w:rPr>
        <w:t>.</w:t>
      </w:r>
      <w:r>
        <w:rPr>
          <w:snapToGrid w:val="0"/>
        </w:rPr>
        <w:tab/>
        <w:t>Action may be dealt with at more than one place</w:t>
      </w:r>
      <w:bookmarkEnd w:id="123"/>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No. 59 of 2004 s. 85.]</w:t>
      </w:r>
    </w:p>
    <w:p>
      <w:pPr>
        <w:pStyle w:val="Heading5"/>
        <w:rPr>
          <w:snapToGrid w:val="0"/>
        </w:rPr>
      </w:pPr>
      <w:bookmarkStart w:id="124" w:name="_Toc107412685"/>
      <w:r>
        <w:rPr>
          <w:rStyle w:val="CharSectno"/>
        </w:rPr>
        <w:t>87</w:t>
      </w:r>
      <w:r>
        <w:rPr>
          <w:snapToGrid w:val="0"/>
        </w:rPr>
        <w:t>.</w:t>
      </w:r>
      <w:r>
        <w:rPr>
          <w:snapToGrid w:val="0"/>
        </w:rPr>
        <w:tab/>
        <w:t>Rules of court to govern practice and procedure</w:t>
      </w:r>
      <w:bookmarkEnd w:id="124"/>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125" w:name="_Toc107412686"/>
      <w:r>
        <w:rPr>
          <w:rStyle w:val="CharSectno"/>
        </w:rPr>
        <w:t>88</w:t>
      </w:r>
      <w:r>
        <w:rPr>
          <w:snapToGrid w:val="0"/>
        </w:rPr>
        <w:t>.</w:t>
      </w:r>
      <w:r>
        <w:rPr>
          <w:snapToGrid w:val="0"/>
        </w:rPr>
        <w:tab/>
        <w:t>Rules of court, making, content</w:t>
      </w:r>
      <w:bookmarkEnd w:id="125"/>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 and</w:t>
      </w:r>
    </w:p>
    <w:p>
      <w:pPr>
        <w:pStyle w:val="Indenta"/>
        <w:rPr>
          <w:snapToGrid w:val="0"/>
        </w:rPr>
      </w:pPr>
      <w:r>
        <w:rPr>
          <w:snapToGrid w:val="0"/>
        </w:rPr>
        <w:tab/>
        <w:t>(b)</w:t>
      </w:r>
      <w:r>
        <w:rPr>
          <w:snapToGrid w:val="0"/>
        </w:rPr>
        <w:tab/>
        <w:t xml:space="preserve">regulating and prescribing all matters and things incidental or relating to any such practice and procedure (including the manner in which and the time within which, any applications that under this Act or any other Act are to be made to the Court, shall be made) or </w:t>
      </w:r>
      <w:r>
        <w:rPr>
          <w:snapToGrid w:val="0"/>
        </w:rPr>
        <w:lastRenderedPageBreak/>
        <w:t>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 xml:space="preserve">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w:t>
      </w:r>
      <w:r>
        <w:rPr>
          <w:snapToGrid w:val="0"/>
        </w:rPr>
        <w:lastRenderedPageBreak/>
        <w:t>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No. 40 of 1972 s. 14; No. 111 of 1976 s. 7; No. 65 of 1987 s. 26; No. 14 of 1991 s. 7; No. 53 of 1992 s. 9(3); No. 6 of 1993 s. 11; No. 49 of 1996 s. 64; No. 27 of 2000 s. 6; No. 23 of 2002 s. 13; No. 65 of 2003 s. 32(9); No. 59 of 2004 s. 85; No. 21 of 2008 s. 660(8); No. 9 of 2022 s. 355.]</w:t>
      </w:r>
    </w:p>
    <w:p>
      <w:pPr>
        <w:pStyle w:val="Heading5"/>
        <w:rPr>
          <w:snapToGrid w:val="0"/>
        </w:rPr>
      </w:pPr>
      <w:bookmarkStart w:id="126" w:name="_Toc107412687"/>
      <w:r>
        <w:rPr>
          <w:rStyle w:val="CharSectno"/>
        </w:rPr>
        <w:t>89</w:t>
      </w:r>
      <w:r>
        <w:rPr>
          <w:snapToGrid w:val="0"/>
        </w:rPr>
        <w:t>.</w:t>
      </w:r>
      <w:r>
        <w:rPr>
          <w:snapToGrid w:val="0"/>
        </w:rPr>
        <w:tab/>
        <w:t>Rules to be published and laid before Parliament</w:t>
      </w:r>
      <w:bookmarkEnd w:id="126"/>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127" w:name="_Toc107412688"/>
      <w:r>
        <w:rPr>
          <w:rStyle w:val="CharSectno"/>
        </w:rPr>
        <w:lastRenderedPageBreak/>
        <w:t>89A</w:t>
      </w:r>
      <w:r>
        <w:t>.</w:t>
      </w:r>
      <w:r>
        <w:tab/>
        <w:t>Regulations</w:t>
      </w:r>
      <w:bookmarkEnd w:id="127"/>
    </w:p>
    <w:p>
      <w:pPr>
        <w:pStyle w:val="Subsection"/>
        <w:keepNext/>
      </w:pPr>
      <w:r>
        <w:tab/>
        <w:t>(1A)</w:t>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(1)</w:t>
      </w:r>
      <w:r>
        <w:tab/>
        <w:t>Without limiting subsection (1A), 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(1A) or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No. 59 of 2004 s. 84; amended: No. 77 of 2006 s. 4; No. 28 of 2018 s. 5.]</w:t>
      </w:r>
    </w:p>
    <w:p>
      <w:pPr>
        <w:pStyle w:val="Heading5"/>
        <w:rPr>
          <w:snapToGrid w:val="0"/>
        </w:rPr>
      </w:pPr>
      <w:bookmarkStart w:id="128" w:name="_Toc107412689"/>
      <w:r>
        <w:rPr>
          <w:rStyle w:val="CharSectno"/>
        </w:rPr>
        <w:lastRenderedPageBreak/>
        <w:t>90</w:t>
      </w:r>
      <w:r>
        <w:rPr>
          <w:snapToGrid w:val="0"/>
        </w:rPr>
        <w:t>.</w:t>
      </w:r>
      <w:r>
        <w:rPr>
          <w:snapToGrid w:val="0"/>
        </w:rPr>
        <w:tab/>
        <w:t>Saving</w:t>
      </w:r>
      <w:bookmarkEnd w:id="128"/>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No. 14 of 1991 s. 8.]</w:t>
      </w:r>
    </w:p>
    <w:p>
      <w:pPr>
        <w:pStyle w:val="Ednotepart"/>
      </w:pPr>
      <w:r>
        <w:t>[Part IX deleted: No. 53 of 2000 s. 4.]</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29" w:name="_Toc107316686"/>
      <w:bookmarkStart w:id="130" w:name="_Toc107317398"/>
      <w:bookmarkStart w:id="131" w:name="_Toc107412690"/>
      <w:r>
        <w:rPr>
          <w:rStyle w:val="CharSchNo"/>
        </w:rPr>
        <w:lastRenderedPageBreak/>
        <w:t>Schedule 1</w:t>
      </w:r>
      <w:r>
        <w:t> — </w:t>
      </w:r>
      <w:r>
        <w:rPr>
          <w:rStyle w:val="CharSchText"/>
        </w:rPr>
        <w:t>Oath and affirmation of office</w:t>
      </w:r>
      <w:bookmarkEnd w:id="129"/>
      <w:bookmarkEnd w:id="130"/>
      <w:bookmarkEnd w:id="131"/>
    </w:p>
    <w:p>
      <w:pPr>
        <w:pStyle w:val="yShoulderClause"/>
      </w:pPr>
      <w:r>
        <w:t>[s. 11(2)]</w:t>
      </w:r>
    </w:p>
    <w:p>
      <w:pPr>
        <w:pStyle w:val="yFootnoteheading"/>
      </w:pPr>
      <w:r>
        <w:tab/>
        <w:t>[Heading inserted: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No. 24 of 2005 s. 20.]</w:t>
      </w:r>
    </w:p>
    <w:p>
      <w:pPr>
        <w:pStyle w:val="yEdnoteschedule"/>
        <w:outlineLvl w:val="9"/>
      </w:pPr>
      <w:r>
        <w:t>[Schedule 2 deleted: No. 36 of 1996 s. 32(2).]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33" w:name="_Toc107316687"/>
      <w:bookmarkStart w:id="134" w:name="_Toc107317399"/>
      <w:bookmarkStart w:id="135" w:name="_Toc107412691"/>
      <w:r>
        <w:lastRenderedPageBreak/>
        <w:t>Notes</w:t>
      </w:r>
      <w:bookmarkEnd w:id="133"/>
      <w:bookmarkEnd w:id="134"/>
      <w:bookmarkEnd w:id="135"/>
    </w:p>
    <w:p>
      <w:pPr>
        <w:pStyle w:val="nStatement"/>
      </w:pPr>
      <w:r>
        <w:t xml:space="preserve">This is a compilation of the </w:t>
      </w:r>
      <w:r>
        <w:rPr>
          <w:i/>
          <w:noProof/>
        </w:rPr>
        <w:t>District Court of Western Australia Act 1969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6" w:name="_Toc107412692"/>
      <w:r>
        <w:t>Compilation table</w:t>
      </w:r>
      <w:bookmarkEnd w:id="136"/>
    </w:p>
    <w:tbl>
      <w:tblPr>
        <w:tblW w:w="0" w:type="auto"/>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5"/>
      </w:tblGrid>
      <w:tr>
        <w:trPr>
          <w:gridBefore w:val="1"/>
          <w:wBefore w:w="14"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1969</w:t>
            </w:r>
          </w:p>
        </w:tc>
        <w:tc>
          <w:tcPr>
            <w:tcW w:w="1134" w:type="dxa"/>
            <w:gridSpan w:val="2"/>
          </w:tcPr>
          <w:p>
            <w:pPr>
              <w:pStyle w:val="nTable"/>
              <w:spacing w:after="40"/>
            </w:pPr>
            <w:r>
              <w:t>84 of 1969</w:t>
            </w:r>
          </w:p>
        </w:tc>
        <w:tc>
          <w:tcPr>
            <w:tcW w:w="1134" w:type="dxa"/>
            <w:gridSpan w:val="2"/>
          </w:tcPr>
          <w:p>
            <w:pPr>
              <w:pStyle w:val="nTable"/>
              <w:spacing w:after="40"/>
            </w:pPr>
            <w:r>
              <w:t>17 Nov 1969</w:t>
            </w:r>
          </w:p>
        </w:tc>
        <w:tc>
          <w:tcPr>
            <w:tcW w:w="2552" w:type="dxa"/>
            <w:gridSpan w:val="2"/>
          </w:tcPr>
          <w:p>
            <w:pPr>
              <w:pStyle w:val="nTable"/>
              <w:spacing w:after="40"/>
            </w:pPr>
            <w:r>
              <w:t xml:space="preserve">1 Apr 1970 (see s. 2 and </w:t>
            </w:r>
            <w:r>
              <w:rPr>
                <w:i/>
              </w:rPr>
              <w:t>Gazette</w:t>
            </w:r>
            <w:r>
              <w:t xml:space="preserve"> 26 Mar 1970 p. 903)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Lines/>
              <w:spacing w:after="40"/>
              <w:ind w:right="113"/>
            </w:pPr>
            <w:r>
              <w:rPr>
                <w:i/>
              </w:rPr>
              <w:t>District Court of Western Australia Act Amendment Act 1970</w:t>
            </w:r>
          </w:p>
        </w:tc>
        <w:tc>
          <w:tcPr>
            <w:tcW w:w="1134" w:type="dxa"/>
            <w:gridSpan w:val="2"/>
          </w:tcPr>
          <w:p>
            <w:pPr>
              <w:pStyle w:val="nTable"/>
              <w:keepLines/>
              <w:spacing w:after="40"/>
            </w:pPr>
            <w:r>
              <w:t>14 of 1970</w:t>
            </w:r>
          </w:p>
        </w:tc>
        <w:tc>
          <w:tcPr>
            <w:tcW w:w="1134" w:type="dxa"/>
            <w:gridSpan w:val="2"/>
          </w:tcPr>
          <w:p>
            <w:pPr>
              <w:pStyle w:val="nTable"/>
              <w:spacing w:after="40"/>
            </w:pPr>
            <w:r>
              <w:t>29 Apr 1970</w:t>
            </w:r>
          </w:p>
        </w:tc>
        <w:tc>
          <w:tcPr>
            <w:tcW w:w="2552" w:type="dxa"/>
            <w:gridSpan w:val="2"/>
          </w:tcPr>
          <w:p>
            <w:pPr>
              <w:pStyle w:val="nTable"/>
              <w:spacing w:after="40"/>
            </w:pPr>
            <w:r>
              <w:t>Act other than s. 3(b): 29 Apr 1970 (see s. 2(1));</w:t>
            </w:r>
            <w:r>
              <w:br/>
              <w:t xml:space="preserve">s. 3(b): 18 May 1970 (see s. 2 and </w:t>
            </w:r>
            <w:r>
              <w:rPr>
                <w:i/>
              </w:rPr>
              <w:t>Gazette</w:t>
            </w:r>
            <w:r>
              <w:t xml:space="preserve"> 18 May 1970 p. 1331)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Amendment Act (No. 2) 1970</w:t>
            </w:r>
          </w:p>
        </w:tc>
        <w:tc>
          <w:tcPr>
            <w:tcW w:w="1134" w:type="dxa"/>
            <w:gridSpan w:val="2"/>
          </w:tcPr>
          <w:p>
            <w:pPr>
              <w:pStyle w:val="nTable"/>
              <w:spacing w:after="40"/>
            </w:pPr>
            <w:r>
              <w:t>100 of 1970</w:t>
            </w:r>
          </w:p>
        </w:tc>
        <w:tc>
          <w:tcPr>
            <w:tcW w:w="1134" w:type="dxa"/>
            <w:gridSpan w:val="2"/>
          </w:tcPr>
          <w:p>
            <w:pPr>
              <w:pStyle w:val="nTable"/>
              <w:spacing w:after="40"/>
            </w:pPr>
            <w:r>
              <w:t>8 Dec 1970</w:t>
            </w:r>
          </w:p>
        </w:tc>
        <w:tc>
          <w:tcPr>
            <w:tcW w:w="2552" w:type="dxa"/>
            <w:gridSpan w:val="2"/>
          </w:tcPr>
          <w:p>
            <w:pPr>
              <w:pStyle w:val="nTable"/>
              <w:spacing w:after="40"/>
            </w:pPr>
            <w:r>
              <w:t>8 Dec 1970</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Amendment Act 1972</w:t>
            </w:r>
          </w:p>
        </w:tc>
        <w:tc>
          <w:tcPr>
            <w:tcW w:w="1134" w:type="dxa"/>
            <w:gridSpan w:val="2"/>
          </w:tcPr>
          <w:p>
            <w:pPr>
              <w:pStyle w:val="nTable"/>
              <w:spacing w:after="40"/>
            </w:pPr>
            <w:r>
              <w:t>40 of 1972</w:t>
            </w:r>
          </w:p>
        </w:tc>
        <w:tc>
          <w:tcPr>
            <w:tcW w:w="1134" w:type="dxa"/>
            <w:gridSpan w:val="2"/>
          </w:tcPr>
          <w:p>
            <w:pPr>
              <w:pStyle w:val="nTable"/>
              <w:spacing w:after="40"/>
            </w:pPr>
            <w:r>
              <w:t>16 Jun 1972</w:t>
            </w:r>
          </w:p>
        </w:tc>
        <w:tc>
          <w:tcPr>
            <w:tcW w:w="2552" w:type="dxa"/>
            <w:gridSpan w:val="2"/>
          </w:tcPr>
          <w:p>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(Judicial Salaries and Pensions) Act 1972</w:t>
            </w:r>
            <w:r>
              <w:t xml:space="preserve"> Pt. II</w:t>
            </w:r>
          </w:p>
        </w:tc>
        <w:tc>
          <w:tcPr>
            <w:tcW w:w="1134" w:type="dxa"/>
            <w:gridSpan w:val="2"/>
          </w:tcPr>
          <w:p>
            <w:pPr>
              <w:pStyle w:val="nTable"/>
              <w:keepNext/>
              <w:spacing w:after="40"/>
            </w:pPr>
            <w:r>
              <w:t>91 of 1972</w:t>
            </w:r>
          </w:p>
        </w:tc>
        <w:tc>
          <w:tcPr>
            <w:tcW w:w="1134" w:type="dxa"/>
            <w:gridSpan w:val="2"/>
          </w:tcPr>
          <w:p>
            <w:pPr>
              <w:pStyle w:val="nTable"/>
              <w:spacing w:after="40"/>
            </w:pPr>
            <w:r>
              <w:t>4 Dec 1972</w:t>
            </w:r>
          </w:p>
        </w:tc>
        <w:tc>
          <w:tcPr>
            <w:tcW w:w="2552" w:type="dxa"/>
            <w:gridSpan w:val="2"/>
          </w:tcPr>
          <w:p>
            <w:pPr>
              <w:pStyle w:val="nTable"/>
              <w:spacing w:after="40"/>
            </w:pPr>
            <w:r>
              <w:t>1 Jan 1973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(Judicial Salaries and Pensions) Act 1974</w:t>
            </w:r>
            <w:r>
              <w:t xml:space="preserve"> Pt. II</w:t>
            </w:r>
          </w:p>
        </w:tc>
        <w:tc>
          <w:tcPr>
            <w:tcW w:w="1134" w:type="dxa"/>
            <w:gridSpan w:val="2"/>
          </w:tcPr>
          <w:p>
            <w:pPr>
              <w:pStyle w:val="nTable"/>
              <w:spacing w:after="40"/>
            </w:pPr>
            <w:r>
              <w:t>23 of 1974</w:t>
            </w:r>
          </w:p>
        </w:tc>
        <w:tc>
          <w:tcPr>
            <w:tcW w:w="1134" w:type="dxa"/>
            <w:gridSpan w:val="2"/>
          </w:tcPr>
          <w:p>
            <w:pPr>
              <w:pStyle w:val="nTable"/>
              <w:spacing w:after="40"/>
            </w:pPr>
            <w:r>
              <w:t>23 Oct 1974</w:t>
            </w:r>
          </w:p>
        </w:tc>
        <w:tc>
          <w:tcPr>
            <w:tcW w:w="2552" w:type="dxa"/>
            <w:gridSpan w:val="2"/>
          </w:tcPr>
          <w:p>
            <w:pPr>
              <w:pStyle w:val="nTable"/>
              <w:spacing w:after="40"/>
            </w:pPr>
            <w:r>
              <w:t>1 Jul 1974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(Judicial Salaries and Pensions) Act 1975</w:t>
            </w:r>
            <w:r>
              <w:t xml:space="preserve"> Pt. II</w:t>
            </w:r>
          </w:p>
        </w:tc>
        <w:tc>
          <w:tcPr>
            <w:tcW w:w="1134" w:type="dxa"/>
            <w:gridSpan w:val="2"/>
          </w:tcPr>
          <w:p>
            <w:pPr>
              <w:pStyle w:val="nTable"/>
              <w:spacing w:after="40"/>
            </w:pPr>
            <w:r>
              <w:t>45 of 1975</w:t>
            </w:r>
          </w:p>
        </w:tc>
        <w:tc>
          <w:tcPr>
            <w:tcW w:w="1134" w:type="dxa"/>
            <w:gridSpan w:val="2"/>
          </w:tcPr>
          <w:p>
            <w:pPr>
              <w:pStyle w:val="nTable"/>
              <w:spacing w:after="40"/>
            </w:pPr>
            <w:r>
              <w:t>18 Sep 1975</w:t>
            </w:r>
          </w:p>
        </w:tc>
        <w:tc>
          <w:tcPr>
            <w:tcW w:w="2552" w:type="dxa"/>
            <w:gridSpan w:val="2"/>
          </w:tcPr>
          <w:p>
            <w:pPr>
              <w:pStyle w:val="nTable"/>
              <w:spacing w:after="40"/>
            </w:pPr>
            <w:r>
              <w:t>8 Aug 1975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lastRenderedPageBreak/>
              <w:t>District Court of Western Australia Act Amendment Act 1975</w:t>
            </w:r>
          </w:p>
        </w:tc>
        <w:tc>
          <w:tcPr>
            <w:tcW w:w="1134" w:type="dxa"/>
            <w:gridSpan w:val="2"/>
          </w:tcPr>
          <w:p>
            <w:pPr>
              <w:pStyle w:val="nTable"/>
              <w:spacing w:after="40"/>
            </w:pPr>
            <w:r>
              <w:t>58 of 1975</w:t>
            </w:r>
          </w:p>
        </w:tc>
        <w:tc>
          <w:tcPr>
            <w:tcW w:w="1134" w:type="dxa"/>
            <w:gridSpan w:val="2"/>
          </w:tcPr>
          <w:p>
            <w:pPr>
              <w:pStyle w:val="nTable"/>
              <w:spacing w:after="40"/>
            </w:pPr>
            <w:r>
              <w:t>24 Oct 1975</w:t>
            </w:r>
          </w:p>
        </w:tc>
        <w:tc>
          <w:tcPr>
            <w:tcW w:w="2552" w:type="dxa"/>
            <w:gridSpan w:val="2"/>
          </w:tcPr>
          <w:p>
            <w:pPr>
              <w:pStyle w:val="nTable"/>
              <w:spacing w:after="40"/>
            </w:pPr>
            <w:r>
              <w:t xml:space="preserve">1 Jan 1976 (see s. 2 and </w:t>
            </w:r>
            <w:r>
              <w:rPr>
                <w:i/>
              </w:rPr>
              <w:t>Gazette</w:t>
            </w:r>
            <w:r>
              <w:t xml:space="preserve"> 7 Nov 1975 p. 4125)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(Jurisdiction of Courts) Act 1976</w:t>
            </w:r>
            <w:r>
              <w:t xml:space="preserve"> Pt. I</w:t>
            </w:r>
          </w:p>
        </w:tc>
        <w:tc>
          <w:tcPr>
            <w:tcW w:w="1134" w:type="dxa"/>
            <w:gridSpan w:val="2"/>
          </w:tcPr>
          <w:p>
            <w:pPr>
              <w:pStyle w:val="nTable"/>
              <w:spacing w:after="40"/>
            </w:pPr>
            <w:r>
              <w:t>69 of 1976</w:t>
            </w:r>
          </w:p>
        </w:tc>
        <w:tc>
          <w:tcPr>
            <w:tcW w:w="1134" w:type="dxa"/>
            <w:gridSpan w:val="2"/>
          </w:tcPr>
          <w:p>
            <w:pPr>
              <w:pStyle w:val="nTable"/>
              <w:spacing w:after="40"/>
            </w:pPr>
            <w:r>
              <w:t>6 Oct 1976</w:t>
            </w:r>
          </w:p>
        </w:tc>
        <w:tc>
          <w:tcPr>
            <w:tcW w:w="2552" w:type="dxa"/>
            <w:gridSpan w:val="2"/>
          </w:tcPr>
          <w:p>
            <w:pPr>
              <w:pStyle w:val="nTable"/>
              <w:spacing w:after="40"/>
            </w:pPr>
            <w:r>
              <w:t xml:space="preserve">1 Jan 1977 (see s. 2 and </w:t>
            </w:r>
            <w:r>
              <w:rPr>
                <w:i/>
              </w:rPr>
              <w:t>Gazette</w:t>
            </w:r>
            <w:r>
              <w:t xml:space="preserve"> 24 Dec 1976 p. 5028)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(Expert Evidence) Act 1976</w:t>
            </w:r>
            <w:r>
              <w:t xml:space="preserve"> Pt. III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(Supreme Court and District Court) Act 1978</w:t>
            </w:r>
            <w:r>
              <w:t xml:space="preserve"> Pt. III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2" w:type="dxa"/>
            <w:gridSpan w:val="2"/>
          </w:tcPr>
          <w:p>
            <w:pPr>
              <w:pStyle w:val="nTable"/>
              <w:spacing w:after="40"/>
            </w:pPr>
            <w:r>
              <w:t>1 Apr 1970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(Jurisdiction of Courts) Act 1981</w:t>
            </w:r>
            <w:r>
              <w:t xml:space="preserve"> Pt. II</w:t>
            </w:r>
          </w:p>
        </w:tc>
        <w:tc>
          <w:tcPr>
            <w:tcW w:w="1134" w:type="dxa"/>
            <w:gridSpan w:val="2"/>
          </w:tcPr>
          <w:p>
            <w:pPr>
              <w:pStyle w:val="nTable"/>
              <w:keepNext/>
              <w:spacing w:after="40"/>
            </w:pPr>
            <w:r>
              <w:t>118 of 1981</w:t>
            </w:r>
          </w:p>
        </w:tc>
        <w:tc>
          <w:tcPr>
            <w:tcW w:w="1134" w:type="dxa"/>
            <w:gridSpan w:val="2"/>
          </w:tcPr>
          <w:p>
            <w:pPr>
              <w:pStyle w:val="nTable"/>
              <w:keepNext/>
              <w:spacing w:after="40"/>
            </w:pPr>
            <w:r>
              <w:t>14 Dec 1981</w:t>
            </w:r>
          </w:p>
        </w:tc>
        <w:tc>
          <w:tcPr>
            <w:tcW w:w="2552" w:type="dxa"/>
            <w:gridSpan w:val="2"/>
          </w:tcPr>
          <w:p>
            <w:pPr>
              <w:pStyle w:val="nTable"/>
              <w:keepNext/>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(Judicial Appointments) Act 1982</w:t>
            </w:r>
            <w:r>
              <w:t xml:space="preserve"> Pt. III</w:t>
            </w:r>
          </w:p>
        </w:tc>
        <w:tc>
          <w:tcPr>
            <w:tcW w:w="1134" w:type="dxa"/>
            <w:gridSpan w:val="2"/>
          </w:tcPr>
          <w:p>
            <w:pPr>
              <w:pStyle w:val="nTable"/>
              <w:keepNext/>
              <w:spacing w:after="40"/>
            </w:pPr>
            <w:r>
              <w:t>7 of 1982</w:t>
            </w:r>
          </w:p>
        </w:tc>
        <w:tc>
          <w:tcPr>
            <w:tcW w:w="1134" w:type="dxa"/>
            <w:gridSpan w:val="2"/>
          </w:tcPr>
          <w:p>
            <w:pPr>
              <w:pStyle w:val="nTable"/>
              <w:spacing w:after="40"/>
            </w:pPr>
            <w:r>
              <w:t>6 May 1982</w:t>
            </w:r>
          </w:p>
        </w:tc>
        <w:tc>
          <w:tcPr>
            <w:tcW w:w="2552" w:type="dxa"/>
            <w:gridSpan w:val="2"/>
          </w:tcPr>
          <w:p>
            <w:pPr>
              <w:pStyle w:val="nTable"/>
              <w:spacing w:after="40"/>
            </w:pPr>
            <w:r>
              <w:t>6 May 1982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(Abolition of Capital Punishment) Act 1984</w:t>
            </w:r>
            <w:r>
              <w:t xml:space="preserve"> Pt. VIII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Amendment Act 1984</w:t>
            </w:r>
          </w:p>
        </w:tc>
        <w:tc>
          <w:tcPr>
            <w:tcW w:w="1134" w:type="dxa"/>
            <w:gridSpan w:val="2"/>
          </w:tcPr>
          <w:p>
            <w:pPr>
              <w:pStyle w:val="nTable"/>
              <w:spacing w:after="40"/>
            </w:pPr>
            <w:r>
              <w:t>122 of 1984</w:t>
            </w:r>
          </w:p>
        </w:tc>
        <w:tc>
          <w:tcPr>
            <w:tcW w:w="1134" w:type="dxa"/>
            <w:gridSpan w:val="2"/>
          </w:tcPr>
          <w:p>
            <w:pPr>
              <w:pStyle w:val="nTable"/>
              <w:spacing w:after="40"/>
            </w:pPr>
            <w:r>
              <w:t>27 Dec 1984</w:t>
            </w:r>
          </w:p>
        </w:tc>
        <w:tc>
          <w:tcPr>
            <w:tcW w:w="2552" w:type="dxa"/>
            <w:gridSpan w:val="2"/>
          </w:tcPr>
          <w:p>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(Sexual Assaults) Act 1985</w:t>
            </w:r>
            <w:r>
              <w:t xml:space="preserve"> Pt. V</w:t>
            </w:r>
          </w:p>
        </w:tc>
        <w:tc>
          <w:tcPr>
            <w:tcW w:w="1134" w:type="dxa"/>
            <w:gridSpan w:val="2"/>
          </w:tcPr>
          <w:p>
            <w:pPr>
              <w:pStyle w:val="nTable"/>
              <w:spacing w:after="40"/>
            </w:pPr>
            <w:r>
              <w:t>74 of 1985</w:t>
            </w:r>
          </w:p>
        </w:tc>
        <w:tc>
          <w:tcPr>
            <w:tcW w:w="1134" w:type="dxa"/>
            <w:gridSpan w:val="2"/>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(Penalties for Contempt of Court) Act 1986</w:t>
            </w:r>
            <w:r>
              <w:t xml:space="preserve"> Pt. II</w:t>
            </w:r>
          </w:p>
        </w:tc>
        <w:tc>
          <w:tcPr>
            <w:tcW w:w="1134" w:type="dxa"/>
            <w:gridSpan w:val="2"/>
          </w:tcPr>
          <w:p>
            <w:pPr>
              <w:pStyle w:val="nTable"/>
              <w:spacing w:after="40"/>
            </w:pPr>
            <w:r>
              <w:t>71 of 1986</w:t>
            </w:r>
          </w:p>
        </w:tc>
        <w:tc>
          <w:tcPr>
            <w:tcW w:w="1134" w:type="dxa"/>
            <w:gridSpan w:val="2"/>
          </w:tcPr>
          <w:p>
            <w:pPr>
              <w:pStyle w:val="nTable"/>
              <w:spacing w:after="40"/>
            </w:pPr>
            <w:r>
              <w:t>4 Dec 1986</w:t>
            </w:r>
          </w:p>
        </w:tc>
        <w:tc>
          <w:tcPr>
            <w:tcW w:w="2552" w:type="dxa"/>
            <w:gridSpan w:val="2"/>
          </w:tcPr>
          <w:p>
            <w:pPr>
              <w:pStyle w:val="nTable"/>
              <w:spacing w:after="40"/>
            </w:pPr>
            <w:r>
              <w:t>4 Dec 1986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12 Feb 1987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lastRenderedPageBreak/>
              <w:t>Acts Amendment (Legal Practitioners, Costs and Taxation) Act 1987</w:t>
            </w:r>
            <w:r>
              <w:t xml:space="preserve"> Pt. IV</w:t>
            </w:r>
          </w:p>
        </w:tc>
        <w:tc>
          <w:tcPr>
            <w:tcW w:w="1134" w:type="dxa"/>
            <w:gridSpan w:val="2"/>
          </w:tcPr>
          <w:p>
            <w:pPr>
              <w:pStyle w:val="nTable"/>
              <w:keepNext/>
              <w:spacing w:after="40"/>
            </w:pPr>
            <w:r>
              <w:t>65 of 1987</w:t>
            </w:r>
          </w:p>
        </w:tc>
        <w:tc>
          <w:tcPr>
            <w:tcW w:w="1134" w:type="dxa"/>
            <w:gridSpan w:val="2"/>
          </w:tcPr>
          <w:p>
            <w:pPr>
              <w:pStyle w:val="nTable"/>
              <w:spacing w:after="40"/>
            </w:pPr>
            <w:r>
              <w:t>1 Dec 1987</w:t>
            </w:r>
          </w:p>
        </w:tc>
        <w:tc>
          <w:tcPr>
            <w:tcW w:w="2552" w:type="dxa"/>
            <w:gridSpan w:val="2"/>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2" w:type="dxa"/>
            <w:gridSpan w:val="2"/>
          </w:tcPr>
          <w:p>
            <w:pPr>
              <w:pStyle w:val="nTable"/>
              <w:spacing w:after="40"/>
            </w:pPr>
            <w:r>
              <w:t>1 Dec 1987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Supreme and District Courts (Miscellaneous Amendments) Act 1991</w:t>
            </w:r>
            <w:r>
              <w:t xml:space="preserve"> Pt. 3</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2" w:type="dxa"/>
            <w:gridSpan w:val="2"/>
          </w:tcPr>
          <w:p>
            <w:pPr>
              <w:pStyle w:val="nTable"/>
              <w:spacing w:after="40"/>
            </w:pPr>
            <w:r>
              <w:t>21 Jun 1991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(Sexual Offences) Act 1992</w:t>
            </w:r>
            <w:r>
              <w:t xml:space="preserve"> s. 6(8)</w:t>
            </w:r>
          </w:p>
        </w:tc>
        <w:tc>
          <w:tcPr>
            <w:tcW w:w="1134" w:type="dxa"/>
            <w:gridSpan w:val="2"/>
          </w:tcPr>
          <w:p>
            <w:pPr>
              <w:pStyle w:val="nTable"/>
              <w:spacing w:after="40"/>
            </w:pPr>
            <w:r>
              <w:t>14 of 1992</w:t>
            </w:r>
          </w:p>
        </w:tc>
        <w:tc>
          <w:tcPr>
            <w:tcW w:w="1134" w:type="dxa"/>
            <w:gridSpan w:val="2"/>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(Jurisdiction and Criminal Procedure) Act 1992</w:t>
            </w:r>
            <w:r>
              <w:t xml:space="preserve"> Pt. 3</w:t>
            </w:r>
          </w:p>
        </w:tc>
        <w:tc>
          <w:tcPr>
            <w:tcW w:w="1134" w:type="dxa"/>
            <w:gridSpan w:val="2"/>
          </w:tcPr>
          <w:p>
            <w:pPr>
              <w:pStyle w:val="nTable"/>
              <w:spacing w:after="40"/>
            </w:pPr>
            <w:r>
              <w:t>53 of 1992</w:t>
            </w:r>
          </w:p>
        </w:tc>
        <w:tc>
          <w:tcPr>
            <w:tcW w:w="1134" w:type="dxa"/>
            <w:gridSpan w:val="2"/>
          </w:tcPr>
          <w:p>
            <w:pPr>
              <w:pStyle w:val="nTable"/>
              <w:spacing w:after="40"/>
            </w:pPr>
            <w:r>
              <w:t>9 Dec 1992</w:t>
            </w:r>
          </w:p>
        </w:tc>
        <w:tc>
          <w:tcPr>
            <w:tcW w:w="2552" w:type="dxa"/>
            <w:gridSpan w:val="2"/>
          </w:tcPr>
          <w:p>
            <w:pPr>
              <w:pStyle w:val="nTable"/>
              <w:spacing w:after="40"/>
            </w:pPr>
            <w:r>
              <w:t xml:space="preserve">1 Mar 1993 (see s. 2(1) and </w:t>
            </w:r>
            <w:r>
              <w:rPr>
                <w:i/>
              </w:rPr>
              <w:t>Gazette</w:t>
            </w:r>
            <w:r>
              <w:t xml:space="preserve"> 26 Jan 1993 p. 823)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20 Feb 1996</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Criminal Law Amendment Act 1996</w:t>
            </w:r>
            <w:r>
              <w:t xml:space="preserve"> Pt. 3</w:t>
            </w:r>
          </w:p>
        </w:tc>
        <w:tc>
          <w:tcPr>
            <w:tcW w:w="1134" w:type="dxa"/>
            <w:gridSpan w:val="2"/>
          </w:tcPr>
          <w:p>
            <w:pPr>
              <w:pStyle w:val="nTable"/>
              <w:keepNext/>
              <w:spacing w:after="40"/>
            </w:pPr>
            <w:r>
              <w:t>36 of 1996</w:t>
            </w:r>
          </w:p>
        </w:tc>
        <w:tc>
          <w:tcPr>
            <w:tcW w:w="1134" w:type="dxa"/>
            <w:gridSpan w:val="2"/>
          </w:tcPr>
          <w:p>
            <w:pPr>
              <w:pStyle w:val="nTable"/>
              <w:spacing w:after="40"/>
            </w:pPr>
            <w:r>
              <w:t>10 Oct 1996</w:t>
            </w:r>
          </w:p>
        </w:tc>
        <w:tc>
          <w:tcPr>
            <w:tcW w:w="2552" w:type="dxa"/>
            <w:gridSpan w:val="2"/>
          </w:tcPr>
          <w:p>
            <w:pPr>
              <w:pStyle w:val="nTable"/>
              <w:spacing w:after="40"/>
            </w:pPr>
            <w:r>
              <w:t>10 Oct 1996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(Auxiliary Judges) Act 1997</w:t>
            </w:r>
            <w:r>
              <w:t xml:space="preserve"> Pt. 2</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Statutes (Repeals and Minor Amendments) Act 1997</w:t>
            </w:r>
            <w:r>
              <w:t xml:space="preserve"> s. 48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lastRenderedPageBreak/>
              <w:t>Courts Legislation Amendment Act 2000</w:t>
            </w:r>
            <w:r>
              <w:t xml:space="preserve"> Pt. 2 (s. 3</w:t>
            </w:r>
            <w:r>
              <w:noBreakHyphen/>
              <w:t>7)</w:t>
            </w:r>
          </w:p>
        </w:tc>
        <w:tc>
          <w:tcPr>
            <w:tcW w:w="1134" w:type="dxa"/>
            <w:gridSpan w:val="2"/>
          </w:tcPr>
          <w:p>
            <w:pPr>
              <w:pStyle w:val="nTable"/>
              <w:spacing w:after="40"/>
            </w:pPr>
            <w:r>
              <w:t>27 of 2000</w:t>
            </w:r>
          </w:p>
        </w:tc>
        <w:tc>
          <w:tcPr>
            <w:tcW w:w="1134" w:type="dxa"/>
            <w:gridSpan w:val="2"/>
          </w:tcPr>
          <w:p>
            <w:pPr>
              <w:pStyle w:val="nTable"/>
              <w:spacing w:after="40"/>
            </w:pPr>
            <w:r>
              <w:t>6 Jul 2000</w:t>
            </w:r>
          </w:p>
        </w:tc>
        <w:tc>
          <w:tcPr>
            <w:tcW w:w="2552" w:type="dxa"/>
            <w:gridSpan w:val="2"/>
          </w:tcPr>
          <w:p>
            <w:pPr>
              <w:pStyle w:val="nTable"/>
              <w:spacing w:after="40"/>
            </w:pPr>
            <w:r>
              <w:t>s. 3</w:t>
            </w:r>
            <w:r>
              <w:noBreakHyphen/>
              <w:t>5: 6 Jul 2000 (see s. 2(1));</w:t>
            </w:r>
            <w:r>
              <w:br/>
              <w:t xml:space="preserve">s. 6 and 7: 28 Jul 2001 (see s. 2(2) and </w:t>
            </w:r>
            <w:r>
              <w:rPr>
                <w:i/>
              </w:rPr>
              <w:t>Gazette</w:t>
            </w:r>
            <w:r>
              <w:t xml:space="preserve"> 27 Jul 2001 p. 3797)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State Records (Consequential Provisions) Act 2000</w:t>
            </w:r>
            <w:r>
              <w:t xml:space="preserve"> Pt. 3</w:t>
            </w:r>
          </w:p>
        </w:tc>
        <w:tc>
          <w:tcPr>
            <w:tcW w:w="1134" w:type="dxa"/>
            <w:gridSpan w:val="2"/>
          </w:tcPr>
          <w:p>
            <w:pPr>
              <w:pStyle w:val="nTable"/>
              <w:spacing w:after="40"/>
            </w:pPr>
            <w:r>
              <w:t>53 of 2000</w:t>
            </w:r>
          </w:p>
        </w:tc>
        <w:tc>
          <w:tcPr>
            <w:tcW w:w="1134"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rPr>
              <w:t xml:space="preserve">Vexatious Proceedings Restriction Act 2002 </w:t>
            </w:r>
            <w:r>
              <w:rPr>
                <w:iCs/>
              </w:rPr>
              <w:t>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2" w:type="dxa"/>
            <w:gridSpan w:val="2"/>
          </w:tcPr>
          <w:p>
            <w:pPr>
              <w:pStyle w:val="nTable"/>
              <w:spacing w:after="40"/>
            </w:pPr>
            <w:r>
              <w:t xml:space="preserve">28 Sep 2002 (see s. 2 and </w:t>
            </w:r>
            <w:r>
              <w:rPr>
                <w:i/>
              </w:rPr>
              <w:t>Gazette</w:t>
            </w:r>
            <w:r>
              <w:t xml:space="preserve"> 27 Sep 2002 p. 4877)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(Equality of Status) Act 2003</w:t>
            </w:r>
            <w:r>
              <w:t xml:space="preserve"> Pt. 17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and Repeal (Courts and Legal Practice) Act 2003</w:t>
            </w:r>
            <w:r>
              <w:t xml:space="preserve"> s. 32, 111 and 125</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snapToGrid w:val="0"/>
              </w:rPr>
              <w:t>Acts Amendment (Court of Appeal) Act 2004</w:t>
            </w:r>
            <w:r>
              <w:rPr>
                <w:snapToGrid w:val="0"/>
              </w:rPr>
              <w:t xml:space="preserve"> s. 32</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Courts Legislation Amendment and Repeal Act 2004</w:t>
            </w:r>
            <w:r>
              <w:rPr>
                <w:snapToGrid w:val="0"/>
              </w:rPr>
              <w:t xml:space="preserve"> Pt. 10</w:t>
            </w:r>
            <w:r>
              <w:rPr>
                <w:snapToGrid w:val="0"/>
                <w:vertAlign w:val="superscript"/>
              </w:rPr>
              <w:t> 2</w:t>
            </w:r>
          </w:p>
        </w:tc>
        <w:tc>
          <w:tcPr>
            <w:tcW w:w="1134" w:type="dxa"/>
            <w:gridSpan w:val="2"/>
          </w:tcPr>
          <w:p>
            <w:pPr>
              <w:pStyle w:val="nTable"/>
              <w:spacing w:after="40"/>
              <w:rPr>
                <w:snapToGrid w:val="0"/>
              </w:rPr>
            </w:pPr>
            <w:r>
              <w:rPr>
                <w:snapToGrid w:val="0"/>
              </w:rPr>
              <w:t>59 of 2004 (as amended by No. 5 of 2008 s. 24)</w:t>
            </w:r>
          </w:p>
        </w:tc>
        <w:tc>
          <w:tcPr>
            <w:tcW w:w="1134" w:type="dxa"/>
            <w:gridSpan w:val="2"/>
          </w:tcPr>
          <w:p>
            <w:pPr>
              <w:pStyle w:val="nTable"/>
              <w:spacing w:after="40"/>
            </w:pPr>
            <w:r>
              <w:rPr>
                <w:snapToGrid w:val="0"/>
              </w:rPr>
              <w:t>23 Nov 2004</w:t>
            </w:r>
          </w:p>
        </w:tc>
        <w:tc>
          <w:tcPr>
            <w:tcW w:w="2552" w:type="dxa"/>
            <w:gridSpan w:val="2"/>
          </w:tcPr>
          <w:p>
            <w:pPr>
              <w:pStyle w:val="nTable"/>
              <w:spacing w:after="40"/>
              <w:rPr>
                <w:snapToGrid w:val="0"/>
              </w:rPr>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rPr>
                <w:snapToGrid w:val="0"/>
              </w:rPr>
            </w:pPr>
            <w:r>
              <w:rPr>
                <w:b/>
              </w:rPr>
              <w:t xml:space="preserve">Reprint 7: The </w:t>
            </w:r>
            <w:r>
              <w:rPr>
                <w:b/>
                <w:i/>
              </w:rPr>
              <w:t>District Court of Western Australia Act 1969</w:t>
            </w:r>
            <w:r>
              <w:rPr>
                <w:b/>
              </w:rPr>
              <w:t xml:space="preserve"> as at 19 Aug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trPr>
        <w:tc>
          <w:tcPr>
            <w:tcW w:w="2268" w:type="dxa"/>
            <w:gridSpan w:val="2"/>
          </w:tcPr>
          <w:p>
            <w:pPr>
              <w:pStyle w:val="nTable"/>
              <w:spacing w:after="40"/>
              <w:rPr>
                <w:snapToGrid w:val="0"/>
                <w:vertAlign w:val="superscript"/>
              </w:rPr>
            </w:pPr>
            <w:r>
              <w:rPr>
                <w:i/>
                <w:iCs/>
                <w:snapToGrid w:val="0"/>
              </w:rPr>
              <w:t>Limitation Legislation Amendment and Repeal Act 2005</w:t>
            </w:r>
            <w:r>
              <w:rPr>
                <w:snapToGrid w:val="0"/>
              </w:rPr>
              <w:t xml:space="preserve"> Pt. 5</w:t>
            </w:r>
            <w:r>
              <w:rPr>
                <w:snapToGrid w:val="0"/>
                <w:vertAlign w:val="superscript"/>
              </w:rPr>
              <w:t> 3</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2" w:type="dxa"/>
            <w:gridSpan w:val="2"/>
          </w:tcPr>
          <w:p>
            <w:pPr>
              <w:pStyle w:val="nTable"/>
              <w:spacing w:after="40"/>
              <w:rPr>
                <w:snapToGrid w:val="0"/>
              </w:rPr>
            </w:pPr>
            <w:r>
              <w:rPr>
                <w:snapToGrid w:val="0"/>
              </w:rPr>
              <w:t>15 Nov 2005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6</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iCs/>
                <w:snapToGrid w:val="0"/>
              </w:rPr>
              <w:lastRenderedPageBreak/>
              <w:t>Legal Profession Act 2008</w:t>
            </w:r>
            <w:r>
              <w:rPr>
                <w:i/>
                <w:snapToGrid w:val="0"/>
              </w:rPr>
              <w:t xml:space="preserve"> </w:t>
            </w:r>
            <w:r>
              <w:rPr>
                <w:iCs/>
                <w:snapToGrid w:val="0"/>
              </w:rPr>
              <w:t>s. 660</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2"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gridSpan w:val="2"/>
          </w:tcPr>
          <w:p>
            <w:pPr>
              <w:pStyle w:val="nTable"/>
              <w:spacing w:after="40"/>
              <w:rPr>
                <w:snapToGrid w:val="0"/>
              </w:rPr>
            </w:pPr>
            <w:r>
              <w:t>29 of 2008</w:t>
            </w:r>
          </w:p>
        </w:tc>
        <w:tc>
          <w:tcPr>
            <w:tcW w:w="1134" w:type="dxa"/>
            <w:gridSpan w:val="2"/>
          </w:tcPr>
          <w:p>
            <w:pPr>
              <w:pStyle w:val="nTable"/>
              <w:spacing w:after="40"/>
              <w:rPr>
                <w:snapToGrid w:val="0"/>
              </w:rPr>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rPr>
              <w:t>Commercial Arbitration Act 2012</w:t>
            </w:r>
            <w:r>
              <w:t xml:space="preserve"> s. 45 it. 5</w:t>
            </w:r>
          </w:p>
        </w:tc>
        <w:tc>
          <w:tcPr>
            <w:tcW w:w="1134" w:type="dxa"/>
            <w:gridSpan w:val="2"/>
          </w:tcPr>
          <w:p>
            <w:pPr>
              <w:pStyle w:val="nTable"/>
              <w:spacing w:after="40"/>
              <w:rPr>
                <w:snapToGrid w:val="0"/>
              </w:rPr>
            </w:pPr>
            <w:r>
              <w:t>23 of 2012</w:t>
            </w:r>
          </w:p>
        </w:tc>
        <w:tc>
          <w:tcPr>
            <w:tcW w:w="1134" w:type="dxa"/>
            <w:gridSpan w:val="2"/>
          </w:tcPr>
          <w:p>
            <w:pPr>
              <w:pStyle w:val="nTable"/>
              <w:spacing w:after="40"/>
              <w:rPr>
                <w:snapToGrid w:val="0"/>
              </w:rPr>
            </w:pPr>
            <w:r>
              <w:t>29 Aug 2012</w:t>
            </w:r>
          </w:p>
        </w:tc>
        <w:tc>
          <w:tcPr>
            <w:tcW w:w="2552" w:type="dxa"/>
            <w:gridSpan w:val="2"/>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shd w:val="clear" w:color="auto" w:fill="auto"/>
          </w:tcPr>
          <w:p>
            <w:pPr>
              <w:pStyle w:val="nTable"/>
              <w:spacing w:after="40"/>
              <w:ind w:right="113"/>
              <w:rPr>
                <w:i/>
              </w:rPr>
            </w:pPr>
            <w:r>
              <w:rPr>
                <w:i/>
              </w:rPr>
              <w:t xml:space="preserve">Courts and Tribunals (Electronic Processes Facilitation) Act 2013 </w:t>
            </w:r>
            <w:r>
              <w:t>Pt. 3 Div. 10</w:t>
            </w:r>
            <w:r>
              <w:rPr>
                <w:i/>
              </w:rPr>
              <w:t> </w:t>
            </w:r>
          </w:p>
        </w:tc>
        <w:tc>
          <w:tcPr>
            <w:tcW w:w="1134" w:type="dxa"/>
            <w:gridSpan w:val="2"/>
            <w:shd w:val="clear" w:color="auto" w:fill="auto"/>
          </w:tcPr>
          <w:p>
            <w:pPr>
              <w:pStyle w:val="nTable"/>
              <w:spacing w:after="40"/>
            </w:pPr>
            <w:r>
              <w:t>20 of 2013</w:t>
            </w:r>
          </w:p>
        </w:tc>
        <w:tc>
          <w:tcPr>
            <w:tcW w:w="1134" w:type="dxa"/>
            <w:gridSpan w:val="2"/>
            <w:shd w:val="clear" w:color="auto" w:fill="auto"/>
          </w:tcPr>
          <w:p>
            <w:pPr>
              <w:pStyle w:val="nTable"/>
              <w:spacing w:after="40"/>
            </w:pPr>
            <w:r>
              <w:t>4 Nov 2013</w:t>
            </w:r>
          </w:p>
        </w:tc>
        <w:tc>
          <w:tcPr>
            <w:tcW w:w="2552"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gridAfter w:val="1"/>
          <w:wAfter w:w="15" w:type="dxa"/>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3</w:t>
            </w:r>
          </w:p>
        </w:tc>
        <w:tc>
          <w:tcPr>
            <w:tcW w:w="1134" w:type="dxa"/>
            <w:gridSpan w:val="2"/>
            <w:shd w:val="clear" w:color="auto" w:fill="auto"/>
          </w:tcPr>
          <w:p>
            <w:pPr>
              <w:pStyle w:val="nTable"/>
              <w:spacing w:after="40"/>
            </w:pPr>
            <w:r>
              <w:t>3 of 2017</w:t>
            </w:r>
          </w:p>
        </w:tc>
        <w:tc>
          <w:tcPr>
            <w:tcW w:w="1134" w:type="dxa"/>
            <w:gridSpan w:val="2"/>
            <w:shd w:val="clear" w:color="auto" w:fill="auto"/>
          </w:tcPr>
          <w:p>
            <w:pPr>
              <w:pStyle w:val="nTable"/>
              <w:spacing w:after="40"/>
            </w:pPr>
            <w:r>
              <w:t>21 Aug 2017</w:t>
            </w:r>
          </w:p>
        </w:tc>
        <w:tc>
          <w:tcPr>
            <w:tcW w:w="2551" w:type="dxa"/>
            <w:gridSpan w:val="2"/>
            <w:shd w:val="clear" w:color="auto" w:fill="auto"/>
          </w:tcPr>
          <w:p>
            <w:pPr>
              <w:pStyle w:val="nTable"/>
              <w:spacing w:after="40"/>
            </w:pPr>
            <w:r>
              <w:t>18 Sep 2017 (see s. 2(b))</w:t>
            </w:r>
          </w:p>
        </w:tc>
      </w:tr>
      <w:tr>
        <w:tblPrEx>
          <w:tblBorders>
            <w:top w:val="none" w:sz="0" w:space="0" w:color="auto"/>
            <w:bottom w:val="none" w:sz="0" w:space="0" w:color="auto"/>
            <w:insideH w:val="none" w:sz="0" w:space="0" w:color="auto"/>
          </w:tblBorders>
        </w:tblPrEx>
        <w:trPr>
          <w:gridAfter w:val="1"/>
          <w:wAfter w:w="15" w:type="dxa"/>
          <w:cantSplit/>
        </w:trPr>
        <w:tc>
          <w:tcPr>
            <w:tcW w:w="7087" w:type="dxa"/>
            <w:gridSpan w:val="8"/>
            <w:shd w:val="clear" w:color="auto" w:fill="auto"/>
          </w:tcPr>
          <w:p>
            <w:pPr>
              <w:pStyle w:val="nTable"/>
              <w:spacing w:after="40"/>
            </w:pPr>
            <w:r>
              <w:rPr>
                <w:b/>
              </w:rPr>
              <w:t xml:space="preserve">Reprint 9: The </w:t>
            </w:r>
            <w:r>
              <w:rPr>
                <w:b/>
                <w:i/>
                <w:noProof/>
              </w:rPr>
              <w:t>District Court of Western Australia Act 1969</w:t>
            </w:r>
            <w:r>
              <w:rPr>
                <w:b/>
              </w:rPr>
              <w:t xml:space="preserve"> as at 9 Mar 2018</w:t>
            </w:r>
            <w:r>
              <w:t xml:space="preserve"> (includes amendments listed above)</w:t>
            </w:r>
          </w:p>
        </w:tc>
      </w:tr>
      <w:tr>
        <w:trPr>
          <w:gridAfter w:val="1"/>
          <w:wAfter w:w="15" w:type="dxa"/>
          <w:cantSplit/>
        </w:trPr>
        <w:tc>
          <w:tcPr>
            <w:tcW w:w="2268" w:type="dxa"/>
            <w:gridSpan w:val="2"/>
            <w:tcBorders>
              <w:top w:val="nil"/>
              <w:bottom w:val="nil"/>
            </w:tcBorders>
            <w:shd w:val="clear" w:color="auto" w:fill="auto"/>
          </w:tcPr>
          <w:p>
            <w:pPr>
              <w:pStyle w:val="nTable"/>
              <w:spacing w:after="40"/>
              <w:ind w:right="113"/>
              <w:rPr>
                <w:i/>
              </w:rPr>
            </w:pPr>
            <w:r>
              <w:rPr>
                <w:i/>
              </w:rPr>
              <w:t>Court Jurisdiction Legislation Amendment Act 2018</w:t>
            </w:r>
            <w:r>
              <w:t xml:space="preserve"> Pt. 2</w:t>
            </w:r>
          </w:p>
        </w:tc>
        <w:tc>
          <w:tcPr>
            <w:tcW w:w="1134" w:type="dxa"/>
            <w:gridSpan w:val="2"/>
            <w:tcBorders>
              <w:top w:val="nil"/>
              <w:bottom w:val="nil"/>
            </w:tcBorders>
            <w:shd w:val="clear" w:color="auto" w:fill="auto"/>
          </w:tcPr>
          <w:p>
            <w:pPr>
              <w:pStyle w:val="nTable"/>
              <w:spacing w:after="40"/>
            </w:pPr>
            <w:r>
              <w:t>28 of 2018</w:t>
            </w:r>
          </w:p>
        </w:tc>
        <w:tc>
          <w:tcPr>
            <w:tcW w:w="1134" w:type="dxa"/>
            <w:gridSpan w:val="2"/>
            <w:tcBorders>
              <w:top w:val="nil"/>
              <w:bottom w:val="nil"/>
            </w:tcBorders>
            <w:shd w:val="clear" w:color="auto" w:fill="auto"/>
          </w:tcPr>
          <w:p>
            <w:pPr>
              <w:pStyle w:val="nTable"/>
              <w:spacing w:after="40"/>
            </w:pPr>
            <w:r>
              <w:t>2 Nov 2018</w:t>
            </w:r>
          </w:p>
        </w:tc>
        <w:tc>
          <w:tcPr>
            <w:tcW w:w="2551" w:type="dxa"/>
            <w:gridSpan w:val="2"/>
            <w:tcBorders>
              <w:top w:val="nil"/>
              <w:bottom w:val="nil"/>
            </w:tcBorders>
            <w:shd w:val="clear" w:color="auto" w:fill="auto"/>
          </w:tcPr>
          <w:p>
            <w:pPr>
              <w:pStyle w:val="nTable"/>
              <w:spacing w:after="40"/>
            </w:pPr>
            <w:r>
              <w:t xml:space="preserve">1 Jan 2019 (see s. 2(b) and </w:t>
            </w:r>
            <w:r>
              <w:rPr>
                <w:i/>
              </w:rPr>
              <w:t xml:space="preserve">Gazette </w:t>
            </w:r>
            <w:r>
              <w:t>21 Dec 2018 p. 4845)</w:t>
            </w:r>
          </w:p>
        </w:tc>
      </w:tr>
      <w:tr>
        <w:tblPrEx>
          <w:tblBorders>
            <w:top w:val="none" w:sz="0" w:space="0" w:color="auto"/>
            <w:bottom w:val="none" w:sz="0" w:space="0" w:color="auto"/>
            <w:insideH w:val="none" w:sz="0" w:space="0" w:color="auto"/>
          </w:tblBorders>
        </w:tblPrEx>
        <w:trPr>
          <w:gridAfter w:val="1"/>
          <w:wAfter w:w="15" w:type="dxa"/>
          <w:cantSplit/>
        </w:trPr>
        <w:tc>
          <w:tcPr>
            <w:tcW w:w="2268" w:type="dxa"/>
            <w:gridSpan w:val="2"/>
            <w:tcBorders>
              <w:bottom w:val="single" w:sz="4" w:space="0" w:color="auto"/>
            </w:tcBorders>
            <w:shd w:val="clear" w:color="auto" w:fill="auto"/>
          </w:tcPr>
          <w:p>
            <w:pPr>
              <w:pStyle w:val="nTable"/>
              <w:spacing w:after="40"/>
              <w:ind w:right="113"/>
              <w:rPr>
                <w:i/>
              </w:rPr>
            </w:pPr>
            <w:r>
              <w:rPr>
                <w:i/>
              </w:rPr>
              <w:t>Legal Profession Uniform Law Application Act 2022</w:t>
            </w:r>
            <w:r>
              <w:t xml:space="preserve"> Pt. 17 Div. 7</w:t>
            </w:r>
          </w:p>
        </w:tc>
        <w:tc>
          <w:tcPr>
            <w:tcW w:w="1134" w:type="dxa"/>
            <w:gridSpan w:val="2"/>
            <w:tcBorders>
              <w:bottom w:val="single" w:sz="4" w:space="0" w:color="auto"/>
            </w:tcBorders>
            <w:shd w:val="clear" w:color="auto" w:fill="auto"/>
          </w:tcPr>
          <w:p>
            <w:pPr>
              <w:pStyle w:val="nTable"/>
              <w:spacing w:after="40"/>
            </w:pPr>
            <w:r>
              <w:t>9 of 2022</w:t>
            </w:r>
          </w:p>
        </w:tc>
        <w:tc>
          <w:tcPr>
            <w:tcW w:w="1134" w:type="dxa"/>
            <w:gridSpan w:val="2"/>
            <w:tcBorders>
              <w:bottom w:val="single" w:sz="4" w:space="0" w:color="auto"/>
            </w:tcBorders>
            <w:shd w:val="clear" w:color="auto" w:fill="auto"/>
          </w:tcPr>
          <w:p>
            <w:pPr>
              <w:pStyle w:val="nTable"/>
              <w:spacing w:after="40"/>
            </w:pPr>
            <w:r>
              <w:t>14 Apr 2022</w:t>
            </w:r>
          </w:p>
        </w:tc>
        <w:tc>
          <w:tcPr>
            <w:tcW w:w="2551" w:type="dxa"/>
            <w:gridSpan w:val="2"/>
            <w:tcBorders>
              <w:bottom w:val="single" w:sz="4" w:space="0" w:color="auto"/>
            </w:tcBorders>
            <w:shd w:val="clear" w:color="auto" w:fill="auto"/>
          </w:tcPr>
          <w:p>
            <w:pPr>
              <w:pStyle w:val="nTable"/>
              <w:spacing w:after="40"/>
            </w:pPr>
            <w:r>
              <w:rPr>
                <w:snapToGrid w:val="0"/>
              </w:rPr>
              <w:t>1 Jul 2022 (see s. 2(c) and SL 2022/113 cl. 2)</w:t>
            </w:r>
          </w:p>
        </w:tc>
      </w:tr>
    </w:tbl>
    <w:p>
      <w:pPr>
        <w:pStyle w:val="nHeading3"/>
      </w:pPr>
      <w:bookmarkStart w:id="137" w:name="_Toc107412693"/>
      <w:r>
        <w:t>Uncommenced provisions table</w:t>
      </w:r>
      <w:bookmarkEnd w:id="13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ind w:right="113"/>
              <w:rPr>
                <w:i/>
              </w:rPr>
            </w:pPr>
            <w:r>
              <w:rPr>
                <w:i/>
              </w:rPr>
              <w:t>State Superannuation (Transitional and Consequential Provisions) Act 2000</w:t>
            </w:r>
            <w:r>
              <w:t xml:space="preserve"> s. 75</w:t>
            </w:r>
          </w:p>
        </w:tc>
        <w:tc>
          <w:tcPr>
            <w:tcW w:w="1134" w:type="dxa"/>
            <w:tcBorders>
              <w:bottom w:val="single" w:sz="4" w:space="0" w:color="auto"/>
            </w:tcBorders>
          </w:tcPr>
          <w:p>
            <w:pPr>
              <w:pStyle w:val="nTable"/>
              <w:spacing w:after="40"/>
            </w:pPr>
            <w:r>
              <w:t>43 of 2000</w:t>
            </w:r>
          </w:p>
        </w:tc>
        <w:tc>
          <w:tcPr>
            <w:tcW w:w="1134" w:type="dxa"/>
            <w:tcBorders>
              <w:bottom w:val="single" w:sz="4" w:space="0" w:color="auto"/>
            </w:tcBorders>
          </w:tcPr>
          <w:p>
            <w:pPr>
              <w:pStyle w:val="nTable"/>
              <w:spacing w:after="40"/>
            </w:pPr>
            <w:r>
              <w:t>2 Nov 2000</w:t>
            </w:r>
          </w:p>
        </w:tc>
        <w:tc>
          <w:tcPr>
            <w:tcW w:w="2552" w:type="dxa"/>
            <w:tcBorders>
              <w:bottom w:val="single" w:sz="4" w:space="0" w:color="auto"/>
            </w:tcBorders>
          </w:tcPr>
          <w:p>
            <w:pPr>
              <w:pStyle w:val="nTable"/>
              <w:spacing w:after="40"/>
            </w:pPr>
            <w:r>
              <w:t>To be proclaimed (see s. 2(2))</w:t>
            </w:r>
          </w:p>
        </w:tc>
      </w:tr>
    </w:tbl>
    <w:p>
      <w:pPr>
        <w:pStyle w:val="nHeading3"/>
      </w:pPr>
      <w:bookmarkStart w:id="138" w:name="_Toc107412694"/>
      <w:r>
        <w:lastRenderedPageBreak/>
        <w:t>Other notes</w:t>
      </w:r>
      <w:bookmarkEnd w:id="138"/>
    </w:p>
    <w:p>
      <w:pPr>
        <w:pStyle w:val="nNote"/>
        <w:spacing w:before="160"/>
      </w:pPr>
      <w:r>
        <w:rPr>
          <w:vertAlign w:val="superscript"/>
        </w:rPr>
        <w:t>1</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keepNext w:val="0"/>
        <w:spacing w:before="0"/>
      </w:pPr>
      <w:r>
        <w:t>Part 22 — 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r>
        <w:rPr>
          <w:rStyle w:val="CharSectno"/>
        </w:rPr>
        <w:t>143</w:t>
      </w:r>
      <w:r>
        <w:t>.</w:t>
      </w:r>
      <w:r>
        <w:tab/>
        <w:t>Interpretation</w:t>
      </w:r>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If immediately before commencement a judgment of the Supreme Court, District Court or Local Court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lastRenderedPageBreak/>
        <w:t>145</w:t>
      </w:r>
      <w:r>
        <w:t>.</w:t>
      </w:r>
      <w:r>
        <w:tab/>
        <w:t>Pending proceedings to enforce a judgment</w:t>
      </w:r>
    </w:p>
    <w:p>
      <w:pPr>
        <w:pStyle w:val="nzSubsection"/>
        <w:keepNext/>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lastRenderedPageBreak/>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lastRenderedPageBreak/>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 xml:space="preserve">If this Act does not provide sufficiently for a matter or issue of a transitional nature that arises as a result of the repeal or </w:t>
      </w:r>
      <w:r>
        <w:lastRenderedPageBreak/>
        <w:t>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pPr>
    </w:p>
    <w:p>
      <w:pPr>
        <w:pStyle w:val="nNote"/>
        <w:keepNext/>
      </w:pPr>
      <w:r>
        <w:rPr>
          <w:vertAlign w:val="superscript"/>
        </w:rPr>
        <w:t>3</w:t>
      </w:r>
      <w:r>
        <w:tab/>
        <w:t xml:space="preserve">The </w:t>
      </w:r>
      <w:r>
        <w:rPr>
          <w:i/>
        </w:rPr>
        <w:t xml:space="preserve">Limitation Legislation Amendment and Repeal Act 2005 </w:t>
      </w:r>
      <w:r>
        <w:rPr>
          <w:iCs/>
        </w:rPr>
        <w:t>s. 10(2)</w:t>
      </w:r>
      <w:r>
        <w:t xml:space="preserve"> reads as follows:</w:t>
      </w:r>
    </w:p>
    <w:p>
      <w:pPr>
        <w:pStyle w:val="BlankOpen"/>
      </w:pPr>
    </w:p>
    <w:p>
      <w:pPr>
        <w:pStyle w:val="nzHeading5"/>
      </w:pPr>
      <w:r>
        <w:rPr>
          <w:rStyle w:val="CharSectno"/>
        </w:rPr>
        <w:t>10</w:t>
      </w:r>
      <w:r>
        <w:t>.</w:t>
      </w:r>
      <w:r>
        <w:tab/>
        <w:t>Section 37 amended and a savings provision</w:t>
      </w:r>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BlankClose"/>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40" w:name="_Toc107412695"/>
      <w:r>
        <w:rPr>
          <w:sz w:val="28"/>
        </w:rPr>
        <w:lastRenderedPageBreak/>
        <w:t>Defined terms</w:t>
      </w:r>
      <w:bookmarkEnd w:id="1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6(1)</w:t>
      </w:r>
    </w:p>
    <w:p>
      <w:pPr>
        <w:pStyle w:val="DefinedTerms"/>
      </w:pPr>
      <w:r>
        <w:t>auxiliary District Court judge</w:t>
      </w:r>
      <w:r>
        <w:tab/>
        <w:t>6(1)</w:t>
      </w:r>
    </w:p>
    <w:p>
      <w:pPr>
        <w:pStyle w:val="DefinedTerms"/>
      </w:pPr>
      <w:r>
        <w:t>cause</w:t>
      </w:r>
      <w:r>
        <w:tab/>
        <w:t>6(1)</w:t>
      </w:r>
    </w:p>
    <w:p>
      <w:pPr>
        <w:pStyle w:val="DefinedTerms"/>
      </w:pPr>
      <w:r>
        <w:t>Chief Judge</w:t>
      </w:r>
      <w:r>
        <w:tab/>
        <w:t>6(1)</w:t>
      </w:r>
    </w:p>
    <w:p>
      <w:pPr>
        <w:pStyle w:val="DefinedTerms"/>
      </w:pPr>
      <w:r>
        <w:t>costs determination</w:t>
      </w:r>
      <w:r>
        <w:tab/>
        <w:t>6(1)</w:t>
      </w:r>
    </w:p>
    <w:p>
      <w:pPr>
        <w:pStyle w:val="DefinedTerms"/>
      </w:pPr>
      <w:r>
        <w:t>Court</w:t>
      </w:r>
      <w:r>
        <w:tab/>
        <w:t>6(1)</w:t>
      </w:r>
    </w:p>
    <w:p>
      <w:pPr>
        <w:pStyle w:val="DefinedTerms"/>
      </w:pPr>
      <w:r>
        <w:t>defendant</w:t>
      </w:r>
      <w:r>
        <w:tab/>
        <w:t>6(1)</w:t>
      </w:r>
    </w:p>
    <w:p>
      <w:pPr>
        <w:pStyle w:val="DefinedTerms"/>
      </w:pPr>
      <w:r>
        <w:t>District Court judge</w:t>
      </w:r>
      <w:r>
        <w:tab/>
        <w:t>6(1)</w:t>
      </w:r>
    </w:p>
    <w:p>
      <w:pPr>
        <w:pStyle w:val="DefinedTerms"/>
      </w:pPr>
      <w:r>
        <w:t>judgment</w:t>
      </w:r>
      <w:r>
        <w:tab/>
        <w:t>6(1)</w:t>
      </w:r>
    </w:p>
    <w:p>
      <w:pPr>
        <w:pStyle w:val="DefinedTerms"/>
      </w:pPr>
      <w:r>
        <w:t>jurisdiction</w:t>
      </w:r>
      <w:r>
        <w:tab/>
        <w:t>6(1)</w:t>
      </w:r>
    </w:p>
    <w:p>
      <w:pPr>
        <w:pStyle w:val="DefinedTerms"/>
      </w:pPr>
      <w:r>
        <w:t>jurisdictional limit</w:t>
      </w:r>
      <w:r>
        <w:tab/>
        <w:t>6(1)</w:t>
      </w:r>
    </w:p>
    <w:p>
      <w:pPr>
        <w:pStyle w:val="DefinedTerms"/>
      </w:pPr>
      <w:r>
        <w:t>legal experience</w:t>
      </w:r>
      <w:r>
        <w:tab/>
        <w:t>6(2)</w:t>
      </w:r>
    </w:p>
    <w:p>
      <w:pPr>
        <w:pStyle w:val="DefinedTerms"/>
      </w:pPr>
      <w:r>
        <w:t>matter</w:t>
      </w:r>
      <w:r>
        <w:tab/>
        <w:t>6(1)</w:t>
      </w:r>
    </w:p>
    <w:p>
      <w:pPr>
        <w:pStyle w:val="DefinedTerms"/>
      </w:pPr>
      <w:r>
        <w:t>party</w:t>
      </w:r>
      <w:r>
        <w:tab/>
        <w:t>6(1)</w:t>
      </w:r>
    </w:p>
    <w:p>
      <w:pPr>
        <w:pStyle w:val="DefinedTerms"/>
      </w:pPr>
      <w:r>
        <w:t>plaintiff</w:t>
      </w:r>
      <w:r>
        <w:tab/>
        <w:t>6(1)</w:t>
      </w:r>
    </w:p>
    <w:p>
      <w:pPr>
        <w:pStyle w:val="DefinedTerms"/>
      </w:pPr>
      <w:r>
        <w:t>practice and procedure</w:t>
      </w:r>
      <w:r>
        <w:tab/>
        <w:t>6(1)</w:t>
      </w:r>
    </w:p>
    <w:p>
      <w:pPr>
        <w:pStyle w:val="DefinedTerms"/>
      </w:pPr>
      <w:r>
        <w:t>registrar</w:t>
      </w:r>
      <w:r>
        <w:tab/>
        <w:t>6(1)</w:t>
      </w:r>
    </w:p>
    <w:p>
      <w:pPr>
        <w:pStyle w:val="DefinedTerms"/>
      </w:pPr>
      <w:r>
        <w:t>section</w:t>
      </w:r>
      <w:r>
        <w:tab/>
        <w:t>6(1)</w:t>
      </w:r>
    </w:p>
    <w:p>
      <w:pPr>
        <w:pStyle w:val="DefinedTerms"/>
      </w:pPr>
      <w:r>
        <w:t>sheriff</w:t>
      </w:r>
      <w:r>
        <w:tab/>
        <w:t>6(1)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32" w:name="Schedule"/>
    <w:bookmarkEnd w:id="1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1" w:name="DefinedTerms"/>
    <w:bookmarkEnd w:id="1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3F0E5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0FACB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7604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765D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E267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34745"/>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 w:name="WAFER_2020021213572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5727_GUID" w:val="9b846b14-f9ec-4d8a-a1b1-cabf981f148f"/>
    <w:docVar w:name="WAFER_20220408100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00623_GUID" w:val="a560ff70-7886-4a31-8e56-5fbc4c3cd241"/>
    <w:docVar w:name="WAFER_202206281347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724_GUID" w:val="46825111-a2df-4e5d-8f14-6e459078e1b0"/>
    <w:docVar w:name="WAFER_20220628134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745_GUID" w:val="1a341e27-db4a-4f8c-b5d5-bf6addf0a5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EAA67AC0-E501-44CE-8A6D-229D6A2E5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284522">
      <w:bodyDiv w:val="1"/>
      <w:marLeft w:val="0"/>
      <w:marRight w:val="0"/>
      <w:marTop w:val="0"/>
      <w:marBottom w:val="0"/>
      <w:divBdr>
        <w:top w:val="none" w:sz="0" w:space="0" w:color="auto"/>
        <w:left w:val="none" w:sz="0" w:space="0" w:color="auto"/>
        <w:bottom w:val="none" w:sz="0" w:space="0" w:color="auto"/>
        <w:right w:val="none" w:sz="0" w:space="0" w:color="auto"/>
      </w:divBdr>
    </w:div>
    <w:div w:id="578488679">
      <w:bodyDiv w:val="1"/>
      <w:marLeft w:val="0"/>
      <w:marRight w:val="0"/>
      <w:marTop w:val="0"/>
      <w:marBottom w:val="0"/>
      <w:divBdr>
        <w:top w:val="none" w:sz="0" w:space="0" w:color="auto"/>
        <w:left w:val="none" w:sz="0" w:space="0" w:color="auto"/>
        <w:bottom w:val="none" w:sz="0" w:space="0" w:color="auto"/>
        <w:right w:val="none" w:sz="0" w:space="0" w:color="auto"/>
      </w:divBdr>
    </w:div>
    <w:div w:id="738484719">
      <w:bodyDiv w:val="1"/>
      <w:marLeft w:val="0"/>
      <w:marRight w:val="0"/>
      <w:marTop w:val="0"/>
      <w:marBottom w:val="0"/>
      <w:divBdr>
        <w:top w:val="none" w:sz="0" w:space="0" w:color="auto"/>
        <w:left w:val="none" w:sz="0" w:space="0" w:color="auto"/>
        <w:bottom w:val="none" w:sz="0" w:space="0" w:color="auto"/>
        <w:right w:val="none" w:sz="0" w:space="0" w:color="auto"/>
      </w:divBdr>
    </w:div>
    <w:div w:id="848258342">
      <w:bodyDiv w:val="1"/>
      <w:marLeft w:val="0"/>
      <w:marRight w:val="0"/>
      <w:marTop w:val="0"/>
      <w:marBottom w:val="0"/>
      <w:divBdr>
        <w:top w:val="none" w:sz="0" w:space="0" w:color="auto"/>
        <w:left w:val="none" w:sz="0" w:space="0" w:color="auto"/>
        <w:bottom w:val="none" w:sz="0" w:space="0" w:color="auto"/>
        <w:right w:val="none" w:sz="0" w:space="0" w:color="auto"/>
      </w:divBdr>
    </w:div>
    <w:div w:id="932863272">
      <w:bodyDiv w:val="1"/>
      <w:marLeft w:val="0"/>
      <w:marRight w:val="0"/>
      <w:marTop w:val="0"/>
      <w:marBottom w:val="0"/>
      <w:divBdr>
        <w:top w:val="none" w:sz="0" w:space="0" w:color="auto"/>
        <w:left w:val="none" w:sz="0" w:space="0" w:color="auto"/>
        <w:bottom w:val="none" w:sz="0" w:space="0" w:color="auto"/>
        <w:right w:val="none" w:sz="0" w:space="0" w:color="auto"/>
      </w:divBdr>
    </w:div>
    <w:div w:id="1242105015">
      <w:bodyDiv w:val="1"/>
      <w:marLeft w:val="0"/>
      <w:marRight w:val="0"/>
      <w:marTop w:val="0"/>
      <w:marBottom w:val="0"/>
      <w:divBdr>
        <w:top w:val="none" w:sz="0" w:space="0" w:color="auto"/>
        <w:left w:val="none" w:sz="0" w:space="0" w:color="auto"/>
        <w:bottom w:val="none" w:sz="0" w:space="0" w:color="auto"/>
        <w:right w:val="none" w:sz="0" w:space="0" w:color="auto"/>
      </w:divBdr>
    </w:div>
    <w:div w:id="1343581213">
      <w:bodyDiv w:val="1"/>
      <w:marLeft w:val="0"/>
      <w:marRight w:val="0"/>
      <w:marTop w:val="0"/>
      <w:marBottom w:val="0"/>
      <w:divBdr>
        <w:top w:val="none" w:sz="0" w:space="0" w:color="auto"/>
        <w:left w:val="none" w:sz="0" w:space="0" w:color="auto"/>
        <w:bottom w:val="none" w:sz="0" w:space="0" w:color="auto"/>
        <w:right w:val="none" w:sz="0" w:space="0" w:color="auto"/>
      </w:divBdr>
    </w:div>
    <w:div w:id="1676807386">
      <w:bodyDiv w:val="1"/>
      <w:marLeft w:val="0"/>
      <w:marRight w:val="0"/>
      <w:marTop w:val="0"/>
      <w:marBottom w:val="0"/>
      <w:divBdr>
        <w:top w:val="none" w:sz="0" w:space="0" w:color="auto"/>
        <w:left w:val="none" w:sz="0" w:space="0" w:color="auto"/>
        <w:bottom w:val="none" w:sz="0" w:space="0" w:color="auto"/>
        <w:right w:val="none" w:sz="0" w:space="0" w:color="auto"/>
      </w:divBdr>
    </w:div>
    <w:div w:id="1785150819">
      <w:bodyDiv w:val="1"/>
      <w:marLeft w:val="0"/>
      <w:marRight w:val="0"/>
      <w:marTop w:val="0"/>
      <w:marBottom w:val="0"/>
      <w:divBdr>
        <w:top w:val="none" w:sz="0" w:space="0" w:color="auto"/>
        <w:left w:val="none" w:sz="0" w:space="0" w:color="auto"/>
        <w:bottom w:val="none" w:sz="0" w:space="0" w:color="auto"/>
        <w:right w:val="none" w:sz="0" w:space="0" w:color="auto"/>
      </w:divBdr>
    </w:div>
    <w:div w:id="1798984148">
      <w:bodyDiv w:val="1"/>
      <w:marLeft w:val="0"/>
      <w:marRight w:val="0"/>
      <w:marTop w:val="0"/>
      <w:marBottom w:val="0"/>
      <w:divBdr>
        <w:top w:val="none" w:sz="0" w:space="0" w:color="auto"/>
        <w:left w:val="none" w:sz="0" w:space="0" w:color="auto"/>
        <w:bottom w:val="none" w:sz="0" w:space="0" w:color="auto"/>
        <w:right w:val="none" w:sz="0" w:space="0" w:color="auto"/>
      </w:divBdr>
    </w:div>
    <w:div w:id="183757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16550</Words>
  <Characters>74313</Characters>
  <Application>Microsoft Office Word</Application>
  <DocSecurity>0</DocSecurity>
  <Lines>2064</Lines>
  <Paragraphs>1081</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1969 - 09-e0-00</dc:title>
  <dc:subject/>
  <dc:creator/>
  <cp:keywords/>
  <dc:description/>
  <cp:lastModifiedBy>Master Repository Process</cp:lastModifiedBy>
  <cp:revision>4</cp:revision>
  <cp:lastPrinted>2018-02-07T05:48:00Z</cp:lastPrinted>
  <dcterms:created xsi:type="dcterms:W3CDTF">2022-06-30T06:11:00Z</dcterms:created>
  <dcterms:modified xsi:type="dcterms:W3CDTF">2022-06-30T06:11:00Z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DocumentType">
    <vt:lpwstr>Act</vt:lpwstr>
  </property>
  <property fmtid="{D5CDD505-2E9C-101B-9397-08002B2CF9AE}" pid="4" name="OwlsUID">
    <vt:i4>228</vt:i4>
  </property>
  <property fmtid="{D5CDD505-2E9C-101B-9397-08002B2CF9AE}" pid="5" name="ReprintedAsAt">
    <vt:filetime>2018-03-08T16:00:00Z</vt:filetime>
  </property>
  <property fmtid="{D5CDD505-2E9C-101B-9397-08002B2CF9AE}" pid="6" name="ReprintNo">
    <vt:lpwstr>9</vt:lpwstr>
  </property>
  <property fmtid="{D5CDD505-2E9C-101B-9397-08002B2CF9AE}" pid="7" name="AsAtDate">
    <vt:lpwstr>01 Jul 2022</vt:lpwstr>
  </property>
  <property fmtid="{D5CDD505-2E9C-101B-9397-08002B2CF9AE}" pid="8" name="Suffix">
    <vt:lpwstr>09-e0-00</vt:lpwstr>
  </property>
  <property fmtid="{D5CDD505-2E9C-101B-9397-08002B2CF9AE}" pid="9" name="CommencementDate">
    <vt:lpwstr>20220701</vt:lpwstr>
  </property>
</Properties>
</file>