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Finance Brokers Control Act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_Toc107474119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_Toc107474120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_Toc107474121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Exceptions to </w:t>
      </w:r>
      <w:r>
        <w:rPr>
          <w:i/>
          <w:snapToGrid w:val="0"/>
        </w:rPr>
        <w:t>finance broker</w:t>
      </w:r>
      <w:r>
        <w:tab/>
      </w:r>
      <w:r>
        <w:fldChar w:fldCharType="begin"/>
      </w:r>
      <w:r>
        <w:instrText xml:space="preserve"> PAGEREF _Toc107474122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tab/>
        <w:t>Commissioner</w:t>
      </w:r>
      <w:r>
        <w:tab/>
      </w:r>
      <w:r>
        <w:fldChar w:fldCharType="begin"/>
      </w:r>
      <w:r>
        <w:instrText xml:space="preserve"> PAGEREF _Toc107474125 \h </w:instrText>
      </w:r>
      <w:r>
        <w:fldChar w:fldCharType="separate"/>
      </w:r>
      <w:r>
        <w:t>6</w:t>
      </w:r>
      <w:r>
        <w:fldChar w:fldCharType="end"/>
      </w:r>
    </w:p>
    <w:p>
      <w:pPr>
        <w:pStyle w:val="TOC8"/>
        <w:rPr>
          <w:rFonts w:asciiTheme="minorHAnsi" w:eastAsiaTheme="minorEastAsia" w:hAnsiTheme="minorHAnsi" w:cstheme="minorBidi"/>
          <w:szCs w:val="22"/>
        </w:rPr>
      </w:pPr>
      <w:r>
        <w:t>7.</w:t>
      </w:r>
      <w:r>
        <w:tab/>
        <w:t>General functions of Commissioner</w:t>
      </w:r>
      <w:r>
        <w:tab/>
      </w:r>
      <w:r>
        <w:fldChar w:fldCharType="begin"/>
      </w:r>
      <w:r>
        <w:instrText xml:space="preserve"> PAGEREF _Toc107474126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Commissioner may delegate</w:t>
      </w:r>
      <w:r>
        <w:tab/>
      </w:r>
      <w:r>
        <w:fldChar w:fldCharType="begin"/>
      </w:r>
      <w:r>
        <w:instrText xml:space="preserve"> PAGEREF _Toc107474127 \h </w:instrText>
      </w:r>
      <w:r>
        <w:fldChar w:fldCharType="separate"/>
      </w:r>
      <w:r>
        <w:t>7</w:t>
      </w:r>
      <w:r>
        <w:fldChar w:fldCharType="end"/>
      </w:r>
    </w:p>
    <w:p>
      <w:pPr>
        <w:pStyle w:val="TOC8"/>
        <w:rPr>
          <w:rFonts w:asciiTheme="minorHAnsi" w:eastAsiaTheme="minorEastAsia" w:hAnsiTheme="minorHAnsi" w:cstheme="minorBidi"/>
          <w:szCs w:val="22"/>
        </w:rPr>
      </w:pPr>
      <w:r>
        <w:t>9A.</w:t>
      </w:r>
      <w:r>
        <w:tab/>
        <w:t>Arrangements with ASIC</w:t>
      </w:r>
      <w:r>
        <w:tab/>
      </w:r>
      <w:r>
        <w:fldChar w:fldCharType="begin"/>
      </w:r>
      <w:r>
        <w:instrText xml:space="preserve"> PAGEREF _Toc107474128 \h </w:instrText>
      </w:r>
      <w:r>
        <w:fldChar w:fldCharType="separate"/>
      </w:r>
      <w:r>
        <w:t>7</w:t>
      </w:r>
      <w:r>
        <w:fldChar w:fldCharType="end"/>
      </w:r>
    </w:p>
    <w:p>
      <w:pPr>
        <w:pStyle w:val="TOC8"/>
        <w:rPr>
          <w:rFonts w:asciiTheme="minorHAnsi" w:eastAsiaTheme="minorEastAsia" w:hAnsiTheme="minorHAnsi" w:cstheme="minorBidi"/>
          <w:szCs w:val="22"/>
        </w:rPr>
      </w:pPr>
      <w:r>
        <w:t>9B.</w:t>
      </w:r>
      <w:r>
        <w:tab/>
        <w:t>Information</w:t>
      </w:r>
      <w:r>
        <w:tab/>
      </w:r>
      <w:r>
        <w:fldChar w:fldCharType="begin"/>
      </w:r>
      <w:r>
        <w:instrText xml:space="preserve"> PAGEREF _Toc107474129 \h </w:instrText>
      </w:r>
      <w:r>
        <w:fldChar w:fldCharType="separate"/>
      </w:r>
      <w:r>
        <w:t>8</w:t>
      </w:r>
      <w:r>
        <w:fldChar w:fldCharType="end"/>
      </w:r>
    </w:p>
    <w:p>
      <w:pPr>
        <w:pStyle w:val="TOC8"/>
        <w:rPr>
          <w:rFonts w:asciiTheme="minorHAnsi" w:eastAsiaTheme="minorEastAsia" w:hAnsiTheme="minorHAnsi" w:cstheme="minorBidi"/>
          <w:szCs w:val="22"/>
        </w:rPr>
      </w:pPr>
      <w:r>
        <w:t>9.</w:t>
      </w:r>
      <w:r>
        <w:tab/>
        <w:t>Judicial notice</w:t>
      </w:r>
      <w:r>
        <w:tab/>
      </w:r>
      <w:r>
        <w:fldChar w:fldCharType="begin"/>
      </w:r>
      <w:r>
        <w:instrText xml:space="preserve"> PAGEREF _Toc107474130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 and inquiry</w:t>
      </w:r>
    </w:p>
    <w:p>
      <w:pPr>
        <w:pStyle w:val="TOC8"/>
        <w:rPr>
          <w:rFonts w:asciiTheme="minorHAnsi" w:eastAsiaTheme="minorEastAsia" w:hAnsiTheme="minorHAnsi" w:cstheme="minorBidi"/>
          <w:szCs w:val="22"/>
        </w:rPr>
      </w:pPr>
      <w:r>
        <w:t>13</w:t>
      </w:r>
      <w:r>
        <w:rPr>
          <w:snapToGrid w:val="0"/>
        </w:rPr>
        <w:t>.</w:t>
      </w:r>
      <w:r>
        <w:rPr>
          <w:snapToGrid w:val="0"/>
        </w:rPr>
        <w:tab/>
        <w:t>Investigation and inquiry by Commissioner</w:t>
      </w:r>
      <w:r>
        <w:tab/>
      </w:r>
      <w:r>
        <w:fldChar w:fldCharType="begin"/>
      </w:r>
      <w:r>
        <w:instrText xml:space="preserve"> PAGEREF _Toc107474132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Police investigations</w:t>
      </w:r>
      <w:r>
        <w:tab/>
      </w:r>
      <w:r>
        <w:fldChar w:fldCharType="begin"/>
      </w:r>
      <w:r>
        <w:instrText xml:space="preserve"> PAGEREF _Toc107474133 \h </w:instrText>
      </w:r>
      <w:r>
        <w:fldChar w:fldCharType="separate"/>
      </w:r>
      <w:r>
        <w:t>9</w:t>
      </w:r>
      <w:r>
        <w:fldChar w:fldCharType="end"/>
      </w:r>
    </w:p>
    <w:p>
      <w:pPr>
        <w:pStyle w:val="TOC8"/>
        <w:rPr>
          <w:rFonts w:asciiTheme="minorHAnsi" w:eastAsiaTheme="minorEastAsia" w:hAnsiTheme="minorHAnsi" w:cstheme="minorBidi"/>
          <w:szCs w:val="22"/>
        </w:rPr>
      </w:pPr>
      <w:r>
        <w:t>15.</w:t>
      </w:r>
      <w:r>
        <w:tab/>
        <w:t>Investigators</w:t>
      </w:r>
      <w:r>
        <w:tab/>
      </w:r>
      <w:r>
        <w:fldChar w:fldCharType="begin"/>
      </w:r>
      <w:r>
        <w:instrText xml:space="preserve"> PAGEREF _Toc107474134 \h </w:instrText>
      </w:r>
      <w:r>
        <w:fldChar w:fldCharType="separate"/>
      </w:r>
      <w:r>
        <w:t>10</w:t>
      </w:r>
      <w:r>
        <w:fldChar w:fldCharType="end"/>
      </w:r>
    </w:p>
    <w:p>
      <w:pPr>
        <w:pStyle w:val="TOC8"/>
        <w:rPr>
          <w:rFonts w:asciiTheme="minorHAnsi" w:eastAsiaTheme="minorEastAsia" w:hAnsiTheme="minorHAnsi" w:cstheme="minorBidi"/>
          <w:szCs w:val="22"/>
        </w:rPr>
      </w:pPr>
      <w:r>
        <w:t>16.</w:t>
      </w:r>
      <w:r>
        <w:tab/>
        <w:t>Additional investigative powers</w:t>
      </w:r>
      <w:r>
        <w:tab/>
      </w:r>
      <w:r>
        <w:fldChar w:fldCharType="begin"/>
      </w:r>
      <w:r>
        <w:instrText xml:space="preserve"> PAGEREF _Toc107474135 \h </w:instrText>
      </w:r>
      <w:r>
        <w:fldChar w:fldCharType="separate"/>
      </w:r>
      <w:r>
        <w:t>10</w:t>
      </w:r>
      <w:r>
        <w:fldChar w:fldCharType="end"/>
      </w:r>
    </w:p>
    <w:p>
      <w:pPr>
        <w:pStyle w:val="TOC8"/>
        <w:rPr>
          <w:rFonts w:asciiTheme="minorHAnsi" w:eastAsiaTheme="minorEastAsia" w:hAnsiTheme="minorHAnsi" w:cstheme="minorBidi"/>
          <w:szCs w:val="22"/>
        </w:rPr>
      </w:pPr>
      <w:r>
        <w:t>17.</w:t>
      </w:r>
      <w:r>
        <w:tab/>
        <w:t>Compliance checks at licensee’s business premises</w:t>
      </w:r>
      <w:r>
        <w:tab/>
      </w:r>
      <w:r>
        <w:fldChar w:fldCharType="begin"/>
      </w:r>
      <w:r>
        <w:instrText xml:space="preserve"> PAGEREF _Toc107474136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Specific investigatory powers</w:t>
      </w:r>
    </w:p>
    <w:p>
      <w:pPr>
        <w:pStyle w:val="TOC8"/>
        <w:rPr>
          <w:rFonts w:asciiTheme="minorHAnsi" w:eastAsiaTheme="minorEastAsia" w:hAnsiTheme="minorHAnsi" w:cstheme="minorBidi"/>
          <w:szCs w:val="22"/>
        </w:rPr>
      </w:pPr>
      <w:r>
        <w:t>18.</w:t>
      </w:r>
      <w:r>
        <w:tab/>
        <w:t>Powers</w:t>
      </w:r>
      <w:r>
        <w:tab/>
      </w:r>
      <w:r>
        <w:fldChar w:fldCharType="begin"/>
      </w:r>
      <w:r>
        <w:instrText xml:space="preserve"> PAGEREF _Toc107474138 \h </w:instrText>
      </w:r>
      <w:r>
        <w:fldChar w:fldCharType="separate"/>
      </w:r>
      <w:r>
        <w:t>12</w:t>
      </w:r>
      <w:r>
        <w:fldChar w:fldCharType="end"/>
      </w:r>
    </w:p>
    <w:p>
      <w:pPr>
        <w:pStyle w:val="TOC8"/>
        <w:rPr>
          <w:rFonts w:asciiTheme="minorHAnsi" w:eastAsiaTheme="minorEastAsia" w:hAnsiTheme="minorHAnsi" w:cstheme="minorBidi"/>
          <w:szCs w:val="22"/>
        </w:rPr>
      </w:pPr>
      <w:r>
        <w:t>18A.</w:t>
      </w:r>
      <w:r>
        <w:tab/>
        <w:t>Warrant to enter premises</w:t>
      </w:r>
      <w:r>
        <w:tab/>
      </w:r>
      <w:r>
        <w:fldChar w:fldCharType="begin"/>
      </w:r>
      <w:r>
        <w:instrText xml:space="preserve"> PAGEREF _Toc107474139 \h </w:instrText>
      </w:r>
      <w:r>
        <w:fldChar w:fldCharType="separate"/>
      </w:r>
      <w:r>
        <w:t>13</w:t>
      </w:r>
      <w:r>
        <w:fldChar w:fldCharType="end"/>
      </w:r>
    </w:p>
    <w:p>
      <w:pPr>
        <w:pStyle w:val="TOC8"/>
        <w:rPr>
          <w:rFonts w:asciiTheme="minorHAnsi" w:eastAsiaTheme="minorEastAsia" w:hAnsiTheme="minorHAnsi" w:cstheme="minorBidi"/>
          <w:szCs w:val="22"/>
        </w:rPr>
      </w:pPr>
      <w:r>
        <w:t>18B.</w:t>
      </w:r>
      <w:r>
        <w:tab/>
        <w:t>Issue of warrant</w:t>
      </w:r>
      <w:r>
        <w:tab/>
      </w:r>
      <w:r>
        <w:fldChar w:fldCharType="begin"/>
      </w:r>
      <w:r>
        <w:instrText xml:space="preserve"> PAGEREF _Toc107474140 \h </w:instrText>
      </w:r>
      <w:r>
        <w:fldChar w:fldCharType="separate"/>
      </w:r>
      <w:r>
        <w:t>14</w:t>
      </w:r>
      <w:r>
        <w:fldChar w:fldCharType="end"/>
      </w:r>
    </w:p>
    <w:p>
      <w:pPr>
        <w:pStyle w:val="TOC8"/>
        <w:rPr>
          <w:rFonts w:asciiTheme="minorHAnsi" w:eastAsiaTheme="minorEastAsia" w:hAnsiTheme="minorHAnsi" w:cstheme="minorBidi"/>
          <w:szCs w:val="22"/>
        </w:rPr>
      </w:pPr>
      <w:r>
        <w:t>18C.</w:t>
      </w:r>
      <w:r>
        <w:tab/>
        <w:t>Execution of warrant</w:t>
      </w:r>
      <w:r>
        <w:tab/>
      </w:r>
      <w:r>
        <w:fldChar w:fldCharType="begin"/>
      </w:r>
      <w:r>
        <w:instrText xml:space="preserve"> PAGEREF _Toc107474141 \h </w:instrText>
      </w:r>
      <w:r>
        <w:fldChar w:fldCharType="separate"/>
      </w:r>
      <w:r>
        <w:t>15</w:t>
      </w:r>
      <w:r>
        <w:fldChar w:fldCharType="end"/>
      </w:r>
    </w:p>
    <w:p>
      <w:pPr>
        <w:pStyle w:val="TOC8"/>
        <w:rPr>
          <w:rFonts w:asciiTheme="minorHAnsi" w:eastAsiaTheme="minorEastAsia" w:hAnsiTheme="minorHAnsi" w:cstheme="minorBidi"/>
          <w:szCs w:val="22"/>
        </w:rPr>
      </w:pPr>
      <w:r>
        <w:t>18D.</w:t>
      </w:r>
      <w:r>
        <w:tab/>
        <w:t>Seizure</w:t>
      </w:r>
      <w:r>
        <w:tab/>
      </w:r>
      <w:r>
        <w:fldChar w:fldCharType="begin"/>
      </w:r>
      <w:r>
        <w:instrText xml:space="preserve"> PAGEREF _Toc107474142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18E.</w:t>
      </w:r>
      <w:r>
        <w:tab/>
        <w:t>Incriminating information, questions, or documents</w:t>
      </w:r>
      <w:r>
        <w:tab/>
      </w:r>
      <w:r>
        <w:fldChar w:fldCharType="begin"/>
      </w:r>
      <w:r>
        <w:instrText xml:space="preserve"> PAGEREF _Toc107474143 \h </w:instrText>
      </w:r>
      <w:r>
        <w:fldChar w:fldCharType="separate"/>
      </w:r>
      <w:r>
        <w:t>17</w:t>
      </w:r>
      <w:r>
        <w:fldChar w:fldCharType="end"/>
      </w:r>
    </w:p>
    <w:p>
      <w:pPr>
        <w:pStyle w:val="TOC8"/>
        <w:rPr>
          <w:rFonts w:asciiTheme="minorHAnsi" w:eastAsiaTheme="minorEastAsia" w:hAnsiTheme="minorHAnsi" w:cstheme="minorBidi"/>
          <w:szCs w:val="22"/>
        </w:rPr>
      </w:pPr>
      <w:r>
        <w:t>18F.</w:t>
      </w:r>
      <w:r>
        <w:tab/>
        <w:t>Failure to comply with investigation</w:t>
      </w:r>
      <w:r>
        <w:tab/>
      </w:r>
      <w:r>
        <w:fldChar w:fldCharType="begin"/>
      </w:r>
      <w:r>
        <w:instrText xml:space="preserve"> PAGEREF _Toc107474144 \h </w:instrText>
      </w:r>
      <w:r>
        <w:fldChar w:fldCharType="separate"/>
      </w:r>
      <w:r>
        <w:t>17</w:t>
      </w:r>
      <w:r>
        <w:fldChar w:fldCharType="end"/>
      </w:r>
    </w:p>
    <w:p>
      <w:pPr>
        <w:pStyle w:val="TOC8"/>
        <w:rPr>
          <w:rFonts w:asciiTheme="minorHAnsi" w:eastAsiaTheme="minorEastAsia" w:hAnsiTheme="minorHAnsi" w:cstheme="minorBidi"/>
          <w:szCs w:val="22"/>
        </w:rPr>
      </w:pPr>
      <w:r>
        <w:t>18G.</w:t>
      </w:r>
      <w:r>
        <w:tab/>
        <w:t>Obstruction of investigator</w:t>
      </w:r>
      <w:r>
        <w:tab/>
      </w:r>
      <w:r>
        <w:fldChar w:fldCharType="begin"/>
      </w:r>
      <w:r>
        <w:instrText xml:space="preserve"> PAGEREF _Toc107474145 \h </w:instrText>
      </w:r>
      <w:r>
        <w:fldChar w:fldCharType="separate"/>
      </w:r>
      <w:r>
        <w:t>19</w:t>
      </w:r>
      <w:r>
        <w:fldChar w:fldCharType="end"/>
      </w:r>
    </w:p>
    <w:p>
      <w:pPr>
        <w:pStyle w:val="TOC8"/>
        <w:rPr>
          <w:rFonts w:asciiTheme="minorHAnsi" w:eastAsiaTheme="minorEastAsia" w:hAnsiTheme="minorHAnsi" w:cstheme="minorBidi"/>
          <w:szCs w:val="22"/>
        </w:rPr>
      </w:pPr>
      <w:r>
        <w:t>18H.</w:t>
      </w:r>
      <w:r>
        <w:tab/>
        <w:t>Information</w:t>
      </w:r>
      <w:r>
        <w:tab/>
      </w:r>
      <w:r>
        <w:fldChar w:fldCharType="begin"/>
      </w:r>
      <w:r>
        <w:instrText xml:space="preserve"> PAGEREF _Toc107474146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Review of decisions of the Commissioner</w:t>
      </w:r>
    </w:p>
    <w:p>
      <w:pPr>
        <w:pStyle w:val="TOC8"/>
        <w:rPr>
          <w:rFonts w:asciiTheme="minorHAnsi" w:eastAsiaTheme="minorEastAsia" w:hAnsiTheme="minorHAnsi" w:cstheme="minorBidi"/>
          <w:szCs w:val="22"/>
        </w:rPr>
      </w:pPr>
      <w:r>
        <w:t>23.</w:t>
      </w:r>
      <w:r>
        <w:tab/>
      </w:r>
      <w:r>
        <w:rPr>
          <w:snapToGrid w:val="0"/>
        </w:rPr>
        <w:t>Application for review</w:t>
      </w:r>
      <w:r>
        <w:tab/>
      </w:r>
      <w:r>
        <w:fldChar w:fldCharType="begin"/>
      </w:r>
      <w:r>
        <w:instrText xml:space="preserve"> PAGEREF _Toc107474148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24</w:t>
      </w:r>
      <w:r>
        <w:rPr>
          <w:snapToGrid w:val="0"/>
        </w:rPr>
        <w:t>.</w:t>
      </w:r>
      <w:r>
        <w:rPr>
          <w:snapToGrid w:val="0"/>
        </w:rPr>
        <w:tab/>
        <w:t>Application</w:t>
      </w:r>
      <w:r>
        <w:tab/>
      </w:r>
      <w:r>
        <w:fldChar w:fldCharType="begin"/>
      </w:r>
      <w:r>
        <w:instrText xml:space="preserve"> PAGEREF _Toc107474150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Objections</w:t>
      </w:r>
      <w:r>
        <w:tab/>
      </w:r>
      <w:r>
        <w:fldChar w:fldCharType="begin"/>
      </w:r>
      <w:r>
        <w:instrText xml:space="preserve"> PAGEREF _Toc107474151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Finance brokers to be licensed</w:t>
      </w:r>
      <w:r>
        <w:tab/>
      </w:r>
      <w:r>
        <w:fldChar w:fldCharType="begin"/>
      </w:r>
      <w:r>
        <w:instrText xml:space="preserve"> PAGEREF _Toc107474152 \h </w:instrText>
      </w:r>
      <w:r>
        <w:fldChar w:fldCharType="separate"/>
      </w:r>
      <w:r>
        <w:t>22</w:t>
      </w:r>
      <w:r>
        <w:fldChar w:fldCharType="end"/>
      </w:r>
    </w:p>
    <w:p>
      <w:pPr>
        <w:pStyle w:val="TOC8"/>
        <w:rPr>
          <w:rFonts w:asciiTheme="minorHAnsi" w:eastAsiaTheme="minorEastAsia" w:hAnsiTheme="minorHAnsi" w:cstheme="minorBidi"/>
          <w:szCs w:val="22"/>
        </w:rPr>
      </w:pPr>
      <w:r>
        <w:t>27A.</w:t>
      </w:r>
      <w:r>
        <w:tab/>
        <w:t>No further grants of licences</w:t>
      </w:r>
      <w:r>
        <w:tab/>
      </w:r>
      <w:r>
        <w:fldChar w:fldCharType="begin"/>
      </w:r>
      <w:r>
        <w:instrText xml:space="preserve"> PAGEREF _Toc107474153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licence to natural person</w:t>
      </w:r>
      <w:r>
        <w:tab/>
      </w:r>
      <w:r>
        <w:fldChar w:fldCharType="begin"/>
      </w:r>
      <w:r>
        <w:instrText xml:space="preserve"> PAGEREF _Toc107474154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Grant of licence to firm</w:t>
      </w:r>
      <w:r>
        <w:tab/>
      </w:r>
      <w:r>
        <w:fldChar w:fldCharType="begin"/>
      </w:r>
      <w:r>
        <w:instrText xml:space="preserve"> PAGEREF _Toc107474155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 of licence to body corporate</w:t>
      </w:r>
      <w:r>
        <w:tab/>
      </w:r>
      <w:r>
        <w:fldChar w:fldCharType="begin"/>
      </w:r>
      <w:r>
        <w:instrText xml:space="preserve"> PAGEREF _Toc107474156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Effect of licence</w:t>
      </w:r>
      <w:r>
        <w:tab/>
      </w:r>
      <w:r>
        <w:fldChar w:fldCharType="begin"/>
      </w:r>
      <w:r>
        <w:instrText xml:space="preserve"> PAGEREF _Toc107474157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licence</w:t>
      </w:r>
      <w:r>
        <w:tab/>
      </w:r>
      <w:r>
        <w:fldChar w:fldCharType="begin"/>
      </w:r>
      <w:r>
        <w:instrText xml:space="preserve"> PAGEREF _Toc107474158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Applications for renewals</w:t>
      </w:r>
      <w:r>
        <w:tab/>
      </w:r>
      <w:r>
        <w:fldChar w:fldCharType="begin"/>
      </w:r>
      <w:r>
        <w:instrText xml:space="preserve"> PAGEREF _Toc107474159 \h </w:instrText>
      </w:r>
      <w:r>
        <w:fldChar w:fldCharType="separate"/>
      </w:r>
      <w:r>
        <w:t>26</w:t>
      </w:r>
      <w:r>
        <w:fldChar w:fldCharType="end"/>
      </w:r>
    </w:p>
    <w:p>
      <w:pPr>
        <w:pStyle w:val="TOC8"/>
        <w:rPr>
          <w:rFonts w:asciiTheme="minorHAnsi" w:eastAsiaTheme="minorEastAsia" w:hAnsiTheme="minorHAnsi" w:cstheme="minorBidi"/>
          <w:szCs w:val="22"/>
        </w:rPr>
      </w:pPr>
      <w:r>
        <w:t>33.</w:t>
      </w:r>
      <w:r>
        <w:tab/>
        <w:t>Refusal to renew</w:t>
      </w:r>
      <w:r>
        <w:tab/>
      </w:r>
      <w:r>
        <w:fldChar w:fldCharType="begin"/>
      </w:r>
      <w:r>
        <w:instrText xml:space="preserve"> PAGEREF _Toc107474160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w:t>
      </w:r>
      <w:r>
        <w:tab/>
      </w:r>
      <w:r>
        <w:fldChar w:fldCharType="begin"/>
      </w:r>
      <w:r>
        <w:instrText xml:space="preserve"> PAGEREF _Toc107474161 \h </w:instrText>
      </w:r>
      <w:r>
        <w:fldChar w:fldCharType="separate"/>
      </w:r>
      <w:r>
        <w:t>28</w:t>
      </w:r>
      <w:r>
        <w:fldChar w:fldCharType="end"/>
      </w:r>
    </w:p>
    <w:p>
      <w:pPr>
        <w:pStyle w:val="TOC8"/>
        <w:rPr>
          <w:rFonts w:asciiTheme="minorHAnsi" w:eastAsiaTheme="minorEastAsia" w:hAnsiTheme="minorHAnsi" w:cstheme="minorBidi"/>
          <w:szCs w:val="22"/>
        </w:rPr>
      </w:pPr>
      <w:r>
        <w:t>34B.</w:t>
      </w:r>
      <w:r>
        <w:tab/>
        <w:t>Suspension of licence by State Administrative Tribunal</w:t>
      </w:r>
      <w:r>
        <w:tab/>
      </w:r>
      <w:r>
        <w:fldChar w:fldCharType="begin"/>
      </w:r>
      <w:r>
        <w:instrText xml:space="preserve"> PAGEREF _Toc107474162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Bond or guarantee in respect of licence</w:t>
      </w:r>
      <w:r>
        <w:tab/>
      </w:r>
      <w:r>
        <w:fldChar w:fldCharType="begin"/>
      </w:r>
      <w:r>
        <w:instrText xml:space="preserve"> PAGEREF _Toc107474163 \h </w:instrText>
      </w:r>
      <w:r>
        <w:fldChar w:fldCharType="separate"/>
      </w:r>
      <w:r>
        <w:t>29</w:t>
      </w:r>
      <w:r>
        <w:fldChar w:fldCharType="end"/>
      </w:r>
    </w:p>
    <w:p>
      <w:pPr>
        <w:pStyle w:val="TOC8"/>
        <w:rPr>
          <w:rFonts w:asciiTheme="minorHAnsi" w:eastAsiaTheme="minorEastAsia" w:hAnsiTheme="minorHAnsi" w:cstheme="minorBidi"/>
          <w:szCs w:val="22"/>
        </w:rPr>
      </w:pPr>
      <w:r>
        <w:t>35A.</w:t>
      </w:r>
      <w:r>
        <w:tab/>
        <w:t>Prescribed person exempt from bond requirements</w:t>
      </w:r>
      <w:r>
        <w:tab/>
      </w:r>
      <w:r>
        <w:fldChar w:fldCharType="begin"/>
      </w:r>
      <w:r>
        <w:instrText xml:space="preserve"> PAGEREF _Toc107474164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Licence not transferable</w:t>
      </w:r>
      <w:r>
        <w:tab/>
      </w:r>
      <w:r>
        <w:fldChar w:fldCharType="begin"/>
      </w:r>
      <w:r>
        <w:instrText xml:space="preserve"> PAGEREF _Toc107474165 \h </w:instrText>
      </w:r>
      <w:r>
        <w:fldChar w:fldCharType="separate"/>
      </w:r>
      <w:r>
        <w:t>31</w:t>
      </w:r>
      <w:r>
        <w:fldChar w:fldCharType="end"/>
      </w:r>
    </w:p>
    <w:p>
      <w:pPr>
        <w:pStyle w:val="TOC8"/>
        <w:rPr>
          <w:rFonts w:asciiTheme="minorHAnsi" w:eastAsiaTheme="minorEastAsia" w:hAnsiTheme="minorHAnsi" w:cstheme="minorBidi"/>
          <w:szCs w:val="22"/>
        </w:rPr>
      </w:pPr>
      <w:r>
        <w:t>40A.</w:t>
      </w:r>
      <w:r>
        <w:tab/>
        <w:t>Prohibition against doing business with unlicensed finance brokers</w:t>
      </w:r>
      <w:r>
        <w:tab/>
      </w:r>
      <w:r>
        <w:fldChar w:fldCharType="begin"/>
      </w:r>
      <w:r>
        <w:instrText xml:space="preserve"> PAGEREF _Toc107474166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Use of business name</w:t>
      </w:r>
      <w:r>
        <w:tab/>
      </w:r>
      <w:r>
        <w:fldChar w:fldCharType="begin"/>
      </w:r>
      <w:r>
        <w:instrText xml:space="preserve"> PAGEREF _Toc107474167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be exhibited</w:t>
      </w:r>
      <w:r>
        <w:tab/>
      </w:r>
      <w:r>
        <w:fldChar w:fldCharType="begin"/>
      </w:r>
      <w:r>
        <w:instrText xml:space="preserve"> PAGEREF _Toc107474168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IV — Controls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43</w:t>
      </w:r>
      <w:r>
        <w:rPr>
          <w:snapToGrid w:val="0"/>
        </w:rPr>
        <w:t>.</w:t>
      </w:r>
      <w:r>
        <w:rPr>
          <w:snapToGrid w:val="0"/>
        </w:rPr>
        <w:tab/>
        <w:t>Disability of unlicensed person</w:t>
      </w:r>
      <w:r>
        <w:tab/>
      </w:r>
      <w:r>
        <w:fldChar w:fldCharType="begin"/>
      </w:r>
      <w:r>
        <w:instrText xml:space="preserve"> PAGEREF _Toc107474171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Remuneration of finance brokers</w:t>
      </w:r>
      <w:r>
        <w:tab/>
      </w:r>
      <w:r>
        <w:fldChar w:fldCharType="begin"/>
      </w:r>
      <w:r>
        <w:instrText xml:space="preserve"> PAGEREF _Toc107474172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Advertisements by licensees</w:t>
      </w:r>
      <w:r>
        <w:tab/>
      </w:r>
      <w:r>
        <w:fldChar w:fldCharType="begin"/>
      </w:r>
      <w:r>
        <w:instrText xml:space="preserve"> PAGEREF _Toc107474173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Copy of loan documents</w:t>
      </w:r>
      <w:r>
        <w:tab/>
      </w:r>
      <w:r>
        <w:fldChar w:fldCharType="begin"/>
      </w:r>
      <w:r>
        <w:instrText xml:space="preserve"> PAGEREF _Toc107474174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Trust accounts</w:t>
      </w:r>
    </w:p>
    <w:p>
      <w:pPr>
        <w:pStyle w:val="TOC8"/>
        <w:rPr>
          <w:rFonts w:asciiTheme="minorHAnsi" w:eastAsiaTheme="minorEastAsia" w:hAnsiTheme="minorHAnsi" w:cstheme="minorBidi"/>
          <w:szCs w:val="22"/>
        </w:rPr>
      </w:pPr>
      <w:r>
        <w:t>47</w:t>
      </w:r>
      <w:r>
        <w:rPr>
          <w:snapToGrid w:val="0"/>
        </w:rPr>
        <w:t>.</w:t>
      </w:r>
      <w:r>
        <w:rPr>
          <w:snapToGrid w:val="0"/>
        </w:rPr>
        <w:tab/>
        <w:t>Terms used</w:t>
      </w:r>
      <w:r>
        <w:tab/>
      </w:r>
      <w:r>
        <w:fldChar w:fldCharType="begin"/>
      </w:r>
      <w:r>
        <w:instrText xml:space="preserve"> PAGEREF _Toc107474176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48</w:t>
      </w:r>
      <w:r>
        <w:rPr>
          <w:snapToGrid w:val="0"/>
        </w:rPr>
        <w:t>.</w:t>
      </w:r>
      <w:r>
        <w:rPr>
          <w:snapToGrid w:val="0"/>
        </w:rPr>
        <w:tab/>
        <w:t>Trust accounts</w:t>
      </w:r>
      <w:r>
        <w:tab/>
      </w:r>
      <w:r>
        <w:fldChar w:fldCharType="begin"/>
      </w:r>
      <w:r>
        <w:instrText xml:space="preserve"> PAGEREF _Toc107474177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Receipts and accounting to principal</w:t>
      </w:r>
      <w:r>
        <w:tab/>
      </w:r>
      <w:r>
        <w:fldChar w:fldCharType="begin"/>
      </w:r>
      <w:r>
        <w:instrText xml:space="preserve"> PAGEREF _Toc107474178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Duty of finance broker to have trust accounts audited</w:t>
      </w:r>
      <w:r>
        <w:tab/>
      </w:r>
      <w:r>
        <w:fldChar w:fldCharType="begin"/>
      </w:r>
      <w:r>
        <w:instrText xml:space="preserve"> PAGEREF _Toc107474179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Variation of date of audit</w:t>
      </w:r>
      <w:r>
        <w:tab/>
      </w:r>
      <w:r>
        <w:fldChar w:fldCharType="begin"/>
      </w:r>
      <w:r>
        <w:instrText xml:space="preserve"> PAGEREF _Toc107474180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Qualification and approval of auditors</w:t>
      </w:r>
      <w:r>
        <w:tab/>
      </w:r>
      <w:r>
        <w:fldChar w:fldCharType="begin"/>
      </w:r>
      <w:r>
        <w:instrText xml:space="preserve"> PAGEREF _Toc107474181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 of auditor</w:t>
      </w:r>
      <w:r>
        <w:tab/>
      </w:r>
      <w:r>
        <w:fldChar w:fldCharType="begin"/>
      </w:r>
      <w:r>
        <w:instrText xml:space="preserve"> PAGEREF _Toc107474182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give directions for audit of business carried on at more than one place</w:t>
      </w:r>
      <w:r>
        <w:tab/>
      </w:r>
      <w:r>
        <w:fldChar w:fldCharType="begin"/>
      </w:r>
      <w:r>
        <w:instrText xml:space="preserve"> PAGEREF _Toc107474183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Alteration of rights under this Division</w:t>
      </w:r>
      <w:r>
        <w:tab/>
      </w:r>
      <w:r>
        <w:fldChar w:fldCharType="begin"/>
      </w:r>
      <w:r>
        <w:instrText xml:space="preserve"> PAGEREF _Toc107474184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Duties of finance brokers with respect to audit</w:t>
      </w:r>
      <w:r>
        <w:tab/>
      </w:r>
      <w:r>
        <w:fldChar w:fldCharType="begin"/>
      </w:r>
      <w:r>
        <w:instrText xml:space="preserve"> PAGEREF _Toc107474185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banker with respect to audit</w:t>
      </w:r>
      <w:r>
        <w:tab/>
      </w:r>
      <w:r>
        <w:fldChar w:fldCharType="begin"/>
      </w:r>
      <w:r>
        <w:instrText xml:space="preserve"> PAGEREF _Toc107474186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Contents of auditor’s report</w:t>
      </w:r>
      <w:r>
        <w:tab/>
      </w:r>
      <w:r>
        <w:fldChar w:fldCharType="begin"/>
      </w:r>
      <w:r>
        <w:instrText xml:space="preserve"> PAGEREF _Toc107474187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Statement of moneys etc. held by finance broker for or on behalf of other persons</w:t>
      </w:r>
      <w:r>
        <w:tab/>
      </w:r>
      <w:r>
        <w:fldChar w:fldCharType="begin"/>
      </w:r>
      <w:r>
        <w:instrText xml:space="preserve"> PAGEREF _Toc107474188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Auditor’s report where finance broker has not complied with Act etc.</w:t>
      </w:r>
      <w:r>
        <w:tab/>
      </w:r>
      <w:r>
        <w:fldChar w:fldCharType="begin"/>
      </w:r>
      <w:r>
        <w:instrText xml:space="preserve"> PAGEREF _Toc107474189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Non</w:t>
      </w:r>
      <w:r>
        <w:rPr>
          <w:snapToGrid w:val="0"/>
        </w:rPr>
        <w:noBreakHyphen/>
        <w:t>disclosure by auditors</w:t>
      </w:r>
      <w:r>
        <w:tab/>
      </w:r>
      <w:r>
        <w:fldChar w:fldCharType="begin"/>
      </w:r>
      <w:r>
        <w:instrText xml:space="preserve"> PAGEREF _Toc107474190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Right of persons beneficially interested to obtain information</w:t>
      </w:r>
      <w:r>
        <w:tab/>
      </w:r>
      <w:r>
        <w:fldChar w:fldCharType="begin"/>
      </w:r>
      <w:r>
        <w:instrText xml:space="preserve"> PAGEREF _Toc107474191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Penalty for breach</w:t>
      </w:r>
      <w:r>
        <w:tab/>
      </w:r>
      <w:r>
        <w:fldChar w:fldCharType="begin"/>
      </w:r>
      <w:r>
        <w:instrText xml:space="preserve"> PAGEREF _Toc107474192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Remuneration of auditor</w:t>
      </w:r>
      <w:r>
        <w:tab/>
      </w:r>
      <w:r>
        <w:fldChar w:fldCharType="begin"/>
      </w:r>
      <w:r>
        <w:instrText xml:space="preserve"> PAGEREF _Toc107474193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Finance brokers having no accounts to audit</w:t>
      </w:r>
      <w:r>
        <w:tab/>
      </w:r>
      <w:r>
        <w:fldChar w:fldCharType="begin"/>
      </w:r>
      <w:r>
        <w:instrText xml:space="preserve"> PAGEREF _Toc107474194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Accounts of firm or body corporate or finance broker with branch office</w:t>
      </w:r>
      <w:r>
        <w:tab/>
      </w:r>
      <w:r>
        <w:fldChar w:fldCharType="begin"/>
      </w:r>
      <w:r>
        <w:instrText xml:space="preserve"> PAGEREF _Toc107474195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of Commissioner to order audit of trust account</w:t>
      </w:r>
      <w:r>
        <w:tab/>
      </w:r>
      <w:r>
        <w:fldChar w:fldCharType="begin"/>
      </w:r>
      <w:r>
        <w:instrText xml:space="preserve"> PAGEREF _Toc107474196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Finance broker to produce books etc. to auditor</w:t>
      </w:r>
      <w:r>
        <w:tab/>
      </w:r>
      <w:r>
        <w:fldChar w:fldCharType="begin"/>
      </w:r>
      <w:r>
        <w:instrText xml:space="preserve"> PAGEREF _Toc107474197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Cost of audit</w:t>
      </w:r>
      <w:r>
        <w:tab/>
      </w:r>
      <w:r>
        <w:fldChar w:fldCharType="begin"/>
      </w:r>
      <w:r>
        <w:instrText xml:space="preserve"> PAGEREF _Toc107474198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Application of s. 62</w:t>
      </w:r>
      <w:r>
        <w:tab/>
      </w:r>
      <w:r>
        <w:fldChar w:fldCharType="begin"/>
      </w:r>
      <w:r>
        <w:instrText xml:space="preserve"> PAGEREF _Toc107474199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 of restraining dealing with trust accounts or other accounts</w:t>
      </w:r>
      <w:r>
        <w:tab/>
      </w:r>
      <w:r>
        <w:fldChar w:fldCharType="begin"/>
      </w:r>
      <w:r>
        <w:instrText xml:space="preserve"> PAGEREF _Toc107474200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Discipline</w:t>
      </w:r>
    </w:p>
    <w:p>
      <w:pPr>
        <w:pStyle w:val="TOC8"/>
        <w:rPr>
          <w:rFonts w:asciiTheme="minorHAnsi" w:eastAsiaTheme="minorEastAsia" w:hAnsiTheme="minorHAnsi" w:cstheme="minorBidi"/>
          <w:szCs w:val="22"/>
        </w:rPr>
      </w:pPr>
      <w:r>
        <w:t>81</w:t>
      </w:r>
      <w:r>
        <w:rPr>
          <w:snapToGrid w:val="0"/>
        </w:rPr>
        <w:t>.</w:t>
      </w:r>
      <w:r>
        <w:rPr>
          <w:snapToGrid w:val="0"/>
        </w:rPr>
        <w:tab/>
        <w:t>Code of conduct for finance brokers</w:t>
      </w:r>
      <w:r>
        <w:tab/>
      </w:r>
      <w:r>
        <w:fldChar w:fldCharType="begin"/>
      </w:r>
      <w:r>
        <w:instrText xml:space="preserve"> PAGEREF _Toc107474202 \h </w:instrText>
      </w:r>
      <w:r>
        <w:fldChar w:fldCharType="separate"/>
      </w:r>
      <w:r>
        <w:t>52</w:t>
      </w:r>
      <w:r>
        <w:fldChar w:fldCharType="end"/>
      </w:r>
    </w:p>
    <w:p>
      <w:pPr>
        <w:pStyle w:val="TOC8"/>
        <w:rPr>
          <w:rFonts w:asciiTheme="minorHAnsi" w:eastAsiaTheme="minorEastAsia" w:hAnsiTheme="minorHAnsi" w:cstheme="minorBidi"/>
          <w:szCs w:val="22"/>
        </w:rPr>
      </w:pPr>
      <w:r>
        <w:t>82.</w:t>
      </w:r>
      <w:r>
        <w:tab/>
        <w:t>Dis</w:t>
      </w:r>
      <w:r>
        <w:rPr>
          <w:snapToGrid w:val="0"/>
        </w:rPr>
        <w:t>ciplinary proceedings against finance brokers</w:t>
      </w:r>
      <w:r>
        <w:tab/>
      </w:r>
      <w:r>
        <w:fldChar w:fldCharType="begin"/>
      </w:r>
      <w:r>
        <w:instrText xml:space="preserve"> PAGEREF _Toc107474203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on inquiry</w:t>
      </w:r>
      <w:r>
        <w:tab/>
      </w:r>
      <w:r>
        <w:fldChar w:fldCharType="begin"/>
      </w:r>
      <w:r>
        <w:instrText xml:space="preserve"> PAGEREF _Toc107474204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85</w:t>
      </w:r>
      <w:r>
        <w:rPr>
          <w:snapToGrid w:val="0"/>
        </w:rPr>
        <w:t>.</w:t>
      </w:r>
      <w:r>
        <w:rPr>
          <w:snapToGrid w:val="0"/>
        </w:rPr>
        <w:tab/>
        <w:t>Certificates</w:t>
      </w:r>
      <w:r>
        <w:tab/>
      </w:r>
      <w:r>
        <w:fldChar w:fldCharType="begin"/>
      </w:r>
      <w:r>
        <w:instrText xml:space="preserve"> PAGEREF _Toc107474206 \h </w:instrText>
      </w:r>
      <w:r>
        <w:fldChar w:fldCharType="separate"/>
      </w:r>
      <w:r>
        <w:t>54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Immunity of officers</w:t>
      </w:r>
      <w:r>
        <w:tab/>
      </w:r>
      <w:r>
        <w:fldChar w:fldCharType="begin"/>
      </w:r>
      <w:r>
        <w:instrText xml:space="preserve"> PAGEREF _Toc107474207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88.</w:t>
      </w:r>
      <w:r>
        <w:tab/>
        <w:t>Secrecy</w:t>
      </w:r>
      <w:r>
        <w:tab/>
      </w:r>
      <w:r>
        <w:fldChar w:fldCharType="begin"/>
      </w:r>
      <w:r>
        <w:instrText xml:space="preserve"> PAGEREF _Toc107474208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Liability of directors of body corporate</w:t>
      </w:r>
      <w:r>
        <w:tab/>
      </w:r>
      <w:r>
        <w:fldChar w:fldCharType="begin"/>
      </w:r>
      <w:r>
        <w:instrText xml:space="preserve"> PAGEREF _Toc107474209 \h </w:instrText>
      </w:r>
      <w:r>
        <w:fldChar w:fldCharType="separate"/>
      </w:r>
      <w:r>
        <w:t>56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Other rights or remedies</w:t>
      </w:r>
      <w:r>
        <w:tab/>
      </w:r>
      <w:r>
        <w:fldChar w:fldCharType="begin"/>
      </w:r>
      <w:r>
        <w:instrText xml:space="preserve"> PAGEREF _Toc107474210 \h </w:instrText>
      </w:r>
      <w:r>
        <w:fldChar w:fldCharType="separate"/>
      </w:r>
      <w:r>
        <w:t>56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No waiver of rights</w:t>
      </w:r>
      <w:r>
        <w:tab/>
      </w:r>
      <w:r>
        <w:fldChar w:fldCharType="begin"/>
      </w:r>
      <w:r>
        <w:instrText xml:space="preserve"> PAGEREF _Toc107474211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General penalty</w:t>
      </w:r>
      <w:r>
        <w:tab/>
      </w:r>
      <w:r>
        <w:fldChar w:fldCharType="begin"/>
      </w:r>
      <w:r>
        <w:instrText xml:space="preserve"> PAGEREF _Toc107474212 \h </w:instrText>
      </w:r>
      <w:r>
        <w:fldChar w:fldCharType="separate"/>
      </w:r>
      <w:r>
        <w:t>56</w:t>
      </w:r>
      <w:r>
        <w:fldChar w:fldCharType="end"/>
      </w:r>
    </w:p>
    <w:p>
      <w:pPr>
        <w:pStyle w:val="TOC8"/>
        <w:rPr>
          <w:rFonts w:asciiTheme="minorHAnsi" w:eastAsiaTheme="minorEastAsia" w:hAnsiTheme="minorHAnsi" w:cstheme="minorBidi"/>
          <w:szCs w:val="22"/>
        </w:rPr>
      </w:pPr>
      <w:r>
        <w:t>92A.</w:t>
      </w:r>
      <w:r>
        <w:tab/>
        <w:t>Infringement notices</w:t>
      </w:r>
      <w:r>
        <w:tab/>
      </w:r>
      <w:r>
        <w:fldChar w:fldCharType="begin"/>
      </w:r>
      <w:r>
        <w:instrText xml:space="preserve"> PAGEREF _Toc107474213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Proceedings</w:t>
      </w:r>
      <w:r>
        <w:tab/>
      </w:r>
      <w:r>
        <w:fldChar w:fldCharType="begin"/>
      </w:r>
      <w:r>
        <w:instrText xml:space="preserve"> PAGEREF _Toc107474214 \h </w:instrText>
      </w:r>
      <w:r>
        <w:fldChar w:fldCharType="separate"/>
      </w:r>
      <w:r>
        <w:t>58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Forms</w:t>
      </w:r>
      <w:r>
        <w:tab/>
      </w:r>
      <w:r>
        <w:fldChar w:fldCharType="begin"/>
      </w:r>
      <w:r>
        <w:instrText xml:space="preserve"> PAGEREF _Toc107474215 \h </w:instrText>
      </w:r>
      <w:r>
        <w:fldChar w:fldCharType="separate"/>
      </w:r>
      <w:r>
        <w:t>59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Regulations</w:t>
      </w:r>
      <w:r>
        <w:tab/>
      </w:r>
      <w:r>
        <w:fldChar w:fldCharType="begin"/>
      </w:r>
      <w:r>
        <w:instrText xml:space="preserve"> PAGEREF _Toc107474216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 Formula for calculating percentage rate of interest</w:t>
      </w:r>
    </w:p>
    <w:p>
      <w:pPr>
        <w:pStyle w:val="TOC8"/>
        <w:rPr>
          <w:rFonts w:asciiTheme="minorHAnsi" w:eastAsiaTheme="minorEastAsia" w:hAnsiTheme="minorHAnsi" w:cstheme="minorBidi"/>
          <w:szCs w:val="22"/>
        </w:rPr>
      </w:pPr>
      <w:r>
        <w:t>1</w:t>
      </w:r>
      <w:r>
        <w:rPr>
          <w:snapToGrid w:val="0"/>
        </w:rPr>
        <w:t>.</w:t>
      </w:r>
      <w:r>
        <w:rPr>
          <w:snapToGrid w:val="0"/>
        </w:rPr>
        <w:tab/>
        <w:t>Formula for calculating percentage rate of interest</w:t>
      </w:r>
      <w:r>
        <w:tab/>
      </w:r>
      <w:r>
        <w:fldChar w:fldCharType="begin"/>
      </w:r>
      <w:r>
        <w:instrText xml:space="preserve"> PAGEREF _Toc107474218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_Toc107474220 \h </w:instrText>
      </w:r>
      <w:r>
        <w:fldChar w:fldCharType="separate"/>
      </w:r>
      <w:r>
        <w:t>63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_Toc107474221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_Toc107474222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3" w:name="_Toc107387778"/>
      <w:bookmarkStart w:id="4" w:name="_Toc107387884"/>
      <w:bookmarkStart w:id="5" w:name="_Toc10747411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7474119"/>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w:t>
      </w:r>
    </w:p>
    <w:p>
      <w:pPr>
        <w:pStyle w:val="Heading5"/>
        <w:rPr>
          <w:snapToGrid w:val="0"/>
        </w:rPr>
      </w:pPr>
      <w:bookmarkStart w:id="7" w:name="_Toc10747412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b/>
        </w:rPr>
        <w:t>3.</w:t>
      </w:r>
      <w:r>
        <w:tab/>
        <w:t>Deleted: No. 10 of 1998 s. 76.]</w:t>
      </w:r>
    </w:p>
    <w:p>
      <w:pPr>
        <w:pStyle w:val="Heading5"/>
        <w:rPr>
          <w:snapToGrid w:val="0"/>
        </w:rPr>
      </w:pPr>
      <w:bookmarkStart w:id="8" w:name="_Toc107474121"/>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1</w:t>
      </w:r>
      <w:r>
        <w:t>;</w:t>
      </w:r>
    </w:p>
    <w:p>
      <w:pPr>
        <w:pStyle w:val="Defstart"/>
      </w:pPr>
      <w:r>
        <w:rPr>
          <w:b/>
        </w:rPr>
        <w:tab/>
      </w:r>
      <w:r>
        <w:rPr>
          <w:rStyle w:val="CharDefText"/>
        </w:rPr>
        <w:t>approved</w:t>
      </w:r>
      <w:r>
        <w:t xml:space="preserve"> means approved by the Commissioner;</w:t>
      </w:r>
    </w:p>
    <w:p>
      <w:pPr>
        <w:pStyle w:val="Defstart"/>
      </w:pPr>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r>
        <w:rPr>
          <w:bCs/>
          <w:iCs/>
        </w:rPr>
        <w:tab/>
      </w:r>
      <w:r>
        <w:rPr>
          <w:rStyle w:val="CharDefText"/>
        </w:rPr>
        <w:t>referral day</w:t>
      </w:r>
      <w:r>
        <w:t xml:space="preserve"> means the day on which the </w:t>
      </w:r>
      <w:r>
        <w:rPr>
          <w:i/>
          <w:iCs/>
        </w:rPr>
        <w:t>Credit (Commonwealth Powers) Act 2010</w:t>
      </w:r>
      <w:r>
        <w:t xml:space="preserve"> section 5 comes into operation</w:t>
      </w:r>
      <w:r>
        <w:rPr>
          <w:vertAlign w:val="superscript"/>
        </w:rPr>
        <w:t> 2</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No. 56 of 1995 s. 17; No. 26 of 1999 s. 79(2); No. 53 of 2004 s. 4; No. 55 of 2004 s. 341; No. 14 of 2010 s. 38; No. 8 of 2012 s. 105.] </w:t>
      </w:r>
    </w:p>
    <w:p>
      <w:pPr>
        <w:pStyle w:val="Heading5"/>
        <w:spacing w:before="600"/>
        <w:rPr>
          <w:snapToGrid w:val="0"/>
        </w:rPr>
      </w:pPr>
      <w:bookmarkStart w:id="9" w:name="_Toc107474122"/>
      <w:r>
        <w:rPr>
          <w:rStyle w:val="CharSectno"/>
        </w:rPr>
        <w:lastRenderedPageBreak/>
        <w:t>5</w:t>
      </w:r>
      <w:r>
        <w:rPr>
          <w:snapToGrid w:val="0"/>
        </w:rPr>
        <w:t>.</w:t>
      </w:r>
      <w:r>
        <w:rPr>
          <w:snapToGrid w:val="0"/>
        </w:rPr>
        <w:tab/>
        <w:t xml:space="preserve">Exceptions to </w:t>
      </w:r>
      <w:r>
        <w:rPr>
          <w:i/>
          <w:snapToGrid w:val="0"/>
        </w:rPr>
        <w:t>finance broker</w:t>
      </w:r>
      <w:bookmarkEnd w:id="9"/>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 and</w:t>
      </w:r>
    </w:p>
    <w:p>
      <w:pPr>
        <w:pStyle w:val="Indenta"/>
      </w:pPr>
      <w:r>
        <w:tab/>
        <w:t>(aa)</w:t>
      </w:r>
      <w:r>
        <w:tab/>
        <w:t xml:space="preserve">a corporation that is a friendly society within the meaning of section 16C of the </w:t>
      </w:r>
      <w:r>
        <w:rPr>
          <w:i/>
        </w:rPr>
        <w:t>Life Insurance Act 1995</w:t>
      </w:r>
      <w:r>
        <w:t xml:space="preserve"> of the Commonwealth; and</w:t>
      </w:r>
    </w:p>
    <w:p>
      <w:pPr>
        <w:pStyle w:val="Indenta"/>
      </w:pPr>
      <w:r>
        <w:tab/>
        <w:t>(ab)</w:t>
      </w:r>
      <w:r>
        <w:tab/>
        <w:t>an insurance company authorised under any law of the Commonwealth or State to carry on insurance business; and</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 and</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and</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 and</w:t>
      </w:r>
    </w:p>
    <w:p>
      <w:pPr>
        <w:pStyle w:val="Indenta"/>
        <w:rPr>
          <w:snapToGrid w:val="0"/>
        </w:rPr>
      </w:pPr>
      <w:r>
        <w:rPr>
          <w:snapToGrid w:val="0"/>
        </w:rPr>
        <w:lastRenderedPageBreak/>
        <w:tab/>
        <w:t>(e)</w:t>
      </w:r>
      <w:r>
        <w:rPr>
          <w:snapToGrid w:val="0"/>
        </w:rPr>
        <w:tab/>
        <w:t>a body corporate authorised by the law of any State, or of a Territory, of the Commonwealth to take in its own name, a grant of probate or of letters of administration of the estate of a deceased person; and</w:t>
      </w:r>
    </w:p>
    <w:p>
      <w:pPr>
        <w:pStyle w:val="Indenta"/>
      </w:pPr>
      <w:r>
        <w:tab/>
        <w:t>(f)</w:t>
      </w:r>
      <w:r>
        <w:tab/>
        <w:t>legal practitioners when acting incidentally to the practice of their profession as such; and</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No. 10 of 1982 s. 28; No. 26 of 1999 s. 79(3); No. 12 of 2001 s. 51; No. 21 of 2003 s. 13; No. 65 of 2003 s. 35(2); No. 53 of 2004 s. 5; No. 17 of 2005 s. 27; No. 21 of 2008 s. 664; No. 9 of 2022 s. 424.] </w:t>
      </w:r>
    </w:p>
    <w:p>
      <w:pPr>
        <w:pStyle w:val="Heading2"/>
      </w:pPr>
      <w:bookmarkStart w:id="10" w:name="_Toc107387783"/>
      <w:bookmarkStart w:id="11" w:name="_Toc107387889"/>
      <w:bookmarkStart w:id="12" w:name="_Toc107474123"/>
      <w:r>
        <w:rPr>
          <w:rStyle w:val="CharPartNo"/>
        </w:rPr>
        <w:lastRenderedPageBreak/>
        <w:t>Part II</w:t>
      </w:r>
      <w:r>
        <w:t> — </w:t>
      </w:r>
      <w:r>
        <w:rPr>
          <w:rStyle w:val="CharPartText"/>
        </w:rPr>
        <w:t>The Commissioner</w:t>
      </w:r>
      <w:bookmarkEnd w:id="10"/>
      <w:bookmarkEnd w:id="11"/>
      <w:bookmarkEnd w:id="12"/>
    </w:p>
    <w:p>
      <w:pPr>
        <w:pStyle w:val="Footnoteheading"/>
      </w:pPr>
      <w:r>
        <w:tab/>
        <w:t xml:space="preserve">[Heading inserted: No. 53 of 2004 s. 6.] </w:t>
      </w:r>
    </w:p>
    <w:p>
      <w:pPr>
        <w:pStyle w:val="Heading3"/>
        <w:rPr>
          <w:snapToGrid w:val="0"/>
        </w:rPr>
      </w:pPr>
      <w:bookmarkStart w:id="13" w:name="_Toc107387784"/>
      <w:bookmarkStart w:id="14" w:name="_Toc107387890"/>
      <w:bookmarkStart w:id="15" w:name="_Toc107474124"/>
      <w:r>
        <w:rPr>
          <w:rStyle w:val="CharDivNo"/>
        </w:rPr>
        <w:t>Division 1</w:t>
      </w:r>
      <w:r>
        <w:rPr>
          <w:snapToGrid w:val="0"/>
        </w:rPr>
        <w:t> — </w:t>
      </w:r>
      <w:r>
        <w:rPr>
          <w:rStyle w:val="CharDivText"/>
        </w:rPr>
        <w:t>General</w:t>
      </w:r>
      <w:bookmarkEnd w:id="13"/>
      <w:bookmarkEnd w:id="14"/>
      <w:bookmarkEnd w:id="15"/>
      <w:r>
        <w:rPr>
          <w:rStyle w:val="CharDivText"/>
        </w:rPr>
        <w:t xml:space="preserve"> </w:t>
      </w:r>
    </w:p>
    <w:p>
      <w:pPr>
        <w:pStyle w:val="Heading5"/>
      </w:pPr>
      <w:bookmarkStart w:id="16" w:name="_Toc107474125"/>
      <w:r>
        <w:rPr>
          <w:rStyle w:val="CharSectno"/>
        </w:rPr>
        <w:t>6</w:t>
      </w:r>
      <w:r>
        <w:t>.</w:t>
      </w:r>
      <w:r>
        <w:tab/>
        <w:t>Commissioner</w:t>
      </w:r>
      <w:bookmarkEnd w:id="16"/>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No. 53 of 2004 s. 7.] </w:t>
      </w:r>
    </w:p>
    <w:p>
      <w:pPr>
        <w:pStyle w:val="Heading5"/>
      </w:pPr>
      <w:bookmarkStart w:id="17" w:name="_Toc107474126"/>
      <w:r>
        <w:rPr>
          <w:rStyle w:val="CharSectno"/>
        </w:rPr>
        <w:t>7</w:t>
      </w:r>
      <w:r>
        <w:t>.</w:t>
      </w:r>
      <w:r>
        <w:tab/>
        <w:t>General functions of Commissioner</w:t>
      </w:r>
      <w:bookmarkEnd w:id="17"/>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conduct and promote education and provide advisory services for persons who are licensed under this Act, or </w:t>
      </w:r>
      <w:r>
        <w:rPr>
          <w:snapToGrid w:val="0"/>
        </w:rPr>
        <w:lastRenderedPageBreak/>
        <w:t>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 or</w:t>
      </w:r>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 xml:space="preserve">[Section 7 inserted: No. 53 of 2004 s. 7; amended: No. 14 of 2010 s. 39.] </w:t>
      </w:r>
    </w:p>
    <w:p>
      <w:pPr>
        <w:pStyle w:val="Heading5"/>
        <w:spacing w:before="200"/>
      </w:pPr>
      <w:bookmarkStart w:id="18" w:name="_Toc107474127"/>
      <w:r>
        <w:rPr>
          <w:rStyle w:val="CharSectno"/>
        </w:rPr>
        <w:t>8</w:t>
      </w:r>
      <w:r>
        <w:t>.</w:t>
      </w:r>
      <w:r>
        <w:tab/>
        <w:t>Commissioner may delegate</w:t>
      </w:r>
      <w:bookmarkEnd w:id="18"/>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 xml:space="preserve">[Section 8 inserted: No. 53 of 2004 s. 7.] </w:t>
      </w:r>
    </w:p>
    <w:p>
      <w:pPr>
        <w:pStyle w:val="Heading5"/>
        <w:spacing w:before="200"/>
      </w:pPr>
      <w:bookmarkStart w:id="19" w:name="_Toc107474128"/>
      <w:r>
        <w:rPr>
          <w:rStyle w:val="CharSectno"/>
        </w:rPr>
        <w:t>9A</w:t>
      </w:r>
      <w:r>
        <w:t>.</w:t>
      </w:r>
      <w:r>
        <w:tab/>
        <w:t>Arrangements with ASIC</w:t>
      </w:r>
      <w:bookmarkEnd w:id="19"/>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lastRenderedPageBreak/>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No. 14 of 2010 s. 40.]</w:t>
      </w:r>
    </w:p>
    <w:p>
      <w:pPr>
        <w:pStyle w:val="Heading5"/>
      </w:pPr>
      <w:bookmarkStart w:id="20" w:name="_Toc107474129"/>
      <w:r>
        <w:rPr>
          <w:rStyle w:val="CharSectno"/>
        </w:rPr>
        <w:t>9B</w:t>
      </w:r>
      <w:r>
        <w:t>.</w:t>
      </w:r>
      <w:r>
        <w:tab/>
        <w:t>Information</w:t>
      </w:r>
      <w:bookmarkEnd w:id="20"/>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No. 14 of 2010 s. 40.]</w:t>
      </w:r>
    </w:p>
    <w:p>
      <w:pPr>
        <w:pStyle w:val="Heading5"/>
      </w:pPr>
      <w:bookmarkStart w:id="21" w:name="_Toc107474130"/>
      <w:r>
        <w:rPr>
          <w:rStyle w:val="CharSectno"/>
        </w:rPr>
        <w:lastRenderedPageBreak/>
        <w:t>9</w:t>
      </w:r>
      <w:r>
        <w:t>.</w:t>
      </w:r>
      <w:r>
        <w:tab/>
        <w:t>Judicial notice</w:t>
      </w:r>
      <w:bookmarkEnd w:id="21"/>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No. 53 of 2004 s. 7.] </w:t>
      </w:r>
    </w:p>
    <w:p>
      <w:pPr>
        <w:pStyle w:val="Ednotesection"/>
      </w:pPr>
      <w:r>
        <w:t>[</w:t>
      </w:r>
      <w:r>
        <w:rPr>
          <w:b/>
          <w:bCs/>
        </w:rPr>
        <w:t>10</w:t>
      </w:r>
      <w:r>
        <w:rPr>
          <w:b/>
          <w:bCs/>
        </w:rPr>
        <w:noBreakHyphen/>
        <w:t>12.</w:t>
      </w:r>
      <w:r>
        <w:tab/>
        <w:t xml:space="preserve">Deleted: No. 53 of 2004 s. 7.] </w:t>
      </w:r>
    </w:p>
    <w:p>
      <w:pPr>
        <w:pStyle w:val="Heading3"/>
        <w:rPr>
          <w:snapToGrid w:val="0"/>
        </w:rPr>
      </w:pPr>
      <w:bookmarkStart w:id="22" w:name="_Toc107387791"/>
      <w:bookmarkStart w:id="23" w:name="_Toc107387897"/>
      <w:bookmarkStart w:id="24" w:name="_Toc107474131"/>
      <w:r>
        <w:rPr>
          <w:rStyle w:val="CharDivNo"/>
        </w:rPr>
        <w:t>Division 2</w:t>
      </w:r>
      <w:r>
        <w:rPr>
          <w:snapToGrid w:val="0"/>
        </w:rPr>
        <w:t> — </w:t>
      </w:r>
      <w:r>
        <w:rPr>
          <w:rStyle w:val="CharDivText"/>
        </w:rPr>
        <w:t>Powers of investigation and inquiry</w:t>
      </w:r>
      <w:bookmarkEnd w:id="22"/>
      <w:bookmarkEnd w:id="23"/>
      <w:bookmarkEnd w:id="24"/>
      <w:r>
        <w:rPr>
          <w:rStyle w:val="CharDivText"/>
        </w:rPr>
        <w:t xml:space="preserve"> </w:t>
      </w:r>
    </w:p>
    <w:p>
      <w:pPr>
        <w:pStyle w:val="Heading5"/>
        <w:rPr>
          <w:snapToGrid w:val="0"/>
        </w:rPr>
      </w:pPr>
      <w:bookmarkStart w:id="25" w:name="_Toc107474132"/>
      <w:r>
        <w:rPr>
          <w:rStyle w:val="CharSectno"/>
        </w:rPr>
        <w:t>13</w:t>
      </w:r>
      <w:r>
        <w:rPr>
          <w:snapToGrid w:val="0"/>
        </w:rPr>
        <w:t>.</w:t>
      </w:r>
      <w:r>
        <w:rPr>
          <w:snapToGrid w:val="0"/>
        </w:rPr>
        <w:tab/>
        <w:t>Investigation and inquiry by Commissioner</w:t>
      </w:r>
      <w:bookmarkEnd w:id="25"/>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 and</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No. 56 of 1995 s. 23(1); No. 53 of 2004 s. 8.] </w:t>
      </w:r>
    </w:p>
    <w:p>
      <w:pPr>
        <w:pStyle w:val="Heading5"/>
        <w:rPr>
          <w:snapToGrid w:val="0"/>
        </w:rPr>
      </w:pPr>
      <w:bookmarkStart w:id="26" w:name="_Toc107474133"/>
      <w:r>
        <w:rPr>
          <w:rStyle w:val="CharSectno"/>
        </w:rPr>
        <w:t>14</w:t>
      </w:r>
      <w:r>
        <w:rPr>
          <w:snapToGrid w:val="0"/>
        </w:rPr>
        <w:t>.</w:t>
      </w:r>
      <w:r>
        <w:rPr>
          <w:snapToGrid w:val="0"/>
        </w:rPr>
        <w:tab/>
        <w:t>Police investigations</w:t>
      </w:r>
      <w:bookmarkEnd w:id="26"/>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xml:space="preserve">, cause his officers to make an investigation or </w:t>
      </w:r>
      <w:r>
        <w:rPr>
          <w:snapToGrid w:val="0"/>
        </w:rPr>
        <w:lastRenderedPageBreak/>
        <w:t>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No. 53 of 2004 s. 9.] </w:t>
      </w:r>
    </w:p>
    <w:p>
      <w:pPr>
        <w:pStyle w:val="Heading5"/>
      </w:pPr>
      <w:bookmarkStart w:id="27" w:name="_Toc107474134"/>
      <w:r>
        <w:rPr>
          <w:rStyle w:val="CharSectno"/>
        </w:rPr>
        <w:t>15</w:t>
      </w:r>
      <w:r>
        <w:t>.</w:t>
      </w:r>
      <w:r>
        <w:tab/>
        <w:t>Investigators</w:t>
      </w:r>
      <w:bookmarkEnd w:id="27"/>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No. 53 of 2004 s. 10.] </w:t>
      </w:r>
    </w:p>
    <w:p>
      <w:pPr>
        <w:pStyle w:val="Heading5"/>
      </w:pPr>
      <w:bookmarkStart w:id="28" w:name="_Toc107474135"/>
      <w:r>
        <w:rPr>
          <w:rStyle w:val="CharSectno"/>
        </w:rPr>
        <w:t>16</w:t>
      </w:r>
      <w:r>
        <w:t>.</w:t>
      </w:r>
      <w:r>
        <w:tab/>
        <w:t>Additional investigative powers</w:t>
      </w:r>
      <w:bookmarkEnd w:id="28"/>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No. 53 of 2004 s. 10.] </w:t>
      </w:r>
    </w:p>
    <w:p>
      <w:pPr>
        <w:pStyle w:val="Heading5"/>
      </w:pPr>
      <w:bookmarkStart w:id="29" w:name="_Toc107474136"/>
      <w:r>
        <w:rPr>
          <w:rStyle w:val="CharSectno"/>
        </w:rPr>
        <w:lastRenderedPageBreak/>
        <w:t>17</w:t>
      </w:r>
      <w:r>
        <w:t>.</w:t>
      </w:r>
      <w:r>
        <w:tab/>
        <w:t>Compliance checks at licensee’s business premises</w:t>
      </w:r>
      <w:bookmarkEnd w:id="29"/>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No. 53 of 2004 s. 10; amended: No. 14 of 2010 s. 41.]</w:t>
      </w:r>
    </w:p>
    <w:p>
      <w:pPr>
        <w:pStyle w:val="Heading3"/>
      </w:pPr>
      <w:bookmarkStart w:id="30" w:name="_Toc107387797"/>
      <w:bookmarkStart w:id="31" w:name="_Toc107387903"/>
      <w:bookmarkStart w:id="32" w:name="_Toc107474137"/>
      <w:r>
        <w:rPr>
          <w:rStyle w:val="CharDivNo"/>
        </w:rPr>
        <w:lastRenderedPageBreak/>
        <w:t>Division 2A</w:t>
      </w:r>
      <w:r>
        <w:t> — </w:t>
      </w:r>
      <w:r>
        <w:rPr>
          <w:rStyle w:val="CharDivText"/>
        </w:rPr>
        <w:t>Specific investigatory powers</w:t>
      </w:r>
      <w:bookmarkEnd w:id="30"/>
      <w:bookmarkEnd w:id="31"/>
      <w:bookmarkEnd w:id="32"/>
    </w:p>
    <w:p>
      <w:pPr>
        <w:pStyle w:val="Footnoteheading"/>
        <w:keepNext/>
      </w:pPr>
      <w:r>
        <w:tab/>
        <w:t xml:space="preserve">[Heading inserted: No. 53 of 2004 s. 11.] </w:t>
      </w:r>
    </w:p>
    <w:p>
      <w:pPr>
        <w:pStyle w:val="Heading5"/>
      </w:pPr>
      <w:bookmarkStart w:id="33" w:name="_Toc107474138"/>
      <w:r>
        <w:rPr>
          <w:rStyle w:val="CharSectno"/>
        </w:rPr>
        <w:t>18</w:t>
      </w:r>
      <w:r>
        <w:t>.</w:t>
      </w:r>
      <w:r>
        <w:tab/>
        <w:t>Powers</w:t>
      </w:r>
      <w:bookmarkEnd w:id="33"/>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 and</w:t>
      </w:r>
    </w:p>
    <w:p>
      <w:pPr>
        <w:pStyle w:val="Indenta"/>
        <w:spacing w:before="68"/>
      </w:pPr>
      <w:r>
        <w:tab/>
        <w:t>(b)</w:t>
      </w:r>
      <w:r>
        <w:tab/>
        <w:t>require any person to produce any document; and</w:t>
      </w:r>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 and</w:t>
      </w:r>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tab/>
        <w:t>(c)</w:t>
      </w:r>
      <w:r>
        <w:tab/>
        <w:t>may, by its terms, require that the information or answer required — </w:t>
      </w:r>
    </w:p>
    <w:p>
      <w:pPr>
        <w:pStyle w:val="Indenti"/>
        <w:spacing w:before="68"/>
      </w:pPr>
      <w:r>
        <w:tab/>
        <w:t>(i)</w:t>
      </w:r>
      <w:r>
        <w:tab/>
        <w:t>be given orally or in writing; and</w:t>
      </w:r>
    </w:p>
    <w:p>
      <w:pPr>
        <w:pStyle w:val="Indenti"/>
        <w:spacing w:before="68"/>
      </w:pPr>
      <w:r>
        <w:tab/>
        <w:t>(ii)</w:t>
      </w:r>
      <w:r>
        <w:tab/>
        <w:t>be given at or sent or delivered to any place specified in the requirement; and</w:t>
      </w:r>
    </w:p>
    <w:p>
      <w:pPr>
        <w:pStyle w:val="Indenti"/>
        <w:spacing w:before="68"/>
      </w:pPr>
      <w:r>
        <w:tab/>
        <w:t>(iii)</w:t>
      </w:r>
      <w:r>
        <w:tab/>
        <w:t>in the case of written information or answers, be sent or delivered by any means specified in the requirement; and</w:t>
      </w:r>
    </w:p>
    <w:p>
      <w:pPr>
        <w:pStyle w:val="Indenti"/>
      </w:pPr>
      <w:r>
        <w:lastRenderedPageBreak/>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No. 53 of 2004 s. 12.]</w:t>
      </w:r>
    </w:p>
    <w:p>
      <w:pPr>
        <w:pStyle w:val="Heading5"/>
      </w:pPr>
      <w:bookmarkStart w:id="34" w:name="_Toc107474139"/>
      <w:r>
        <w:rPr>
          <w:rStyle w:val="CharSectno"/>
        </w:rPr>
        <w:t>18A</w:t>
      </w:r>
      <w:r>
        <w:t>.</w:t>
      </w:r>
      <w:r>
        <w:tab/>
        <w:t>Warrant to enter premises</w:t>
      </w:r>
      <w:bookmarkEnd w:id="34"/>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lastRenderedPageBreak/>
        <w:tab/>
        <w:t>(2)</w:t>
      </w:r>
      <w:r>
        <w:tab/>
        <w:t xml:space="preserve">An application for a warrant must — </w:t>
      </w:r>
    </w:p>
    <w:p>
      <w:pPr>
        <w:pStyle w:val="Indenta"/>
      </w:pPr>
      <w:r>
        <w:tab/>
        <w:t>(a)</w:t>
      </w:r>
      <w:r>
        <w:tab/>
        <w:t>be in writing; and</w:t>
      </w:r>
    </w:p>
    <w:p>
      <w:pPr>
        <w:pStyle w:val="Indenta"/>
      </w:pPr>
      <w:r>
        <w:tab/>
        <w:t>(b)</w:t>
      </w:r>
      <w:r>
        <w:tab/>
        <w:t>be accompanied by a notice in writing from the investigator stating that he or she has determined in the particular case that there are reasonable grounds for believing that entry to premises or motor vehicle is necessary for the purpose of the investigation;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No. 53 of 2004 s. 12.]</w:t>
      </w:r>
    </w:p>
    <w:p>
      <w:pPr>
        <w:pStyle w:val="Heading5"/>
      </w:pPr>
      <w:bookmarkStart w:id="35" w:name="_Toc107474140"/>
      <w:r>
        <w:rPr>
          <w:rStyle w:val="CharSectno"/>
        </w:rPr>
        <w:t>18B</w:t>
      </w:r>
      <w:r>
        <w:t>.</w:t>
      </w:r>
      <w:r>
        <w:tab/>
        <w:t>Issue of warrant</w:t>
      </w:r>
      <w:bookmarkEnd w:id="35"/>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lastRenderedPageBreak/>
        <w:tab/>
        <w:t>(2)</w:t>
      </w:r>
      <w:r>
        <w:tab/>
        <w:t xml:space="preserve">A warrant under subsection (1) authorises the investigator — </w:t>
      </w:r>
    </w:p>
    <w:p>
      <w:pPr>
        <w:pStyle w:val="Indenta"/>
        <w:spacing w:before="70"/>
      </w:pPr>
      <w:r>
        <w:tab/>
        <w:t>(a)</w:t>
      </w:r>
      <w:r>
        <w:tab/>
        <w:t>to enter and inspect the premises or motor vehicle named in the warrant; and</w:t>
      </w:r>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No. 53 of 2004 s. 12.]</w:t>
      </w:r>
    </w:p>
    <w:p>
      <w:pPr>
        <w:pStyle w:val="Heading5"/>
      </w:pPr>
      <w:bookmarkStart w:id="36" w:name="_Toc107474141"/>
      <w:r>
        <w:rPr>
          <w:rStyle w:val="CharSectno"/>
        </w:rPr>
        <w:t>18C</w:t>
      </w:r>
      <w:r>
        <w:t>.</w:t>
      </w:r>
      <w:r>
        <w:tab/>
        <w:t>Execution of warrant</w:t>
      </w:r>
      <w:bookmarkEnd w:id="36"/>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 xml:space="preserve">When executing a warrant, the investigator may require any person, having the control or custody of any premises, motor vehicle or thing which the investigator is authorised to enter or </w:t>
      </w:r>
      <w:r>
        <w:lastRenderedPageBreak/>
        <w:t>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No. 53 of 2004 s. 12.]</w:t>
      </w:r>
    </w:p>
    <w:p>
      <w:pPr>
        <w:pStyle w:val="Heading5"/>
      </w:pPr>
      <w:bookmarkStart w:id="37" w:name="_Toc107474142"/>
      <w:r>
        <w:rPr>
          <w:rStyle w:val="CharSectno"/>
        </w:rPr>
        <w:t>18D</w:t>
      </w:r>
      <w:r>
        <w:t>.</w:t>
      </w:r>
      <w:r>
        <w:tab/>
        <w:t>Seizure</w:t>
      </w:r>
      <w:bookmarkEnd w:id="37"/>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lastRenderedPageBreak/>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No. 53 of 2004 s. 12.]</w:t>
      </w:r>
    </w:p>
    <w:p>
      <w:pPr>
        <w:pStyle w:val="Heading5"/>
      </w:pPr>
      <w:bookmarkStart w:id="38" w:name="_Toc107474143"/>
      <w:r>
        <w:rPr>
          <w:rStyle w:val="CharSectno"/>
        </w:rPr>
        <w:t>18E</w:t>
      </w:r>
      <w:r>
        <w:t>.</w:t>
      </w:r>
      <w:r>
        <w:tab/>
        <w:t>Incriminating information, questions, or documents</w:t>
      </w:r>
      <w:bookmarkEnd w:id="38"/>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No. 53 of 2004 s. 12.]</w:t>
      </w:r>
    </w:p>
    <w:p>
      <w:pPr>
        <w:pStyle w:val="Heading5"/>
      </w:pPr>
      <w:bookmarkStart w:id="39" w:name="_Toc107474144"/>
      <w:r>
        <w:rPr>
          <w:rStyle w:val="CharSectno"/>
        </w:rPr>
        <w:t>18F</w:t>
      </w:r>
      <w:r>
        <w:t>.</w:t>
      </w:r>
      <w:r>
        <w:tab/>
        <w:t>Failure to comply with investigation</w:t>
      </w:r>
      <w:bookmarkEnd w:id="39"/>
    </w:p>
    <w:p>
      <w:pPr>
        <w:pStyle w:val="Subsection"/>
      </w:pPr>
      <w:r>
        <w:tab/>
        <w:t>(1)</w:t>
      </w:r>
      <w:r>
        <w:tab/>
        <w:t xml:space="preserve">Where under section 18 a person is required to give any information, answer any question, or produce any document and </w:t>
      </w:r>
      <w:r>
        <w:lastRenderedPageBreak/>
        <w:t>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No. 53 of 2004 s. 12; amended: No. 84 of 2004 s. 82.]</w:t>
      </w:r>
    </w:p>
    <w:p>
      <w:pPr>
        <w:pStyle w:val="Heading5"/>
      </w:pPr>
      <w:bookmarkStart w:id="40" w:name="_Toc107474145"/>
      <w:r>
        <w:rPr>
          <w:rStyle w:val="CharSectno"/>
        </w:rPr>
        <w:lastRenderedPageBreak/>
        <w:t>18G</w:t>
      </w:r>
      <w:r>
        <w:t>.</w:t>
      </w:r>
      <w:r>
        <w:tab/>
        <w:t>Obstruction of investigator</w:t>
      </w:r>
      <w:bookmarkEnd w:id="40"/>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No. 53 of 2004 s. 12.]</w:t>
      </w:r>
    </w:p>
    <w:p>
      <w:pPr>
        <w:pStyle w:val="Heading5"/>
      </w:pPr>
      <w:bookmarkStart w:id="41" w:name="_Toc107474146"/>
      <w:r>
        <w:rPr>
          <w:rStyle w:val="CharSectno"/>
        </w:rPr>
        <w:t>18H</w:t>
      </w:r>
      <w:r>
        <w:t>.</w:t>
      </w:r>
      <w:r>
        <w:tab/>
        <w:t>Information</w:t>
      </w:r>
      <w:bookmarkEnd w:id="41"/>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No. 53 of 2004 s. 12.]</w:t>
      </w:r>
    </w:p>
    <w:p>
      <w:pPr>
        <w:pStyle w:val="Heading3"/>
        <w:spacing w:before="600"/>
      </w:pPr>
      <w:bookmarkStart w:id="42" w:name="_Toc107387807"/>
      <w:bookmarkStart w:id="43" w:name="_Toc107387913"/>
      <w:bookmarkStart w:id="44" w:name="_Toc107474147"/>
      <w:r>
        <w:rPr>
          <w:rStyle w:val="CharDivNo"/>
        </w:rPr>
        <w:lastRenderedPageBreak/>
        <w:t>Division 3</w:t>
      </w:r>
      <w:r>
        <w:t xml:space="preserve"> — </w:t>
      </w:r>
      <w:r>
        <w:rPr>
          <w:rStyle w:val="CharDivText"/>
        </w:rPr>
        <w:t>Review of decisions of the Commissioner</w:t>
      </w:r>
      <w:bookmarkEnd w:id="42"/>
      <w:bookmarkEnd w:id="43"/>
      <w:bookmarkEnd w:id="44"/>
    </w:p>
    <w:p>
      <w:pPr>
        <w:pStyle w:val="Footnoteheading"/>
      </w:pPr>
      <w:r>
        <w:tab/>
        <w:t>[Heading inserted: No. 55 of 2004 s. 342; amended: No. 53 of 2004 s. 13.]</w:t>
      </w:r>
    </w:p>
    <w:p>
      <w:pPr>
        <w:pStyle w:val="Ednotesection"/>
      </w:pPr>
      <w:r>
        <w:t>[</w:t>
      </w:r>
      <w:r>
        <w:rPr>
          <w:b/>
          <w:bCs/>
        </w:rPr>
        <w:t>19</w:t>
      </w:r>
      <w:r>
        <w:rPr>
          <w:b/>
          <w:bCs/>
        </w:rPr>
        <w:noBreakHyphen/>
        <w:t>22.</w:t>
      </w:r>
      <w:r>
        <w:tab/>
        <w:t>Deleted: No. 55 of 2004 s. 343.]</w:t>
      </w:r>
    </w:p>
    <w:p>
      <w:pPr>
        <w:pStyle w:val="Heading5"/>
        <w:rPr>
          <w:snapToGrid w:val="0"/>
        </w:rPr>
      </w:pPr>
      <w:bookmarkStart w:id="45" w:name="_Toc107474148"/>
      <w:r>
        <w:rPr>
          <w:rStyle w:val="CharSectno"/>
        </w:rPr>
        <w:t>23</w:t>
      </w:r>
      <w:r>
        <w:t>.</w:t>
      </w:r>
      <w:r>
        <w:tab/>
      </w:r>
      <w:r>
        <w:rPr>
          <w:snapToGrid w:val="0"/>
        </w:rPr>
        <w:t>Application for review</w:t>
      </w:r>
      <w:bookmarkEnd w:id="45"/>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No. 55 of 2004 s. 344; amended: No. 53 of 2004 s. 14.]</w:t>
      </w:r>
    </w:p>
    <w:p>
      <w:pPr>
        <w:pStyle w:val="Heading2"/>
      </w:pPr>
      <w:bookmarkStart w:id="46" w:name="_Toc107387809"/>
      <w:bookmarkStart w:id="47" w:name="_Toc107387915"/>
      <w:bookmarkStart w:id="48" w:name="_Toc107474149"/>
      <w:r>
        <w:rPr>
          <w:rStyle w:val="CharPartNo"/>
        </w:rPr>
        <w:lastRenderedPageBreak/>
        <w:t>Part III</w:t>
      </w:r>
      <w:r>
        <w:rPr>
          <w:rStyle w:val="CharDivNo"/>
        </w:rPr>
        <w:t> </w:t>
      </w:r>
      <w:r>
        <w:t>—</w:t>
      </w:r>
      <w:r>
        <w:rPr>
          <w:rStyle w:val="CharDivText"/>
        </w:rPr>
        <w:t> </w:t>
      </w:r>
      <w:r>
        <w:rPr>
          <w:rStyle w:val="CharPartText"/>
        </w:rPr>
        <w:t>Licensing</w:t>
      </w:r>
      <w:bookmarkEnd w:id="46"/>
      <w:bookmarkEnd w:id="47"/>
      <w:bookmarkEnd w:id="48"/>
      <w:r>
        <w:rPr>
          <w:rStyle w:val="CharPartText"/>
        </w:rPr>
        <w:t xml:space="preserve"> </w:t>
      </w:r>
    </w:p>
    <w:p>
      <w:pPr>
        <w:pStyle w:val="Heading5"/>
        <w:rPr>
          <w:snapToGrid w:val="0"/>
        </w:rPr>
      </w:pPr>
      <w:bookmarkStart w:id="49" w:name="_Toc107474150"/>
      <w:r>
        <w:rPr>
          <w:rStyle w:val="CharSectno"/>
        </w:rPr>
        <w:t>24</w:t>
      </w:r>
      <w:r>
        <w:rPr>
          <w:snapToGrid w:val="0"/>
        </w:rPr>
        <w:t>.</w:t>
      </w:r>
      <w:r>
        <w:rPr>
          <w:snapToGrid w:val="0"/>
        </w:rPr>
        <w:tab/>
        <w:t>Application</w:t>
      </w:r>
      <w:bookmarkEnd w:id="49"/>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 No. 53 of 2004 s. 15; No. 55 of 2004 s. 345; No. 14 of 2010 s. 42.]</w:t>
      </w:r>
    </w:p>
    <w:p>
      <w:pPr>
        <w:pStyle w:val="Heading5"/>
        <w:spacing w:before="180"/>
        <w:rPr>
          <w:snapToGrid w:val="0"/>
        </w:rPr>
      </w:pPr>
      <w:bookmarkStart w:id="50" w:name="_Toc107474151"/>
      <w:r>
        <w:rPr>
          <w:rStyle w:val="CharSectno"/>
        </w:rPr>
        <w:t>25</w:t>
      </w:r>
      <w:r>
        <w:rPr>
          <w:snapToGrid w:val="0"/>
        </w:rPr>
        <w:t>.</w:t>
      </w:r>
      <w:r>
        <w:rPr>
          <w:snapToGrid w:val="0"/>
        </w:rPr>
        <w:tab/>
        <w:t>Objections</w:t>
      </w:r>
      <w:bookmarkEnd w:id="50"/>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lastRenderedPageBreak/>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No. 53 of 2004 s. 16; No. 55 of 2004 s. 346; No. 14 of 2010 s. 43.]</w:t>
      </w:r>
    </w:p>
    <w:p>
      <w:pPr>
        <w:pStyle w:val="Heading5"/>
        <w:rPr>
          <w:snapToGrid w:val="0"/>
        </w:rPr>
      </w:pPr>
      <w:bookmarkStart w:id="51" w:name="_Toc107474152"/>
      <w:r>
        <w:rPr>
          <w:rStyle w:val="CharSectno"/>
        </w:rPr>
        <w:t>26</w:t>
      </w:r>
      <w:r>
        <w:rPr>
          <w:snapToGrid w:val="0"/>
        </w:rPr>
        <w:t>.</w:t>
      </w:r>
      <w:r>
        <w:rPr>
          <w:snapToGrid w:val="0"/>
        </w:rPr>
        <w:tab/>
        <w:t>Finance brokers to be licensed</w:t>
      </w:r>
      <w:bookmarkEnd w:id="51"/>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1</w:t>
      </w:r>
      <w:r>
        <w:rPr>
          <w:snapToGrid w:val="0"/>
        </w:rPr>
        <w:t xml:space="preserve"> for the purposes of that subsection.</w:t>
      </w:r>
    </w:p>
    <w:p>
      <w:pPr>
        <w:pStyle w:val="Footnotesection"/>
      </w:pPr>
      <w:r>
        <w:tab/>
        <w:t>[Section 26 amended: No. 56 of 1995 s. 23(1); No. 53 of 2004 s. 17; No. 14 of 2010 s. 44.]</w:t>
      </w:r>
    </w:p>
    <w:p>
      <w:pPr>
        <w:pStyle w:val="Heading5"/>
      </w:pPr>
      <w:bookmarkStart w:id="52" w:name="_Toc107474153"/>
      <w:r>
        <w:rPr>
          <w:rStyle w:val="CharSectno"/>
        </w:rPr>
        <w:t>27A</w:t>
      </w:r>
      <w:r>
        <w:t>.</w:t>
      </w:r>
      <w:r>
        <w:tab/>
        <w:t>No further grants of licences</w:t>
      </w:r>
      <w:bookmarkEnd w:id="52"/>
    </w:p>
    <w:p>
      <w:pPr>
        <w:pStyle w:val="Subsection"/>
      </w:pPr>
      <w:r>
        <w:tab/>
      </w:r>
      <w:r>
        <w:tab/>
        <w:t>Despite anything in this Act, on and after the referral day, no licences are to be granted under section 27, 28 or 29.</w:t>
      </w:r>
    </w:p>
    <w:p>
      <w:pPr>
        <w:pStyle w:val="Footnotesection"/>
      </w:pPr>
      <w:r>
        <w:tab/>
        <w:t>[Section 27A inserted: No. 14 of 2010 s. 45.]</w:t>
      </w:r>
    </w:p>
    <w:p>
      <w:pPr>
        <w:pStyle w:val="Heading5"/>
        <w:rPr>
          <w:snapToGrid w:val="0"/>
        </w:rPr>
      </w:pPr>
      <w:bookmarkStart w:id="53" w:name="_Toc107474154"/>
      <w:r>
        <w:rPr>
          <w:rStyle w:val="CharSectno"/>
        </w:rPr>
        <w:t>27</w:t>
      </w:r>
      <w:r>
        <w:rPr>
          <w:snapToGrid w:val="0"/>
        </w:rPr>
        <w:t>.</w:t>
      </w:r>
      <w:r>
        <w:rPr>
          <w:snapToGrid w:val="0"/>
        </w:rPr>
        <w:tab/>
        <w:t>Grant of licence to natural person</w:t>
      </w:r>
      <w:bookmarkEnd w:id="53"/>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 xml:space="preserve">Commissioner for a licence and pays to the chief </w:t>
      </w:r>
      <w:r>
        <w:lastRenderedPageBreak/>
        <w:t>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 and</w:t>
      </w:r>
    </w:p>
    <w:p>
      <w:pPr>
        <w:pStyle w:val="Indenta"/>
        <w:rPr>
          <w:snapToGrid w:val="0"/>
        </w:rPr>
      </w:pPr>
      <w:r>
        <w:rPr>
          <w:snapToGrid w:val="0"/>
        </w:rPr>
        <w:tab/>
        <w:t>(b)</w:t>
      </w:r>
      <w:r>
        <w:rPr>
          <w:snapToGrid w:val="0"/>
        </w:rPr>
        <w:tab/>
        <w:t>he is of or over the age of 18 years; and</w:t>
      </w:r>
    </w:p>
    <w:p>
      <w:pPr>
        <w:pStyle w:val="Indenta"/>
        <w:rPr>
          <w:snapToGrid w:val="0"/>
        </w:rPr>
      </w:pPr>
      <w:r>
        <w:rPr>
          <w:snapToGrid w:val="0"/>
        </w:rPr>
        <w:tab/>
        <w:t>(c)</w:t>
      </w:r>
      <w:r>
        <w:rPr>
          <w:snapToGrid w:val="0"/>
        </w:rPr>
        <w:tab/>
        <w:t>he is a person of good character and repute; and</w:t>
      </w:r>
    </w:p>
    <w:p>
      <w:pPr>
        <w:pStyle w:val="Indenta"/>
      </w:pPr>
      <w:r>
        <w:tab/>
        <w:t>(ca)</w:t>
      </w:r>
      <w:r>
        <w:tab/>
        <w:t>he is a fit and proper person to hold a licence; and</w:t>
      </w:r>
    </w:p>
    <w:p>
      <w:pPr>
        <w:pStyle w:val="Indenta"/>
        <w:rPr>
          <w:snapToGrid w:val="0"/>
        </w:rPr>
      </w:pPr>
      <w:r>
        <w:rPr>
          <w:snapToGrid w:val="0"/>
        </w:rPr>
        <w:tab/>
        <w:t>(d)</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No. 53 of 2004 s. 18.]</w:t>
      </w:r>
    </w:p>
    <w:p>
      <w:pPr>
        <w:pStyle w:val="Heading5"/>
        <w:rPr>
          <w:snapToGrid w:val="0"/>
        </w:rPr>
      </w:pPr>
      <w:bookmarkStart w:id="54" w:name="_Toc107474155"/>
      <w:r>
        <w:rPr>
          <w:rStyle w:val="CharSectno"/>
        </w:rPr>
        <w:t>28</w:t>
      </w:r>
      <w:r>
        <w:rPr>
          <w:snapToGrid w:val="0"/>
        </w:rPr>
        <w:t>.</w:t>
      </w:r>
      <w:r>
        <w:rPr>
          <w:snapToGrid w:val="0"/>
        </w:rPr>
        <w:tab/>
        <w:t>Grant of licence to firm</w:t>
      </w:r>
      <w:bookmarkEnd w:id="54"/>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w:t>
      </w:r>
    </w:p>
    <w:p>
      <w:pPr>
        <w:pStyle w:val="Indenta"/>
      </w:pPr>
      <w:r>
        <w:tab/>
        <w:t>(aa)</w:t>
      </w:r>
      <w:r>
        <w:tab/>
        <w:t xml:space="preserve">all of the natural persons, if any, by whom the firm is constituted and all of the directors of, and all of the persons concerned in the management or control of, any body corporate by which the firm is constituted are </w:t>
      </w:r>
      <w:r>
        <w:lastRenderedPageBreak/>
        <w:t>persons fit to be concerned as directors of, or in the management and control of a finance broker’s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No. 53 of 2004 s. 19.]</w:t>
      </w:r>
    </w:p>
    <w:p>
      <w:pPr>
        <w:pStyle w:val="Heading5"/>
        <w:rPr>
          <w:snapToGrid w:val="0"/>
        </w:rPr>
      </w:pPr>
      <w:bookmarkStart w:id="55" w:name="_Toc107474156"/>
      <w:r>
        <w:rPr>
          <w:rStyle w:val="CharSectno"/>
        </w:rPr>
        <w:t>29</w:t>
      </w:r>
      <w:r>
        <w:rPr>
          <w:snapToGrid w:val="0"/>
        </w:rPr>
        <w:t>.</w:t>
      </w:r>
      <w:r>
        <w:rPr>
          <w:snapToGrid w:val="0"/>
        </w:rPr>
        <w:tab/>
        <w:t>Grant of licence to body corporate</w:t>
      </w:r>
      <w:bookmarkEnd w:id="55"/>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rPr>
          <w:snapToGrid w:val="0"/>
        </w:rPr>
      </w:pPr>
      <w:r>
        <w:rPr>
          <w:snapToGrid w:val="0"/>
        </w:rPr>
        <w:lastRenderedPageBreak/>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No. 53 of 2004 s. 20.]</w:t>
      </w:r>
    </w:p>
    <w:p>
      <w:pPr>
        <w:pStyle w:val="Heading5"/>
        <w:rPr>
          <w:snapToGrid w:val="0"/>
        </w:rPr>
      </w:pPr>
      <w:bookmarkStart w:id="56" w:name="_Toc107474157"/>
      <w:r>
        <w:rPr>
          <w:rStyle w:val="CharSectno"/>
        </w:rPr>
        <w:t>30</w:t>
      </w:r>
      <w:r>
        <w:rPr>
          <w:snapToGrid w:val="0"/>
        </w:rPr>
        <w:t>.</w:t>
      </w:r>
      <w:r>
        <w:rPr>
          <w:snapToGrid w:val="0"/>
        </w:rPr>
        <w:tab/>
        <w:t>Effect of licence</w:t>
      </w:r>
      <w:bookmarkEnd w:id="56"/>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keepNext/>
        <w:rPr>
          <w:snapToGrid w:val="0"/>
        </w:rPr>
      </w:pPr>
      <w:r>
        <w:rPr>
          <w:snapToGrid w:val="0"/>
        </w:rPr>
        <w:lastRenderedPageBreak/>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No. 56 of 1995 s. 18 and 23; No. 53 of 2004 s. 21; No. 55 of 2004 s. 347; No. 14 of 2010 s. 46.] </w:t>
      </w:r>
    </w:p>
    <w:p>
      <w:pPr>
        <w:pStyle w:val="Heading5"/>
        <w:rPr>
          <w:snapToGrid w:val="0"/>
        </w:rPr>
      </w:pPr>
      <w:bookmarkStart w:id="57" w:name="_Toc107474158"/>
      <w:r>
        <w:rPr>
          <w:rStyle w:val="CharSectno"/>
        </w:rPr>
        <w:t>31</w:t>
      </w:r>
      <w:r>
        <w:rPr>
          <w:snapToGrid w:val="0"/>
        </w:rPr>
        <w:t>.</w:t>
      </w:r>
      <w:r>
        <w:rPr>
          <w:snapToGrid w:val="0"/>
        </w:rPr>
        <w:tab/>
        <w:t>Duration of licence</w:t>
      </w:r>
      <w:bookmarkEnd w:id="57"/>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No. 56 of 1995 s. 19; No. 53 of 2004 s. 22; No. 14 of 2010 s. 47.]</w:t>
      </w:r>
    </w:p>
    <w:p>
      <w:pPr>
        <w:pStyle w:val="Heading5"/>
        <w:rPr>
          <w:snapToGrid w:val="0"/>
        </w:rPr>
      </w:pPr>
      <w:bookmarkStart w:id="58" w:name="_Toc107474159"/>
      <w:r>
        <w:rPr>
          <w:rStyle w:val="CharSectno"/>
        </w:rPr>
        <w:t>32</w:t>
      </w:r>
      <w:r>
        <w:rPr>
          <w:snapToGrid w:val="0"/>
        </w:rPr>
        <w:t>.</w:t>
      </w:r>
      <w:r>
        <w:rPr>
          <w:snapToGrid w:val="0"/>
        </w:rPr>
        <w:tab/>
        <w:t>Applications for renewals</w:t>
      </w:r>
      <w:bookmarkEnd w:id="58"/>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lastRenderedPageBreak/>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No. 56 of 1995 s. 20; No. 53 of 2004 s. 23; No. 55 of 2004 s. 348; No. 14 of 2010 s. 48.]</w:t>
      </w:r>
    </w:p>
    <w:p>
      <w:pPr>
        <w:pStyle w:val="Heading5"/>
      </w:pPr>
      <w:bookmarkStart w:id="59" w:name="_Toc107474160"/>
      <w:r>
        <w:rPr>
          <w:rStyle w:val="CharSectno"/>
        </w:rPr>
        <w:t>33</w:t>
      </w:r>
      <w:r>
        <w:t>.</w:t>
      </w:r>
      <w:r>
        <w:tab/>
        <w:t>Refusal to renew</w:t>
      </w:r>
      <w:bookmarkEnd w:id="59"/>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No. 53 of 2004 s. 24.]</w:t>
      </w:r>
    </w:p>
    <w:p>
      <w:pPr>
        <w:pStyle w:val="Heading5"/>
        <w:rPr>
          <w:snapToGrid w:val="0"/>
        </w:rPr>
      </w:pPr>
      <w:bookmarkStart w:id="60" w:name="_Toc107474161"/>
      <w:r>
        <w:rPr>
          <w:rStyle w:val="CharSectno"/>
        </w:rPr>
        <w:lastRenderedPageBreak/>
        <w:t>34</w:t>
      </w:r>
      <w:r>
        <w:rPr>
          <w:snapToGrid w:val="0"/>
        </w:rPr>
        <w:t>.</w:t>
      </w:r>
      <w:r>
        <w:rPr>
          <w:snapToGrid w:val="0"/>
        </w:rPr>
        <w:tab/>
        <w:t>Conditions on licences</w:t>
      </w:r>
      <w:bookmarkEnd w:id="60"/>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No. 56 of 1995 s. 23; No. 53 of 2004 s. 25; No. 55 of 2004 s. 350; No. 14 of 2010 s. 49.]</w:t>
      </w:r>
    </w:p>
    <w:p>
      <w:pPr>
        <w:pStyle w:val="Ednotesection"/>
      </w:pPr>
      <w:r>
        <w:t>[</w:t>
      </w:r>
      <w:r>
        <w:rPr>
          <w:b/>
          <w:bCs/>
        </w:rPr>
        <w:t>34A.</w:t>
      </w:r>
      <w:r>
        <w:tab/>
        <w:t>Deleted: No. 53 of 2004 s. 26.]</w:t>
      </w:r>
    </w:p>
    <w:p>
      <w:pPr>
        <w:pStyle w:val="Heading5"/>
      </w:pPr>
      <w:bookmarkStart w:id="61" w:name="_Toc107474162"/>
      <w:r>
        <w:rPr>
          <w:rStyle w:val="CharSectno"/>
        </w:rPr>
        <w:t>34B</w:t>
      </w:r>
      <w:r>
        <w:t>.</w:t>
      </w:r>
      <w:r>
        <w:tab/>
        <w:t>Suspension of licence by State Administrative Tribunal</w:t>
      </w:r>
      <w:bookmarkEnd w:id="61"/>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No. 55 of 2004 s. 351.]</w:t>
      </w:r>
    </w:p>
    <w:p>
      <w:pPr>
        <w:pStyle w:val="Heading5"/>
        <w:rPr>
          <w:snapToGrid w:val="0"/>
        </w:rPr>
      </w:pPr>
      <w:bookmarkStart w:id="62" w:name="_Toc107474163"/>
      <w:r>
        <w:rPr>
          <w:rStyle w:val="CharSectno"/>
        </w:rPr>
        <w:lastRenderedPageBreak/>
        <w:t>35</w:t>
      </w:r>
      <w:r>
        <w:rPr>
          <w:snapToGrid w:val="0"/>
        </w:rPr>
        <w:t>.</w:t>
      </w:r>
      <w:r>
        <w:rPr>
          <w:snapToGrid w:val="0"/>
        </w:rPr>
        <w:tab/>
        <w:t>Bond or guarantee in respect of licence</w:t>
      </w:r>
      <w:bookmarkEnd w:id="62"/>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w:t>
      </w:r>
      <w:r>
        <w:rPr>
          <w:snapToGrid w:val="0"/>
        </w:rPr>
        <w:lastRenderedPageBreak/>
        <w:t xml:space="preserve">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No. 56 of 1995 s. 23; No. 53 of 2004 s. 27; No. 55 of 2004 s. 352 and 358; No. 14 of 2010 s. 50.]</w:t>
      </w:r>
    </w:p>
    <w:p>
      <w:pPr>
        <w:pStyle w:val="Heading5"/>
      </w:pPr>
      <w:bookmarkStart w:id="63" w:name="_Toc107474164"/>
      <w:r>
        <w:rPr>
          <w:rStyle w:val="CharSectno"/>
        </w:rPr>
        <w:t>35A</w:t>
      </w:r>
      <w:r>
        <w:t>.</w:t>
      </w:r>
      <w:r>
        <w:tab/>
        <w:t>Prescribed person exempt from bond requirements</w:t>
      </w:r>
      <w:bookmarkEnd w:id="63"/>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 or</w:t>
      </w:r>
    </w:p>
    <w:p>
      <w:pPr>
        <w:pStyle w:val="Indenta"/>
        <w:keepNext/>
      </w:pPr>
      <w:r>
        <w:lastRenderedPageBreak/>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No. 53 of 2004 s. 28.]</w:t>
      </w:r>
    </w:p>
    <w:p>
      <w:pPr>
        <w:pStyle w:val="Ednotesection"/>
      </w:pPr>
      <w:r>
        <w:t>[</w:t>
      </w:r>
      <w:r>
        <w:rPr>
          <w:b/>
          <w:bCs/>
        </w:rPr>
        <w:t>36-38.</w:t>
      </w:r>
      <w:r>
        <w:tab/>
        <w:t>Deleted: No. 14 of 2010 s. 51.]</w:t>
      </w:r>
    </w:p>
    <w:p>
      <w:pPr>
        <w:pStyle w:val="Ednotesection"/>
      </w:pPr>
      <w:r>
        <w:t>[</w:t>
      </w:r>
      <w:r>
        <w:rPr>
          <w:b/>
          <w:bCs/>
        </w:rPr>
        <w:t>39.</w:t>
      </w:r>
      <w:r>
        <w:tab/>
        <w:t>Deleted: No. 53 of 2004 s. 32.]</w:t>
      </w:r>
    </w:p>
    <w:p>
      <w:pPr>
        <w:pStyle w:val="Heading5"/>
        <w:spacing w:before="240"/>
        <w:rPr>
          <w:snapToGrid w:val="0"/>
        </w:rPr>
      </w:pPr>
      <w:bookmarkStart w:id="64" w:name="_Toc107474165"/>
      <w:r>
        <w:rPr>
          <w:rStyle w:val="CharSectno"/>
        </w:rPr>
        <w:t>40</w:t>
      </w:r>
      <w:r>
        <w:rPr>
          <w:snapToGrid w:val="0"/>
        </w:rPr>
        <w:t>.</w:t>
      </w:r>
      <w:r>
        <w:rPr>
          <w:snapToGrid w:val="0"/>
        </w:rPr>
        <w:tab/>
        <w:t>Licence not transferable</w:t>
      </w:r>
      <w:bookmarkEnd w:id="64"/>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tab/>
        <w:t xml:space="preserve">[Section 40 amended: No. 56 of 1995 s. 23; No. 53 of 2004 s. 33.] </w:t>
      </w:r>
    </w:p>
    <w:p>
      <w:pPr>
        <w:pStyle w:val="Heading5"/>
      </w:pPr>
      <w:bookmarkStart w:id="65" w:name="_Toc107474166"/>
      <w:r>
        <w:rPr>
          <w:rStyle w:val="CharSectno"/>
        </w:rPr>
        <w:lastRenderedPageBreak/>
        <w:t>40A</w:t>
      </w:r>
      <w:r>
        <w:t>.</w:t>
      </w:r>
      <w:r>
        <w:tab/>
        <w:t>Prohibition against doing business with unlicensed finance brokers</w:t>
      </w:r>
      <w:bookmarkEnd w:id="65"/>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r>
        <w:rPr>
          <w:snapToGrid w:val="0"/>
        </w:rPr>
        <w:tab/>
        <w:t>Penalty: $50 000.</w:t>
      </w:r>
    </w:p>
    <w:p>
      <w:pPr>
        <w:pStyle w:val="Footnotesection"/>
      </w:pPr>
      <w:r>
        <w:tab/>
        <w:t>[Section 40A inserted: No. 53 of 2004 s. 34; amended: No. 14 of 2010 s. 52.]</w:t>
      </w:r>
    </w:p>
    <w:p>
      <w:pPr>
        <w:pStyle w:val="Heading5"/>
        <w:rPr>
          <w:snapToGrid w:val="0"/>
        </w:rPr>
      </w:pPr>
      <w:bookmarkStart w:id="66" w:name="_Toc107474167"/>
      <w:r>
        <w:rPr>
          <w:rStyle w:val="CharSectno"/>
        </w:rPr>
        <w:t>41</w:t>
      </w:r>
      <w:r>
        <w:rPr>
          <w:snapToGrid w:val="0"/>
        </w:rPr>
        <w:t>.</w:t>
      </w:r>
      <w:r>
        <w:rPr>
          <w:snapToGrid w:val="0"/>
        </w:rPr>
        <w:tab/>
        <w:t>Use of business name</w:t>
      </w:r>
      <w:bookmarkEnd w:id="66"/>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lastRenderedPageBreak/>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41 amended: No. 56 of 1995 s. 23(1); No. 53 of 2004 s. 35; No. 14 of 2010 s. 53.] </w:t>
      </w:r>
    </w:p>
    <w:p>
      <w:pPr>
        <w:pStyle w:val="Heading5"/>
        <w:rPr>
          <w:snapToGrid w:val="0"/>
        </w:rPr>
      </w:pPr>
      <w:bookmarkStart w:id="67" w:name="_Toc107474168"/>
      <w:r>
        <w:rPr>
          <w:rStyle w:val="CharSectno"/>
        </w:rPr>
        <w:t>42</w:t>
      </w:r>
      <w:r>
        <w:rPr>
          <w:snapToGrid w:val="0"/>
        </w:rPr>
        <w:t>.</w:t>
      </w:r>
      <w:r>
        <w:rPr>
          <w:snapToGrid w:val="0"/>
        </w:rPr>
        <w:tab/>
        <w:t>Notice to be exhibited</w:t>
      </w:r>
      <w:bookmarkEnd w:id="67"/>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No. 14 of 2010 s. 54.]</w:t>
      </w:r>
    </w:p>
    <w:p>
      <w:pPr>
        <w:pStyle w:val="Heading2"/>
      </w:pPr>
      <w:bookmarkStart w:id="68" w:name="_Toc107387829"/>
      <w:bookmarkStart w:id="69" w:name="_Toc107387935"/>
      <w:bookmarkStart w:id="70" w:name="_Toc107474169"/>
      <w:r>
        <w:rPr>
          <w:rStyle w:val="CharPartNo"/>
        </w:rPr>
        <w:lastRenderedPageBreak/>
        <w:t>Part IV</w:t>
      </w:r>
      <w:r>
        <w:t> — </w:t>
      </w:r>
      <w:r>
        <w:rPr>
          <w:rStyle w:val="CharPartText"/>
        </w:rPr>
        <w:t>Controls</w:t>
      </w:r>
      <w:bookmarkEnd w:id="68"/>
      <w:bookmarkEnd w:id="69"/>
      <w:bookmarkEnd w:id="70"/>
      <w:r>
        <w:rPr>
          <w:rStyle w:val="CharPartText"/>
        </w:rPr>
        <w:t xml:space="preserve"> </w:t>
      </w:r>
    </w:p>
    <w:p>
      <w:pPr>
        <w:pStyle w:val="Heading3"/>
        <w:rPr>
          <w:snapToGrid w:val="0"/>
        </w:rPr>
      </w:pPr>
      <w:bookmarkStart w:id="71" w:name="_Toc107387830"/>
      <w:bookmarkStart w:id="72" w:name="_Toc107387936"/>
      <w:bookmarkStart w:id="73" w:name="_Toc107474170"/>
      <w:r>
        <w:rPr>
          <w:rStyle w:val="CharDivNo"/>
        </w:rPr>
        <w:t>Division 1</w:t>
      </w:r>
      <w:r>
        <w:rPr>
          <w:snapToGrid w:val="0"/>
        </w:rPr>
        <w:t> — </w:t>
      </w:r>
      <w:r>
        <w:rPr>
          <w:rStyle w:val="CharDivText"/>
        </w:rPr>
        <w:t>General</w:t>
      </w:r>
      <w:bookmarkEnd w:id="71"/>
      <w:bookmarkEnd w:id="72"/>
      <w:bookmarkEnd w:id="73"/>
      <w:r>
        <w:rPr>
          <w:rStyle w:val="CharDivText"/>
        </w:rPr>
        <w:t xml:space="preserve"> </w:t>
      </w:r>
    </w:p>
    <w:p>
      <w:pPr>
        <w:pStyle w:val="Heading5"/>
        <w:rPr>
          <w:snapToGrid w:val="0"/>
        </w:rPr>
      </w:pPr>
      <w:bookmarkStart w:id="74" w:name="_Toc107474171"/>
      <w:r>
        <w:rPr>
          <w:rStyle w:val="CharSectno"/>
        </w:rPr>
        <w:t>43</w:t>
      </w:r>
      <w:r>
        <w:rPr>
          <w:snapToGrid w:val="0"/>
        </w:rPr>
        <w:t>.</w:t>
      </w:r>
      <w:r>
        <w:rPr>
          <w:snapToGrid w:val="0"/>
        </w:rPr>
        <w:tab/>
        <w:t>Disability of unlicensed person</w:t>
      </w:r>
      <w:bookmarkEnd w:id="74"/>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No. 56 of 1995 s. 23(1); No. 53 of 2004 s. 36; No. 14 of 2010 s. 55.]</w:t>
      </w:r>
    </w:p>
    <w:p>
      <w:pPr>
        <w:pStyle w:val="Heading5"/>
        <w:rPr>
          <w:snapToGrid w:val="0"/>
        </w:rPr>
      </w:pPr>
      <w:bookmarkStart w:id="75" w:name="_Toc107474172"/>
      <w:r>
        <w:rPr>
          <w:rStyle w:val="CharSectno"/>
        </w:rPr>
        <w:t>44</w:t>
      </w:r>
      <w:r>
        <w:rPr>
          <w:snapToGrid w:val="0"/>
        </w:rPr>
        <w:t>.</w:t>
      </w:r>
      <w:r>
        <w:rPr>
          <w:snapToGrid w:val="0"/>
        </w:rPr>
        <w:tab/>
        <w:t>Remuneration of finance brokers</w:t>
      </w:r>
      <w:bookmarkEnd w:id="75"/>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xml:space="preserve">, fix the </w:t>
      </w:r>
      <w:r>
        <w:rPr>
          <w:snapToGrid w:val="0"/>
        </w:rPr>
        <w:lastRenderedPageBreak/>
        <w:t>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 xml:space="preserve">Any commission, reward, or other valuable consideration received or held in contravention of this section may be </w:t>
      </w:r>
      <w:r>
        <w:rPr>
          <w:snapToGrid w:val="0"/>
        </w:rPr>
        <w:lastRenderedPageBreak/>
        <w:t>recovered as a civil debt recoverable summarily in any court of competent jurisdiction.</w:t>
      </w:r>
    </w:p>
    <w:p>
      <w:pPr>
        <w:pStyle w:val="Footnotesection"/>
      </w:pPr>
      <w:r>
        <w:tab/>
        <w:t>[Section 44 amended: No. 53 of 2004 s. 37; No. 14 of 2010 s. 56.]</w:t>
      </w:r>
    </w:p>
    <w:p>
      <w:pPr>
        <w:pStyle w:val="Heading5"/>
        <w:rPr>
          <w:snapToGrid w:val="0"/>
        </w:rPr>
      </w:pPr>
      <w:bookmarkStart w:id="76" w:name="_Toc107474173"/>
      <w:r>
        <w:rPr>
          <w:rStyle w:val="CharSectno"/>
        </w:rPr>
        <w:t>45</w:t>
      </w:r>
      <w:r>
        <w:rPr>
          <w:snapToGrid w:val="0"/>
        </w:rPr>
        <w:t>.</w:t>
      </w:r>
      <w:r>
        <w:rPr>
          <w:snapToGrid w:val="0"/>
        </w:rPr>
        <w:tab/>
        <w:t>Advertisements by licensees</w:t>
      </w:r>
      <w:bookmarkEnd w:id="76"/>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rPr>
          <w:iCs/>
          <w:vertAlign w:val="superscript"/>
        </w:rPr>
        <w:t> 3</w:t>
      </w:r>
      <w:r>
        <w:t>.</w:t>
      </w:r>
    </w:p>
    <w:p>
      <w:pPr>
        <w:pStyle w:val="Footnotesection"/>
      </w:pPr>
      <w:r>
        <w:tab/>
        <w:t>[Section 45 amended: No. 53 of 2004 s. 38; No. 14 of 2010 s. 57.]</w:t>
      </w:r>
    </w:p>
    <w:p>
      <w:pPr>
        <w:pStyle w:val="Heading5"/>
        <w:rPr>
          <w:snapToGrid w:val="0"/>
        </w:rPr>
      </w:pPr>
      <w:bookmarkStart w:id="77" w:name="_Toc107474174"/>
      <w:r>
        <w:rPr>
          <w:rStyle w:val="CharSectno"/>
        </w:rPr>
        <w:lastRenderedPageBreak/>
        <w:t>46</w:t>
      </w:r>
      <w:r>
        <w:rPr>
          <w:snapToGrid w:val="0"/>
        </w:rPr>
        <w:t>.</w:t>
      </w:r>
      <w:r>
        <w:rPr>
          <w:snapToGrid w:val="0"/>
        </w:rPr>
        <w:tab/>
        <w:t>Copy of loan documents</w:t>
      </w:r>
      <w:bookmarkEnd w:id="77"/>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No. 14 of 2010 s. 58.]</w:t>
      </w:r>
    </w:p>
    <w:p>
      <w:pPr>
        <w:pStyle w:val="Heading3"/>
        <w:rPr>
          <w:snapToGrid w:val="0"/>
        </w:rPr>
      </w:pPr>
      <w:bookmarkStart w:id="78" w:name="_Toc107387835"/>
      <w:bookmarkStart w:id="79" w:name="_Toc107387941"/>
      <w:bookmarkStart w:id="80" w:name="_Toc107474175"/>
      <w:r>
        <w:rPr>
          <w:rStyle w:val="CharDivNo"/>
        </w:rPr>
        <w:t>Division 2</w:t>
      </w:r>
      <w:r>
        <w:rPr>
          <w:snapToGrid w:val="0"/>
        </w:rPr>
        <w:t> — </w:t>
      </w:r>
      <w:r>
        <w:rPr>
          <w:rStyle w:val="CharDivText"/>
        </w:rPr>
        <w:t>Trust accounts</w:t>
      </w:r>
      <w:bookmarkEnd w:id="78"/>
      <w:bookmarkEnd w:id="79"/>
      <w:bookmarkEnd w:id="80"/>
      <w:r>
        <w:rPr>
          <w:rStyle w:val="CharDivText"/>
        </w:rPr>
        <w:t xml:space="preserve"> </w:t>
      </w:r>
    </w:p>
    <w:p>
      <w:pPr>
        <w:pStyle w:val="Heading5"/>
        <w:rPr>
          <w:snapToGrid w:val="0"/>
        </w:rPr>
      </w:pPr>
      <w:bookmarkStart w:id="81" w:name="_Toc107474176"/>
      <w:r>
        <w:rPr>
          <w:rStyle w:val="CharSectno"/>
        </w:rPr>
        <w:t>47</w:t>
      </w:r>
      <w:r>
        <w:rPr>
          <w:snapToGrid w:val="0"/>
        </w:rPr>
        <w:t>.</w:t>
      </w:r>
      <w:r>
        <w:rPr>
          <w:snapToGrid w:val="0"/>
        </w:rPr>
        <w:tab/>
        <w:t>Terms used</w:t>
      </w:r>
      <w:bookmarkEnd w:id="81"/>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82" w:name="_Toc107474177"/>
      <w:r>
        <w:rPr>
          <w:rStyle w:val="CharSectno"/>
        </w:rPr>
        <w:t>48</w:t>
      </w:r>
      <w:r>
        <w:rPr>
          <w:snapToGrid w:val="0"/>
        </w:rPr>
        <w:t>.</w:t>
      </w:r>
      <w:r>
        <w:rPr>
          <w:snapToGrid w:val="0"/>
        </w:rPr>
        <w:tab/>
        <w:t>Trust accounts</w:t>
      </w:r>
      <w:bookmarkEnd w:id="82"/>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lastRenderedPageBreak/>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No. 14 of 2010 s. 59.]</w:t>
      </w:r>
    </w:p>
    <w:p>
      <w:pPr>
        <w:pStyle w:val="Heading5"/>
        <w:rPr>
          <w:snapToGrid w:val="0"/>
        </w:rPr>
      </w:pPr>
      <w:bookmarkStart w:id="83" w:name="_Toc107474178"/>
      <w:r>
        <w:rPr>
          <w:rStyle w:val="CharSectno"/>
        </w:rPr>
        <w:t>49</w:t>
      </w:r>
      <w:r>
        <w:rPr>
          <w:snapToGrid w:val="0"/>
        </w:rPr>
        <w:t>.</w:t>
      </w:r>
      <w:r>
        <w:rPr>
          <w:snapToGrid w:val="0"/>
        </w:rPr>
        <w:tab/>
        <w:t>Receipts and accounting to principal</w:t>
      </w:r>
      <w:bookmarkEnd w:id="83"/>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lastRenderedPageBreak/>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No. 53 of 2004 s. 39; No. 14 of 2010 s. 60.]</w:t>
      </w:r>
    </w:p>
    <w:p>
      <w:pPr>
        <w:pStyle w:val="Heading5"/>
        <w:rPr>
          <w:snapToGrid w:val="0"/>
        </w:rPr>
      </w:pPr>
      <w:bookmarkStart w:id="84" w:name="_Toc107474179"/>
      <w:r>
        <w:rPr>
          <w:rStyle w:val="CharSectno"/>
        </w:rPr>
        <w:t>50</w:t>
      </w:r>
      <w:r>
        <w:rPr>
          <w:snapToGrid w:val="0"/>
        </w:rPr>
        <w:t>.</w:t>
      </w:r>
      <w:r>
        <w:rPr>
          <w:snapToGrid w:val="0"/>
        </w:rPr>
        <w:tab/>
        <w:t>Duty of finance broker to have trust accounts audited</w:t>
      </w:r>
      <w:bookmarkEnd w:id="84"/>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lastRenderedPageBreak/>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w:t>
      </w:r>
      <w:r>
        <w:rPr>
          <w:snapToGrid w:val="0"/>
        </w:rPr>
        <w:lastRenderedPageBreak/>
        <w:t xml:space="preserve">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No. 53 of 2004 s. 40; No. 46 of 2009 s. 17; No. 14 of 2010 s. 61.]</w:t>
      </w:r>
    </w:p>
    <w:p>
      <w:pPr>
        <w:pStyle w:val="Heading5"/>
        <w:rPr>
          <w:snapToGrid w:val="0"/>
        </w:rPr>
      </w:pPr>
      <w:bookmarkStart w:id="85" w:name="_Toc107474180"/>
      <w:r>
        <w:rPr>
          <w:rStyle w:val="CharSectno"/>
        </w:rPr>
        <w:t>51</w:t>
      </w:r>
      <w:r>
        <w:rPr>
          <w:snapToGrid w:val="0"/>
        </w:rPr>
        <w:t>.</w:t>
      </w:r>
      <w:r>
        <w:rPr>
          <w:snapToGrid w:val="0"/>
        </w:rPr>
        <w:tab/>
        <w:t>Variation of date of audit</w:t>
      </w:r>
      <w:bookmarkEnd w:id="85"/>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lastRenderedPageBreak/>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No. 53 of 2004 s. 41.]</w:t>
      </w:r>
    </w:p>
    <w:p>
      <w:pPr>
        <w:pStyle w:val="Heading5"/>
        <w:spacing w:before="240"/>
        <w:rPr>
          <w:snapToGrid w:val="0"/>
        </w:rPr>
      </w:pPr>
      <w:bookmarkStart w:id="86" w:name="_Toc107474181"/>
      <w:r>
        <w:rPr>
          <w:rStyle w:val="CharSectno"/>
        </w:rPr>
        <w:t>52</w:t>
      </w:r>
      <w:r>
        <w:rPr>
          <w:snapToGrid w:val="0"/>
        </w:rPr>
        <w:t>.</w:t>
      </w:r>
      <w:r>
        <w:rPr>
          <w:snapToGrid w:val="0"/>
        </w:rPr>
        <w:tab/>
        <w:t>Qualification and approval of auditors</w:t>
      </w:r>
      <w:bookmarkEnd w:id="86"/>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No. 10 of 1982 s. 28; No. 10 of 2001 s. 221; No. 53 of 2004 s. 42.] </w:t>
      </w:r>
    </w:p>
    <w:p>
      <w:pPr>
        <w:pStyle w:val="Heading5"/>
        <w:rPr>
          <w:snapToGrid w:val="0"/>
        </w:rPr>
      </w:pPr>
      <w:bookmarkStart w:id="87" w:name="_Toc107474182"/>
      <w:r>
        <w:rPr>
          <w:rStyle w:val="CharSectno"/>
        </w:rPr>
        <w:t>53</w:t>
      </w:r>
      <w:r>
        <w:rPr>
          <w:snapToGrid w:val="0"/>
        </w:rPr>
        <w:t>.</w:t>
      </w:r>
      <w:r>
        <w:rPr>
          <w:snapToGrid w:val="0"/>
        </w:rPr>
        <w:tab/>
        <w:t>Appointment of auditor</w:t>
      </w:r>
      <w:bookmarkEnd w:id="87"/>
      <w:r>
        <w:rPr>
          <w:snapToGrid w:val="0"/>
        </w:rPr>
        <w:t xml:space="preserve"> </w:t>
      </w:r>
    </w:p>
    <w:p>
      <w:pPr>
        <w:pStyle w:val="Subsection"/>
        <w:rPr>
          <w:snapToGrid w:val="0"/>
        </w:rPr>
      </w:pPr>
      <w:r>
        <w:rPr>
          <w:snapToGrid w:val="0"/>
        </w:rPr>
        <w:tab/>
        <w:t>(1)</w:t>
      </w:r>
      <w:r>
        <w:rPr>
          <w:snapToGrid w:val="0"/>
        </w:rPr>
        <w:tab/>
        <w:t xml:space="preserve">Subject to the provisions of this Division the auditor by whom the audit of, and reports on, a finance broker’s trust accounts are </w:t>
      </w:r>
      <w:r>
        <w:rPr>
          <w:snapToGrid w:val="0"/>
        </w:rPr>
        <w:lastRenderedPageBreak/>
        <w:t>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No. 53 of 2004 s. 43; No. 14 of 2010 s. 62.]</w:t>
      </w:r>
    </w:p>
    <w:p>
      <w:pPr>
        <w:pStyle w:val="Heading5"/>
        <w:rPr>
          <w:snapToGrid w:val="0"/>
        </w:rPr>
      </w:pPr>
      <w:bookmarkStart w:id="88" w:name="_Toc107474183"/>
      <w:r>
        <w:rPr>
          <w:rStyle w:val="CharSectno"/>
        </w:rPr>
        <w:t>54</w:t>
      </w:r>
      <w:r>
        <w:rPr>
          <w:snapToGrid w:val="0"/>
        </w:rPr>
        <w:t>.</w:t>
      </w:r>
      <w:r>
        <w:rPr>
          <w:snapToGrid w:val="0"/>
        </w:rPr>
        <w:tab/>
        <w:t>Power to give directions for audit of business carried on at more than one place</w:t>
      </w:r>
      <w:bookmarkEnd w:id="8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No. 53 of 2004 s. 44; No. 14 of 2010 s. 63.]</w:t>
      </w:r>
    </w:p>
    <w:p>
      <w:pPr>
        <w:pStyle w:val="Heading5"/>
        <w:rPr>
          <w:snapToGrid w:val="0"/>
        </w:rPr>
      </w:pPr>
      <w:bookmarkStart w:id="89" w:name="_Toc107474184"/>
      <w:r>
        <w:rPr>
          <w:rStyle w:val="CharSectno"/>
        </w:rPr>
        <w:t>55</w:t>
      </w:r>
      <w:r>
        <w:rPr>
          <w:snapToGrid w:val="0"/>
        </w:rPr>
        <w:t>.</w:t>
      </w:r>
      <w:r>
        <w:rPr>
          <w:snapToGrid w:val="0"/>
        </w:rPr>
        <w:tab/>
        <w:t>Alteration of rights under this Division</w:t>
      </w:r>
      <w:bookmarkEnd w:id="89"/>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No. 53 of 2004 s. 45.]</w:t>
      </w:r>
    </w:p>
    <w:p>
      <w:pPr>
        <w:pStyle w:val="Ednotesection"/>
      </w:pPr>
      <w:r>
        <w:t>[</w:t>
      </w:r>
      <w:r>
        <w:rPr>
          <w:b/>
          <w:bCs/>
        </w:rPr>
        <w:t>56.</w:t>
      </w:r>
      <w:r>
        <w:tab/>
        <w:t>Deleted: No. 55 of 2004 s. 353.]</w:t>
      </w:r>
    </w:p>
    <w:p>
      <w:pPr>
        <w:pStyle w:val="Heading5"/>
        <w:rPr>
          <w:snapToGrid w:val="0"/>
        </w:rPr>
      </w:pPr>
      <w:bookmarkStart w:id="90" w:name="_Toc107474185"/>
      <w:r>
        <w:rPr>
          <w:rStyle w:val="CharSectno"/>
        </w:rPr>
        <w:lastRenderedPageBreak/>
        <w:t>57</w:t>
      </w:r>
      <w:r>
        <w:rPr>
          <w:snapToGrid w:val="0"/>
        </w:rPr>
        <w:t>.</w:t>
      </w:r>
      <w:r>
        <w:rPr>
          <w:snapToGrid w:val="0"/>
        </w:rPr>
        <w:tab/>
        <w:t>Duties of finance brokers with respect to audit</w:t>
      </w:r>
      <w:bookmarkEnd w:id="90"/>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91" w:name="_Toc107474186"/>
      <w:r>
        <w:rPr>
          <w:rStyle w:val="CharSectno"/>
        </w:rPr>
        <w:t>58</w:t>
      </w:r>
      <w:r>
        <w:rPr>
          <w:snapToGrid w:val="0"/>
        </w:rPr>
        <w:t>.</w:t>
      </w:r>
      <w:r>
        <w:rPr>
          <w:snapToGrid w:val="0"/>
        </w:rPr>
        <w:tab/>
        <w:t>Duty of banker with respect to audit</w:t>
      </w:r>
      <w:bookmarkEnd w:id="91"/>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92" w:name="_Toc107474187"/>
      <w:r>
        <w:rPr>
          <w:rStyle w:val="CharSectno"/>
        </w:rPr>
        <w:t>59</w:t>
      </w:r>
      <w:r>
        <w:rPr>
          <w:snapToGrid w:val="0"/>
        </w:rPr>
        <w:t>.</w:t>
      </w:r>
      <w:r>
        <w:rPr>
          <w:snapToGrid w:val="0"/>
        </w:rPr>
        <w:tab/>
        <w:t>Contents of auditor’s report</w:t>
      </w:r>
      <w:bookmarkEnd w:id="92"/>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 and</w:t>
      </w:r>
    </w:p>
    <w:p>
      <w:pPr>
        <w:pStyle w:val="Indenta"/>
        <w:rPr>
          <w:snapToGrid w:val="0"/>
        </w:rPr>
      </w:pPr>
      <w:r>
        <w:rPr>
          <w:snapToGrid w:val="0"/>
        </w:rPr>
        <w:tab/>
        <w:t>(b)</w:t>
      </w:r>
      <w:r>
        <w:rPr>
          <w:snapToGrid w:val="0"/>
        </w:rPr>
        <w:tab/>
        <w:t>whether the trust accounts of such finance broker have been ready for examination at the periods appointed by the auditor; and</w:t>
      </w:r>
    </w:p>
    <w:p>
      <w:pPr>
        <w:pStyle w:val="Indenta"/>
        <w:rPr>
          <w:snapToGrid w:val="0"/>
        </w:rPr>
      </w:pPr>
      <w:r>
        <w:rPr>
          <w:snapToGrid w:val="0"/>
        </w:rPr>
        <w:tab/>
        <w:t>(c)</w:t>
      </w:r>
      <w:r>
        <w:rPr>
          <w:snapToGrid w:val="0"/>
        </w:rPr>
        <w:tab/>
        <w:t>whether such finance broker has complied with the auditor’s requirements; and</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lastRenderedPageBreak/>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No. 53 of 2004 s. 46.]</w:t>
      </w:r>
    </w:p>
    <w:p>
      <w:pPr>
        <w:pStyle w:val="Heading5"/>
        <w:rPr>
          <w:snapToGrid w:val="0"/>
        </w:rPr>
      </w:pPr>
      <w:bookmarkStart w:id="93" w:name="_Toc107474188"/>
      <w:r>
        <w:rPr>
          <w:rStyle w:val="CharSectno"/>
        </w:rPr>
        <w:t>60</w:t>
      </w:r>
      <w:r>
        <w:rPr>
          <w:snapToGrid w:val="0"/>
        </w:rPr>
        <w:t>.</w:t>
      </w:r>
      <w:r>
        <w:rPr>
          <w:snapToGrid w:val="0"/>
        </w:rPr>
        <w:tab/>
        <w:t>Statement of moneys etc. held by finance broker for or on behalf of other persons</w:t>
      </w:r>
      <w:bookmarkEnd w:id="9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w:t>
      </w:r>
      <w:r>
        <w:rPr>
          <w:snapToGrid w:val="0"/>
        </w:rPr>
        <w:lastRenderedPageBreak/>
        <w:t>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No. 14 of 2010 s. 64.]</w:t>
      </w:r>
    </w:p>
    <w:p>
      <w:pPr>
        <w:pStyle w:val="Heading5"/>
        <w:rPr>
          <w:snapToGrid w:val="0"/>
        </w:rPr>
      </w:pPr>
      <w:bookmarkStart w:id="94" w:name="_Toc107474189"/>
      <w:r>
        <w:rPr>
          <w:rStyle w:val="CharSectno"/>
        </w:rPr>
        <w:t>61</w:t>
      </w:r>
      <w:r>
        <w:rPr>
          <w:snapToGrid w:val="0"/>
        </w:rPr>
        <w:t>.</w:t>
      </w:r>
      <w:r>
        <w:rPr>
          <w:snapToGrid w:val="0"/>
        </w:rPr>
        <w:tab/>
        <w:t>Auditor’s report where finance broker has not complied with Act etc.</w:t>
      </w:r>
      <w:bookmarkEnd w:id="94"/>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No. 53 of 2004 s. 47; No. 14 of 2010 s. 65.]</w:t>
      </w:r>
    </w:p>
    <w:p>
      <w:pPr>
        <w:pStyle w:val="Heading5"/>
        <w:rPr>
          <w:snapToGrid w:val="0"/>
        </w:rPr>
      </w:pPr>
      <w:bookmarkStart w:id="95" w:name="_Toc107474190"/>
      <w:r>
        <w:rPr>
          <w:rStyle w:val="CharSectno"/>
        </w:rPr>
        <w:t>62</w:t>
      </w:r>
      <w:r>
        <w:rPr>
          <w:snapToGrid w:val="0"/>
        </w:rPr>
        <w:t>.</w:t>
      </w:r>
      <w:r>
        <w:rPr>
          <w:snapToGrid w:val="0"/>
        </w:rPr>
        <w:tab/>
        <w:t>Non</w:t>
      </w:r>
      <w:r>
        <w:rPr>
          <w:snapToGrid w:val="0"/>
        </w:rPr>
        <w:noBreakHyphen/>
        <w:t>disclosure by auditors</w:t>
      </w:r>
      <w:bookmarkEnd w:id="95"/>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lastRenderedPageBreak/>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96" w:name="_Toc107474191"/>
      <w:r>
        <w:rPr>
          <w:rStyle w:val="CharSectno"/>
        </w:rPr>
        <w:t>63</w:t>
      </w:r>
      <w:r>
        <w:rPr>
          <w:snapToGrid w:val="0"/>
        </w:rPr>
        <w:t>.</w:t>
      </w:r>
      <w:r>
        <w:rPr>
          <w:snapToGrid w:val="0"/>
        </w:rPr>
        <w:tab/>
        <w:t>Right of persons beneficially interested to obtain information</w:t>
      </w:r>
      <w:bookmarkEnd w:id="96"/>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No. 53 of 2004 s. 48.]</w:t>
      </w:r>
    </w:p>
    <w:p>
      <w:pPr>
        <w:pStyle w:val="Heading5"/>
        <w:rPr>
          <w:snapToGrid w:val="0"/>
        </w:rPr>
      </w:pPr>
      <w:bookmarkStart w:id="97" w:name="_Toc107474192"/>
      <w:r>
        <w:rPr>
          <w:rStyle w:val="CharSectno"/>
        </w:rPr>
        <w:t>64</w:t>
      </w:r>
      <w:r>
        <w:rPr>
          <w:snapToGrid w:val="0"/>
        </w:rPr>
        <w:t>.</w:t>
      </w:r>
      <w:r>
        <w:rPr>
          <w:snapToGrid w:val="0"/>
        </w:rPr>
        <w:tab/>
        <w:t>Penalty for breach</w:t>
      </w:r>
      <w:bookmarkEnd w:id="97"/>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No. 53 of 2004 s. 49.]</w:t>
      </w:r>
    </w:p>
    <w:p>
      <w:pPr>
        <w:pStyle w:val="Heading5"/>
        <w:rPr>
          <w:snapToGrid w:val="0"/>
        </w:rPr>
      </w:pPr>
      <w:bookmarkStart w:id="98" w:name="_Toc107474193"/>
      <w:r>
        <w:rPr>
          <w:rStyle w:val="CharSectno"/>
        </w:rPr>
        <w:lastRenderedPageBreak/>
        <w:t>65</w:t>
      </w:r>
      <w:r>
        <w:rPr>
          <w:snapToGrid w:val="0"/>
        </w:rPr>
        <w:t>.</w:t>
      </w:r>
      <w:r>
        <w:rPr>
          <w:snapToGrid w:val="0"/>
        </w:rPr>
        <w:tab/>
        <w:t>Remuneration of auditor</w:t>
      </w:r>
      <w:bookmarkEnd w:id="9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99" w:name="_Toc107474194"/>
      <w:r>
        <w:rPr>
          <w:rStyle w:val="CharSectno"/>
        </w:rPr>
        <w:t>66</w:t>
      </w:r>
      <w:r>
        <w:rPr>
          <w:snapToGrid w:val="0"/>
        </w:rPr>
        <w:t>.</w:t>
      </w:r>
      <w:r>
        <w:rPr>
          <w:snapToGrid w:val="0"/>
        </w:rPr>
        <w:tab/>
        <w:t>Finance brokers having no accounts to audit</w:t>
      </w:r>
      <w:bookmarkEnd w:id="99"/>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No. 53 of 2004 s. 50; No. 14 of 2010 s. 66.]</w:t>
      </w:r>
    </w:p>
    <w:p>
      <w:pPr>
        <w:pStyle w:val="Heading5"/>
        <w:rPr>
          <w:snapToGrid w:val="0"/>
        </w:rPr>
      </w:pPr>
      <w:bookmarkStart w:id="100" w:name="_Toc107474195"/>
      <w:r>
        <w:rPr>
          <w:rStyle w:val="CharSectno"/>
        </w:rPr>
        <w:t>67</w:t>
      </w:r>
      <w:r>
        <w:rPr>
          <w:snapToGrid w:val="0"/>
        </w:rPr>
        <w:t>.</w:t>
      </w:r>
      <w:r>
        <w:rPr>
          <w:snapToGrid w:val="0"/>
        </w:rPr>
        <w:tab/>
        <w:t>Accounts of firm or body corporate or finance broker with branch office</w:t>
      </w:r>
      <w:bookmarkEnd w:id="100"/>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 xml:space="preserve">Where trust accounts are kept by a finance broker who or which has a branch office an audit of those accounts under this Division and the certificates and report of the auditor thereof operate as regards those trust accounts as an audit certificate and </w:t>
      </w:r>
      <w:r>
        <w:rPr>
          <w:snapToGrid w:val="0"/>
        </w:rPr>
        <w:lastRenderedPageBreak/>
        <w:t>report in relation to a finance broker who is the manager of the branch office.</w:t>
      </w:r>
    </w:p>
    <w:p>
      <w:pPr>
        <w:pStyle w:val="Heading5"/>
        <w:rPr>
          <w:snapToGrid w:val="0"/>
        </w:rPr>
      </w:pPr>
      <w:bookmarkStart w:id="101" w:name="_Toc107474196"/>
      <w:r>
        <w:rPr>
          <w:rStyle w:val="CharSectno"/>
        </w:rPr>
        <w:t>68</w:t>
      </w:r>
      <w:r>
        <w:rPr>
          <w:snapToGrid w:val="0"/>
        </w:rPr>
        <w:t>.</w:t>
      </w:r>
      <w:r>
        <w:rPr>
          <w:snapToGrid w:val="0"/>
        </w:rPr>
        <w:tab/>
        <w:t>Power of Commissioner to order audit of trust account</w:t>
      </w:r>
      <w:bookmarkEnd w:id="101"/>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No. 53 of 2004 s. 51; No. 14 of 2010 s. 67.]</w:t>
      </w:r>
    </w:p>
    <w:p>
      <w:pPr>
        <w:pStyle w:val="Heading5"/>
        <w:rPr>
          <w:snapToGrid w:val="0"/>
        </w:rPr>
      </w:pPr>
      <w:bookmarkStart w:id="102" w:name="_Toc107474197"/>
      <w:r>
        <w:rPr>
          <w:rStyle w:val="CharSectno"/>
        </w:rPr>
        <w:t>69</w:t>
      </w:r>
      <w:r>
        <w:rPr>
          <w:snapToGrid w:val="0"/>
        </w:rPr>
        <w:t>.</w:t>
      </w:r>
      <w:r>
        <w:rPr>
          <w:snapToGrid w:val="0"/>
        </w:rPr>
        <w:tab/>
        <w:t>Finance broker to produce books etc. to auditor</w:t>
      </w:r>
      <w:bookmarkEnd w:id="102"/>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No. 53 of 2004 s. 52; No. 14 of 2010 s. 68.]</w:t>
      </w:r>
    </w:p>
    <w:p>
      <w:pPr>
        <w:pStyle w:val="Heading5"/>
        <w:rPr>
          <w:snapToGrid w:val="0"/>
        </w:rPr>
      </w:pPr>
      <w:bookmarkStart w:id="103" w:name="_Toc107474198"/>
      <w:r>
        <w:rPr>
          <w:rStyle w:val="CharSectno"/>
        </w:rPr>
        <w:t>70</w:t>
      </w:r>
      <w:r>
        <w:rPr>
          <w:snapToGrid w:val="0"/>
        </w:rPr>
        <w:t>.</w:t>
      </w:r>
      <w:r>
        <w:rPr>
          <w:snapToGrid w:val="0"/>
        </w:rPr>
        <w:tab/>
        <w:t>Cost of audit</w:t>
      </w:r>
      <w:bookmarkEnd w:id="10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 xml:space="preserve">chief </w:t>
      </w:r>
      <w:r>
        <w:lastRenderedPageBreak/>
        <w:t>executive officer</w:t>
      </w:r>
      <w:r>
        <w:rPr>
          <w:snapToGrid w:val="0"/>
        </w:rPr>
        <w:t xml:space="preserve"> or by the finance broker whose trust accounts have been the subject of the audit.</w:t>
      </w:r>
    </w:p>
    <w:p>
      <w:pPr>
        <w:pStyle w:val="Footnotesection"/>
      </w:pPr>
      <w:r>
        <w:tab/>
        <w:t>[Section 70 amended: No. 53 of 2004 s. 53.]</w:t>
      </w:r>
    </w:p>
    <w:p>
      <w:pPr>
        <w:pStyle w:val="Heading5"/>
        <w:rPr>
          <w:snapToGrid w:val="0"/>
        </w:rPr>
      </w:pPr>
      <w:bookmarkStart w:id="104" w:name="_Toc107474199"/>
      <w:r>
        <w:rPr>
          <w:rStyle w:val="CharSectno"/>
        </w:rPr>
        <w:t>71</w:t>
      </w:r>
      <w:r>
        <w:rPr>
          <w:snapToGrid w:val="0"/>
        </w:rPr>
        <w:t>.</w:t>
      </w:r>
      <w:r>
        <w:rPr>
          <w:snapToGrid w:val="0"/>
        </w:rPr>
        <w:tab/>
        <w:t>Application of s. 62</w:t>
      </w:r>
      <w:bookmarkEnd w:id="104"/>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No. 53 of 2004 s. 54.]</w:t>
      </w:r>
    </w:p>
    <w:p>
      <w:pPr>
        <w:pStyle w:val="Heading5"/>
        <w:rPr>
          <w:snapToGrid w:val="0"/>
        </w:rPr>
      </w:pPr>
      <w:bookmarkStart w:id="105" w:name="_Toc107474200"/>
      <w:r>
        <w:rPr>
          <w:rStyle w:val="CharSectno"/>
        </w:rPr>
        <w:t>72</w:t>
      </w:r>
      <w:r>
        <w:rPr>
          <w:snapToGrid w:val="0"/>
        </w:rPr>
        <w:t>.</w:t>
      </w:r>
      <w:r>
        <w:rPr>
          <w:snapToGrid w:val="0"/>
        </w:rPr>
        <w:tab/>
        <w:t>Power of restraining dealing with trust accounts or other accounts</w:t>
      </w:r>
      <w:bookmarkEnd w:id="105"/>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 — </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 xml:space="preserve">the State Administrative Tribunal may, if it thinks fit, make an order that the manager or other officer for the time being in charge of the bank in which the trust account or any other account in the name of the finance broker is kept, be restrained, </w:t>
      </w:r>
      <w:r>
        <w:rPr>
          <w:snapToGrid w:val="0"/>
        </w:rPr>
        <w:lastRenderedPageBreak/>
        <w:t>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No. 53 of 2004 s. 55; No. 55 of 2004 s. 358; No. 14 of 2010 s. 69.]</w:t>
      </w:r>
    </w:p>
    <w:p>
      <w:pPr>
        <w:pStyle w:val="Ednotesection"/>
      </w:pPr>
      <w:r>
        <w:t>[</w:t>
      </w:r>
      <w:r>
        <w:rPr>
          <w:b/>
          <w:bCs/>
        </w:rPr>
        <w:t>73-80.</w:t>
      </w:r>
      <w:r>
        <w:tab/>
        <w:t>Deleted: No. 14 of 2010 s. 70.]</w:t>
      </w:r>
    </w:p>
    <w:p>
      <w:pPr>
        <w:pStyle w:val="Heading3"/>
        <w:spacing w:before="260"/>
        <w:rPr>
          <w:snapToGrid w:val="0"/>
        </w:rPr>
      </w:pPr>
      <w:bookmarkStart w:id="106" w:name="_Toc107387861"/>
      <w:bookmarkStart w:id="107" w:name="_Toc107387967"/>
      <w:bookmarkStart w:id="108" w:name="_Toc107474201"/>
      <w:r>
        <w:rPr>
          <w:rStyle w:val="CharDivNo"/>
        </w:rPr>
        <w:lastRenderedPageBreak/>
        <w:t>Division 3</w:t>
      </w:r>
      <w:r>
        <w:rPr>
          <w:snapToGrid w:val="0"/>
        </w:rPr>
        <w:t> — </w:t>
      </w:r>
      <w:r>
        <w:rPr>
          <w:rStyle w:val="CharDivText"/>
        </w:rPr>
        <w:t>Discipline</w:t>
      </w:r>
      <w:bookmarkEnd w:id="106"/>
      <w:bookmarkEnd w:id="107"/>
      <w:bookmarkEnd w:id="108"/>
      <w:r>
        <w:rPr>
          <w:rStyle w:val="CharDivText"/>
        </w:rPr>
        <w:t xml:space="preserve"> </w:t>
      </w:r>
    </w:p>
    <w:p>
      <w:pPr>
        <w:pStyle w:val="Heading5"/>
        <w:spacing w:before="240"/>
        <w:rPr>
          <w:snapToGrid w:val="0"/>
        </w:rPr>
      </w:pPr>
      <w:bookmarkStart w:id="109" w:name="_Toc107474202"/>
      <w:r>
        <w:rPr>
          <w:rStyle w:val="CharSectno"/>
        </w:rPr>
        <w:t>81</w:t>
      </w:r>
      <w:r>
        <w:rPr>
          <w:snapToGrid w:val="0"/>
        </w:rPr>
        <w:t>.</w:t>
      </w:r>
      <w:r>
        <w:rPr>
          <w:snapToGrid w:val="0"/>
        </w:rPr>
        <w:tab/>
        <w:t>Code of conduct for finance brokers</w:t>
      </w:r>
      <w:bookmarkEnd w:id="109"/>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No. 53 of 2004 s. 63.]</w:t>
      </w:r>
    </w:p>
    <w:p>
      <w:pPr>
        <w:pStyle w:val="Heading5"/>
        <w:spacing w:before="240"/>
        <w:rPr>
          <w:snapToGrid w:val="0"/>
        </w:rPr>
      </w:pPr>
      <w:bookmarkStart w:id="110" w:name="_Toc107474203"/>
      <w:r>
        <w:rPr>
          <w:rStyle w:val="CharSectno"/>
        </w:rPr>
        <w:t>82</w:t>
      </w:r>
      <w:r>
        <w:t>.</w:t>
      </w:r>
      <w:r>
        <w:tab/>
        <w:t>Dis</w:t>
      </w:r>
      <w:r>
        <w:rPr>
          <w:snapToGrid w:val="0"/>
        </w:rPr>
        <w:t>ciplinary proceedings against finance brokers</w:t>
      </w:r>
      <w:bookmarkEnd w:id="110"/>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No. 55 of 2004 s. 354; amended: No. 53 of 2004 s. 64; No. 14 of 2010 s. 71.]</w:t>
      </w:r>
    </w:p>
    <w:p>
      <w:pPr>
        <w:pStyle w:val="Ednotesection"/>
        <w:rPr>
          <w:rStyle w:val="CharSectno"/>
        </w:rPr>
      </w:pPr>
      <w:r>
        <w:rPr>
          <w:rStyle w:val="CharSectno"/>
        </w:rPr>
        <w:t>[</w:t>
      </w:r>
      <w:r>
        <w:rPr>
          <w:rStyle w:val="CharSectno"/>
          <w:b/>
          <w:bCs/>
        </w:rPr>
        <w:t>82A.</w:t>
      </w:r>
      <w:r>
        <w:rPr>
          <w:rStyle w:val="CharSectno"/>
        </w:rPr>
        <w:tab/>
        <w:t>Deleted: No. 14 of 2010 s. 72.]</w:t>
      </w:r>
    </w:p>
    <w:p>
      <w:pPr>
        <w:pStyle w:val="Heading5"/>
        <w:rPr>
          <w:snapToGrid w:val="0"/>
        </w:rPr>
      </w:pPr>
      <w:bookmarkStart w:id="111" w:name="_Toc107474204"/>
      <w:r>
        <w:rPr>
          <w:rStyle w:val="CharSectno"/>
        </w:rPr>
        <w:t>83</w:t>
      </w:r>
      <w:r>
        <w:rPr>
          <w:snapToGrid w:val="0"/>
        </w:rPr>
        <w:t>.</w:t>
      </w:r>
      <w:r>
        <w:rPr>
          <w:snapToGrid w:val="0"/>
        </w:rPr>
        <w:tab/>
        <w:t>Powers on inquiry</w:t>
      </w:r>
      <w:bookmarkEnd w:id="111"/>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 or</w:t>
      </w:r>
    </w:p>
    <w:p>
      <w:pPr>
        <w:pStyle w:val="Indenta"/>
        <w:rPr>
          <w:snapToGrid w:val="0"/>
        </w:rPr>
      </w:pPr>
      <w:r>
        <w:rPr>
          <w:snapToGrid w:val="0"/>
        </w:rPr>
        <w:tab/>
        <w:t>(b)</w:t>
      </w:r>
      <w:r>
        <w:rPr>
          <w:snapToGrid w:val="0"/>
        </w:rPr>
        <w:tab/>
        <w:t xml:space="preserve">the finance broker, or any person acting with the authority or upon the instructions of the finance broker, </w:t>
      </w:r>
      <w:r>
        <w:rPr>
          <w:snapToGrid w:val="0"/>
        </w:rPr>
        <w:lastRenderedPageBreak/>
        <w:t xml:space="preserve">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 or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Footnotesection"/>
      </w:pPr>
      <w:r>
        <w:tab/>
        <w:t>[Section 83 amended: No. 56 of 1995 s. 23; No. 53 of 2004 s. 66; No. 55 of 2004 s. 355; No. 14 of 2010 s. 73.]</w:t>
      </w:r>
    </w:p>
    <w:p>
      <w:pPr>
        <w:pStyle w:val="Heading2"/>
      </w:pPr>
      <w:bookmarkStart w:id="112" w:name="_Toc107387865"/>
      <w:bookmarkStart w:id="113" w:name="_Toc107387971"/>
      <w:bookmarkStart w:id="114" w:name="_Toc107474205"/>
      <w:r>
        <w:rPr>
          <w:rStyle w:val="CharPartNo"/>
        </w:rPr>
        <w:lastRenderedPageBreak/>
        <w:t>Part V</w:t>
      </w:r>
      <w:r>
        <w:rPr>
          <w:rStyle w:val="CharDivNo"/>
        </w:rPr>
        <w:t> </w:t>
      </w:r>
      <w:r>
        <w:t>—</w:t>
      </w:r>
      <w:r>
        <w:rPr>
          <w:rStyle w:val="CharDivText"/>
        </w:rPr>
        <w:t> </w:t>
      </w:r>
      <w:r>
        <w:rPr>
          <w:rStyle w:val="CharPartText"/>
        </w:rPr>
        <w:t>Miscellaneous</w:t>
      </w:r>
      <w:bookmarkEnd w:id="112"/>
      <w:bookmarkEnd w:id="113"/>
      <w:bookmarkEnd w:id="114"/>
      <w:r>
        <w:rPr>
          <w:rStyle w:val="CharPartText"/>
        </w:rPr>
        <w:t xml:space="preserve"> </w:t>
      </w:r>
    </w:p>
    <w:p>
      <w:pPr>
        <w:pStyle w:val="Ednotesection"/>
      </w:pPr>
      <w:r>
        <w:t>[</w:t>
      </w:r>
      <w:r>
        <w:rPr>
          <w:b/>
        </w:rPr>
        <w:t>84.</w:t>
      </w:r>
      <w:r>
        <w:tab/>
        <w:t>Deleted: No. 14 of 2010 s. 74.]</w:t>
      </w:r>
    </w:p>
    <w:p>
      <w:pPr>
        <w:pStyle w:val="Heading5"/>
        <w:rPr>
          <w:snapToGrid w:val="0"/>
        </w:rPr>
      </w:pPr>
      <w:bookmarkStart w:id="115" w:name="_Toc107474206"/>
      <w:r>
        <w:rPr>
          <w:rStyle w:val="CharSectno"/>
        </w:rPr>
        <w:t>85</w:t>
      </w:r>
      <w:r>
        <w:rPr>
          <w:snapToGrid w:val="0"/>
        </w:rPr>
        <w:t>.</w:t>
      </w:r>
      <w:r>
        <w:rPr>
          <w:snapToGrid w:val="0"/>
        </w:rPr>
        <w:tab/>
        <w:t>Certificates</w:t>
      </w:r>
      <w:bookmarkEnd w:id="115"/>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Footnotesection"/>
      </w:pPr>
      <w:r>
        <w:tab/>
        <w:t>[Section 85 amended: No. 56 of 1995 s. 23(2); No. 53 of 2004 s. 68; No. 14 of 2010 s. 75.]</w:t>
      </w:r>
    </w:p>
    <w:p>
      <w:pPr>
        <w:pStyle w:val="Ednotesection"/>
      </w:pPr>
      <w:r>
        <w:t>[</w:t>
      </w:r>
      <w:r>
        <w:rPr>
          <w:b/>
          <w:bCs/>
        </w:rPr>
        <w:t>86.</w:t>
      </w:r>
      <w:r>
        <w:tab/>
        <w:t>Deleted: No. 53 of 2004 s. 69.]</w:t>
      </w:r>
    </w:p>
    <w:p>
      <w:pPr>
        <w:pStyle w:val="Heading5"/>
        <w:rPr>
          <w:snapToGrid w:val="0"/>
        </w:rPr>
      </w:pPr>
      <w:bookmarkStart w:id="116" w:name="_Toc107474207"/>
      <w:r>
        <w:rPr>
          <w:rStyle w:val="CharSectno"/>
        </w:rPr>
        <w:t>87</w:t>
      </w:r>
      <w:r>
        <w:rPr>
          <w:snapToGrid w:val="0"/>
        </w:rPr>
        <w:t>.</w:t>
      </w:r>
      <w:r>
        <w:rPr>
          <w:snapToGrid w:val="0"/>
        </w:rPr>
        <w:tab/>
        <w:t>Immunity of officers</w:t>
      </w:r>
      <w:bookmarkEnd w:id="116"/>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No. 53 of 2004 s. 70.]</w:t>
      </w:r>
    </w:p>
    <w:p>
      <w:pPr>
        <w:pStyle w:val="Heading5"/>
      </w:pPr>
      <w:bookmarkStart w:id="117" w:name="_Toc107474208"/>
      <w:r>
        <w:rPr>
          <w:rStyle w:val="CharSectno"/>
        </w:rPr>
        <w:t>88</w:t>
      </w:r>
      <w:r>
        <w:t>.</w:t>
      </w:r>
      <w:r>
        <w:tab/>
        <w:t>Secrecy</w:t>
      </w:r>
      <w:bookmarkEnd w:id="117"/>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 xml:space="preserve">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w:t>
      </w:r>
      <w:r>
        <w:rPr>
          <w:snapToGrid w:val="0"/>
        </w:rPr>
        <w:lastRenderedPageBreak/>
        <w:t>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 or</w:t>
      </w:r>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 or</w:t>
      </w:r>
    </w:p>
    <w:p>
      <w:pPr>
        <w:pStyle w:val="Indenta"/>
        <w:spacing w:before="60"/>
        <w:rPr>
          <w:snapToGrid w:val="0"/>
        </w:rPr>
      </w:pPr>
      <w:r>
        <w:rPr>
          <w:snapToGrid w:val="0"/>
        </w:rPr>
        <w:tab/>
        <w:t>(c)</w:t>
      </w:r>
      <w:r>
        <w:rPr>
          <w:snapToGrid w:val="0"/>
        </w:rPr>
        <w:tab/>
        <w:t>for the purposes of legal proceedings arising out of the administration of this Act or another written law; or</w:t>
      </w:r>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tab/>
        <w:t>[Section 88 inserted: No. 53 of 2004 s. 71.]</w:t>
      </w:r>
    </w:p>
    <w:p>
      <w:pPr>
        <w:pStyle w:val="Heading5"/>
        <w:rPr>
          <w:snapToGrid w:val="0"/>
        </w:rPr>
      </w:pPr>
      <w:bookmarkStart w:id="118" w:name="_Toc107474209"/>
      <w:r>
        <w:rPr>
          <w:rStyle w:val="CharSectno"/>
        </w:rPr>
        <w:lastRenderedPageBreak/>
        <w:t>89</w:t>
      </w:r>
      <w:r>
        <w:rPr>
          <w:snapToGrid w:val="0"/>
        </w:rPr>
        <w:t>.</w:t>
      </w:r>
      <w:r>
        <w:rPr>
          <w:snapToGrid w:val="0"/>
        </w:rPr>
        <w:tab/>
        <w:t>Liability of directors of body corporate</w:t>
      </w:r>
      <w:bookmarkEnd w:id="118"/>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119" w:name="_Toc107474210"/>
      <w:r>
        <w:rPr>
          <w:rStyle w:val="CharSectno"/>
        </w:rPr>
        <w:t>90</w:t>
      </w:r>
      <w:r>
        <w:rPr>
          <w:snapToGrid w:val="0"/>
        </w:rPr>
        <w:t>.</w:t>
      </w:r>
      <w:r>
        <w:rPr>
          <w:snapToGrid w:val="0"/>
        </w:rPr>
        <w:tab/>
        <w:t>Other rights or remedies</w:t>
      </w:r>
      <w:bookmarkEnd w:id="119"/>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20" w:name="_Toc107474211"/>
      <w:r>
        <w:rPr>
          <w:rStyle w:val="CharSectno"/>
        </w:rPr>
        <w:t>91</w:t>
      </w:r>
      <w:r>
        <w:rPr>
          <w:snapToGrid w:val="0"/>
        </w:rPr>
        <w:t>.</w:t>
      </w:r>
      <w:r>
        <w:rPr>
          <w:snapToGrid w:val="0"/>
        </w:rPr>
        <w:tab/>
        <w:t>No waiver of rights</w:t>
      </w:r>
      <w:bookmarkEnd w:id="120"/>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121" w:name="_Toc107474212"/>
      <w:r>
        <w:rPr>
          <w:rStyle w:val="CharSectno"/>
        </w:rPr>
        <w:t>92</w:t>
      </w:r>
      <w:r>
        <w:rPr>
          <w:snapToGrid w:val="0"/>
        </w:rPr>
        <w:t>.</w:t>
      </w:r>
      <w:r>
        <w:rPr>
          <w:snapToGrid w:val="0"/>
        </w:rPr>
        <w:tab/>
        <w:t>General penalty</w:t>
      </w:r>
      <w:bookmarkEnd w:id="121"/>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No. 53 of 2004 s. 72.]</w:t>
      </w:r>
    </w:p>
    <w:p>
      <w:pPr>
        <w:pStyle w:val="Heading5"/>
        <w:spacing w:before="180"/>
      </w:pPr>
      <w:bookmarkStart w:id="122" w:name="_Toc107474213"/>
      <w:r>
        <w:rPr>
          <w:rStyle w:val="CharSectno"/>
        </w:rPr>
        <w:t>92A</w:t>
      </w:r>
      <w:r>
        <w:t>.</w:t>
      </w:r>
      <w:r>
        <w:tab/>
        <w:t>Infringement notices</w:t>
      </w:r>
      <w:bookmarkEnd w:id="122"/>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lastRenderedPageBreak/>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lastRenderedPageBreak/>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No. 53 of 2004 s. 73; amended: No. 84 of 2004 s. 80.]</w:t>
      </w:r>
    </w:p>
    <w:p>
      <w:pPr>
        <w:pStyle w:val="Ednotesection"/>
      </w:pPr>
      <w:r>
        <w:t>[</w:t>
      </w:r>
      <w:r>
        <w:rPr>
          <w:b/>
        </w:rPr>
        <w:t>92B.</w:t>
      </w:r>
      <w:r>
        <w:tab/>
        <w:t>Deleted: No. 14 of 2010 s. 76.]</w:t>
      </w:r>
    </w:p>
    <w:p>
      <w:pPr>
        <w:pStyle w:val="Heading5"/>
        <w:rPr>
          <w:snapToGrid w:val="0"/>
        </w:rPr>
      </w:pPr>
      <w:bookmarkStart w:id="123" w:name="_Toc107474214"/>
      <w:r>
        <w:rPr>
          <w:rStyle w:val="CharSectno"/>
        </w:rPr>
        <w:t>93</w:t>
      </w:r>
      <w:r>
        <w:rPr>
          <w:snapToGrid w:val="0"/>
        </w:rPr>
        <w:t>.</w:t>
      </w:r>
      <w:r>
        <w:rPr>
          <w:snapToGrid w:val="0"/>
        </w:rPr>
        <w:tab/>
        <w:t>Proceedings</w:t>
      </w:r>
      <w:bookmarkEnd w:id="123"/>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 xml:space="preserve">Notwithstanding the provisions of any other Act, proceedings for an offence against this Act may be brought within the period </w:t>
      </w:r>
      <w:r>
        <w:rPr>
          <w:snapToGrid w:val="0"/>
        </w:rPr>
        <w:lastRenderedPageBreak/>
        <w:t>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No. 56 of 1995 s. 23(2); No. 53 of 2004 s. 74; No. 59 of 2004 s. 141; No. 84 of 2004 s. 78.]</w:t>
      </w:r>
    </w:p>
    <w:p>
      <w:pPr>
        <w:pStyle w:val="Heading5"/>
        <w:rPr>
          <w:snapToGrid w:val="0"/>
        </w:rPr>
      </w:pPr>
      <w:bookmarkStart w:id="124" w:name="_Toc107474215"/>
      <w:r>
        <w:rPr>
          <w:rStyle w:val="CharSectno"/>
        </w:rPr>
        <w:t>94</w:t>
      </w:r>
      <w:r>
        <w:rPr>
          <w:snapToGrid w:val="0"/>
        </w:rPr>
        <w:t>.</w:t>
      </w:r>
      <w:r>
        <w:rPr>
          <w:snapToGrid w:val="0"/>
        </w:rPr>
        <w:tab/>
        <w:t>Forms</w:t>
      </w:r>
      <w:bookmarkEnd w:id="124"/>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No. 53 of 2004 s. 75.]</w:t>
      </w:r>
    </w:p>
    <w:p>
      <w:pPr>
        <w:pStyle w:val="Heading5"/>
        <w:rPr>
          <w:snapToGrid w:val="0"/>
        </w:rPr>
      </w:pPr>
      <w:bookmarkStart w:id="125" w:name="_Toc107474216"/>
      <w:r>
        <w:rPr>
          <w:rStyle w:val="CharSectno"/>
        </w:rPr>
        <w:t>95</w:t>
      </w:r>
      <w:r>
        <w:rPr>
          <w:snapToGrid w:val="0"/>
        </w:rPr>
        <w:t>.</w:t>
      </w:r>
      <w:r>
        <w:rPr>
          <w:snapToGrid w:val="0"/>
        </w:rPr>
        <w:tab/>
        <w:t>Regulations</w:t>
      </w:r>
      <w:bookmarkEnd w:id="125"/>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lastRenderedPageBreak/>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Ednotesubsection"/>
      </w:pPr>
      <w:r>
        <w:tab/>
        <w:t>[(3)</w:t>
      </w:r>
      <w:r>
        <w:tab/>
        <w:t>deleted]</w:t>
      </w:r>
    </w:p>
    <w:p>
      <w:pPr>
        <w:pStyle w:val="Footnotesection"/>
      </w:pPr>
      <w:r>
        <w:tab/>
        <w:t>[Section 95 amended: No. 65 of 1987 s. 37; No. 56 of 1995 s. 22; No. 53 of 2004 s. 76; No. 55 of 2004 s. 357; No. 14 of 2010 s. 77; No. 34 of 2020 s. 98(2).]</w:t>
      </w:r>
    </w:p>
    <w:p>
      <w:pPr>
        <w:pStyle w:val="Ednotepart"/>
        <w:spacing w:before="400"/>
      </w:pPr>
      <w:r>
        <w:t>[Part VI (s. 96-98) deleted: No. 53 of 2004 s. 77.]</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26" w:name="_Toc107387877"/>
      <w:bookmarkStart w:id="127" w:name="_Toc107387983"/>
      <w:bookmarkStart w:id="128" w:name="_Toc107474217"/>
      <w:r>
        <w:rPr>
          <w:rStyle w:val="CharSchNo"/>
        </w:rPr>
        <w:lastRenderedPageBreak/>
        <w:t>Schedule</w:t>
      </w:r>
      <w:r>
        <w:t xml:space="preserve"> — </w:t>
      </w:r>
      <w:r>
        <w:rPr>
          <w:rStyle w:val="CharSchText"/>
        </w:rPr>
        <w:t>Formula for calculating percentage rate of interest</w:t>
      </w:r>
      <w:bookmarkEnd w:id="126"/>
      <w:bookmarkEnd w:id="127"/>
      <w:bookmarkEnd w:id="128"/>
    </w:p>
    <w:p>
      <w:pPr>
        <w:pStyle w:val="yShoulderClause"/>
        <w:rPr>
          <w:snapToGrid w:val="0"/>
        </w:rPr>
      </w:pPr>
      <w:r>
        <w:rPr>
          <w:snapToGrid w:val="0"/>
        </w:rPr>
        <w:t>[s. 45]</w:t>
      </w:r>
    </w:p>
    <w:p>
      <w:pPr>
        <w:pStyle w:val="yFootnotesection"/>
      </w:pPr>
      <w:r>
        <w:tab/>
        <w:t>[Heading amended: No. 19 of 2010 s. 4.]</w:t>
      </w:r>
    </w:p>
    <w:p>
      <w:pPr>
        <w:pStyle w:val="yHeading5"/>
        <w:rPr>
          <w:snapToGrid w:val="0"/>
        </w:rPr>
      </w:pPr>
      <w:bookmarkStart w:id="129" w:name="_Toc107474218"/>
      <w:r>
        <w:rPr>
          <w:rStyle w:val="CharSClsNo"/>
        </w:rPr>
        <w:t>1</w:t>
      </w:r>
      <w:r>
        <w:rPr>
          <w:snapToGrid w:val="0"/>
        </w:rPr>
        <w:t>.</w:t>
      </w:r>
      <w:r>
        <w:rPr>
          <w:snapToGrid w:val="0"/>
        </w:rPr>
        <w:tab/>
        <w:t>Formula for calculating percentage rate of interest</w:t>
      </w:r>
      <w:bookmarkEnd w:id="129"/>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r>
        <w:rPr>
          <w:snapToGrid w:val="0"/>
          <w:position w:val="-28"/>
          <w:sz w:val="22"/>
          <w:szCs w:val="22"/>
        </w:rPr>
        <w:object w:dxaOrig="1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pt;height:31.7pt" o:ole="" fillcolor="window">
            <v:imagedata r:id="rId23" o:title=""/>
          </v:shape>
          <o:OLEObject Type="Embed" ProgID="Equation.3" ShapeID="_x0000_i1025" DrawAspect="Content" ObjectID="_1718104711" r:id="rId24"/>
        </w:object>
      </w:r>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r>
        <w:rPr>
          <w:position w:val="-28"/>
          <w:sz w:val="22"/>
          <w:szCs w:val="22"/>
        </w:rPr>
        <w:object w:dxaOrig="2460" w:dyaOrig="639">
          <v:shape id="_x0000_i1026" type="#_x0000_t75" style="width:128.65pt;height:31.7pt" o:ole="" fillcolor="window">
            <v:imagedata r:id="rId25" o:title=""/>
          </v:shape>
          <o:OLEObject Type="Embed" ProgID="Equation.3" ShapeID="_x0000_i1026" DrawAspect="Content" ObjectID="_1718104712" r:id="rId26"/>
        </w:object>
      </w:r>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lastRenderedPageBreak/>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[Clause 1 amended: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31" w:name="_Toc107387879"/>
      <w:bookmarkStart w:id="132" w:name="_Toc107387985"/>
      <w:bookmarkStart w:id="133" w:name="_Toc107474219"/>
      <w:r>
        <w:lastRenderedPageBreak/>
        <w:t>Notes</w:t>
      </w:r>
      <w:bookmarkEnd w:id="131"/>
      <w:bookmarkEnd w:id="132"/>
      <w:bookmarkEnd w:id="133"/>
    </w:p>
    <w:p>
      <w:pPr>
        <w:pStyle w:val="nStatement"/>
      </w:pPr>
      <w:r>
        <w:t xml:space="preserve">This is a compilation of the </w:t>
      </w:r>
      <w:r>
        <w:rPr>
          <w:i/>
          <w:noProof/>
        </w:rPr>
        <w:t>Finance Brokers Control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4" w:name="_Toc107474220"/>
      <w:r>
        <w:t>Compilation table</w:t>
      </w:r>
      <w:bookmarkEnd w:id="134"/>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2"/>
        <w:gridCol w:w="2254"/>
        <w:gridCol w:w="14"/>
        <w:gridCol w:w="1121"/>
        <w:gridCol w:w="13"/>
        <w:gridCol w:w="1122"/>
        <w:gridCol w:w="12"/>
        <w:gridCol w:w="2539"/>
        <w:gridCol w:w="15"/>
      </w:tblGrid>
      <w:tr>
        <w:trPr>
          <w:gridAfter w:val="1"/>
          <w:wAfter w:w="15" w:type="dxa"/>
          <w:cantSplit/>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6" w:type="dxa"/>
            <w:gridSpan w:val="2"/>
            <w:tcBorders>
              <w:top w:val="nil"/>
            </w:tcBorders>
          </w:tcPr>
          <w:p>
            <w:pPr>
              <w:pStyle w:val="nTable"/>
              <w:spacing w:after="40"/>
              <w:ind w:right="113"/>
            </w:pPr>
            <w:r>
              <w:rPr>
                <w:i/>
              </w:rPr>
              <w:t>Finance Brokers Control Act 1975</w:t>
            </w:r>
          </w:p>
        </w:tc>
        <w:tc>
          <w:tcPr>
            <w:tcW w:w="1135" w:type="dxa"/>
            <w:gridSpan w:val="2"/>
            <w:tcBorders>
              <w:top w:val="nil"/>
            </w:tcBorders>
          </w:tcPr>
          <w:p>
            <w:pPr>
              <w:pStyle w:val="nTable"/>
              <w:spacing w:after="40"/>
            </w:pPr>
            <w:r>
              <w:t>88 of 1975</w:t>
            </w:r>
          </w:p>
        </w:tc>
        <w:tc>
          <w:tcPr>
            <w:tcW w:w="1135"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6" w:type="dxa"/>
            <w:gridSpan w:val="2"/>
          </w:tcPr>
          <w:p>
            <w:pPr>
              <w:pStyle w:val="nTable"/>
              <w:spacing w:after="40"/>
              <w:ind w:right="113"/>
            </w:pPr>
            <w:r>
              <w:rPr>
                <w:i/>
              </w:rPr>
              <w:t>Companies (Consequential Amendments) Act 1982</w:t>
            </w:r>
            <w:r>
              <w:t xml:space="preserve"> s. 28</w:t>
            </w:r>
          </w:p>
        </w:tc>
        <w:tc>
          <w:tcPr>
            <w:tcW w:w="1135" w:type="dxa"/>
            <w:gridSpan w:val="2"/>
          </w:tcPr>
          <w:p>
            <w:pPr>
              <w:pStyle w:val="nTable"/>
              <w:spacing w:after="40"/>
            </w:pPr>
            <w:r>
              <w:t>10 of 1982</w:t>
            </w:r>
          </w:p>
        </w:tc>
        <w:tc>
          <w:tcPr>
            <w:tcW w:w="1135"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6" w:type="dxa"/>
            <w:gridSpan w:val="2"/>
          </w:tcPr>
          <w:p>
            <w:pPr>
              <w:pStyle w:val="nTable"/>
              <w:spacing w:after="40"/>
              <w:ind w:right="113"/>
            </w:pPr>
            <w:r>
              <w:rPr>
                <w:i/>
              </w:rPr>
              <w:t>Acts Amendment (Legal Practitioners, Costs and Taxation) Act 1987</w:t>
            </w:r>
            <w:r>
              <w:t xml:space="preserve"> Pt. X</w:t>
            </w:r>
          </w:p>
        </w:tc>
        <w:tc>
          <w:tcPr>
            <w:tcW w:w="1135" w:type="dxa"/>
            <w:gridSpan w:val="2"/>
          </w:tcPr>
          <w:p>
            <w:pPr>
              <w:pStyle w:val="nTable"/>
              <w:spacing w:after="40"/>
            </w:pPr>
            <w:r>
              <w:t>65 of 1987</w:t>
            </w:r>
          </w:p>
        </w:tc>
        <w:tc>
          <w:tcPr>
            <w:tcW w:w="1135"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6" w:type="dxa"/>
            <w:gridSpan w:val="2"/>
          </w:tcPr>
          <w:p>
            <w:pPr>
              <w:pStyle w:val="nTable"/>
              <w:spacing w:after="40"/>
              <w:ind w:right="113"/>
            </w:pPr>
            <w:r>
              <w:rPr>
                <w:i/>
              </w:rPr>
              <w:t>Acts Amendment (Public Sector Management) Act 1994</w:t>
            </w:r>
            <w:r>
              <w:t xml:space="preserve"> s. 3(1)</w:t>
            </w:r>
          </w:p>
        </w:tc>
        <w:tc>
          <w:tcPr>
            <w:tcW w:w="1135" w:type="dxa"/>
            <w:gridSpan w:val="2"/>
          </w:tcPr>
          <w:p>
            <w:pPr>
              <w:pStyle w:val="nTable"/>
              <w:spacing w:after="40"/>
            </w:pPr>
            <w:r>
              <w:t>32 of 1994</w:t>
            </w:r>
          </w:p>
        </w:tc>
        <w:tc>
          <w:tcPr>
            <w:tcW w:w="1135"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6" w:type="dxa"/>
            <w:gridSpan w:val="2"/>
          </w:tcPr>
          <w:p>
            <w:pPr>
              <w:pStyle w:val="nTable"/>
              <w:spacing w:after="40"/>
              <w:ind w:right="113"/>
              <w:rPr>
                <w:vertAlign w:val="superscript"/>
              </w:rPr>
            </w:pPr>
            <w:r>
              <w:rPr>
                <w:i/>
              </w:rPr>
              <w:t>Business Licensing Amendment Act 1995</w:t>
            </w:r>
            <w:r>
              <w:t xml:space="preserve"> Pt. 5</w:t>
            </w:r>
            <w:r>
              <w:rPr>
                <w:vertAlign w:val="superscript"/>
              </w:rPr>
              <w:t> 4</w:t>
            </w:r>
          </w:p>
        </w:tc>
        <w:tc>
          <w:tcPr>
            <w:tcW w:w="1135" w:type="dxa"/>
            <w:gridSpan w:val="2"/>
          </w:tcPr>
          <w:p>
            <w:pPr>
              <w:pStyle w:val="nTable"/>
              <w:spacing w:after="40"/>
            </w:pPr>
            <w:r>
              <w:t>56 of 1995</w:t>
            </w:r>
          </w:p>
        </w:tc>
        <w:tc>
          <w:tcPr>
            <w:tcW w:w="1135"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6" w:type="dxa"/>
            <w:gridSpan w:val="2"/>
          </w:tcPr>
          <w:p>
            <w:pPr>
              <w:pStyle w:val="nTable"/>
              <w:spacing w:after="40"/>
              <w:ind w:right="113"/>
            </w:pPr>
            <w:r>
              <w:rPr>
                <w:i/>
              </w:rPr>
              <w:t>Financial Legislation Amendment Act 1996</w:t>
            </w:r>
            <w:r>
              <w:t xml:space="preserve"> s. 64</w:t>
            </w:r>
          </w:p>
        </w:tc>
        <w:tc>
          <w:tcPr>
            <w:tcW w:w="1135" w:type="dxa"/>
            <w:gridSpan w:val="2"/>
          </w:tcPr>
          <w:p>
            <w:pPr>
              <w:pStyle w:val="nTable"/>
              <w:spacing w:after="40"/>
            </w:pPr>
            <w:r>
              <w:t>49 of 1996</w:t>
            </w:r>
          </w:p>
        </w:tc>
        <w:tc>
          <w:tcPr>
            <w:tcW w:w="1135"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6" w:type="dxa"/>
            <w:gridSpan w:val="2"/>
          </w:tcPr>
          <w:p>
            <w:pPr>
              <w:pStyle w:val="nTable"/>
              <w:spacing w:after="40"/>
              <w:ind w:right="113"/>
            </w:pPr>
            <w:r>
              <w:rPr>
                <w:i/>
              </w:rPr>
              <w:t>Statutes (Repeals and Minor Amendments) Act (No. 2) 1998</w:t>
            </w:r>
            <w:r>
              <w:t xml:space="preserve"> s. 76</w:t>
            </w:r>
          </w:p>
        </w:tc>
        <w:tc>
          <w:tcPr>
            <w:tcW w:w="1135" w:type="dxa"/>
            <w:gridSpan w:val="2"/>
          </w:tcPr>
          <w:p>
            <w:pPr>
              <w:pStyle w:val="nTable"/>
              <w:spacing w:after="40"/>
            </w:pPr>
            <w:r>
              <w:t>10 of 1998</w:t>
            </w:r>
          </w:p>
        </w:tc>
        <w:tc>
          <w:tcPr>
            <w:tcW w:w="1135"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6" w:type="dxa"/>
            <w:gridSpan w:val="2"/>
          </w:tcPr>
          <w:p>
            <w:pPr>
              <w:pStyle w:val="nTable"/>
              <w:spacing w:after="40"/>
              <w:ind w:right="113"/>
            </w:pPr>
            <w:r>
              <w:rPr>
                <w:i/>
              </w:rPr>
              <w:t>Acts Amendment and Repeal (Financial Sector Reform) Act 1999</w:t>
            </w:r>
            <w:r>
              <w:t xml:space="preserve"> s. 79</w:t>
            </w:r>
          </w:p>
        </w:tc>
        <w:tc>
          <w:tcPr>
            <w:tcW w:w="1135" w:type="dxa"/>
            <w:gridSpan w:val="2"/>
          </w:tcPr>
          <w:p>
            <w:pPr>
              <w:pStyle w:val="nTable"/>
              <w:keepLines/>
              <w:spacing w:after="40"/>
            </w:pPr>
            <w:r>
              <w:t>26 of 1999</w:t>
            </w:r>
          </w:p>
        </w:tc>
        <w:tc>
          <w:tcPr>
            <w:tcW w:w="1135"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6" w:type="dxa"/>
            <w:gridSpan w:val="2"/>
            <w:tcBorders>
              <w:bottom w:val="nil"/>
            </w:tcBorders>
          </w:tcPr>
          <w:p>
            <w:pPr>
              <w:pStyle w:val="nTable"/>
              <w:spacing w:after="40"/>
              <w:ind w:right="113"/>
              <w:rPr>
                <w:i/>
              </w:rPr>
            </w:pPr>
            <w:r>
              <w:rPr>
                <w:i/>
              </w:rPr>
              <w:t>Corporations (Consequential Amendments) Act 2001</w:t>
            </w:r>
            <w:r>
              <w:t xml:space="preserve"> s. 221</w:t>
            </w:r>
          </w:p>
        </w:tc>
        <w:tc>
          <w:tcPr>
            <w:tcW w:w="1135" w:type="dxa"/>
            <w:gridSpan w:val="2"/>
            <w:tcBorders>
              <w:bottom w:val="nil"/>
            </w:tcBorders>
          </w:tcPr>
          <w:p>
            <w:pPr>
              <w:pStyle w:val="nTable"/>
              <w:keepLines/>
              <w:spacing w:after="40"/>
            </w:pPr>
            <w:r>
              <w:t>10 of 2001</w:t>
            </w:r>
          </w:p>
        </w:tc>
        <w:tc>
          <w:tcPr>
            <w:tcW w:w="1135"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6" w:type="dxa"/>
            <w:gridSpan w:val="2"/>
            <w:tcBorders>
              <w:top w:val="nil"/>
            </w:tcBorders>
          </w:tcPr>
          <w:p>
            <w:pPr>
              <w:pStyle w:val="nTable"/>
              <w:spacing w:after="40"/>
              <w:ind w:right="113"/>
            </w:pPr>
            <w:r>
              <w:rPr>
                <w:i/>
              </w:rPr>
              <w:lastRenderedPageBreak/>
              <w:t>Building Societies Amendment Act 2001</w:t>
            </w:r>
            <w:r>
              <w:t xml:space="preserve"> s. 51</w:t>
            </w:r>
          </w:p>
        </w:tc>
        <w:tc>
          <w:tcPr>
            <w:tcW w:w="1135" w:type="dxa"/>
            <w:gridSpan w:val="2"/>
            <w:tcBorders>
              <w:top w:val="nil"/>
            </w:tcBorders>
          </w:tcPr>
          <w:p>
            <w:pPr>
              <w:pStyle w:val="nTable"/>
              <w:keepLines/>
              <w:spacing w:after="40"/>
            </w:pPr>
            <w:r>
              <w:t>12 of 2001</w:t>
            </w:r>
          </w:p>
        </w:tc>
        <w:tc>
          <w:tcPr>
            <w:tcW w:w="1135"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6" w:type="dxa"/>
            <w:gridSpan w:val="2"/>
          </w:tcPr>
          <w:p>
            <w:pPr>
              <w:pStyle w:val="nTable"/>
              <w:spacing w:after="40"/>
              <w:ind w:right="113"/>
            </w:pPr>
            <w:r>
              <w:rPr>
                <w:i/>
              </w:rPr>
              <w:t>Corporations (Consequential Amendments) Act (No. 3) 2003</w:t>
            </w:r>
            <w:r>
              <w:t xml:space="preserve"> Pt. 5</w:t>
            </w:r>
            <w:r>
              <w:rPr>
                <w:vertAlign w:val="superscript"/>
              </w:rPr>
              <w:t> 5</w:t>
            </w:r>
          </w:p>
        </w:tc>
        <w:tc>
          <w:tcPr>
            <w:tcW w:w="1135" w:type="dxa"/>
            <w:gridSpan w:val="2"/>
          </w:tcPr>
          <w:p>
            <w:pPr>
              <w:pStyle w:val="nTable"/>
              <w:keepLines/>
              <w:spacing w:after="40"/>
            </w:pPr>
            <w:r>
              <w:t>21 of 2003</w:t>
            </w:r>
          </w:p>
        </w:tc>
        <w:tc>
          <w:tcPr>
            <w:tcW w:w="1135"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6" w:type="dxa"/>
            <w:gridSpan w:val="2"/>
          </w:tcPr>
          <w:p>
            <w:pPr>
              <w:pStyle w:val="nTable"/>
              <w:spacing w:after="40"/>
              <w:ind w:right="113"/>
            </w:pPr>
            <w:r>
              <w:rPr>
                <w:i/>
              </w:rPr>
              <w:t>Acts Amendment and Repeal (Courts and Legal Practice) Act 2003</w:t>
            </w:r>
            <w:r>
              <w:t xml:space="preserve"> s. 35</w:t>
            </w:r>
          </w:p>
        </w:tc>
        <w:tc>
          <w:tcPr>
            <w:tcW w:w="1135" w:type="dxa"/>
            <w:gridSpan w:val="2"/>
          </w:tcPr>
          <w:p>
            <w:pPr>
              <w:pStyle w:val="nTable"/>
              <w:keepNext/>
              <w:keepLines/>
              <w:spacing w:after="40"/>
            </w:pPr>
            <w:r>
              <w:t>65 of 2003</w:t>
            </w:r>
          </w:p>
        </w:tc>
        <w:tc>
          <w:tcPr>
            <w:tcW w:w="1135"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6" w:type="dxa"/>
            <w:gridSpan w:val="2"/>
          </w:tcPr>
          <w:p>
            <w:pPr>
              <w:pStyle w:val="nTable"/>
              <w:spacing w:after="40"/>
              <w:rPr>
                <w:snapToGrid w:val="0"/>
              </w:rPr>
            </w:pPr>
            <w:r>
              <w:rPr>
                <w:i/>
                <w:iCs/>
                <w:snapToGrid w:val="0"/>
              </w:rPr>
              <w:t>Finance Brokers Control Amendment Act 2004</w:t>
            </w:r>
            <w:r>
              <w:rPr>
                <w:iCs/>
                <w:snapToGrid w:val="0"/>
                <w:vertAlign w:val="superscript"/>
              </w:rPr>
              <w:t> 6</w:t>
            </w:r>
            <w:r>
              <w:rPr>
                <w:snapToGrid w:val="0"/>
                <w:vertAlign w:val="superscript"/>
              </w:rPr>
              <w:t>, 7</w:t>
            </w:r>
          </w:p>
        </w:tc>
        <w:tc>
          <w:tcPr>
            <w:tcW w:w="1135" w:type="dxa"/>
            <w:gridSpan w:val="2"/>
          </w:tcPr>
          <w:p>
            <w:pPr>
              <w:pStyle w:val="nTable"/>
              <w:spacing w:after="40"/>
              <w:rPr>
                <w:snapToGrid w:val="0"/>
              </w:rPr>
            </w:pPr>
            <w:r>
              <w:rPr>
                <w:snapToGrid w:val="0"/>
              </w:rPr>
              <w:t>53 of 2004</w:t>
            </w:r>
          </w:p>
        </w:tc>
        <w:tc>
          <w:tcPr>
            <w:tcW w:w="1135"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6"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5" w:type="dxa"/>
            <w:gridSpan w:val="2"/>
          </w:tcPr>
          <w:p>
            <w:pPr>
              <w:pStyle w:val="nTable"/>
              <w:keepNext/>
              <w:keepLines/>
              <w:spacing w:after="40"/>
            </w:pPr>
            <w:r>
              <w:rPr>
                <w:snapToGrid w:val="0"/>
              </w:rPr>
              <w:t>59 of 2004</w:t>
            </w:r>
          </w:p>
        </w:tc>
        <w:tc>
          <w:tcPr>
            <w:tcW w:w="1135"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8</w:t>
            </w:r>
          </w:p>
        </w:tc>
        <w:tc>
          <w:tcPr>
            <w:tcW w:w="1135" w:type="dxa"/>
            <w:gridSpan w:val="2"/>
          </w:tcPr>
          <w:p>
            <w:pPr>
              <w:pStyle w:val="nTable"/>
              <w:spacing w:after="40"/>
            </w:pPr>
            <w:r>
              <w:t>55 of 2004</w:t>
            </w:r>
          </w:p>
        </w:tc>
        <w:tc>
          <w:tcPr>
            <w:tcW w:w="1135"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5" w:type="dxa"/>
            <w:gridSpan w:val="2"/>
          </w:tcPr>
          <w:p>
            <w:pPr>
              <w:pStyle w:val="nTable"/>
              <w:spacing w:after="40"/>
            </w:pPr>
            <w:r>
              <w:rPr>
                <w:snapToGrid w:val="0"/>
              </w:rPr>
              <w:t>84 of 2004</w:t>
            </w:r>
          </w:p>
        </w:tc>
        <w:tc>
          <w:tcPr>
            <w:tcW w:w="1135"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iCs/>
              </w:rPr>
              <w:t>Housing Societies Repeal Act 2005</w:t>
            </w:r>
            <w:r>
              <w:t xml:space="preserve"> s. 27</w:t>
            </w:r>
          </w:p>
        </w:tc>
        <w:tc>
          <w:tcPr>
            <w:tcW w:w="1135" w:type="dxa"/>
            <w:gridSpan w:val="2"/>
          </w:tcPr>
          <w:p>
            <w:pPr>
              <w:pStyle w:val="nTable"/>
              <w:spacing w:after="40"/>
            </w:pPr>
            <w:r>
              <w:t>17 of 2005</w:t>
            </w:r>
          </w:p>
        </w:tc>
        <w:tc>
          <w:tcPr>
            <w:tcW w:w="1135"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9</w:t>
            </w:r>
          </w:p>
        </w:tc>
        <w:tc>
          <w:tcPr>
            <w:tcW w:w="1135" w:type="dxa"/>
            <w:gridSpan w:val="2"/>
          </w:tcPr>
          <w:p>
            <w:pPr>
              <w:pStyle w:val="nTable"/>
              <w:spacing w:after="40"/>
            </w:pPr>
            <w:r>
              <w:t>24 of 2005</w:t>
            </w:r>
          </w:p>
        </w:tc>
        <w:tc>
          <w:tcPr>
            <w:tcW w:w="1135"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snapToGrid w:val="0"/>
              </w:rPr>
              <w:lastRenderedPageBreak/>
              <w:t xml:space="preserve">Financial Legislation Amendment and Repeal Act 2006 </w:t>
            </w:r>
            <w:r>
              <w:rPr>
                <w:iCs/>
                <w:snapToGrid w:val="0"/>
              </w:rPr>
              <w:t>Sch. 1 cl. 62</w:t>
            </w:r>
          </w:p>
        </w:tc>
        <w:tc>
          <w:tcPr>
            <w:tcW w:w="1135" w:type="dxa"/>
            <w:gridSpan w:val="2"/>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5" w:type="dxa"/>
            <w:gridSpan w:val="2"/>
          </w:tcPr>
          <w:p>
            <w:pPr>
              <w:pStyle w:val="nTable"/>
              <w:spacing w:after="40"/>
              <w:rPr>
                <w:snapToGrid w:val="0"/>
              </w:rPr>
            </w:pPr>
            <w:r>
              <w:rPr>
                <w:snapToGrid w:val="0"/>
              </w:rPr>
              <w:t>21 of 2008</w:t>
            </w:r>
          </w:p>
        </w:tc>
        <w:tc>
          <w:tcPr>
            <w:tcW w:w="1135"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5" w:type="dxa"/>
            <w:gridSpan w:val="2"/>
          </w:tcPr>
          <w:p>
            <w:pPr>
              <w:pStyle w:val="nTable"/>
              <w:spacing w:after="40"/>
            </w:pPr>
            <w:r>
              <w:t>46 of 2009</w:t>
            </w:r>
          </w:p>
        </w:tc>
        <w:tc>
          <w:tcPr>
            <w:tcW w:w="1135"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5" w:type="dxa"/>
            <w:gridSpan w:val="2"/>
          </w:tcPr>
          <w:p>
            <w:pPr>
              <w:pStyle w:val="nTable"/>
              <w:spacing w:after="40"/>
            </w:pPr>
            <w:r>
              <w:t>14 of 2010</w:t>
            </w:r>
          </w:p>
        </w:tc>
        <w:tc>
          <w:tcPr>
            <w:tcW w:w="1135"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2"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4"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2"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22</w:t>
            </w:r>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4"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2" w:type="dxa"/>
          <w:cantSplit/>
        </w:trPr>
        <w:tc>
          <w:tcPr>
            <w:tcW w:w="7090" w:type="dxa"/>
            <w:gridSpan w:val="8"/>
            <w:shd w:val="clear" w:color="auto" w:fill="auto"/>
          </w:tcPr>
          <w:p>
            <w:pPr>
              <w:pStyle w:val="nTable"/>
              <w:spacing w:after="40"/>
              <w:rPr>
                <w:snapToGrid w:val="0"/>
              </w:rPr>
            </w:pPr>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p>
        </w:tc>
      </w:tr>
      <w:tr>
        <w:trPr>
          <w:gridBefore w:val="1"/>
          <w:wBefore w:w="12" w:type="dxa"/>
          <w:cantSplit/>
        </w:trPr>
        <w:tc>
          <w:tcPr>
            <w:tcW w:w="2254" w:type="dxa"/>
            <w:shd w:val="clear" w:color="auto" w:fill="auto"/>
          </w:tcPr>
          <w:p>
            <w:pPr>
              <w:pStyle w:val="nTable"/>
              <w:spacing w:after="40"/>
              <w:rPr>
                <w:b/>
                <w:snapToGrid w:val="0"/>
              </w:rPr>
            </w:pPr>
            <w:r>
              <w:rPr>
                <w:i/>
              </w:rPr>
              <w:t>COVID</w:t>
            </w:r>
            <w:r>
              <w:rPr>
                <w:i/>
              </w:rPr>
              <w:noBreakHyphen/>
              <w:t>19 Response and Economic Recovery Omnibus Act 2020</w:t>
            </w:r>
            <w:r>
              <w:t xml:space="preserve"> s. 98</w:t>
            </w:r>
          </w:p>
        </w:tc>
        <w:tc>
          <w:tcPr>
            <w:tcW w:w="1135" w:type="dxa"/>
            <w:gridSpan w:val="2"/>
            <w:shd w:val="clear" w:color="auto" w:fill="auto"/>
          </w:tcPr>
          <w:p>
            <w:pPr>
              <w:pStyle w:val="nTable"/>
              <w:spacing w:after="40"/>
              <w:rPr>
                <w:snapToGrid w:val="0"/>
              </w:rPr>
            </w:pPr>
            <w:r>
              <w:rPr>
                <w:snapToGrid w:val="0"/>
              </w:rPr>
              <w:t>34 of 2020</w:t>
            </w:r>
          </w:p>
        </w:tc>
        <w:tc>
          <w:tcPr>
            <w:tcW w:w="1135" w:type="dxa"/>
            <w:gridSpan w:val="2"/>
            <w:shd w:val="clear" w:color="auto" w:fill="auto"/>
          </w:tcPr>
          <w:p>
            <w:pPr>
              <w:pStyle w:val="nTable"/>
              <w:spacing w:after="40"/>
              <w:rPr>
                <w:snapToGrid w:val="0"/>
              </w:rPr>
            </w:pPr>
            <w:r>
              <w:rPr>
                <w:snapToGrid w:val="0"/>
              </w:rPr>
              <w:t>11 Sep 2020</w:t>
            </w:r>
          </w:p>
        </w:tc>
        <w:tc>
          <w:tcPr>
            <w:tcW w:w="2566" w:type="dxa"/>
            <w:gridSpan w:val="3"/>
            <w:shd w:val="clear" w:color="auto" w:fill="auto"/>
          </w:tcPr>
          <w:p>
            <w:pPr>
              <w:pStyle w:val="nTable"/>
              <w:spacing w:after="40"/>
              <w:rPr>
                <w:snapToGrid w:val="0"/>
              </w:rPr>
            </w:pPr>
            <w:r>
              <w:rPr>
                <w:snapToGrid w:val="0"/>
              </w:rPr>
              <w:t>12 Sep 2020 (see s. 2(b))</w:t>
            </w:r>
          </w:p>
        </w:tc>
      </w:tr>
      <w:tr>
        <w:tblPrEx>
          <w:tblBorders>
            <w:bottom w:val="none" w:sz="0" w:space="0" w:color="auto"/>
          </w:tblBorders>
        </w:tblPrEx>
        <w:trPr>
          <w:gridBefore w:val="1"/>
          <w:wBefore w:w="12" w:type="dxa"/>
          <w:cantSplit/>
        </w:trPr>
        <w:tc>
          <w:tcPr>
            <w:tcW w:w="2254" w:type="dxa"/>
            <w:tcBorders>
              <w:bottom w:val="single" w:sz="8" w:space="0" w:color="auto"/>
            </w:tcBorders>
            <w:shd w:val="clear" w:color="auto" w:fill="auto"/>
          </w:tcPr>
          <w:p>
            <w:pPr>
              <w:pStyle w:val="nTable"/>
              <w:spacing w:after="40"/>
              <w:rPr>
                <w:i/>
              </w:rPr>
            </w:pPr>
            <w:r>
              <w:rPr>
                <w:i/>
                <w:iCs/>
                <w:snapToGrid w:val="0"/>
              </w:rPr>
              <w:t>Legal Profession Uniform Law Application Act 2022</w:t>
            </w:r>
            <w:r>
              <w:rPr>
                <w:iCs/>
                <w:snapToGrid w:val="0"/>
              </w:rPr>
              <w:t xml:space="preserve"> s. 424</w:t>
            </w:r>
          </w:p>
        </w:tc>
        <w:tc>
          <w:tcPr>
            <w:tcW w:w="1135" w:type="dxa"/>
            <w:gridSpan w:val="2"/>
            <w:tcBorders>
              <w:bottom w:val="single" w:sz="8" w:space="0" w:color="auto"/>
            </w:tcBorders>
            <w:shd w:val="clear" w:color="auto" w:fill="auto"/>
          </w:tcPr>
          <w:p>
            <w:pPr>
              <w:pStyle w:val="nTable"/>
              <w:spacing w:after="40"/>
              <w:rPr>
                <w:snapToGrid w:val="0"/>
              </w:rPr>
            </w:pPr>
            <w:r>
              <w:t>9 of 2022</w:t>
            </w:r>
          </w:p>
        </w:tc>
        <w:tc>
          <w:tcPr>
            <w:tcW w:w="1135" w:type="dxa"/>
            <w:gridSpan w:val="2"/>
            <w:tcBorders>
              <w:bottom w:val="single" w:sz="8" w:space="0" w:color="auto"/>
            </w:tcBorders>
            <w:shd w:val="clear" w:color="auto" w:fill="auto"/>
          </w:tcPr>
          <w:p>
            <w:pPr>
              <w:pStyle w:val="nTable"/>
              <w:spacing w:after="40"/>
              <w:rPr>
                <w:snapToGrid w:val="0"/>
              </w:rPr>
            </w:pPr>
            <w:r>
              <w:t>14 Apr 2022</w:t>
            </w:r>
          </w:p>
        </w:tc>
        <w:tc>
          <w:tcPr>
            <w:tcW w:w="2566" w:type="dxa"/>
            <w:gridSpan w:val="3"/>
            <w:tcBorders>
              <w:bottom w:val="single" w:sz="8" w:space="0" w:color="auto"/>
            </w:tcBorders>
            <w:shd w:val="clear" w:color="auto" w:fill="auto"/>
          </w:tcPr>
          <w:p>
            <w:pPr>
              <w:pStyle w:val="nTable"/>
              <w:spacing w:after="40"/>
              <w:rPr>
                <w:snapToGrid w:val="0"/>
              </w:rPr>
            </w:pPr>
            <w:r>
              <w:rPr>
                <w:snapToGrid w:val="0"/>
              </w:rPr>
              <w:t>1 Jul 2022 (see s. 2(c) and SL 2022/113 cl. 2)</w:t>
            </w:r>
          </w:p>
        </w:tc>
      </w:tr>
    </w:tbl>
    <w:p>
      <w:pPr>
        <w:pStyle w:val="nHeading3"/>
      </w:pPr>
      <w:bookmarkStart w:id="135" w:name="_Toc107474221"/>
      <w:r>
        <w:t>Uncommenced provisions table</w:t>
      </w:r>
      <w:bookmarkEnd w:id="13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c>
          <w:tcPr>
            <w:tcW w:w="2268" w:type="dxa"/>
            <w:tcBorders>
              <w:top w:val="single" w:sz="8" w:space="0" w:color="auto"/>
              <w:bottom w:val="single" w:sz="4" w:space="0" w:color="auto"/>
            </w:tcBorders>
            <w:shd w:val="clear" w:color="auto" w:fill="auto"/>
          </w:tcPr>
          <w:p>
            <w:pPr>
              <w:pStyle w:val="nTable"/>
              <w:spacing w:after="40"/>
              <w:rPr>
                <w:vertAlign w:val="superscript"/>
              </w:rPr>
            </w:pPr>
            <w:r>
              <w:rPr>
                <w:i/>
                <w:iCs/>
                <w:snapToGrid w:val="0"/>
              </w:rPr>
              <w:t xml:space="preserve">Credit (Commonwealth Powers) (Transitional and Consequential Provisions) Act 2010 </w:t>
            </w:r>
            <w:r>
              <w:rPr>
                <w:snapToGrid w:val="0"/>
              </w:rPr>
              <w:t>Pt. 5 Div. 1</w:t>
            </w:r>
          </w:p>
        </w:tc>
        <w:tc>
          <w:tcPr>
            <w:tcW w:w="1134" w:type="dxa"/>
            <w:tcBorders>
              <w:top w:val="single" w:sz="8" w:space="0" w:color="auto"/>
              <w:bottom w:val="single" w:sz="4" w:space="0" w:color="auto"/>
            </w:tcBorders>
            <w:shd w:val="clear" w:color="auto" w:fill="auto"/>
          </w:tcPr>
          <w:p>
            <w:pPr>
              <w:pStyle w:val="nTable"/>
              <w:keepNext/>
              <w:keepLines/>
              <w:spacing w:after="40"/>
            </w:pPr>
            <w:r>
              <w:t>14 of 2010</w:t>
            </w:r>
          </w:p>
        </w:tc>
        <w:tc>
          <w:tcPr>
            <w:tcW w:w="1134" w:type="dxa"/>
            <w:tcBorders>
              <w:top w:val="single" w:sz="8" w:space="0" w:color="auto"/>
              <w:bottom w:val="single" w:sz="4" w:space="0" w:color="auto"/>
            </w:tcBorders>
            <w:shd w:val="clear" w:color="auto" w:fill="auto"/>
          </w:tcPr>
          <w:p>
            <w:pPr>
              <w:pStyle w:val="nTable"/>
              <w:keepNext/>
              <w:keepLines/>
              <w:spacing w:after="40"/>
            </w:pPr>
            <w:r>
              <w:t>25 Jun 2010</w:t>
            </w:r>
          </w:p>
        </w:tc>
        <w:tc>
          <w:tcPr>
            <w:tcW w:w="2552" w:type="dxa"/>
            <w:tcBorders>
              <w:top w:val="single" w:sz="8" w:space="0" w:color="auto"/>
              <w:bottom w:val="single" w:sz="4" w:space="0" w:color="auto"/>
            </w:tcBorders>
            <w:shd w:val="clear" w:color="auto" w:fill="auto"/>
          </w:tcPr>
          <w:p>
            <w:pPr>
              <w:pStyle w:val="nTable"/>
              <w:keepNext/>
              <w:keepLines/>
              <w:spacing w:after="40"/>
            </w:pPr>
            <w:r>
              <w:t>To be proclaimed (see s. 2(b))</w:t>
            </w:r>
          </w:p>
        </w:tc>
      </w:tr>
    </w:tbl>
    <w:p>
      <w:pPr>
        <w:pStyle w:val="nHeading3"/>
      </w:pPr>
      <w:bookmarkStart w:id="136" w:name="_Toc107474222"/>
      <w:r>
        <w:lastRenderedPageBreak/>
        <w:t>Other notes</w:t>
      </w:r>
      <w:bookmarkEnd w:id="136"/>
    </w:p>
    <w:p>
      <w:pPr>
        <w:pStyle w:val="nNote"/>
        <w:rPr>
          <w:snapToGrid w:val="0"/>
        </w:rPr>
      </w:pPr>
      <w:r>
        <w:rPr>
          <w:snapToGrid w:val="0"/>
          <w:vertAlign w:val="superscript"/>
        </w:rPr>
        <w:t>1</w:t>
      </w:r>
      <w:r>
        <w:rPr>
          <w:snapToGrid w:val="0"/>
        </w:rPr>
        <w:tab/>
        <w:t xml:space="preserve">The appointed day is 1 August 1977 (see </w:t>
      </w:r>
      <w:r>
        <w:rPr>
          <w:i/>
          <w:snapToGrid w:val="0"/>
        </w:rPr>
        <w:t>Gazette</w:t>
      </w:r>
      <w:r>
        <w:rPr>
          <w:snapToGrid w:val="0"/>
        </w:rPr>
        <w:t xml:space="preserve"> 17 June 1977 p. 1834).</w:t>
      </w:r>
    </w:p>
    <w:p>
      <w:pPr>
        <w:pStyle w:val="nNote"/>
      </w:pPr>
      <w:r>
        <w:rPr>
          <w:snapToGrid w:val="0"/>
          <w:vertAlign w:val="superscript"/>
        </w:rPr>
        <w:t>2</w:t>
      </w:r>
      <w:r>
        <w:tab/>
        <w:t xml:space="preserve">The referral day is 1 July 2010 (see </w:t>
      </w:r>
      <w:r>
        <w:rPr>
          <w:i/>
        </w:rPr>
        <w:t>Gazette</w:t>
      </w:r>
      <w:r>
        <w:t xml:space="preserve"> 30 Jun 2010 p. 3187).</w:t>
      </w:r>
    </w:p>
    <w:p>
      <w:pPr>
        <w:pStyle w:val="nNote"/>
        <w:rPr>
          <w:snapToGrid w:val="0"/>
        </w:rPr>
      </w:pPr>
      <w:r>
        <w:rPr>
          <w:snapToGrid w:val="0"/>
          <w:vertAlign w:val="superscript"/>
        </w:rPr>
        <w:t>3</w:t>
      </w:r>
      <w:r>
        <w:tab/>
        <w:t xml:space="preserve">Repealed by the </w:t>
      </w:r>
      <w:r>
        <w:rPr>
          <w:i/>
        </w:rPr>
        <w:t>Credit (Commonwealth Powers) (Transitional and Consequential Provisions) Act 2010</w:t>
      </w:r>
      <w:r>
        <w:t>.</w:t>
      </w:r>
    </w:p>
    <w:p>
      <w:pPr>
        <w:pStyle w:val="nNote"/>
      </w:pPr>
      <w:r>
        <w:rPr>
          <w:snapToGrid w:val="0"/>
          <w:vertAlign w:val="superscript"/>
        </w:rPr>
        <w:t>4</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Note"/>
      </w:pPr>
      <w:r>
        <w:rPr>
          <w:vertAlign w:val="superscript"/>
        </w:rPr>
        <w:t>5</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 xml:space="preserve">Anything done or omitted to have been done by a person after the FSR commencement time and before this Act received the Royal </w:t>
      </w:r>
      <w:r>
        <w:rPr>
          <w:snapToGrid w:val="0"/>
        </w:rPr>
        <w:lastRenderedPageBreak/>
        <w:t>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keepLines/>
        <w:rPr>
          <w:snapToGrid w:val="0"/>
        </w:rPr>
      </w:pPr>
      <w:r>
        <w:rPr>
          <w:vertAlign w:val="superscript"/>
        </w:rPr>
        <w:t>6</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 xml:space="preserve">the Commissioner is to take control of all registers, documents, books and other records (however compiled, recorded or stored) relating to the Board and the exercise </w:t>
      </w:r>
      <w:r>
        <w:lastRenderedPageBreak/>
        <w:t>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 xml:space="preserve">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w:t>
      </w:r>
      <w:r>
        <w:lastRenderedPageBreak/>
        <w:t>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w:t>
      </w:r>
      <w:r>
        <w:lastRenderedPageBreak/>
        <w:t xml:space="preserve">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lastRenderedPageBreak/>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Note"/>
        <w:keepNext/>
        <w:keepLines/>
        <w:rPr>
          <w:snapToGrid w:val="0"/>
        </w:rPr>
      </w:pPr>
      <w:r>
        <w:rPr>
          <w:vertAlign w:val="superscript"/>
        </w:rPr>
        <w:t>7</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snapToGrid w:val="0"/>
        </w:rPr>
      </w:pPr>
      <w:r>
        <w:rPr>
          <w:snapToGrid w:val="0"/>
          <w:vertAlign w:val="superscript"/>
        </w:rPr>
        <w:t>9</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138" w:name="_Toc107387883"/>
      <w:bookmarkStart w:id="139" w:name="_Toc107387989"/>
      <w:bookmarkStart w:id="140" w:name="_Toc107474223"/>
      <w:r>
        <w:rPr>
          <w:sz w:val="28"/>
        </w:rPr>
        <w:lastRenderedPageBreak/>
        <w:t>Defined terms</w:t>
      </w:r>
      <w:bookmarkEnd w:id="138"/>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 26(2)</w:t>
      </w:r>
    </w:p>
    <w:p>
      <w:pPr>
        <w:pStyle w:val="DefinedTerms"/>
      </w:pPr>
      <w:r>
        <w:t>approved</w:t>
      </w:r>
      <w:r>
        <w:tab/>
        <w:t>4</w:t>
      </w:r>
    </w:p>
    <w:p>
      <w:pPr>
        <w:pStyle w:val="DefinedTerms"/>
      </w:pPr>
      <w:r>
        <w:t>ASIC</w:t>
      </w:r>
      <w:r>
        <w:tab/>
        <w:t>4</w:t>
      </w:r>
    </w:p>
    <w:p>
      <w:pPr>
        <w:pStyle w:val="DefinedTerms"/>
      </w:pPr>
      <w:r>
        <w:t>auditor</w:t>
      </w:r>
      <w:r>
        <w:tab/>
        <w:t>4</w:t>
      </w:r>
    </w:p>
    <w:p>
      <w:pPr>
        <w:pStyle w:val="DefinedTerms"/>
      </w:pPr>
      <w:r>
        <w:t>authorised person</w:t>
      </w:r>
      <w:r>
        <w:tab/>
        <w:t>92A(1)</w:t>
      </w:r>
    </w:p>
    <w:p>
      <w:pPr>
        <w:pStyle w:val="DefinedTerms"/>
      </w:pPr>
      <w:r>
        <w:t>bank</w:t>
      </w:r>
      <w:r>
        <w:tab/>
        <w:t>4</w:t>
      </w:r>
    </w:p>
    <w:p>
      <w:pPr>
        <w:pStyle w:val="DefinedTerms"/>
      </w:pPr>
      <w:r>
        <w:t>banker</w:t>
      </w:r>
      <w:r>
        <w:tab/>
        <w:t>47</w:t>
      </w:r>
    </w:p>
    <w:p>
      <w:pPr>
        <w:pStyle w:val="DefinedTerms"/>
      </w:pPr>
      <w:r>
        <w:t>business</w:t>
      </w:r>
      <w:r>
        <w:tab/>
        <w:t>4</w:t>
      </w:r>
    </w:p>
    <w:p>
      <w:pPr>
        <w:pStyle w:val="DefinedTerms"/>
      </w:pPr>
      <w:r>
        <w:t>business day</w:t>
      </w:r>
      <w:r>
        <w:tab/>
        <w:t>47</w:t>
      </w:r>
    </w:p>
    <w:p>
      <w:pPr>
        <w:pStyle w:val="DefinedTerms"/>
      </w:pPr>
      <w:r>
        <w:t>Commissioner</w:t>
      </w:r>
      <w:r>
        <w:tab/>
        <w:t>4</w:t>
      </w:r>
    </w:p>
    <w:p>
      <w:pPr>
        <w:pStyle w:val="DefinedTerms"/>
      </w:pPr>
      <w:r>
        <w:t>condition</w:t>
      </w:r>
      <w:r>
        <w:tab/>
        <w:t>4</w:t>
      </w:r>
    </w:p>
    <w:p>
      <w:pPr>
        <w:pStyle w:val="DefinedTerms"/>
      </w:pPr>
      <w:r>
        <w:t>Consumer Credit (Western Australia) Code</w:t>
      </w:r>
      <w:r>
        <w:tab/>
        <w:t>45(5)</w:t>
      </w:r>
    </w:p>
    <w:p>
      <w:pPr>
        <w:pStyle w:val="DefinedTerms"/>
      </w:pPr>
      <w:r>
        <w:t>department</w:t>
      </w:r>
      <w:r>
        <w:tab/>
        <w:t>4</w:t>
      </w:r>
    </w:p>
    <w:p>
      <w:pPr>
        <w:pStyle w:val="DefinedTerms"/>
      </w:pPr>
      <w:r>
        <w:t>executive officer</w:t>
      </w:r>
      <w:r>
        <w:tab/>
        <w:t>6(3)</w:t>
      </w:r>
    </w:p>
    <w:p>
      <w:pPr>
        <w:pStyle w:val="DefinedTerms"/>
      </w:pPr>
      <w:r>
        <w:t>finance broker</w:t>
      </w:r>
      <w:r>
        <w:tab/>
        <w:t>4, 5(1), 72(5)(b)</w:t>
      </w:r>
    </w:p>
    <w:p>
      <w:pPr>
        <w:pStyle w:val="DefinedTerms"/>
      </w:pPr>
      <w:r>
        <w:t>finance brokers code of conduct</w:t>
      </w:r>
      <w:r>
        <w:tab/>
        <w:t>4</w:t>
      </w:r>
    </w:p>
    <w:p>
      <w:pPr>
        <w:pStyle w:val="DefinedTerms"/>
      </w:pPr>
      <w:r>
        <w:t>former Board</w:t>
      </w:r>
      <w:r>
        <w:tab/>
        <w:t>88(4)</w:t>
      </w:r>
    </w:p>
    <w:p>
      <w:pPr>
        <w:pStyle w:val="DefinedTerms"/>
      </w:pPr>
      <w:r>
        <w:t>information</w:t>
      </w:r>
      <w:r>
        <w:tab/>
        <w:t>18H(3)</w:t>
      </w:r>
    </w:p>
    <w:p>
      <w:pPr>
        <w:pStyle w:val="DefinedTerms"/>
      </w:pPr>
      <w:r>
        <w:t>investigative function</w:t>
      </w:r>
      <w:r>
        <w:tab/>
        <w:t>15(4)</w:t>
      </w:r>
    </w:p>
    <w:p>
      <w:pPr>
        <w:pStyle w:val="DefinedTerms"/>
      </w:pPr>
      <w:r>
        <w:t>investigator</w:t>
      </w:r>
      <w:r>
        <w:tab/>
        <w:t>4</w:t>
      </w:r>
    </w:p>
    <w:p>
      <w:pPr>
        <w:pStyle w:val="DefinedTerms"/>
      </w:pPr>
      <w:r>
        <w:t>licence</w:t>
      </w:r>
      <w:r>
        <w:tab/>
        <w:t>4</w:t>
      </w:r>
    </w:p>
    <w:p>
      <w:pPr>
        <w:pStyle w:val="DefinedTerms"/>
      </w:pPr>
      <w:r>
        <w:t>licensed</w:t>
      </w:r>
      <w:r>
        <w:tab/>
        <w:t>4</w:t>
      </w:r>
    </w:p>
    <w:p>
      <w:pPr>
        <w:pStyle w:val="DefinedTerms"/>
      </w:pPr>
      <w:r>
        <w:t>licensee</w:t>
      </w:r>
      <w:r>
        <w:tab/>
        <w:t>4</w:t>
      </w:r>
    </w:p>
    <w:p>
      <w:pPr>
        <w:pStyle w:val="DefinedTerms"/>
      </w:pPr>
      <w:r>
        <w:t>motor vehicle</w:t>
      </w:r>
      <w:r>
        <w:tab/>
        <w:t>4</w:t>
      </w:r>
    </w:p>
    <w:p>
      <w:pPr>
        <w:pStyle w:val="DefinedTerms"/>
      </w:pPr>
      <w:r>
        <w:t>person aggrieved</w:t>
      </w:r>
      <w:r>
        <w:tab/>
        <w:t>23(2)</w:t>
      </w:r>
    </w:p>
    <w:p>
      <w:pPr>
        <w:pStyle w:val="DefinedTerms"/>
      </w:pPr>
      <w:r>
        <w:t>referral day</w:t>
      </w:r>
      <w:r>
        <w:tab/>
        <w:t>4</w:t>
      </w:r>
    </w:p>
    <w:p>
      <w:pPr>
        <w:pStyle w:val="DefinedTerms"/>
      </w:pPr>
      <w:r>
        <w:t>renewal</w:t>
      </w:r>
      <w:r>
        <w:tab/>
        <w:t>4</w:t>
      </w:r>
    </w:p>
    <w:p>
      <w:pPr>
        <w:pStyle w:val="DefinedTerms"/>
      </w:pPr>
      <w:r>
        <w:t>reviewable decision</w:t>
      </w:r>
      <w:r>
        <w:tab/>
        <w:t>23(2)</w:t>
      </w:r>
    </w:p>
    <w:p>
      <w:pPr>
        <w:pStyle w:val="DefinedTerms"/>
      </w:pPr>
      <w:r>
        <w:t>supervisor</w:t>
      </w:r>
      <w:r>
        <w:tab/>
        <w:t>4</w:t>
      </w:r>
    </w:p>
    <w:p>
      <w:pPr>
        <w:pStyle w:val="DefinedTerms"/>
      </w:pPr>
      <w:r>
        <w:t>trust account</w:t>
      </w:r>
      <w:r>
        <w:tab/>
        <w:t>72(5)(a)</w:t>
      </w:r>
    </w:p>
    <w:p>
      <w:pPr>
        <w:pStyle w:val="DefinedTerms"/>
      </w:pPr>
      <w:r>
        <w:t>trust accounts</w:t>
      </w:r>
      <w:r>
        <w:tab/>
        <w:t>47</w:t>
      </w:r>
    </w:p>
    <w:p>
      <w:pPr>
        <w:pStyle w:val="DefinedTerms"/>
      </w:pPr>
      <w:r>
        <w:t>unlicensed finance broker</w:t>
      </w:r>
      <w:r>
        <w:tab/>
        <w:t>40A(1)</w:t>
      </w:r>
    </w:p>
    <w:p>
      <w:pPr>
        <w:pStyle w:val="DefinedTerms"/>
      </w:pPr>
      <w:r>
        <w:t>year</w:t>
      </w:r>
      <w:r>
        <w:tab/>
        <w:t>47</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1" w:name="DefinedTerms"/>
    <w:bookmarkEnd w:id="1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8A72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1336"/>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 w:name="WAFER_20151105094934" w:val="UsedStyles"/>
    <w:docVar w:name="WAFER_20151105094934_GUID" w:val="e6925a68-7349-4ebd-b495-805e3c0241be"/>
    <w:docVar w:name="WAFER_202002121438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835_GUID" w:val="9b22c439-801c-4146-a8c1-eb8d40214285"/>
    <w:docVar w:name="WAFER_20200911110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448_GUID" w:val="4eb492a0-f6ae-4ad0-a051-1e3bb717f4db"/>
    <w:docVar w:name="WAFER_20220408154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854_GUID" w:val="d0f9ce1c-fed0-405d-bb04-48cc8d56c5f5"/>
    <w:docVar w:name="WAFER_202206290913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36_GUID" w:val="74f33aba-589c-41d7-a1e4-e980976f7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EDDD1E5E-3E5F-4E05-9E1B-39EEB9D8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basedOn w:val="zDefstart"/>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oleObject" Target="embeddings/oleObject2.bin"/><Relationship Id="rId39" Type="http://schemas.openxmlformats.org/officeDocument/2006/relationships/header" Target="header19.xml"/><Relationship Id="rId21" Type="http://schemas.openxmlformats.org/officeDocument/2006/relationships/header" Target="header8.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wmf"/><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20190</Words>
  <Characters>94290</Characters>
  <Application>Microsoft Office Word</Application>
  <DocSecurity>0</DocSecurity>
  <Lines>2548</Lines>
  <Paragraphs>1346</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1975 - 05-d0-00</dc:title>
  <dc:subject/>
  <dc:creator/>
  <cp:keywords/>
  <dc:description/>
  <cp:lastModifiedBy>Master Repository Process</cp:lastModifiedBy>
  <cp:revision>4</cp:revision>
  <cp:lastPrinted>2015-08-17T08:07:00Z</cp:lastPrinted>
  <dcterms:created xsi:type="dcterms:W3CDTF">2022-06-30T06:32:00Z</dcterms:created>
  <dcterms:modified xsi:type="dcterms:W3CDTF">2022-06-30T06:32:00Z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DocumentType">
    <vt:lpwstr>Act</vt:lpwstr>
  </property>
  <property fmtid="{D5CDD505-2E9C-101B-9397-08002B2CF9AE}" pid="4" name="OwlsUID">
    <vt:i4>269</vt:i4>
  </property>
  <property fmtid="{D5CDD505-2E9C-101B-9397-08002B2CF9AE}" pid="5" name="ReprintedAsAt">
    <vt:filetime>2015-08-06T16:00:00Z</vt:filetime>
  </property>
  <property fmtid="{D5CDD505-2E9C-101B-9397-08002B2CF9AE}" pid="6" name="ReprintNo">
    <vt:lpwstr>5</vt:lpwstr>
  </property>
  <property fmtid="{D5CDD505-2E9C-101B-9397-08002B2CF9AE}" pid="7" name="AsAtDate">
    <vt:lpwstr>01 Jul 2022</vt:lpwstr>
  </property>
  <property fmtid="{D5CDD505-2E9C-101B-9397-08002B2CF9AE}" pid="8" name="Suffix">
    <vt:lpwstr>05-d0-00</vt:lpwstr>
  </property>
  <property fmtid="{D5CDD505-2E9C-101B-9397-08002B2CF9AE}" pid="9" name="CommencementDate">
    <vt:lpwstr>20220701</vt:lpwstr>
  </property>
</Properties>
</file>