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Administration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_Toc107484996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_Toc107484997 \h </w:instrText>
      </w:r>
      <w:r>
        <w:fldChar w:fldCharType="separate"/>
      </w:r>
      <w:r>
        <w:t>2</w:t>
      </w:r>
      <w:r>
        <w:fldChar w:fldCharType="end"/>
      </w:r>
    </w:p>
    <w:p>
      <w:pPr>
        <w:pStyle w:val="TOC8"/>
        <w:rPr>
          <w:rFonts w:asciiTheme="minorHAnsi" w:eastAsiaTheme="minorEastAsia" w:hAnsiTheme="minorHAnsi" w:cstheme="minorBidi"/>
          <w:szCs w:val="22"/>
        </w:rPr>
      </w:pPr>
      <w:r>
        <w:t xml:space="preserve">3. </w:t>
      </w:r>
      <w:r>
        <w:rPr>
          <w:vertAlign w:val="superscript"/>
        </w:rPr>
        <w:t> 1M, 1MC</w:t>
      </w:r>
      <w:r>
        <w:tab/>
        <w:t>Taxation Acts</w:t>
      </w:r>
      <w:r>
        <w:tab/>
      </w:r>
      <w:r>
        <w:fldChar w:fldCharType="begin"/>
      </w:r>
      <w:r>
        <w:instrText xml:space="preserve"> PAGEREF _Toc107484998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Terms used (Glossary)</w:t>
      </w:r>
      <w:r>
        <w:tab/>
      </w:r>
      <w:r>
        <w:fldChar w:fldCharType="begin"/>
      </w:r>
      <w:r>
        <w:instrText xml:space="preserve"> PAGEREF _Toc107484999 \h </w:instrText>
      </w:r>
      <w:r>
        <w:fldChar w:fldCharType="separate"/>
      </w:r>
      <w:r>
        <w:t>3</w:t>
      </w:r>
      <w:r>
        <w:fldChar w:fldCharType="end"/>
      </w:r>
    </w:p>
    <w:p>
      <w:pPr>
        <w:pStyle w:val="TOC8"/>
        <w:rPr>
          <w:rFonts w:asciiTheme="minorHAnsi" w:eastAsiaTheme="minorEastAsia" w:hAnsiTheme="minorHAnsi" w:cstheme="minorBidi"/>
          <w:szCs w:val="22"/>
        </w:rPr>
      </w:pPr>
      <w:r>
        <w:t>5.</w:t>
      </w:r>
      <w:r>
        <w:rPr>
          <w:vertAlign w:val="superscript"/>
        </w:rPr>
        <w:t> 1MC</w:t>
      </w:r>
      <w:r>
        <w:tab/>
        <w:t>Crown bound</w:t>
      </w:r>
      <w:r>
        <w:tab/>
      </w:r>
      <w:r>
        <w:fldChar w:fldCharType="begin"/>
      </w:r>
      <w:r>
        <w:instrText xml:space="preserve"> PAGEREF _Toc107485000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rPr>
          <w:vertAlign w:val="superscript"/>
        </w:rPr>
        <w:t> 1MC</w:t>
      </w:r>
      <w:r>
        <w:tab/>
        <w:t>Commissioner of State Revenue</w:t>
      </w:r>
      <w:r>
        <w:tab/>
      </w:r>
      <w:r>
        <w:fldChar w:fldCharType="begin"/>
      </w:r>
      <w:r>
        <w:instrText xml:space="preserve"> PAGEREF _Toc107485002 \h </w:instrText>
      </w:r>
      <w:r>
        <w:fldChar w:fldCharType="separate"/>
      </w:r>
      <w:r>
        <w:t>5</w:t>
      </w:r>
      <w:r>
        <w:fldChar w:fldCharType="end"/>
      </w:r>
    </w:p>
    <w:p>
      <w:pPr>
        <w:pStyle w:val="TOC8"/>
        <w:rPr>
          <w:rFonts w:asciiTheme="minorHAnsi" w:eastAsiaTheme="minorEastAsia" w:hAnsiTheme="minorHAnsi" w:cstheme="minorBidi"/>
          <w:szCs w:val="22"/>
        </w:rPr>
      </w:pPr>
      <w:r>
        <w:t>7.</w:t>
      </w:r>
      <w:r>
        <w:tab/>
        <w:t>Commissioner’s functions as to taxation Acts</w:t>
      </w:r>
      <w:r>
        <w:tab/>
      </w:r>
      <w:r>
        <w:fldChar w:fldCharType="begin"/>
      </w:r>
      <w:r>
        <w:instrText xml:space="preserve"> PAGEREF _Toc107485003 \h </w:instrText>
      </w:r>
      <w:r>
        <w:fldChar w:fldCharType="separate"/>
      </w:r>
      <w:r>
        <w:t>5</w:t>
      </w:r>
      <w:r>
        <w:fldChar w:fldCharType="end"/>
      </w:r>
    </w:p>
    <w:p>
      <w:pPr>
        <w:pStyle w:val="TOC8"/>
        <w:rPr>
          <w:rFonts w:asciiTheme="minorHAnsi" w:eastAsiaTheme="minorEastAsia" w:hAnsiTheme="minorHAnsi" w:cstheme="minorBidi"/>
          <w:szCs w:val="22"/>
        </w:rPr>
      </w:pPr>
      <w:r>
        <w:t>8.</w:t>
      </w:r>
      <w:r>
        <w:tab/>
        <w:t>Commissioner may perform investigators’ functions</w:t>
      </w:r>
      <w:r>
        <w:tab/>
      </w:r>
      <w:r>
        <w:fldChar w:fldCharType="begin"/>
      </w:r>
      <w:r>
        <w:instrText xml:space="preserve"> PAGEREF _Toc107485004 \h </w:instrText>
      </w:r>
      <w:r>
        <w:fldChar w:fldCharType="separate"/>
      </w:r>
      <w:r>
        <w:t>5</w:t>
      </w:r>
      <w:r>
        <w:fldChar w:fldCharType="end"/>
      </w:r>
    </w:p>
    <w:p>
      <w:pPr>
        <w:pStyle w:val="TOC8"/>
        <w:rPr>
          <w:rFonts w:asciiTheme="minorHAnsi" w:eastAsiaTheme="minorEastAsia" w:hAnsiTheme="minorHAnsi" w:cstheme="minorBidi"/>
          <w:szCs w:val="22"/>
        </w:rPr>
      </w:pPr>
      <w:r>
        <w:t>9.</w:t>
      </w:r>
      <w:r>
        <w:tab/>
        <w:t>Commissioner, judicial notice of appointment and signature</w:t>
      </w:r>
      <w:r>
        <w:tab/>
      </w:r>
      <w:r>
        <w:fldChar w:fldCharType="begin"/>
      </w:r>
      <w:r>
        <w:instrText xml:space="preserve"> PAGEREF _Toc107485005 \h </w:instrText>
      </w:r>
      <w:r>
        <w:fldChar w:fldCharType="separate"/>
      </w:r>
      <w:r>
        <w:t>6</w:t>
      </w:r>
      <w:r>
        <w:fldChar w:fldCharType="end"/>
      </w:r>
    </w:p>
    <w:p>
      <w:pPr>
        <w:pStyle w:val="TOC8"/>
        <w:rPr>
          <w:rFonts w:asciiTheme="minorHAnsi" w:eastAsiaTheme="minorEastAsia" w:hAnsiTheme="minorHAnsi" w:cstheme="minorBidi"/>
          <w:szCs w:val="22"/>
        </w:rPr>
      </w:pPr>
      <w:r>
        <w:t>10.</w:t>
      </w:r>
      <w:r>
        <w:rPr>
          <w:vertAlign w:val="superscript"/>
        </w:rPr>
        <w:t xml:space="preserve"> 1M, 1MC </w:t>
      </w:r>
      <w:r>
        <w:t>Delegation by Commissioner</w:t>
      </w:r>
      <w:r>
        <w:tab/>
      </w:r>
      <w:r>
        <w:fldChar w:fldCharType="begin"/>
      </w:r>
      <w:r>
        <w:instrText xml:space="preserve"> PAGEREF _Toc107485006 \h </w:instrText>
      </w:r>
      <w:r>
        <w:fldChar w:fldCharType="separate"/>
      </w:r>
      <w:r>
        <w:t>6</w:t>
      </w:r>
      <w:r>
        <w:fldChar w:fldCharType="end"/>
      </w:r>
    </w:p>
    <w:p>
      <w:pPr>
        <w:pStyle w:val="TOC8"/>
        <w:rPr>
          <w:rFonts w:asciiTheme="minorHAnsi" w:eastAsiaTheme="minorEastAsia" w:hAnsiTheme="minorHAnsi" w:cstheme="minorBidi"/>
          <w:szCs w:val="22"/>
        </w:rPr>
      </w:pPr>
      <w:r>
        <w:t>11. </w:t>
      </w:r>
      <w:r>
        <w:rPr>
          <w:vertAlign w:val="superscript"/>
        </w:rPr>
        <w:t>1MC</w:t>
      </w:r>
      <w:r>
        <w:tab/>
        <w:t>Tax investigators</w:t>
      </w:r>
      <w:r>
        <w:tab/>
      </w:r>
      <w:r>
        <w:fldChar w:fldCharType="begin"/>
      </w:r>
      <w:r>
        <w:instrText xml:space="preserve"> PAGEREF _Toc107485007 \h </w:instrText>
      </w:r>
      <w:r>
        <w:fldChar w:fldCharType="separate"/>
      </w:r>
      <w:r>
        <w:t>7</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_Toc107485008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Assessments of tax</w:t>
      </w:r>
    </w:p>
    <w:p>
      <w:pPr>
        <w:pStyle w:val="TOC4"/>
        <w:tabs>
          <w:tab w:val="right" w:leader="dot" w:pos="7077"/>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_Toc107485011 \h </w:instrText>
      </w:r>
      <w:r>
        <w:fldChar w:fldCharType="separate"/>
      </w:r>
      <w:r>
        <w:t>9</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_Toc107485012 \h </w:instrText>
      </w:r>
      <w:r>
        <w:fldChar w:fldCharType="separate"/>
      </w:r>
      <w:r>
        <w:t>9</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_Toc107485013 \h </w:instrText>
      </w:r>
      <w:r>
        <w:fldChar w:fldCharType="separate"/>
      </w:r>
      <w:r>
        <w:t>9</w:t>
      </w:r>
      <w:r>
        <w:fldChar w:fldCharType="end"/>
      </w:r>
    </w:p>
    <w:p>
      <w:pPr>
        <w:pStyle w:val="TOC8"/>
        <w:rPr>
          <w:rFonts w:asciiTheme="minorHAnsi" w:eastAsiaTheme="minorEastAsia" w:hAnsiTheme="minorHAnsi" w:cstheme="minorBidi"/>
          <w:szCs w:val="22"/>
        </w:rPr>
      </w:pPr>
      <w:r>
        <w:t>16A.</w:t>
      </w:r>
      <w:r>
        <w:tab/>
        <w:t>Interim assessments</w:t>
      </w:r>
      <w:r>
        <w:tab/>
      </w:r>
      <w:r>
        <w:fldChar w:fldCharType="begin"/>
      </w:r>
      <w:r>
        <w:instrText xml:space="preserve"> PAGEREF _Toc107485014 \h </w:instrText>
      </w:r>
      <w:r>
        <w:fldChar w:fldCharType="separate"/>
      </w:r>
      <w:r>
        <w:t>10</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_Toc107485015 \h </w:instrText>
      </w:r>
      <w:r>
        <w:fldChar w:fldCharType="separate"/>
      </w:r>
      <w:r>
        <w:t>11</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_Toc107485016 \h </w:instrText>
      </w:r>
      <w:r>
        <w:fldChar w:fldCharType="separate"/>
      </w:r>
      <w:r>
        <w:t>12</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_Toc107485017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18A</w:t>
      </w:r>
      <w:r>
        <w:rPr>
          <w:color w:val="000000"/>
        </w:rPr>
        <w:t>.</w:t>
      </w:r>
      <w:r>
        <w:rPr>
          <w:color w:val="000000"/>
        </w:rPr>
        <w:tab/>
        <w:t>Withdrawal of assessments</w:t>
      </w:r>
      <w:r>
        <w:tab/>
      </w:r>
      <w:r>
        <w:fldChar w:fldCharType="begin"/>
      </w:r>
      <w:r>
        <w:instrText xml:space="preserve"> PAGEREF _Toc107485018 \h </w:instrText>
      </w:r>
      <w:r>
        <w:fldChar w:fldCharType="separate"/>
      </w:r>
      <w:r>
        <w:t>14</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_Toc107485019 \h </w:instrText>
      </w:r>
      <w:r>
        <w:fldChar w:fldCharType="separate"/>
      </w:r>
      <w:r>
        <w:t>14</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_Toc107485020 \h </w:instrText>
      </w:r>
      <w:r>
        <w:fldChar w:fldCharType="separate"/>
      </w:r>
      <w:r>
        <w:t>15</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_Toc107485021 \h </w:instrText>
      </w:r>
      <w:r>
        <w:fldChar w:fldCharType="separate"/>
      </w:r>
      <w:r>
        <w:t>16</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_Toc107485022 \h </w:instrText>
      </w:r>
      <w:r>
        <w:fldChar w:fldCharType="separate"/>
      </w:r>
      <w:r>
        <w:t>17</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_Toc107485023 \h </w:instrText>
      </w:r>
      <w:r>
        <w:fldChar w:fldCharType="separate"/>
      </w:r>
      <w:r>
        <w:t>18</w:t>
      </w:r>
      <w:r>
        <w:fldChar w:fldCharType="end"/>
      </w:r>
    </w:p>
    <w:p>
      <w:pPr>
        <w:pStyle w:val="TOC8"/>
        <w:rPr>
          <w:rFonts w:asciiTheme="minorHAnsi" w:eastAsiaTheme="minorEastAsia" w:hAnsiTheme="minorHAnsi" w:cstheme="minorBidi"/>
          <w:szCs w:val="22"/>
        </w:rPr>
      </w:pPr>
      <w:r>
        <w:t>23A.</w:t>
      </w:r>
      <w:r>
        <w:tab/>
        <w:t>Recovery of valuation costs</w:t>
      </w:r>
      <w:r>
        <w:tab/>
      </w:r>
      <w:r>
        <w:fldChar w:fldCharType="begin"/>
      </w:r>
      <w:r>
        <w:instrText xml:space="preserve"> PAGEREF _Toc107485024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_Toc107485026 \h </w:instrText>
      </w:r>
      <w:r>
        <w:fldChar w:fldCharType="separate"/>
      </w:r>
      <w:r>
        <w:t>20</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_Toc107485027 \h </w:instrText>
      </w:r>
      <w:r>
        <w:fldChar w:fldCharType="separate"/>
      </w:r>
      <w:r>
        <w:t>21</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_Toc107485028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_Toc107485030 \h </w:instrText>
      </w:r>
      <w:r>
        <w:fldChar w:fldCharType="separate"/>
      </w:r>
      <w:r>
        <w:t>23</w:t>
      </w:r>
      <w:r>
        <w:fldChar w:fldCharType="end"/>
      </w:r>
    </w:p>
    <w:p>
      <w:pPr>
        <w:pStyle w:val="TOC8"/>
        <w:rPr>
          <w:rFonts w:asciiTheme="minorHAnsi" w:eastAsiaTheme="minorEastAsia" w:hAnsiTheme="minorHAnsi" w:cstheme="minorBidi"/>
          <w:szCs w:val="22"/>
        </w:rPr>
      </w:pPr>
      <w:r>
        <w:t>27A.</w:t>
      </w:r>
      <w:r>
        <w:tab/>
        <w:t>Penalty tax for undervaluation</w:t>
      </w:r>
      <w:r>
        <w:tab/>
      </w:r>
      <w:r>
        <w:fldChar w:fldCharType="begin"/>
      </w:r>
      <w:r>
        <w:instrText xml:space="preserve"> PAGEREF _Toc107485031 \h </w:instrText>
      </w:r>
      <w:r>
        <w:fldChar w:fldCharType="separate"/>
      </w:r>
      <w:r>
        <w:t>24</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_Toc107485032 \h </w:instrText>
      </w:r>
      <w:r>
        <w:fldChar w:fldCharType="separate"/>
      </w:r>
      <w:r>
        <w:t>25</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_Toc107485033 \h </w:instrText>
      </w:r>
      <w:r>
        <w:fldChar w:fldCharType="separate"/>
      </w:r>
      <w:r>
        <w:t>26</w:t>
      </w:r>
      <w:r>
        <w:fldChar w:fldCharType="end"/>
      </w:r>
    </w:p>
    <w:p>
      <w:pPr>
        <w:pStyle w:val="TOC8"/>
        <w:rPr>
          <w:rFonts w:asciiTheme="minorHAnsi" w:eastAsiaTheme="minorEastAsia" w:hAnsiTheme="minorHAnsi" w:cstheme="minorBidi"/>
          <w:szCs w:val="22"/>
        </w:rPr>
      </w:pPr>
      <w:r>
        <w:t>29.</w:t>
      </w:r>
      <w:r>
        <w:tab/>
        <w:t>Remitting penalty tax</w:t>
      </w:r>
      <w:r>
        <w:tab/>
      </w:r>
      <w:r>
        <w:fldChar w:fldCharType="begin"/>
      </w:r>
      <w:r>
        <w:instrText xml:space="preserve"> PAGEREF _Toc107485034 \h </w:instrText>
      </w:r>
      <w:r>
        <w:fldChar w:fldCharType="separate"/>
      </w:r>
      <w:r>
        <w:t>26</w:t>
      </w:r>
      <w:r>
        <w:fldChar w:fldCharType="end"/>
      </w:r>
    </w:p>
    <w:p>
      <w:pPr>
        <w:pStyle w:val="TOC8"/>
        <w:rPr>
          <w:rFonts w:asciiTheme="minorHAnsi" w:eastAsiaTheme="minorEastAsia" w:hAnsiTheme="minorHAnsi" w:cstheme="minorBidi"/>
          <w:szCs w:val="22"/>
        </w:rPr>
      </w:pPr>
      <w:r>
        <w:t>30.</w:t>
      </w:r>
      <w:r>
        <w:tab/>
        <w:t>Practice for remitting penalty tax</w:t>
      </w:r>
      <w:r>
        <w:tab/>
      </w:r>
      <w:r>
        <w:fldChar w:fldCharType="begin"/>
      </w:r>
      <w:r>
        <w:instrText xml:space="preserve"> PAGEREF _Toc107485035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review proceedings</w:t>
      </w:r>
    </w:p>
    <w:p>
      <w:pPr>
        <w:pStyle w:val="TOC4"/>
        <w:tabs>
          <w:tab w:val="right" w:leader="dot" w:pos="7077"/>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_Toc107485038 \h </w:instrText>
      </w:r>
      <w:r>
        <w:fldChar w:fldCharType="separate"/>
      </w:r>
      <w:r>
        <w:t>27</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_Toc107485039 \h </w:instrText>
      </w:r>
      <w:r>
        <w:fldChar w:fldCharType="separate"/>
      </w:r>
      <w:r>
        <w:t>27</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_Toc107485040 \h </w:instrText>
      </w:r>
      <w:r>
        <w:fldChar w:fldCharType="separate"/>
      </w:r>
      <w:r>
        <w:t>27</w:t>
      </w:r>
      <w:r>
        <w:fldChar w:fldCharType="end"/>
      </w:r>
    </w:p>
    <w:p>
      <w:pPr>
        <w:pStyle w:val="TOC8"/>
        <w:rPr>
          <w:rFonts w:asciiTheme="minorHAnsi" w:eastAsiaTheme="minorEastAsia" w:hAnsiTheme="minorHAnsi" w:cstheme="minorBidi"/>
          <w:szCs w:val="22"/>
        </w:rPr>
      </w:pPr>
      <w:r>
        <w:t>34A.</w:t>
      </w:r>
      <w:r>
        <w:tab/>
        <w:t>Beneficial body determinations</w:t>
      </w:r>
      <w:r>
        <w:tab/>
      </w:r>
      <w:r>
        <w:fldChar w:fldCharType="begin"/>
      </w:r>
      <w:r>
        <w:instrText xml:space="preserve"> PAGEREF _Toc107485041 \h </w:instrText>
      </w:r>
      <w:r>
        <w:fldChar w:fldCharType="separate"/>
      </w:r>
      <w:r>
        <w:t>27</w:t>
      </w:r>
      <w:r>
        <w:fldChar w:fldCharType="end"/>
      </w:r>
    </w:p>
    <w:p>
      <w:pPr>
        <w:pStyle w:val="TOC8"/>
        <w:rPr>
          <w:rFonts w:asciiTheme="minorHAnsi" w:eastAsiaTheme="minorEastAsia" w:hAnsiTheme="minorHAnsi" w:cstheme="minorBidi"/>
          <w:szCs w:val="22"/>
        </w:rPr>
      </w:pPr>
      <w:r>
        <w:t>34B.</w:t>
      </w:r>
      <w:r>
        <w:tab/>
        <w:t>Surrender of right of objection or review</w:t>
      </w:r>
      <w:r>
        <w:tab/>
      </w:r>
      <w:r>
        <w:fldChar w:fldCharType="begin"/>
      </w:r>
      <w:r>
        <w:instrText xml:space="preserve"> PAGEREF _Toc107485042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_Toc107485044 \h </w:instrText>
      </w:r>
      <w:r>
        <w:fldChar w:fldCharType="separate"/>
      </w:r>
      <w:r>
        <w:t>28</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_Toc107485045 \h </w:instrText>
      </w:r>
      <w:r>
        <w:fldChar w:fldCharType="separate"/>
      </w:r>
      <w:r>
        <w:t>30</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_Toc107485046 \h </w:instrText>
      </w:r>
      <w:r>
        <w:fldChar w:fldCharType="separate"/>
      </w:r>
      <w:r>
        <w:t>30</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_Toc107485047 \h </w:instrText>
      </w:r>
      <w:r>
        <w:fldChar w:fldCharType="separate"/>
      </w:r>
      <w:r>
        <w:t>32</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_Toc107485048 \h </w:instrText>
      </w:r>
      <w:r>
        <w:fldChar w:fldCharType="separate"/>
      </w:r>
      <w:r>
        <w:t>33</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_Toc107485049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Reviews and stated cases</w:t>
      </w:r>
    </w:p>
    <w:p>
      <w:pPr>
        <w:pStyle w:val="TOC8"/>
        <w:rPr>
          <w:rFonts w:asciiTheme="minorHAnsi" w:eastAsiaTheme="minorEastAsia" w:hAnsiTheme="minorHAnsi" w:cstheme="minorBidi"/>
          <w:szCs w:val="22"/>
        </w:rPr>
      </w:pPr>
      <w:r>
        <w:t>40.</w:t>
      </w:r>
      <w:r>
        <w:tab/>
        <w:t xml:space="preserve">Right of review by State </w:t>
      </w:r>
      <w:r>
        <w:rPr>
          <w:snapToGrid w:val="0"/>
        </w:rPr>
        <w:t>Administrative Tribunal</w:t>
      </w:r>
      <w:r>
        <w:tab/>
      </w:r>
      <w:r>
        <w:fldChar w:fldCharType="begin"/>
      </w:r>
      <w:r>
        <w:instrText xml:space="preserve"> PAGEREF _Toc107485051 \h </w:instrText>
      </w:r>
      <w:r>
        <w:fldChar w:fldCharType="separate"/>
      </w:r>
      <w:r>
        <w:t>35</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_Toc107485052 \h </w:instrText>
      </w:r>
      <w:r>
        <w:fldChar w:fldCharType="separate"/>
      </w:r>
      <w:r>
        <w:t>36</w:t>
      </w:r>
      <w:r>
        <w:fldChar w:fldCharType="end"/>
      </w:r>
    </w:p>
    <w:p>
      <w:pPr>
        <w:pStyle w:val="TOC8"/>
        <w:rPr>
          <w:rFonts w:asciiTheme="minorHAnsi" w:eastAsiaTheme="minorEastAsia" w:hAnsiTheme="minorHAnsi" w:cstheme="minorBidi"/>
          <w:szCs w:val="22"/>
        </w:rPr>
      </w:pPr>
      <w:r>
        <w:t>43.</w:t>
      </w:r>
      <w:r>
        <w:rPr>
          <w:vertAlign w:val="superscript"/>
        </w:rPr>
        <w:t> 1MC</w:t>
      </w:r>
      <w:r>
        <w:tab/>
        <w:t xml:space="preserve">Proceedings before State </w:t>
      </w:r>
      <w:r>
        <w:rPr>
          <w:snapToGrid w:val="0"/>
        </w:rPr>
        <w:t>Administrative Tribunal</w:t>
      </w:r>
      <w:r>
        <w:tab/>
      </w:r>
      <w:r>
        <w:fldChar w:fldCharType="begin"/>
      </w:r>
      <w:r>
        <w:instrText xml:space="preserve"> PAGEREF _Toc107485053 \h </w:instrText>
      </w:r>
      <w:r>
        <w:fldChar w:fldCharType="separate"/>
      </w:r>
      <w:r>
        <w:t>36</w:t>
      </w:r>
      <w:r>
        <w:fldChar w:fldCharType="end"/>
      </w:r>
    </w:p>
    <w:p>
      <w:pPr>
        <w:pStyle w:val="TOC8"/>
        <w:rPr>
          <w:rFonts w:asciiTheme="minorHAnsi" w:eastAsiaTheme="minorEastAsia" w:hAnsiTheme="minorHAnsi" w:cstheme="minorBidi"/>
          <w:szCs w:val="22"/>
        </w:rPr>
      </w:pPr>
      <w:r>
        <w:t>43A.</w:t>
      </w:r>
      <w:r>
        <w:tab/>
        <w:t xml:space="preserve">Appeal from decision of State </w:t>
      </w:r>
      <w:r>
        <w:rPr>
          <w:snapToGrid w:val="0"/>
        </w:rPr>
        <w:t>Administrative Tribunal</w:t>
      </w:r>
      <w:r>
        <w:tab/>
      </w:r>
      <w:r>
        <w:fldChar w:fldCharType="begin"/>
      </w:r>
      <w:r>
        <w:instrText xml:space="preserve"> PAGEREF _Toc107485054 \h </w:instrText>
      </w:r>
      <w:r>
        <w:fldChar w:fldCharType="separate"/>
      </w:r>
      <w:r>
        <w:t>39</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_Toc107485055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Payment and refund of tax</w:t>
      </w:r>
    </w:p>
    <w:p>
      <w:pPr>
        <w:pStyle w:val="TOC4"/>
        <w:tabs>
          <w:tab w:val="right" w:leader="dot" w:pos="7077"/>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_Toc107485058 \h </w:instrText>
      </w:r>
      <w:r>
        <w:fldChar w:fldCharType="separate"/>
      </w:r>
      <w:r>
        <w:t>41</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_Toc107485059 \h </w:instrText>
      </w:r>
      <w:r>
        <w:fldChar w:fldCharType="separate"/>
      </w:r>
      <w:r>
        <w:t>41</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_Toc107485060 \h </w:instrText>
      </w:r>
      <w:r>
        <w:fldChar w:fldCharType="separate"/>
      </w:r>
      <w:r>
        <w:t>41</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_Toc107485061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_Toc107485063 \h </w:instrText>
      </w:r>
      <w:r>
        <w:fldChar w:fldCharType="separate"/>
      </w:r>
      <w:r>
        <w:t>43</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_Toc107485064 \h </w:instrText>
      </w:r>
      <w:r>
        <w:fldChar w:fldCharType="separate"/>
      </w:r>
      <w:r>
        <w:t>44</w:t>
      </w:r>
      <w:r>
        <w:fldChar w:fldCharType="end"/>
      </w:r>
    </w:p>
    <w:p>
      <w:pPr>
        <w:pStyle w:val="TOC8"/>
        <w:rPr>
          <w:rFonts w:asciiTheme="minorHAnsi" w:eastAsiaTheme="minorEastAsia" w:hAnsiTheme="minorHAnsi" w:cstheme="minorBidi"/>
          <w:szCs w:val="22"/>
        </w:rPr>
      </w:pPr>
      <w:r>
        <w:t>51.</w:t>
      </w:r>
      <w:r>
        <w:tab/>
        <w:t>Improper endorsement or certification of instrument</w:t>
      </w:r>
      <w:r>
        <w:tab/>
      </w:r>
      <w:r>
        <w:fldChar w:fldCharType="begin"/>
      </w:r>
      <w:r>
        <w:instrText xml:space="preserve"> PAGEREF _Toc107485065 \h </w:instrText>
      </w:r>
      <w:r>
        <w:fldChar w:fldCharType="separate"/>
      </w:r>
      <w:r>
        <w:t>45</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_Toc107485066 \h </w:instrText>
      </w:r>
      <w:r>
        <w:fldChar w:fldCharType="separate"/>
      </w:r>
      <w:r>
        <w:t>45</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_Toc107485067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Refunds</w:t>
      </w:r>
      <w:r>
        <w:tab/>
      </w:r>
      <w:r>
        <w:fldChar w:fldCharType="begin"/>
      </w:r>
      <w:r>
        <w:instrText xml:space="preserve"> PAGEREF _Toc107485069 \h </w:instrText>
      </w:r>
      <w:r>
        <w:fldChar w:fldCharType="separate"/>
      </w:r>
      <w:r>
        <w:t>46</w:t>
      </w:r>
      <w:r>
        <w:fldChar w:fldCharType="end"/>
      </w:r>
    </w:p>
    <w:p>
      <w:pPr>
        <w:pStyle w:val="TOC8"/>
        <w:rPr>
          <w:rFonts w:asciiTheme="minorHAnsi" w:eastAsiaTheme="minorEastAsia" w:hAnsiTheme="minorHAnsi" w:cstheme="minorBidi"/>
          <w:szCs w:val="22"/>
        </w:rPr>
      </w:pPr>
      <w:r>
        <w:t>54A.</w:t>
      </w:r>
      <w:r>
        <w:tab/>
        <w:t xml:space="preserve">Interest on refunds resulting from proceedings under </w:t>
      </w:r>
      <w:r>
        <w:rPr>
          <w:i/>
        </w:rPr>
        <w:t>Valuation of Land Act 1978</w:t>
      </w:r>
      <w:r>
        <w:tab/>
      </w:r>
      <w:r>
        <w:fldChar w:fldCharType="begin"/>
      </w:r>
      <w:r>
        <w:instrText xml:space="preserve"> PAGEREF _Toc107485070 \h </w:instrText>
      </w:r>
      <w:r>
        <w:fldChar w:fldCharType="separate"/>
      </w:r>
      <w:r>
        <w:t>47</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_Toc107485071 \h </w:instrText>
      </w:r>
      <w:r>
        <w:fldChar w:fldCharType="separate"/>
      </w:r>
      <w:r>
        <w:t>48</w:t>
      </w:r>
      <w:r>
        <w:fldChar w:fldCharType="end"/>
      </w:r>
    </w:p>
    <w:p>
      <w:pPr>
        <w:pStyle w:val="TOC8"/>
        <w:rPr>
          <w:rFonts w:asciiTheme="minorHAnsi" w:eastAsiaTheme="minorEastAsia" w:hAnsiTheme="minorHAnsi" w:cstheme="minorBidi"/>
          <w:szCs w:val="22"/>
        </w:rPr>
      </w:pPr>
      <w:r>
        <w:t>55.</w:t>
      </w:r>
      <w:r>
        <w:tab/>
        <w:t>Refunds or credits to be passed on to third parties in some cases</w:t>
      </w:r>
      <w:r>
        <w:tab/>
      </w:r>
      <w:r>
        <w:fldChar w:fldCharType="begin"/>
      </w:r>
      <w:r>
        <w:instrText xml:space="preserve"> PAGEREF _Toc107485072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Waiving tax</w:t>
      </w:r>
      <w:r>
        <w:tab/>
      </w:r>
      <w:r>
        <w:fldChar w:fldCharType="begin"/>
      </w:r>
      <w:r>
        <w:instrText xml:space="preserve"> PAGEREF _Toc107485074 \h </w:instrText>
      </w:r>
      <w:r>
        <w:fldChar w:fldCharType="separate"/>
      </w:r>
      <w:r>
        <w:t>50</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_Toc107485075 \h </w:instrText>
      </w:r>
      <w:r>
        <w:fldChar w:fldCharType="separate"/>
      </w:r>
      <w:r>
        <w:t>51</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_Toc107485076 \h </w:instrText>
      </w:r>
      <w:r>
        <w:fldChar w:fldCharType="separate"/>
      </w:r>
      <w:r>
        <w:t>51</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_Toc107485077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Recovery of tax</w:t>
      </w:r>
    </w:p>
    <w:p>
      <w:pPr>
        <w:pStyle w:val="TOC4"/>
        <w:tabs>
          <w:tab w:val="right" w:leader="dot" w:pos="7077"/>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rPr>
          <w:vertAlign w:val="superscript"/>
        </w:rPr>
        <w:t> 1MC</w:t>
      </w:r>
      <w:r>
        <w:tab/>
        <w:t>Recovery of unpaid tax</w:t>
      </w:r>
      <w:r>
        <w:tab/>
      </w:r>
      <w:r>
        <w:fldChar w:fldCharType="begin"/>
      </w:r>
      <w:r>
        <w:instrText xml:space="preserve"> PAGEREF _Toc107485080 \h </w:instrText>
      </w:r>
      <w:r>
        <w:fldChar w:fldCharType="separate"/>
      </w:r>
      <w:r>
        <w:t>52</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_Toc107485081 \h </w:instrText>
      </w:r>
      <w:r>
        <w:fldChar w:fldCharType="separate"/>
      </w:r>
      <w:r>
        <w:t>52</w:t>
      </w:r>
      <w:r>
        <w:fldChar w:fldCharType="end"/>
      </w:r>
    </w:p>
    <w:p>
      <w:pPr>
        <w:pStyle w:val="TOC8"/>
        <w:rPr>
          <w:rFonts w:asciiTheme="minorHAnsi" w:eastAsiaTheme="minorEastAsia" w:hAnsiTheme="minorHAnsi" w:cstheme="minorBidi"/>
          <w:szCs w:val="22"/>
        </w:rPr>
      </w:pPr>
      <w:r>
        <w:t>62.</w:t>
      </w:r>
      <w:r>
        <w:tab/>
        <w:t>This Part applies to tax and also costs and interest</w:t>
      </w:r>
      <w:r>
        <w:tab/>
      </w:r>
      <w:r>
        <w:fldChar w:fldCharType="begin"/>
      </w:r>
      <w:r>
        <w:instrText xml:space="preserve"> PAGEREF _Toc107485082 \h </w:instrText>
      </w:r>
      <w:r>
        <w:fldChar w:fldCharType="separate"/>
      </w:r>
      <w:r>
        <w:t>52</w:t>
      </w:r>
      <w:r>
        <w:fldChar w:fldCharType="end"/>
      </w:r>
    </w:p>
    <w:p>
      <w:pPr>
        <w:pStyle w:val="TOC8"/>
        <w:rPr>
          <w:rFonts w:asciiTheme="minorHAnsi" w:eastAsiaTheme="minorEastAsia" w:hAnsiTheme="minorHAnsi" w:cstheme="minorBidi"/>
          <w:szCs w:val="22"/>
        </w:rPr>
      </w:pPr>
      <w:r>
        <w:t>63.</w:t>
      </w:r>
      <w:r>
        <w:tab/>
        <w:t>Recovery in cases of joint liability</w:t>
      </w:r>
      <w:r>
        <w:tab/>
      </w:r>
      <w:r>
        <w:fldChar w:fldCharType="begin"/>
      </w:r>
      <w:r>
        <w:instrText xml:space="preserve"> PAGEREF _Toc107485083 \h </w:instrText>
      </w:r>
      <w:r>
        <w:fldChar w:fldCharType="separate"/>
      </w:r>
      <w:r>
        <w:t>53</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_Toc107485084 \h </w:instrText>
      </w:r>
      <w:r>
        <w:fldChar w:fldCharType="separate"/>
      </w:r>
      <w:r>
        <w:t>53</w:t>
      </w:r>
      <w:r>
        <w:fldChar w:fldCharType="end"/>
      </w:r>
    </w:p>
    <w:p>
      <w:pPr>
        <w:pStyle w:val="TOC8"/>
        <w:rPr>
          <w:rFonts w:asciiTheme="minorHAnsi" w:eastAsiaTheme="minorEastAsia" w:hAnsiTheme="minorHAnsi" w:cstheme="minorBidi"/>
          <w:szCs w:val="22"/>
        </w:rPr>
      </w:pPr>
      <w:r>
        <w:t>65.</w:t>
      </w:r>
      <w:r>
        <w:tab/>
        <w:t>Recovery from garnishee</w:t>
      </w:r>
      <w:r>
        <w:tab/>
      </w:r>
      <w:r>
        <w:fldChar w:fldCharType="begin"/>
      </w:r>
      <w:r>
        <w:instrText xml:space="preserve"> PAGEREF _Toc107485085 \h </w:instrText>
      </w:r>
      <w:r>
        <w:fldChar w:fldCharType="separate"/>
      </w:r>
      <w:r>
        <w:t>53</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_Toc107485086 \h </w:instrText>
      </w:r>
      <w:r>
        <w:fldChar w:fldCharType="separate"/>
      </w:r>
      <w:r>
        <w:t>55</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_Toc107485087 \h </w:instrText>
      </w:r>
      <w:r>
        <w:fldChar w:fldCharType="separate"/>
      </w:r>
      <w:r>
        <w:t>55</w:t>
      </w:r>
      <w:r>
        <w:fldChar w:fldCharType="end"/>
      </w:r>
    </w:p>
    <w:p>
      <w:pPr>
        <w:pStyle w:val="TOC8"/>
        <w:rPr>
          <w:rFonts w:asciiTheme="minorHAnsi" w:eastAsiaTheme="minorEastAsia" w:hAnsiTheme="minorHAnsi" w:cstheme="minorBidi"/>
          <w:szCs w:val="22"/>
        </w:rPr>
      </w:pPr>
      <w:r>
        <w:t>68.</w:t>
      </w:r>
      <w:r>
        <w:tab/>
        <w:t>Director or body corporate may apply to Supreme Court to set aside s. 67 notice</w:t>
      </w:r>
      <w:r>
        <w:tab/>
      </w:r>
      <w:r>
        <w:fldChar w:fldCharType="begin"/>
      </w:r>
      <w:r>
        <w:instrText xml:space="preserve"> PAGEREF _Toc107485088 \h </w:instrText>
      </w:r>
      <w:r>
        <w:fldChar w:fldCharType="separate"/>
      </w:r>
      <w:r>
        <w:t>57</w:t>
      </w:r>
      <w:r>
        <w:fldChar w:fldCharType="end"/>
      </w:r>
    </w:p>
    <w:p>
      <w:pPr>
        <w:pStyle w:val="TOC8"/>
        <w:rPr>
          <w:rFonts w:asciiTheme="minorHAnsi" w:eastAsiaTheme="minorEastAsia" w:hAnsiTheme="minorHAnsi" w:cstheme="minorBidi"/>
          <w:szCs w:val="22"/>
        </w:rPr>
      </w:pPr>
      <w:r>
        <w:t>69.</w:t>
      </w:r>
      <w:r>
        <w:tab/>
        <w:t>Proceedings on s. 68 application where genuine dispute as to assessment of pay-roll tax</w:t>
      </w:r>
      <w:r>
        <w:tab/>
      </w:r>
      <w:r>
        <w:fldChar w:fldCharType="begin"/>
      </w:r>
      <w:r>
        <w:instrText xml:space="preserve"> PAGEREF _Toc107485089 \h </w:instrText>
      </w:r>
      <w:r>
        <w:fldChar w:fldCharType="separate"/>
      </w:r>
      <w:r>
        <w:t>58</w:t>
      </w:r>
      <w:r>
        <w:fldChar w:fldCharType="end"/>
      </w:r>
    </w:p>
    <w:p>
      <w:pPr>
        <w:pStyle w:val="TOC8"/>
        <w:rPr>
          <w:rFonts w:asciiTheme="minorHAnsi" w:eastAsiaTheme="minorEastAsia" w:hAnsiTheme="minorHAnsi" w:cstheme="minorBidi"/>
          <w:szCs w:val="22"/>
        </w:rPr>
      </w:pPr>
      <w:r>
        <w:t>70.</w:t>
      </w:r>
      <w:r>
        <w:tab/>
        <w:t>On s. 68 application, court may set aside s. 67 notice etc.</w:t>
      </w:r>
      <w:r>
        <w:tab/>
      </w:r>
      <w:r>
        <w:fldChar w:fldCharType="begin"/>
      </w:r>
      <w:r>
        <w:instrText xml:space="preserve"> PAGEREF _Toc107485090 \h </w:instrText>
      </w:r>
      <w:r>
        <w:fldChar w:fldCharType="separate"/>
      </w:r>
      <w:r>
        <w:t>58</w:t>
      </w:r>
      <w:r>
        <w:fldChar w:fldCharType="end"/>
      </w:r>
    </w:p>
    <w:p>
      <w:pPr>
        <w:pStyle w:val="TOC8"/>
        <w:rPr>
          <w:rFonts w:asciiTheme="minorHAnsi" w:eastAsiaTheme="minorEastAsia" w:hAnsiTheme="minorHAnsi" w:cstheme="minorBidi"/>
          <w:szCs w:val="22"/>
        </w:rPr>
      </w:pPr>
      <w:r>
        <w:t>71.</w:t>
      </w:r>
      <w:r>
        <w:tab/>
        <w:t>Effect of order setting aside s. 67 notice</w:t>
      </w:r>
      <w:r>
        <w:tab/>
      </w:r>
      <w:r>
        <w:fldChar w:fldCharType="begin"/>
      </w:r>
      <w:r>
        <w:instrText xml:space="preserve"> PAGEREF _Toc107485091 \h </w:instrText>
      </w:r>
      <w:r>
        <w:fldChar w:fldCharType="separate"/>
      </w:r>
      <w:r>
        <w:t>58</w:t>
      </w:r>
      <w:r>
        <w:fldChar w:fldCharType="end"/>
      </w:r>
    </w:p>
    <w:p>
      <w:pPr>
        <w:pStyle w:val="TOC8"/>
        <w:rPr>
          <w:rFonts w:asciiTheme="minorHAnsi" w:eastAsiaTheme="minorEastAsia" w:hAnsiTheme="minorHAnsi" w:cstheme="minorBidi"/>
          <w:szCs w:val="22"/>
        </w:rPr>
      </w:pPr>
      <w:r>
        <w:t>72.</w:t>
      </w:r>
      <w:r>
        <w:tab/>
        <w:t>Dismissal of s. 68 application</w:t>
      </w:r>
      <w:r>
        <w:tab/>
      </w:r>
      <w:r>
        <w:fldChar w:fldCharType="begin"/>
      </w:r>
      <w:r>
        <w:instrText xml:space="preserve"> PAGEREF _Toc107485092 \h </w:instrText>
      </w:r>
      <w:r>
        <w:fldChar w:fldCharType="separate"/>
      </w:r>
      <w:r>
        <w:t>59</w:t>
      </w:r>
      <w:r>
        <w:fldChar w:fldCharType="end"/>
      </w:r>
    </w:p>
    <w:p>
      <w:pPr>
        <w:pStyle w:val="TOC8"/>
        <w:rPr>
          <w:rFonts w:asciiTheme="minorHAnsi" w:eastAsiaTheme="minorEastAsia" w:hAnsiTheme="minorHAnsi" w:cstheme="minorBidi"/>
          <w:szCs w:val="22"/>
        </w:rPr>
      </w:pPr>
      <w:r>
        <w:t>73.</w:t>
      </w:r>
      <w:r>
        <w:tab/>
        <w:t>Order under s. 69 or 70 may be subject to conditions</w:t>
      </w:r>
      <w:r>
        <w:tab/>
      </w:r>
      <w:r>
        <w:fldChar w:fldCharType="begin"/>
      </w:r>
      <w:r>
        <w:instrText xml:space="preserve"> PAGEREF _Toc107485093 \h </w:instrText>
      </w:r>
      <w:r>
        <w:fldChar w:fldCharType="separate"/>
      </w:r>
      <w:r>
        <w:t>59</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_Toc107485094 \h </w:instrText>
      </w:r>
      <w:r>
        <w:fldChar w:fldCharType="separate"/>
      </w:r>
      <w:r>
        <w:t>59</w:t>
      </w:r>
      <w:r>
        <w:fldChar w:fldCharType="end"/>
      </w:r>
    </w:p>
    <w:p>
      <w:pPr>
        <w:pStyle w:val="TOC8"/>
        <w:rPr>
          <w:rFonts w:asciiTheme="minorHAnsi" w:eastAsiaTheme="minorEastAsia" w:hAnsiTheme="minorHAnsi" w:cstheme="minorBidi"/>
          <w:szCs w:val="22"/>
        </w:rPr>
      </w:pPr>
      <w:r>
        <w:t>75.</w:t>
      </w:r>
      <w:r>
        <w:tab/>
        <w:t>Period for complying with s. 67 notice if s. 68 application made</w:t>
      </w:r>
      <w:r>
        <w:tab/>
      </w:r>
      <w:r>
        <w:fldChar w:fldCharType="begin"/>
      </w:r>
      <w:r>
        <w:instrText xml:space="preserve"> PAGEREF _Toc107485095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Terms used</w:t>
      </w:r>
      <w:r>
        <w:tab/>
      </w:r>
      <w:r>
        <w:fldChar w:fldCharType="begin"/>
      </w:r>
      <w:r>
        <w:instrText xml:space="preserve"> PAGEREF _Toc107485097 \h </w:instrText>
      </w:r>
      <w:r>
        <w:fldChar w:fldCharType="separate"/>
      </w:r>
      <w:r>
        <w:t>59</w:t>
      </w:r>
      <w:r>
        <w:fldChar w:fldCharType="end"/>
      </w:r>
    </w:p>
    <w:p>
      <w:pPr>
        <w:pStyle w:val="TOC8"/>
        <w:rPr>
          <w:rFonts w:asciiTheme="minorHAnsi" w:eastAsiaTheme="minorEastAsia" w:hAnsiTheme="minorHAnsi" w:cstheme="minorBidi"/>
          <w:szCs w:val="22"/>
        </w:rPr>
      </w:pPr>
      <w:r>
        <w:t>76.</w:t>
      </w:r>
      <w:r>
        <w:rPr>
          <w:vertAlign w:val="superscript"/>
        </w:rPr>
        <w:t> 1MC</w:t>
      </w:r>
      <w:r>
        <w:tab/>
        <w:t>Charge on land to secure land tax</w:t>
      </w:r>
      <w:r>
        <w:tab/>
      </w:r>
      <w:r>
        <w:fldChar w:fldCharType="begin"/>
      </w:r>
      <w:r>
        <w:instrText xml:space="preserve"> PAGEREF _Toc107485098 \h </w:instrText>
      </w:r>
      <w:r>
        <w:fldChar w:fldCharType="separate"/>
      </w:r>
      <w:r>
        <w:t>61</w:t>
      </w:r>
      <w:r>
        <w:fldChar w:fldCharType="end"/>
      </w:r>
    </w:p>
    <w:p>
      <w:pPr>
        <w:pStyle w:val="TOC8"/>
        <w:rPr>
          <w:rFonts w:asciiTheme="minorHAnsi" w:eastAsiaTheme="minorEastAsia" w:hAnsiTheme="minorHAnsi" w:cstheme="minorBidi"/>
          <w:szCs w:val="22"/>
        </w:rPr>
      </w:pPr>
      <w:r>
        <w:t>77.</w:t>
      </w:r>
      <w:r>
        <w:rPr>
          <w:vertAlign w:val="superscript"/>
        </w:rPr>
        <w:t>  1MC</w:t>
      </w:r>
      <w:r>
        <w:tab/>
        <w:t>Charge on land to secure stamp duty</w:t>
      </w:r>
      <w:r>
        <w:tab/>
      </w:r>
      <w:r>
        <w:fldChar w:fldCharType="begin"/>
      </w:r>
      <w:r>
        <w:instrText xml:space="preserve"> PAGEREF _Toc107485099 \h </w:instrText>
      </w:r>
      <w:r>
        <w:fldChar w:fldCharType="separate"/>
      </w:r>
      <w:r>
        <w:t>62</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_Toc107485100 \h </w:instrText>
      </w:r>
      <w:r>
        <w:fldChar w:fldCharType="separate"/>
      </w:r>
      <w:r>
        <w:t>64</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_Toc107485101 \h </w:instrText>
      </w:r>
      <w:r>
        <w:fldChar w:fldCharType="separate"/>
      </w:r>
      <w:r>
        <w:t>66</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_Toc107485102 \h </w:instrText>
      </w:r>
      <w:r>
        <w:fldChar w:fldCharType="separate"/>
      </w:r>
      <w:r>
        <w:t>66</w:t>
      </w:r>
      <w:r>
        <w:fldChar w:fldCharType="end"/>
      </w:r>
    </w:p>
    <w:p>
      <w:pPr>
        <w:pStyle w:val="TOC8"/>
        <w:rPr>
          <w:rFonts w:asciiTheme="minorHAnsi" w:eastAsiaTheme="minorEastAsia" w:hAnsiTheme="minorHAnsi" w:cstheme="minorBidi"/>
          <w:szCs w:val="22"/>
        </w:rPr>
      </w:pPr>
      <w:r>
        <w:t>80.</w:t>
      </w:r>
      <w:r>
        <w:tab/>
        <w:t>Certificate as to charge to secure unpaid land tax</w:t>
      </w:r>
      <w:r>
        <w:tab/>
      </w:r>
      <w:r>
        <w:fldChar w:fldCharType="begin"/>
      </w:r>
      <w:r>
        <w:instrText xml:space="preserve"> PAGEREF _Toc107485103 \h </w:instrText>
      </w:r>
      <w:r>
        <w:fldChar w:fldCharType="separate"/>
      </w:r>
      <w:r>
        <w:t>67</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_Toc107485104 \h </w:instrText>
      </w:r>
      <w:r>
        <w:fldChar w:fldCharType="separate"/>
      </w:r>
      <w:r>
        <w:t>68</w:t>
      </w:r>
      <w:r>
        <w:fldChar w:fldCharType="end"/>
      </w:r>
    </w:p>
    <w:p>
      <w:pPr>
        <w:pStyle w:val="TOC8"/>
        <w:rPr>
          <w:rFonts w:asciiTheme="minorHAnsi" w:eastAsiaTheme="minorEastAsia" w:hAnsiTheme="minorHAnsi" w:cstheme="minorBidi"/>
          <w:szCs w:val="22"/>
        </w:rPr>
      </w:pPr>
      <w:r>
        <w:t>82.</w:t>
      </w:r>
      <w:r>
        <w:tab/>
        <w:t>Memorials etc. affecting TLA land or real property, lodging etc.</w:t>
      </w:r>
      <w:r>
        <w:tab/>
      </w:r>
      <w:r>
        <w:fldChar w:fldCharType="begin"/>
      </w:r>
      <w:r>
        <w:instrText xml:space="preserve"> PAGEREF _Toc107485105 \h </w:instrText>
      </w:r>
      <w:r>
        <w:fldChar w:fldCharType="separate"/>
      </w:r>
      <w:r>
        <w:t>69</w:t>
      </w:r>
      <w:r>
        <w:fldChar w:fldCharType="end"/>
      </w:r>
    </w:p>
    <w:p>
      <w:pPr>
        <w:pStyle w:val="TOC8"/>
        <w:rPr>
          <w:rFonts w:asciiTheme="minorHAnsi" w:eastAsiaTheme="minorEastAsia" w:hAnsiTheme="minorHAnsi" w:cstheme="minorBidi"/>
          <w:szCs w:val="22"/>
        </w:rPr>
      </w:pPr>
      <w:r>
        <w:t>83.</w:t>
      </w:r>
      <w:r>
        <w:tab/>
        <w:t>Memorials affecting mining tenements, lodging etc.</w:t>
      </w:r>
      <w:r>
        <w:tab/>
      </w:r>
      <w:r>
        <w:fldChar w:fldCharType="begin"/>
      </w:r>
      <w:r>
        <w:instrText xml:space="preserve"> PAGEREF _Toc107485106 \h </w:instrText>
      </w:r>
      <w:r>
        <w:fldChar w:fldCharType="separate"/>
      </w:r>
      <w:r>
        <w:t>70</w:t>
      </w:r>
      <w:r>
        <w:fldChar w:fldCharType="end"/>
      </w:r>
    </w:p>
    <w:p>
      <w:pPr>
        <w:pStyle w:val="TOC8"/>
        <w:rPr>
          <w:rFonts w:asciiTheme="minorHAnsi" w:eastAsiaTheme="minorEastAsia" w:hAnsiTheme="minorHAnsi" w:cstheme="minorBidi"/>
          <w:szCs w:val="22"/>
        </w:rPr>
      </w:pPr>
      <w:r>
        <w:t>84.</w:t>
      </w:r>
      <w:r>
        <w:tab/>
        <w:t>Mortgagees to be notified if memorial registered</w:t>
      </w:r>
      <w:r>
        <w:tab/>
      </w:r>
      <w:r>
        <w:fldChar w:fldCharType="begin"/>
      </w:r>
      <w:r>
        <w:instrText xml:space="preserve"> PAGEREF _Toc107485107 \h </w:instrText>
      </w:r>
      <w:r>
        <w:fldChar w:fldCharType="separate"/>
      </w:r>
      <w:r>
        <w:t>70</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_Toc107485108 \h </w:instrText>
      </w:r>
      <w:r>
        <w:fldChar w:fldCharType="separate"/>
      </w:r>
      <w:r>
        <w:t>71</w:t>
      </w:r>
      <w:r>
        <w:fldChar w:fldCharType="end"/>
      </w:r>
    </w:p>
    <w:p>
      <w:pPr>
        <w:pStyle w:val="TOC8"/>
        <w:rPr>
          <w:rFonts w:asciiTheme="minorHAnsi" w:eastAsiaTheme="minorEastAsia" w:hAnsiTheme="minorHAnsi" w:cstheme="minorBidi"/>
          <w:szCs w:val="22"/>
        </w:rPr>
      </w:pPr>
      <w:r>
        <w:lastRenderedPageBreak/>
        <w:t>86.</w:t>
      </w:r>
      <w:r>
        <w:tab/>
        <w:t>Means of enforcement not limited to charge</w:t>
      </w:r>
      <w:r>
        <w:tab/>
      </w:r>
      <w:r>
        <w:fldChar w:fldCharType="begin"/>
      </w:r>
      <w:r>
        <w:instrText xml:space="preserve"> PAGEREF _Toc107485109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to be kept</w:t>
      </w:r>
      <w:r>
        <w:tab/>
      </w:r>
      <w:r>
        <w:fldChar w:fldCharType="begin"/>
      </w:r>
      <w:r>
        <w:instrText xml:space="preserve"> PAGEREF _Toc107485111 \h </w:instrText>
      </w:r>
      <w:r>
        <w:fldChar w:fldCharType="separate"/>
      </w:r>
      <w:r>
        <w:t>74</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_Toc107485112 \h </w:instrText>
      </w:r>
      <w:r>
        <w:fldChar w:fldCharType="separate"/>
      </w:r>
      <w:r>
        <w:t>74</w:t>
      </w:r>
      <w:r>
        <w:fldChar w:fldCharType="end"/>
      </w:r>
    </w:p>
    <w:p>
      <w:pPr>
        <w:pStyle w:val="TOC8"/>
        <w:rPr>
          <w:rFonts w:asciiTheme="minorHAnsi" w:eastAsiaTheme="minorEastAsia" w:hAnsiTheme="minorHAnsi" w:cstheme="minorBidi"/>
          <w:szCs w:val="22"/>
        </w:rPr>
      </w:pPr>
      <w:r>
        <w:t>89.</w:t>
      </w:r>
      <w:r>
        <w:tab/>
        <w:t>Where tax records to be kept</w:t>
      </w:r>
      <w:r>
        <w:tab/>
      </w:r>
      <w:r>
        <w:fldChar w:fldCharType="begin"/>
      </w:r>
      <w:r>
        <w:instrText xml:space="preserve"> PAGEREF _Toc107485113 \h </w:instrText>
      </w:r>
      <w:r>
        <w:fldChar w:fldCharType="separate"/>
      </w:r>
      <w:r>
        <w:t>75</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_Toc107485114 \h </w:instrText>
      </w:r>
      <w:r>
        <w:fldChar w:fldCharType="separate"/>
      </w:r>
      <w:r>
        <w:t>75</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_Toc107485115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Investigations</w:t>
      </w:r>
    </w:p>
    <w:p>
      <w:pPr>
        <w:pStyle w:val="TOC4"/>
        <w:tabs>
          <w:tab w:val="right" w:leader="dot" w:pos="7077"/>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 purposes of</w:t>
      </w:r>
      <w:r>
        <w:tab/>
      </w:r>
      <w:r>
        <w:fldChar w:fldCharType="begin"/>
      </w:r>
      <w:r>
        <w:instrText xml:space="preserve"> PAGEREF _Toc107485118 \h </w:instrText>
      </w:r>
      <w:r>
        <w:fldChar w:fldCharType="separate"/>
      </w:r>
      <w:r>
        <w:t>77</w:t>
      </w:r>
      <w:r>
        <w:fldChar w:fldCharType="end"/>
      </w:r>
    </w:p>
    <w:p>
      <w:pPr>
        <w:pStyle w:val="TOC8"/>
        <w:rPr>
          <w:rFonts w:asciiTheme="minorHAnsi" w:eastAsiaTheme="minorEastAsia" w:hAnsiTheme="minorHAnsi" w:cstheme="minorBidi"/>
          <w:szCs w:val="22"/>
        </w:rPr>
      </w:pPr>
      <w:r>
        <w:t>93.</w:t>
      </w:r>
      <w:r>
        <w:tab/>
        <w:t>Investigations for purposes of recognised revenue laws</w:t>
      </w:r>
      <w:r>
        <w:tab/>
      </w:r>
      <w:r>
        <w:fldChar w:fldCharType="begin"/>
      </w:r>
      <w:r>
        <w:instrText xml:space="preserve"> PAGEREF _Toc107485119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Power to require person to provide information</w:t>
      </w:r>
      <w:r>
        <w:tab/>
      </w:r>
      <w:r>
        <w:fldChar w:fldCharType="begin"/>
      </w:r>
      <w:r>
        <w:instrText xml:space="preserve"> PAGEREF _Toc107485121 \h </w:instrText>
      </w:r>
      <w:r>
        <w:fldChar w:fldCharType="separate"/>
      </w:r>
      <w:r>
        <w:t>78</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_Toc107485122 \h </w:instrText>
      </w:r>
      <w:r>
        <w:fldChar w:fldCharType="separate"/>
      </w:r>
      <w:r>
        <w:t>79</w:t>
      </w:r>
      <w:r>
        <w:fldChar w:fldCharType="end"/>
      </w:r>
    </w:p>
    <w:p>
      <w:pPr>
        <w:pStyle w:val="TOC8"/>
        <w:rPr>
          <w:rFonts w:asciiTheme="minorHAnsi" w:eastAsiaTheme="minorEastAsia" w:hAnsiTheme="minorHAnsi" w:cstheme="minorBidi"/>
          <w:szCs w:val="22"/>
        </w:rPr>
      </w:pPr>
      <w:r>
        <w:t>96.</w:t>
      </w:r>
      <w:r>
        <w:tab/>
        <w:t>Power to retain documents and other records</w:t>
      </w:r>
      <w:r>
        <w:tab/>
      </w:r>
      <w:r>
        <w:fldChar w:fldCharType="begin"/>
      </w:r>
      <w:r>
        <w:instrText xml:space="preserve"> PAGEREF _Toc107485123 \h </w:instrText>
      </w:r>
      <w:r>
        <w:fldChar w:fldCharType="separate"/>
      </w:r>
      <w:r>
        <w:t>80</w:t>
      </w:r>
      <w:r>
        <w:fldChar w:fldCharType="end"/>
      </w:r>
    </w:p>
    <w:p>
      <w:pPr>
        <w:pStyle w:val="TOC8"/>
        <w:rPr>
          <w:rFonts w:asciiTheme="minorHAnsi" w:eastAsiaTheme="minorEastAsia" w:hAnsiTheme="minorHAnsi" w:cstheme="minorBidi"/>
          <w:szCs w:val="22"/>
        </w:rPr>
      </w:pPr>
      <w:r>
        <w:t>97.</w:t>
      </w:r>
      <w:r>
        <w:tab/>
        <w:t>Recording proceedings under s. 95</w:t>
      </w:r>
      <w:r>
        <w:tab/>
      </w:r>
      <w:r>
        <w:fldChar w:fldCharType="begin"/>
      </w:r>
      <w:r>
        <w:instrText xml:space="preserve"> PAGEREF _Toc107485124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Power to enter premises</w:t>
      </w:r>
      <w:r>
        <w:tab/>
      </w:r>
      <w:r>
        <w:fldChar w:fldCharType="begin"/>
      </w:r>
      <w:r>
        <w:instrText xml:space="preserve"> PAGEREF _Toc107485126 \h </w:instrText>
      </w:r>
      <w:r>
        <w:fldChar w:fldCharType="separate"/>
      </w:r>
      <w:r>
        <w:t>81</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_Toc107485127 \h </w:instrText>
      </w:r>
      <w:r>
        <w:fldChar w:fldCharType="separate"/>
      </w:r>
      <w:r>
        <w:t>82</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_Toc107485128 \h </w:instrText>
      </w:r>
      <w:r>
        <w:fldChar w:fldCharType="separate"/>
      </w:r>
      <w:r>
        <w:t>85</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_Toc107485129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requirements to provide information</w:t>
      </w:r>
      <w:r>
        <w:tab/>
      </w:r>
      <w:r>
        <w:fldChar w:fldCharType="begin"/>
      </w:r>
      <w:r>
        <w:instrText xml:space="preserve"> PAGEREF _Toc107485131 \h </w:instrText>
      </w:r>
      <w:r>
        <w:fldChar w:fldCharType="separate"/>
      </w:r>
      <w:r>
        <w:t>86</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_Toc107485132 \h </w:instrText>
      </w:r>
      <w:r>
        <w:fldChar w:fldCharType="separate"/>
      </w:r>
      <w:r>
        <w:t>86</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_Toc107485133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_Toc107485135 \h </w:instrText>
      </w:r>
      <w:r>
        <w:fldChar w:fldCharType="separate"/>
      </w:r>
      <w:r>
        <w:t>90</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_Toc107485136 \h </w:instrText>
      </w:r>
      <w:r>
        <w:fldChar w:fldCharType="separate"/>
      </w:r>
      <w:r>
        <w:t>90</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_Toc107485137 \h </w:instrText>
      </w:r>
      <w:r>
        <w:fldChar w:fldCharType="separate"/>
      </w:r>
      <w:r>
        <w:t>90</w:t>
      </w:r>
      <w:r>
        <w:fldChar w:fldCharType="end"/>
      </w:r>
    </w:p>
    <w:p>
      <w:pPr>
        <w:pStyle w:val="TOC8"/>
        <w:rPr>
          <w:rFonts w:asciiTheme="minorHAnsi" w:eastAsiaTheme="minorEastAsia" w:hAnsiTheme="minorHAnsi" w:cstheme="minorBidi"/>
          <w:szCs w:val="22"/>
        </w:rPr>
      </w:pPr>
      <w:r>
        <w:t>108.</w:t>
      </w:r>
      <w:r>
        <w:tab/>
        <w:t>Obstructing or misleading investigator</w:t>
      </w:r>
      <w:r>
        <w:tab/>
      </w:r>
      <w:r>
        <w:fldChar w:fldCharType="begin"/>
      </w:r>
      <w:r>
        <w:instrText xml:space="preserve"> PAGEREF _Toc107485138 \h </w:instrText>
      </w:r>
      <w:r>
        <w:fldChar w:fldCharType="separate"/>
      </w:r>
      <w:r>
        <w:t>91</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_Toc107485139 \h </w:instrText>
      </w:r>
      <w:r>
        <w:fldChar w:fldCharType="separate"/>
      </w:r>
      <w:r>
        <w:t>91</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_Toc107485140 \h </w:instrText>
      </w:r>
      <w:r>
        <w:fldChar w:fldCharType="separate"/>
      </w:r>
      <w:r>
        <w:t>92</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_Toc107485141 \h </w:instrText>
      </w:r>
      <w:r>
        <w:fldChar w:fldCharType="separate"/>
      </w:r>
      <w:r>
        <w:t>92</w:t>
      </w:r>
      <w:r>
        <w:fldChar w:fldCharType="end"/>
      </w:r>
    </w:p>
    <w:p>
      <w:pPr>
        <w:pStyle w:val="TOC8"/>
        <w:rPr>
          <w:rFonts w:asciiTheme="minorHAnsi" w:eastAsiaTheme="minorEastAsia" w:hAnsiTheme="minorHAnsi" w:cstheme="minorBidi"/>
          <w:szCs w:val="22"/>
        </w:rPr>
      </w:pPr>
      <w:r>
        <w:lastRenderedPageBreak/>
        <w:t>112.</w:t>
      </w:r>
      <w:r>
        <w:tab/>
        <w:t>Authority required for prosecution</w:t>
      </w:r>
      <w:r>
        <w:tab/>
      </w:r>
      <w:r>
        <w:fldChar w:fldCharType="begin"/>
      </w:r>
      <w:r>
        <w:instrText xml:space="preserve"> PAGEREF _Toc107485142 \h </w:instrText>
      </w:r>
      <w:r>
        <w:fldChar w:fldCharType="separate"/>
      </w:r>
      <w:r>
        <w:t>92</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_Toc107485143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rPr>
          <w:vertAlign w:val="superscript"/>
        </w:rPr>
        <w:t xml:space="preserve"> 1M, 1MC </w:t>
      </w:r>
      <w:r>
        <w:t>Duty of confidentiality</w:t>
      </w:r>
      <w:r>
        <w:tab/>
      </w:r>
      <w:r>
        <w:fldChar w:fldCharType="begin"/>
      </w:r>
      <w:r>
        <w:instrText xml:space="preserve"> PAGEREF _Toc107485146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Commissioner</w:t>
      </w:r>
      <w:r>
        <w:tab/>
      </w:r>
      <w:r>
        <w:fldChar w:fldCharType="begin"/>
      </w:r>
      <w:r>
        <w:instrText xml:space="preserve"> PAGEREF _Toc107485148 \h </w:instrText>
      </w:r>
      <w:r>
        <w:fldChar w:fldCharType="separate"/>
      </w:r>
      <w:r>
        <w:t>96</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_Toc107485149 \h </w:instrText>
      </w:r>
      <w:r>
        <w:fldChar w:fldCharType="separate"/>
      </w:r>
      <w:r>
        <w:t>97</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_Toc107485150 \h </w:instrText>
      </w:r>
      <w:r>
        <w:fldChar w:fldCharType="separate"/>
      </w:r>
      <w:r>
        <w:t>97</w:t>
      </w:r>
      <w:r>
        <w:fldChar w:fldCharType="end"/>
      </w:r>
    </w:p>
    <w:p>
      <w:pPr>
        <w:pStyle w:val="TOC8"/>
        <w:rPr>
          <w:rFonts w:asciiTheme="minorHAnsi" w:eastAsiaTheme="minorEastAsia" w:hAnsiTheme="minorHAnsi" w:cstheme="minorBidi"/>
          <w:szCs w:val="22"/>
        </w:rPr>
      </w:pPr>
      <w:r>
        <w:t>118.</w:t>
      </w:r>
      <w:r>
        <w:tab/>
        <w:t>This Division in addition to other laws about service</w:t>
      </w:r>
      <w:r>
        <w:tab/>
      </w:r>
      <w:r>
        <w:fldChar w:fldCharType="begin"/>
      </w:r>
      <w:r>
        <w:instrText xml:space="preserve"> PAGEREF _Toc107485151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_Toc107485153 \h </w:instrText>
      </w:r>
      <w:r>
        <w:fldChar w:fldCharType="separate"/>
      </w:r>
      <w:r>
        <w:t>98</w:t>
      </w:r>
      <w:r>
        <w:fldChar w:fldCharType="end"/>
      </w:r>
    </w:p>
    <w:p>
      <w:pPr>
        <w:pStyle w:val="TOC8"/>
        <w:rPr>
          <w:rFonts w:asciiTheme="minorHAnsi" w:eastAsiaTheme="minorEastAsia" w:hAnsiTheme="minorHAnsi" w:cstheme="minorBidi"/>
          <w:szCs w:val="22"/>
        </w:rPr>
      </w:pPr>
      <w:r>
        <w:t>120.</w:t>
      </w:r>
      <w:r>
        <w:tab/>
        <w:t>Evidentiary value of copies and reproductions of documents</w:t>
      </w:r>
      <w:r>
        <w:tab/>
      </w:r>
      <w:r>
        <w:fldChar w:fldCharType="begin"/>
      </w:r>
      <w:r>
        <w:instrText xml:space="preserve"> PAGEREF _Toc107485154 \h </w:instrText>
      </w:r>
      <w:r>
        <w:fldChar w:fldCharType="separate"/>
      </w:r>
      <w:r>
        <w:t>99</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_Toc107485155 \h </w:instrText>
      </w:r>
      <w:r>
        <w:fldChar w:fldCharType="separate"/>
      </w:r>
      <w:r>
        <w:t>99</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_Toc107485156 \h </w:instrText>
      </w:r>
      <w:r>
        <w:fldChar w:fldCharType="separate"/>
      </w:r>
      <w:r>
        <w:t>100</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_Toc107485157 \h </w:instrText>
      </w:r>
      <w:r>
        <w:fldChar w:fldCharType="separate"/>
      </w:r>
      <w:r>
        <w:t>100</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_Toc107485158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rPr>
          <w:vertAlign w:val="superscript"/>
        </w:rPr>
        <w:t> 1MC</w:t>
      </w:r>
      <w:r>
        <w:tab/>
        <w:t>Exemption from personal liability</w:t>
      </w:r>
      <w:r>
        <w:tab/>
      </w:r>
      <w:r>
        <w:fldChar w:fldCharType="begin"/>
      </w:r>
      <w:r>
        <w:instrText xml:space="preserve"> PAGEREF _Toc107485160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_Toc107485162 \h </w:instrText>
      </w:r>
      <w:r>
        <w:fldChar w:fldCharType="separate"/>
      </w:r>
      <w:r>
        <w:t>101</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_Toc107485163 \h </w:instrText>
      </w:r>
      <w:r>
        <w:fldChar w:fldCharType="separate"/>
      </w:r>
      <w:r>
        <w:t>102</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_Toc107485164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_Toc107485166 \h </w:instrText>
      </w:r>
      <w:r>
        <w:fldChar w:fldCharType="separate"/>
      </w:r>
      <w:r>
        <w:t>102</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_Toc107485167 \h </w:instrText>
      </w:r>
      <w:r>
        <w:fldChar w:fldCharType="separate"/>
      </w:r>
      <w:r>
        <w:t>103</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_Toc107485168 \h </w:instrText>
      </w:r>
      <w:r>
        <w:fldChar w:fldCharType="separate"/>
      </w:r>
      <w:r>
        <w:t>104</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_Toc107485169 \h </w:instrText>
      </w:r>
      <w:r>
        <w:fldChar w:fldCharType="separate"/>
      </w:r>
      <w:r>
        <w:t>104</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_Toc107485170 \h </w:instrText>
      </w:r>
      <w:r>
        <w:fldChar w:fldCharType="separate"/>
      </w:r>
      <w:r>
        <w:t>105</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_Toc107485171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7 — Emergency tax relief measures</w:t>
      </w:r>
    </w:p>
    <w:p>
      <w:pPr>
        <w:pStyle w:val="TOC8"/>
        <w:rPr>
          <w:rFonts w:asciiTheme="minorHAnsi" w:eastAsiaTheme="minorEastAsia" w:hAnsiTheme="minorHAnsi" w:cstheme="minorBidi"/>
          <w:szCs w:val="22"/>
        </w:rPr>
      </w:pPr>
      <w:r>
        <w:t>135.</w:t>
      </w:r>
      <w:r>
        <w:tab/>
        <w:t>Tax relief measures</w:t>
      </w:r>
      <w:r>
        <w:tab/>
      </w:r>
      <w:r>
        <w:fldChar w:fldCharType="begin"/>
      </w:r>
      <w:r>
        <w:instrText xml:space="preserve"> PAGEREF _Toc107485173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135A.</w:t>
      </w:r>
      <w:r>
        <w:tab/>
        <w:t>Treasurer may declare tax relief measure due to emergency</w:t>
      </w:r>
      <w:r>
        <w:tab/>
      </w:r>
      <w:r>
        <w:fldChar w:fldCharType="begin"/>
      </w:r>
      <w:r>
        <w:instrText xml:space="preserve"> PAGEREF _Toc107485174 \h </w:instrText>
      </w:r>
      <w:r>
        <w:fldChar w:fldCharType="separate"/>
      </w:r>
      <w:r>
        <w:t>107</w:t>
      </w:r>
      <w:r>
        <w:fldChar w:fldCharType="end"/>
      </w:r>
    </w:p>
    <w:p>
      <w:pPr>
        <w:pStyle w:val="TOC8"/>
        <w:rPr>
          <w:rFonts w:asciiTheme="minorHAnsi" w:eastAsiaTheme="minorEastAsia" w:hAnsiTheme="minorHAnsi" w:cstheme="minorBidi"/>
          <w:szCs w:val="22"/>
        </w:rPr>
      </w:pPr>
      <w:r>
        <w:t>135B.</w:t>
      </w:r>
      <w:r>
        <w:tab/>
        <w:t>Amendment and revocation of tax relief declaration</w:t>
      </w:r>
      <w:r>
        <w:tab/>
      </w:r>
      <w:r>
        <w:fldChar w:fldCharType="begin"/>
      </w:r>
      <w:r>
        <w:instrText xml:space="preserve"> PAGEREF _Toc107485175 \h </w:instrText>
      </w:r>
      <w:r>
        <w:fldChar w:fldCharType="separate"/>
      </w:r>
      <w:r>
        <w:t>108</w:t>
      </w:r>
      <w:r>
        <w:fldChar w:fldCharType="end"/>
      </w:r>
    </w:p>
    <w:p>
      <w:pPr>
        <w:pStyle w:val="TOC8"/>
        <w:rPr>
          <w:rFonts w:asciiTheme="minorHAnsi" w:eastAsiaTheme="minorEastAsia" w:hAnsiTheme="minorHAnsi" w:cstheme="minorBidi"/>
          <w:szCs w:val="22"/>
        </w:rPr>
      </w:pPr>
      <w:r>
        <w:t>135C.</w:t>
      </w:r>
      <w:r>
        <w:tab/>
        <w:t>Provisions about tax relief declarations and instruments of amendment or revocation</w:t>
      </w:r>
      <w:r>
        <w:tab/>
      </w:r>
      <w:r>
        <w:fldChar w:fldCharType="begin"/>
      </w:r>
      <w:r>
        <w:instrText xml:space="preserve"> PAGEREF _Toc107485176 \h </w:instrText>
      </w:r>
      <w:r>
        <w:fldChar w:fldCharType="separate"/>
      </w:r>
      <w:r>
        <w:t>109</w:t>
      </w:r>
      <w:r>
        <w:fldChar w:fldCharType="end"/>
      </w:r>
    </w:p>
    <w:p>
      <w:pPr>
        <w:pStyle w:val="TOC8"/>
        <w:rPr>
          <w:rFonts w:asciiTheme="minorHAnsi" w:eastAsiaTheme="minorEastAsia" w:hAnsiTheme="minorHAnsi" w:cstheme="minorBidi"/>
          <w:szCs w:val="22"/>
        </w:rPr>
      </w:pPr>
      <w:r>
        <w:t>135D.</w:t>
      </w:r>
      <w:r>
        <w:tab/>
        <w:t>Procedural requirements for declared tax relief measure</w:t>
      </w:r>
      <w:r>
        <w:tab/>
      </w:r>
      <w:r>
        <w:fldChar w:fldCharType="begin"/>
      </w:r>
      <w:r>
        <w:instrText xml:space="preserve"> PAGEREF _Toc107485177 \h </w:instrText>
      </w:r>
      <w:r>
        <w:fldChar w:fldCharType="separate"/>
      </w:r>
      <w:r>
        <w:t>109</w:t>
      </w:r>
      <w:r>
        <w:fldChar w:fldCharType="end"/>
      </w:r>
    </w:p>
    <w:p>
      <w:pPr>
        <w:pStyle w:val="TOC8"/>
        <w:rPr>
          <w:rFonts w:asciiTheme="minorHAnsi" w:eastAsiaTheme="minorEastAsia" w:hAnsiTheme="minorHAnsi" w:cstheme="minorBidi"/>
          <w:szCs w:val="22"/>
        </w:rPr>
      </w:pPr>
      <w:r>
        <w:t>135E.</w:t>
      </w:r>
      <w:r>
        <w:tab/>
        <w:t>Effect of tax relief declaration</w:t>
      </w:r>
      <w:r>
        <w:tab/>
      </w:r>
      <w:r>
        <w:fldChar w:fldCharType="begin"/>
      </w:r>
      <w:r>
        <w:instrText xml:space="preserve"> PAGEREF _Toc107485178 \h </w:instrText>
      </w:r>
      <w:r>
        <w:fldChar w:fldCharType="separate"/>
      </w:r>
      <w:r>
        <w:t>110</w:t>
      </w:r>
      <w:r>
        <w:fldChar w:fldCharType="end"/>
      </w:r>
    </w:p>
    <w:p>
      <w:pPr>
        <w:pStyle w:val="TOC8"/>
        <w:rPr>
          <w:rFonts w:asciiTheme="minorHAnsi" w:eastAsiaTheme="minorEastAsia" w:hAnsiTheme="minorHAnsi" w:cstheme="minorBidi"/>
          <w:szCs w:val="22"/>
        </w:rPr>
      </w:pPr>
      <w:r>
        <w:t>135F.</w:t>
      </w:r>
      <w:r>
        <w:tab/>
        <w:t>Reassessments and refunds</w:t>
      </w:r>
      <w:r>
        <w:tab/>
      </w:r>
      <w:r>
        <w:fldChar w:fldCharType="begin"/>
      </w:r>
      <w:r>
        <w:instrText xml:space="preserve"> PAGEREF _Toc107485179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matters</w:t>
      </w:r>
    </w:p>
    <w:p>
      <w:pPr>
        <w:pStyle w:val="TOC8"/>
        <w:rPr>
          <w:rFonts w:asciiTheme="minorHAnsi" w:eastAsiaTheme="minorEastAsia" w:hAnsiTheme="minorHAnsi" w:cstheme="minorBidi"/>
          <w:szCs w:val="22"/>
        </w:rPr>
      </w:pPr>
      <w:r>
        <w:t>136.</w:t>
      </w:r>
      <w:r>
        <w:tab/>
        <w:t xml:space="preserve">Provisions for </w:t>
      </w:r>
      <w:r>
        <w:rPr>
          <w:i/>
          <w:snapToGrid w:val="0"/>
        </w:rPr>
        <w:t>Revenue Laws Amendment Act 2013</w:t>
      </w:r>
      <w:r>
        <w:t xml:space="preserve"> Part 3</w:t>
      </w:r>
      <w:r>
        <w:tab/>
      </w:r>
      <w:r>
        <w:fldChar w:fldCharType="begin"/>
      </w:r>
      <w:r>
        <w:instrText xml:space="preserve"> PAGEREF _Toc107485181 \h </w:instrText>
      </w:r>
      <w:r>
        <w:fldChar w:fldCharType="separate"/>
      </w:r>
      <w:r>
        <w:t>113</w:t>
      </w:r>
      <w:r>
        <w:fldChar w:fldCharType="end"/>
      </w:r>
    </w:p>
    <w:p>
      <w:pPr>
        <w:pStyle w:val="TOC8"/>
        <w:rPr>
          <w:rFonts w:asciiTheme="minorHAnsi" w:eastAsiaTheme="minorEastAsia" w:hAnsiTheme="minorHAnsi" w:cstheme="minorBidi"/>
          <w:szCs w:val="22"/>
        </w:rPr>
      </w:pPr>
      <w:r>
        <w:t>137.</w:t>
      </w:r>
      <w:r>
        <w:tab/>
        <w:t xml:space="preserve">Provisions for </w:t>
      </w:r>
      <w:r>
        <w:rPr>
          <w:i/>
        </w:rPr>
        <w:t>Taxation Administration Amendment Act 2019</w:t>
      </w:r>
      <w:r>
        <w:tab/>
      </w:r>
      <w:r>
        <w:fldChar w:fldCharType="begin"/>
      </w:r>
      <w:r>
        <w:instrText xml:space="preserve"> PAGEREF _Toc107485182 \h </w:instrText>
      </w:r>
      <w:r>
        <w:fldChar w:fldCharType="separate"/>
      </w:r>
      <w:r>
        <w:t>113</w:t>
      </w:r>
      <w:r>
        <w:fldChar w:fldCharType="end"/>
      </w:r>
    </w:p>
    <w:p>
      <w:pPr>
        <w:pStyle w:val="TOC8"/>
        <w:rPr>
          <w:rFonts w:asciiTheme="minorHAnsi" w:eastAsiaTheme="minorEastAsia" w:hAnsiTheme="minorHAnsi" w:cstheme="minorBidi"/>
          <w:szCs w:val="22"/>
        </w:rPr>
      </w:pPr>
      <w:r>
        <w:t>138.</w:t>
      </w:r>
      <w:r>
        <w:tab/>
        <w:t xml:space="preserve">Transitional provision for </w:t>
      </w:r>
      <w:r>
        <w:rPr>
          <w:i/>
        </w:rPr>
        <w:t>Finance Legislation Amendment (Emergency Relief) Act 2022</w:t>
      </w:r>
      <w:r>
        <w:tab/>
      </w:r>
      <w:r>
        <w:fldChar w:fldCharType="begin"/>
      </w:r>
      <w:r>
        <w:instrText xml:space="preserve"> PAGEREF _Toc107485183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vertAlign w:val="superscript"/>
        </w:rPr>
        <w:t> 1M, 1MC</w:t>
      </w:r>
      <w:r>
        <w:tab/>
        <w:t>Terms used</w:t>
      </w:r>
      <w:r>
        <w:tab/>
      </w:r>
      <w:r>
        <w:fldChar w:fldCharType="begin"/>
      </w:r>
      <w:r>
        <w:instrText xml:space="preserve"> PAGEREF _Toc107485185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_Toc107485187 \h </w:instrText>
      </w:r>
      <w:r>
        <w:fldChar w:fldCharType="separate"/>
      </w:r>
      <w:r>
        <w:t>121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_Toc107485188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3" w:name="_Toc100302853"/>
      <w:bookmarkStart w:id="4" w:name="_Toc100303077"/>
      <w:bookmarkStart w:id="5" w:name="_Toc100564232"/>
      <w:bookmarkStart w:id="6" w:name="_Toc100564428"/>
      <w:bookmarkStart w:id="7" w:name="_Toc107314110"/>
      <w:bookmarkStart w:id="8" w:name="_Toc10748499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rPr>
          <w:snapToGrid w:val="0"/>
        </w:rPr>
      </w:pPr>
      <w:bookmarkStart w:id="9" w:name="_Toc107484996"/>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This Act may be cited as the</w:t>
      </w:r>
      <w:r>
        <w:rPr>
          <w:i/>
          <w:snapToGrid w:val="0"/>
        </w:rPr>
        <w:t xml:space="preserve"> Taxation Administration Act 2003.</w:t>
      </w:r>
    </w:p>
    <w:p>
      <w:pPr>
        <w:pStyle w:val="Heading5"/>
        <w:rPr>
          <w:snapToGrid w:val="0"/>
        </w:rPr>
      </w:pPr>
      <w:bookmarkStart w:id="10" w:name="_Toc107484997"/>
      <w:r>
        <w:rPr>
          <w:rStyle w:val="CharSectno"/>
        </w:rPr>
        <w:t>2</w:t>
      </w:r>
      <w:r>
        <w:rPr>
          <w:snapToGrid w:val="0"/>
        </w:rPr>
        <w:t>.</w:t>
      </w:r>
      <w:r>
        <w:rPr>
          <w:snapToGrid w:val="0"/>
        </w:rPr>
        <w:tab/>
        <w:t>Commencement</w:t>
      </w:r>
      <w:bookmarkEnd w:id="1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1" w:name="_Toc107484998"/>
      <w:r>
        <w:rPr>
          <w:rStyle w:val="CharSectno"/>
        </w:rPr>
        <w:t>3</w:t>
      </w:r>
      <w:r>
        <w:t xml:space="preserve">. </w:t>
      </w:r>
      <w:r>
        <w:rPr>
          <w:vertAlign w:val="superscript"/>
        </w:rPr>
        <w:t> 1M, 1MC</w:t>
      </w:r>
      <w:r>
        <w:tab/>
        <w:t>Taxation Acts</w:t>
      </w:r>
      <w:bookmarkEnd w:id="11"/>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Ednotepara"/>
        <w:tabs>
          <w:tab w:val="left" w:pos="993"/>
        </w:tabs>
        <w:spacing w:before="80"/>
      </w:pPr>
      <w:r>
        <w:tab/>
        <w:t>[(g)</w:t>
      </w:r>
      <w:r>
        <w:tab/>
        <w:t>deleted]</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pPr>
      <w:r>
        <w:tab/>
        <w:t>(jaa)</w:t>
      </w:r>
      <w:r>
        <w:tab/>
        <w:t xml:space="preserve">the </w:t>
      </w:r>
      <w:r>
        <w:rPr>
          <w:i/>
        </w:rPr>
        <w:t xml:space="preserve">Transport (Road Passenger Services) Act 2018 </w:t>
      </w:r>
      <w:r>
        <w:t>Part 9 Division 2;</w:t>
      </w:r>
    </w:p>
    <w:p>
      <w:pPr>
        <w:pStyle w:val="Indenta"/>
        <w:keepNext/>
      </w:pPr>
      <w:r>
        <w:lastRenderedPageBreak/>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(jc)</w:t>
      </w:r>
      <w:r>
        <w:tab/>
        <w:t xml:space="preserve">the </w:t>
      </w:r>
      <w:r>
        <w:rPr>
          <w:i/>
        </w:rPr>
        <w:t>Betting Tax Act 2018</w:t>
      </w:r>
      <w:r>
        <w:t>;</w:t>
      </w:r>
    </w:p>
    <w:p>
      <w:pPr>
        <w:pStyle w:val="Indenta"/>
      </w:pPr>
      <w:r>
        <w:tab/>
        <w:t>(jd)</w:t>
      </w:r>
      <w:r>
        <w:tab/>
        <w:t xml:space="preserve">the </w:t>
      </w:r>
      <w:r>
        <w:rPr>
          <w:i/>
        </w:rPr>
        <w:t>Betting Tax Assessment Act 2018</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No. 38 of 2005 s. 15; No. 24 of 2007 s. 94; No. 12 of 2008 s. 34; No. 17 of 2010 s. 30(2); No. 26 of 2018 s. 329; No. 37 of 2018 s. 45; No. 11 of 2019 s. 4.]</w:t>
      </w:r>
    </w:p>
    <w:p>
      <w:pPr>
        <w:pStyle w:val="yFootnotesection"/>
      </w:pPr>
      <w:r>
        <w:tab/>
        <w:t>[Modification, to section 3, to have effect under the Commonwealth Places (Mirror Taxes Administration) Act 1999 s. 7, see Commonwealth Places (Mirror Taxes Administration) Regulations 2007 r. 46 and endnote 1M.]</w:t>
      </w:r>
    </w:p>
    <w:p>
      <w:pPr>
        <w:pStyle w:val="yFootnotesection"/>
      </w:pPr>
      <w:r>
        <w:tab/>
        <w:t>[Modification, to section 3, to have effect under the Commonwealth Places (Mirror Taxes) Act 1998 (Commonwealth) s. 8, see Commonwealth Places (Mirror Taxes) (Modification of Applied Laws (WA)) Notice 2007 cl. 49 and endnote 1MC.]</w:t>
      </w:r>
    </w:p>
    <w:p>
      <w:pPr>
        <w:pStyle w:val="Heading5"/>
      </w:pPr>
      <w:bookmarkStart w:id="12" w:name="_Toc107484999"/>
      <w:r>
        <w:rPr>
          <w:rStyle w:val="CharSectno"/>
        </w:rPr>
        <w:t>4</w:t>
      </w:r>
      <w:r>
        <w:rPr>
          <w:b w:val="0"/>
        </w:rPr>
        <w:t>.</w:t>
      </w:r>
      <w:r>
        <w:rPr>
          <w:snapToGrid w:val="0"/>
        </w:rPr>
        <w:tab/>
      </w:r>
      <w:r>
        <w:t>Terms used (Glossary)</w:t>
      </w:r>
      <w:bookmarkEnd w:id="12"/>
    </w:p>
    <w:p>
      <w:pPr>
        <w:pStyle w:val="Subsection"/>
      </w:pPr>
      <w:r>
        <w:tab/>
      </w:r>
      <w:r>
        <w:tab/>
        <w:t>The Glossary at the end of this Act defines or affects the meaning of some of the words and expressions used in this Act.</w:t>
      </w:r>
    </w:p>
    <w:p>
      <w:pPr>
        <w:pStyle w:val="Heading5"/>
      </w:pPr>
      <w:bookmarkStart w:id="13" w:name="_Toc107485000"/>
      <w:r>
        <w:rPr>
          <w:rStyle w:val="CharSectno"/>
        </w:rPr>
        <w:t>5</w:t>
      </w:r>
      <w:r>
        <w:t>.</w:t>
      </w:r>
      <w:r>
        <w:rPr>
          <w:vertAlign w:val="superscript"/>
        </w:rPr>
        <w:t> 1MC</w:t>
      </w:r>
      <w:r>
        <w:tab/>
        <w:t>Crown bound</w:t>
      </w:r>
      <w:bookmarkEnd w:id="13"/>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yFootnotesection"/>
      </w:pPr>
      <w:r>
        <w:lastRenderedPageBreak/>
        <w:tab/>
        <w:t>[Modification, to section 5, to have effect under the Commonwealth Places (Mirror Taxes) Act 1998 (Commonwealth) s. 8, see Commonwealth Places (Mirror Taxes) (Modification of Applied Laws (WA)) Notice 2007 cl. 50 and endnote 1MC.]</w:t>
      </w:r>
    </w:p>
    <w:p>
      <w:pPr>
        <w:pStyle w:val="Ednotesection"/>
        <w:tabs>
          <w:tab w:val="left" w:pos="1418"/>
        </w:tabs>
      </w:pPr>
      <w:r>
        <w:t xml:space="preserve"> [</w:t>
      </w:r>
      <w:r>
        <w:rPr>
          <w:b/>
        </w:rPr>
        <w:t>5A., 5B</w:t>
      </w:r>
      <w:r>
        <w:rPr>
          <w:b/>
          <w:bCs/>
        </w:rPr>
        <w:t>.</w:t>
      </w:r>
      <w:r>
        <w:rPr>
          <w:vertAlign w:val="superscript"/>
        </w:rPr>
        <w:t>1M</w:t>
      </w:r>
      <w:r>
        <w:tab/>
        <w:t>Modification, to insert sections 5A and 5B, to have effect under the Commonwealth Places (Mirror Taxes Administration) Act 1999 s. 7, see Commonwealth Places (Mirror Taxes Administration) Regulations 2007 r. 47 and endnote 1M.]</w:t>
      </w:r>
    </w:p>
    <w:p>
      <w:pPr>
        <w:pStyle w:val="Ednotesection"/>
      </w:pPr>
      <w:r>
        <w:t>[</w:t>
      </w:r>
      <w:r>
        <w:rPr>
          <w:b/>
        </w:rPr>
        <w:t>5A., 5B</w:t>
      </w:r>
      <w:r>
        <w:rPr>
          <w:b/>
          <w:bCs/>
        </w:rPr>
        <w:t>.</w:t>
      </w:r>
      <w:r>
        <w:rPr>
          <w:vertAlign w:val="superscript"/>
        </w:rPr>
        <w:t>1MC</w:t>
      </w:r>
      <w:r>
        <w:t xml:space="preserve"> Modification, to insert sections 5A and 5B, to have effect under the Commonwealth Places (Mirror Taxes) Act 1998 (Commonwealth) s. 8, see Commonwealth Places (Mirror Taxes) (Modification of Applied Laws (WA)) Notice 2007 cl. 51 and endnote 1MC.]</w:t>
      </w:r>
    </w:p>
    <w:p>
      <w:pPr>
        <w:pStyle w:val="Heading2"/>
      </w:pPr>
      <w:bookmarkStart w:id="14" w:name="_Toc100302859"/>
      <w:bookmarkStart w:id="15" w:name="_Toc100303083"/>
      <w:bookmarkStart w:id="16" w:name="_Toc100564238"/>
      <w:bookmarkStart w:id="17" w:name="_Toc100564434"/>
      <w:bookmarkStart w:id="18" w:name="_Toc107314116"/>
      <w:bookmarkStart w:id="19" w:name="_Toc107485001"/>
      <w:r>
        <w:rPr>
          <w:rStyle w:val="CharPartNo"/>
        </w:rPr>
        <w:lastRenderedPageBreak/>
        <w:t>Part 2</w:t>
      </w:r>
      <w:r>
        <w:rPr>
          <w:rStyle w:val="CharDivNo"/>
        </w:rPr>
        <w:t xml:space="preserve"> </w:t>
      </w:r>
      <w:r>
        <w:t>—</w:t>
      </w:r>
      <w:r>
        <w:rPr>
          <w:rStyle w:val="CharDivText"/>
        </w:rPr>
        <w:t xml:space="preserve"> </w:t>
      </w:r>
      <w:r>
        <w:rPr>
          <w:rStyle w:val="CharPartText"/>
        </w:rPr>
        <w:t>Tax administration generally</w:t>
      </w:r>
      <w:bookmarkEnd w:id="14"/>
      <w:bookmarkEnd w:id="15"/>
      <w:bookmarkEnd w:id="16"/>
      <w:bookmarkEnd w:id="17"/>
      <w:bookmarkEnd w:id="18"/>
      <w:bookmarkEnd w:id="19"/>
    </w:p>
    <w:p>
      <w:pPr>
        <w:pStyle w:val="Heading5"/>
        <w:spacing w:before="180"/>
      </w:pPr>
      <w:bookmarkStart w:id="20" w:name="_Toc107485002"/>
      <w:r>
        <w:rPr>
          <w:rStyle w:val="CharSectno"/>
        </w:rPr>
        <w:t>6</w:t>
      </w:r>
      <w:r>
        <w:t>.</w:t>
      </w:r>
      <w:r>
        <w:rPr>
          <w:vertAlign w:val="superscript"/>
        </w:rPr>
        <w:t> 1MC</w:t>
      </w:r>
      <w:r>
        <w:tab/>
        <w:t>Commissioner of State Revenue</w:t>
      </w:r>
      <w:bookmarkEnd w:id="20"/>
    </w:p>
    <w:p>
      <w:pPr>
        <w:pStyle w:val="Subsection"/>
        <w:spacing w:before="120"/>
      </w:pPr>
      <w:r>
        <w:tab/>
      </w:r>
      <w:r>
        <w:tab/>
        <w:t xml:space="preserve">A Commissioner of State Revenue is to be appointed under Part 3 of the </w:t>
      </w:r>
      <w:r>
        <w:rPr>
          <w:i/>
        </w:rPr>
        <w:t>Public Sector Management Act 1994</w:t>
      </w:r>
      <w:r>
        <w:t>.</w:t>
      </w:r>
    </w:p>
    <w:p>
      <w:pPr>
        <w:pStyle w:val="yFootnotesection"/>
      </w:pPr>
      <w:r>
        <w:tab/>
        <w:t>[Modification, to repeal section 6, to have effect under the Commonwealth Places (Mirror Taxes) Act 1998 (Commonwealth) s. 8, see Commonwealth Places (Mirror Taxes) (Modification of Applied Laws (WA)) Notice 2007 cl. 52 and endnote 1MC.]</w:t>
      </w:r>
    </w:p>
    <w:p>
      <w:pPr>
        <w:pStyle w:val="Heading5"/>
        <w:spacing w:before="160"/>
      </w:pPr>
      <w:bookmarkStart w:id="21" w:name="_Toc107485003"/>
      <w:r>
        <w:rPr>
          <w:rStyle w:val="CharSectno"/>
        </w:rPr>
        <w:t>7</w:t>
      </w:r>
      <w:r>
        <w:t>.</w:t>
      </w:r>
      <w:r>
        <w:tab/>
        <w:t>Commissioner’s functions as to taxation Acts</w:t>
      </w:r>
      <w:bookmarkEnd w:id="21"/>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No. 31 of 2008 s. 23.]</w:t>
      </w:r>
    </w:p>
    <w:p>
      <w:pPr>
        <w:pStyle w:val="Heading5"/>
        <w:spacing w:before="160"/>
      </w:pPr>
      <w:bookmarkStart w:id="22" w:name="_Toc107485004"/>
      <w:r>
        <w:rPr>
          <w:rStyle w:val="CharSectno"/>
        </w:rPr>
        <w:t>8</w:t>
      </w:r>
      <w:r>
        <w:t>.</w:t>
      </w:r>
      <w:r>
        <w:tab/>
        <w:t>Commissioner may perform investigators’ functions</w:t>
      </w:r>
      <w:bookmarkEnd w:id="22"/>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23" w:name="_Toc107485005"/>
      <w:r>
        <w:rPr>
          <w:rStyle w:val="CharSectno"/>
        </w:rPr>
        <w:lastRenderedPageBreak/>
        <w:t>9</w:t>
      </w:r>
      <w:r>
        <w:t>.</w:t>
      </w:r>
      <w:r>
        <w:tab/>
        <w:t>Commissioner, judicial notice of appointment and signature</w:t>
      </w:r>
      <w:bookmarkEnd w:id="23"/>
    </w:p>
    <w:p>
      <w:pPr>
        <w:pStyle w:val="Subsection"/>
        <w:keepNext/>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24" w:name="_Toc107485006"/>
      <w:r>
        <w:rPr>
          <w:rStyle w:val="CharSectno"/>
        </w:rPr>
        <w:t>10</w:t>
      </w:r>
      <w:r>
        <w:t>.</w:t>
      </w:r>
      <w:r>
        <w:rPr>
          <w:vertAlign w:val="superscript"/>
        </w:rPr>
        <w:t> 1M, 1MC</w:t>
      </w:r>
      <w:r>
        <w:tab/>
        <w:t>Delegation by Commissioner</w:t>
      </w:r>
      <w:bookmarkEnd w:id="24"/>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pPr>
      <w:r>
        <w:lastRenderedPageBreak/>
        <w:tab/>
        <w:t>[Modification, to section 10, to have effect under the Commonwealth Places (Mirror Taxes Administration) Act 1999 s. 7, see Commonwealth Places (Mirror Taxes Administration) Regulations 2007 r. 48 and endnote 1M.]</w:t>
      </w:r>
    </w:p>
    <w:p>
      <w:pPr>
        <w:pStyle w:val="Ednotesection"/>
      </w:pPr>
      <w:r>
        <w:t>[</w:t>
      </w:r>
      <w:r>
        <w:rPr>
          <w:b/>
        </w:rPr>
        <w:t>10</w:t>
      </w:r>
      <w:r>
        <w:rPr>
          <w:b/>
          <w:bCs/>
        </w:rPr>
        <w:t xml:space="preserve">. </w:t>
      </w:r>
      <w:r>
        <w:rPr>
          <w:vertAlign w:val="superscript"/>
        </w:rPr>
        <w:t>1MC</w:t>
      </w:r>
      <w:r>
        <w:tab/>
        <w:t>Modification, to replace section 10, to have effect under the Commonwealth Places (Mirror Taxes) Act 1998 (Commonwealth) s. 8, see Commonwealth Places (Mirror Taxes) (Modification of Applied Laws (WA)) Notice 2007 cl. 53 and endnote 1MC.]</w:t>
      </w:r>
    </w:p>
    <w:p>
      <w:pPr>
        <w:pStyle w:val="Heading5"/>
      </w:pPr>
      <w:bookmarkStart w:id="25" w:name="_Toc107485007"/>
      <w:r>
        <w:rPr>
          <w:rStyle w:val="CharSectno"/>
        </w:rPr>
        <w:t>11</w:t>
      </w:r>
      <w:r>
        <w:t>. </w:t>
      </w:r>
      <w:r>
        <w:rPr>
          <w:vertAlign w:val="superscript"/>
        </w:rPr>
        <w:t>1MC</w:t>
      </w:r>
      <w:r>
        <w:tab/>
        <w:t>Tax investigators</w:t>
      </w:r>
      <w:bookmarkEnd w:id="25"/>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Ednotesection"/>
      </w:pPr>
      <w:r>
        <w:t>[</w:t>
      </w:r>
      <w:r>
        <w:rPr>
          <w:b/>
        </w:rPr>
        <w:t>11</w:t>
      </w:r>
      <w:r>
        <w:rPr>
          <w:b/>
          <w:bCs/>
        </w:rPr>
        <w:t xml:space="preserve">. </w:t>
      </w:r>
      <w:r>
        <w:rPr>
          <w:vertAlign w:val="superscript"/>
        </w:rPr>
        <w:t>1MC</w:t>
      </w:r>
      <w:r>
        <w:tab/>
        <w:t>Modification, to replace section 11, to have effect under the Commonwealth Places (Mirror Taxes) Act 1998 (Commonwealth) s. 8, see Commonwealth Places (Mirror Taxes) (Modification of Applied Laws (WA)) Notice 2007 cl. 53 and endnote 1MC.]</w:t>
      </w:r>
    </w:p>
    <w:p>
      <w:pPr>
        <w:pStyle w:val="Heading5"/>
      </w:pPr>
      <w:bookmarkStart w:id="26" w:name="_Toc107485008"/>
      <w:r>
        <w:rPr>
          <w:rStyle w:val="CharSectno"/>
        </w:rPr>
        <w:lastRenderedPageBreak/>
        <w:t>12</w:t>
      </w:r>
      <w:r>
        <w:t>.</w:t>
      </w:r>
      <w:r>
        <w:tab/>
        <w:t>Appointed representatives for court proceedings</w:t>
      </w:r>
      <w:bookmarkEnd w:id="26"/>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27" w:name="_Toc100302867"/>
      <w:bookmarkStart w:id="28" w:name="_Toc100303091"/>
      <w:bookmarkStart w:id="29" w:name="_Toc100564246"/>
      <w:bookmarkStart w:id="30" w:name="_Toc100564442"/>
      <w:bookmarkStart w:id="31" w:name="_Toc107314124"/>
      <w:bookmarkStart w:id="32" w:name="_Toc107485009"/>
      <w:r>
        <w:rPr>
          <w:rStyle w:val="CharPartNo"/>
        </w:rPr>
        <w:lastRenderedPageBreak/>
        <w:t>Part 3</w:t>
      </w:r>
      <w:r>
        <w:t xml:space="preserve"> — </w:t>
      </w:r>
      <w:r>
        <w:rPr>
          <w:rStyle w:val="CharPartText"/>
        </w:rPr>
        <w:t>Assessments of tax</w:t>
      </w:r>
      <w:bookmarkEnd w:id="27"/>
      <w:bookmarkEnd w:id="28"/>
      <w:bookmarkEnd w:id="29"/>
      <w:bookmarkEnd w:id="30"/>
      <w:bookmarkEnd w:id="31"/>
      <w:bookmarkEnd w:id="32"/>
    </w:p>
    <w:p>
      <w:pPr>
        <w:pStyle w:val="Heading3"/>
      </w:pPr>
      <w:bookmarkStart w:id="33" w:name="_Toc100302868"/>
      <w:bookmarkStart w:id="34" w:name="_Toc100303092"/>
      <w:bookmarkStart w:id="35" w:name="_Toc100564247"/>
      <w:bookmarkStart w:id="36" w:name="_Toc100564443"/>
      <w:bookmarkStart w:id="37" w:name="_Toc107314125"/>
      <w:bookmarkStart w:id="38" w:name="_Toc107485010"/>
      <w:r>
        <w:rPr>
          <w:rStyle w:val="CharDivNo"/>
        </w:rPr>
        <w:t>Division 1</w:t>
      </w:r>
      <w:r>
        <w:t xml:space="preserve"> — </w:t>
      </w:r>
      <w:r>
        <w:rPr>
          <w:rStyle w:val="CharDivText"/>
        </w:rPr>
        <w:t>Assessments</w:t>
      </w:r>
      <w:bookmarkEnd w:id="33"/>
      <w:bookmarkEnd w:id="34"/>
      <w:bookmarkEnd w:id="35"/>
      <w:bookmarkEnd w:id="36"/>
      <w:bookmarkEnd w:id="37"/>
      <w:bookmarkEnd w:id="38"/>
    </w:p>
    <w:p>
      <w:pPr>
        <w:pStyle w:val="Heading5"/>
      </w:pPr>
      <w:bookmarkStart w:id="39" w:name="_Toc107485011"/>
      <w:r>
        <w:rPr>
          <w:rStyle w:val="CharSectno"/>
        </w:rPr>
        <w:t>13</w:t>
      </w:r>
      <w:r>
        <w:t>.</w:t>
      </w:r>
      <w:r>
        <w:tab/>
        <w:t>Assessments</w:t>
      </w:r>
      <w:bookmarkEnd w:id="39"/>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No. 10 of 2013 s. 11.]</w:t>
      </w:r>
    </w:p>
    <w:p>
      <w:pPr>
        <w:pStyle w:val="Heading5"/>
      </w:pPr>
      <w:bookmarkStart w:id="40" w:name="_Toc107485012"/>
      <w:r>
        <w:rPr>
          <w:rStyle w:val="CharSectno"/>
        </w:rPr>
        <w:t>14</w:t>
      </w:r>
      <w:r>
        <w:t>.</w:t>
      </w:r>
      <w:r>
        <w:tab/>
        <w:t>Self</w:t>
      </w:r>
      <w:r>
        <w:noBreakHyphen/>
        <w:t>assessments</w:t>
      </w:r>
      <w:bookmarkEnd w:id="40"/>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41" w:name="_Toc107485013"/>
      <w:r>
        <w:rPr>
          <w:rStyle w:val="CharSectno"/>
        </w:rPr>
        <w:t>15</w:t>
      </w:r>
      <w:r>
        <w:t>.</w:t>
      </w:r>
      <w:r>
        <w:tab/>
        <w:t>Official assessments</w:t>
      </w:r>
      <w:bookmarkEnd w:id="41"/>
    </w:p>
    <w:p>
      <w:pPr>
        <w:pStyle w:val="Subsection"/>
      </w:pPr>
      <w:r>
        <w:tab/>
        <w:t>(1)</w:t>
      </w:r>
      <w:r>
        <w:tab/>
        <w:t>An official assessment is an assessment made by the Commissioner.</w:t>
      </w:r>
    </w:p>
    <w:p>
      <w:pPr>
        <w:pStyle w:val="Subsection"/>
        <w:keepNext/>
      </w:pPr>
      <w:r>
        <w:lastRenderedPageBreak/>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42" w:name="_Toc107485014"/>
      <w:r>
        <w:rPr>
          <w:rStyle w:val="CharSectno"/>
        </w:rPr>
        <w:t>16A</w:t>
      </w:r>
      <w:r>
        <w:t>.</w:t>
      </w:r>
      <w:r>
        <w:tab/>
        <w:t>Interim assessments</w:t>
      </w:r>
      <w:bookmarkEnd w:id="42"/>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lastRenderedPageBreak/>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No. 10 of 2013 s. 12.]</w:t>
      </w:r>
    </w:p>
    <w:p>
      <w:pPr>
        <w:pStyle w:val="Heading5"/>
        <w:spacing w:before="240"/>
      </w:pPr>
      <w:bookmarkStart w:id="43" w:name="_Toc107485015"/>
      <w:r>
        <w:rPr>
          <w:rStyle w:val="CharSectno"/>
        </w:rPr>
        <w:t>16</w:t>
      </w:r>
      <w:r>
        <w:t>.</w:t>
      </w:r>
      <w:r>
        <w:tab/>
        <w:t>Reassessments</w:t>
      </w:r>
      <w:bookmarkEnd w:id="43"/>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lastRenderedPageBreak/>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No. 55 of 2004 s. 1165; No. 10 of 2013 s. 13.]</w:t>
      </w:r>
    </w:p>
    <w:p>
      <w:pPr>
        <w:pStyle w:val="Heading5"/>
      </w:pPr>
      <w:bookmarkStart w:id="44" w:name="_Toc107485016"/>
      <w:r>
        <w:rPr>
          <w:rStyle w:val="CharSectno"/>
        </w:rPr>
        <w:t>17</w:t>
      </w:r>
      <w:r>
        <w:t>.</w:t>
      </w:r>
      <w:r>
        <w:tab/>
        <w:t>Time limits on reassessments</w:t>
      </w:r>
      <w:bookmarkEnd w:id="44"/>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lastRenderedPageBreak/>
        <w:tab/>
        <w:t>(3)</w:t>
      </w:r>
      <w:r>
        <w:tab/>
        <w:t>The Commissioner may make a reassessment of the amount of pay</w:t>
      </w:r>
      <w:r>
        <w:noBreakHyphen/>
        <w:t>roll tax or betting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No. 55 of 2004 s. 1166; No. 37 of 2018 s. 46.]</w:t>
      </w:r>
    </w:p>
    <w:p>
      <w:pPr>
        <w:pStyle w:val="Heading5"/>
      </w:pPr>
      <w:bookmarkStart w:id="45" w:name="_Toc107485017"/>
      <w:r>
        <w:rPr>
          <w:rStyle w:val="CharSectno"/>
        </w:rPr>
        <w:t>18</w:t>
      </w:r>
      <w:r>
        <w:t>.</w:t>
      </w:r>
      <w:r>
        <w:tab/>
        <w:t>Effect of reassessment</w:t>
      </w:r>
      <w:bookmarkEnd w:id="45"/>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 xml:space="preserve">If an objection to an assessment is lodged but a reassessment is made before the objection is determined, the objection may be continued against the reassessment to the extent that it is liable </w:t>
      </w:r>
      <w:r>
        <w:lastRenderedPageBreak/>
        <w:t>to the same objection or to an objection that is the same, or similar, in substance.</w:t>
      </w:r>
    </w:p>
    <w:p>
      <w:pPr>
        <w:pStyle w:val="Footnotesection"/>
        <w:ind w:left="890" w:hanging="890"/>
      </w:pPr>
      <w:r>
        <w:tab/>
        <w:t>[Section 18 amended: No. 12 of 2008 s. 35; No. 10 of 2013 s. 14.]</w:t>
      </w:r>
    </w:p>
    <w:p>
      <w:pPr>
        <w:pStyle w:val="Heading5"/>
        <w:spacing w:before="180"/>
      </w:pPr>
      <w:bookmarkStart w:id="46" w:name="_Toc107485018"/>
      <w:r>
        <w:rPr>
          <w:rStyle w:val="CharSectno"/>
        </w:rPr>
        <w:t>18A</w:t>
      </w:r>
      <w:r>
        <w:rPr>
          <w:color w:val="000000"/>
        </w:rPr>
        <w:t>.</w:t>
      </w:r>
      <w:r>
        <w:rPr>
          <w:color w:val="000000"/>
        </w:rPr>
        <w:tab/>
        <w:t>Withdrawal of assessments</w:t>
      </w:r>
      <w:bookmarkEnd w:id="46"/>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No. 66 of 2003 s. 95(2).]</w:t>
      </w:r>
    </w:p>
    <w:p>
      <w:pPr>
        <w:pStyle w:val="Heading5"/>
        <w:spacing w:before="180"/>
      </w:pPr>
      <w:bookmarkStart w:id="47" w:name="_Toc107485019"/>
      <w:r>
        <w:rPr>
          <w:rStyle w:val="CharSectno"/>
        </w:rPr>
        <w:t>19</w:t>
      </w:r>
      <w:r>
        <w:t>.</w:t>
      </w:r>
      <w:r>
        <w:tab/>
        <w:t>Assessments based on estimated or suspected liability</w:t>
      </w:r>
      <w:bookmarkEnd w:id="47"/>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No. 10 of 2013 s. 15.]</w:t>
      </w:r>
    </w:p>
    <w:p>
      <w:pPr>
        <w:pStyle w:val="Heading5"/>
      </w:pPr>
      <w:bookmarkStart w:id="48" w:name="_Toc107485020"/>
      <w:r>
        <w:rPr>
          <w:rStyle w:val="CharSectno"/>
        </w:rPr>
        <w:lastRenderedPageBreak/>
        <w:t>20A</w:t>
      </w:r>
      <w:r>
        <w:t>.</w:t>
      </w:r>
      <w:r>
        <w:tab/>
        <w:t>Compromise assessments</w:t>
      </w:r>
      <w:bookmarkEnd w:id="48"/>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lastRenderedPageBreak/>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No. 31 of 2008 s. 29; amended: No. 17 of 2010 s. 23; No. 10 of 2013 s. 16.]</w:t>
      </w:r>
    </w:p>
    <w:p>
      <w:pPr>
        <w:pStyle w:val="Heading5"/>
        <w:spacing w:before="180"/>
      </w:pPr>
      <w:bookmarkStart w:id="49" w:name="_Toc107485021"/>
      <w:r>
        <w:rPr>
          <w:rStyle w:val="CharSectno"/>
        </w:rPr>
        <w:t>20</w:t>
      </w:r>
      <w:r>
        <w:t>.</w:t>
      </w:r>
      <w:r>
        <w:tab/>
        <w:t>Assessments when instrument misleading or unavailable</w:t>
      </w:r>
      <w:bookmarkEnd w:id="49"/>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lastRenderedPageBreak/>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No. 66 of 2003 s. 95(3); No. 12 of 2008 s. 36.]</w:t>
      </w:r>
    </w:p>
    <w:p>
      <w:pPr>
        <w:pStyle w:val="Heading5"/>
        <w:spacing w:before="240"/>
      </w:pPr>
      <w:bookmarkStart w:id="50" w:name="_Toc107485022"/>
      <w:r>
        <w:rPr>
          <w:rStyle w:val="CharSectno"/>
        </w:rPr>
        <w:t>21</w:t>
      </w:r>
      <w:r>
        <w:t>.</w:t>
      </w:r>
      <w:r>
        <w:tab/>
        <w:t>Ascertaining value of property, consideration or benefit</w:t>
      </w:r>
      <w:bookmarkEnd w:id="50"/>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 xml:space="preserve">if methods, models and assumptions must be provided electronically — they be provided in a form that allows </w:t>
      </w:r>
      <w:r>
        <w:lastRenderedPageBreak/>
        <w:t>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No. 10 of 2013 s. 29.]</w:t>
      </w:r>
    </w:p>
    <w:p>
      <w:pPr>
        <w:pStyle w:val="Heading5"/>
        <w:spacing w:before="240"/>
      </w:pPr>
      <w:bookmarkStart w:id="51" w:name="_Toc107485023"/>
      <w:r>
        <w:rPr>
          <w:rStyle w:val="CharSectno"/>
        </w:rPr>
        <w:t>22</w:t>
      </w:r>
      <w:r>
        <w:t>.</w:t>
      </w:r>
      <w:r>
        <w:tab/>
        <w:t>Commissioner’s power to have valuation made</w:t>
      </w:r>
      <w:bookmarkEnd w:id="51"/>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52" w:name="_Toc107485024"/>
      <w:r>
        <w:rPr>
          <w:rStyle w:val="CharSectno"/>
        </w:rPr>
        <w:t>23A</w:t>
      </w:r>
      <w:r>
        <w:t>.</w:t>
      </w:r>
      <w:r>
        <w:tab/>
        <w:t>Recovery of valuation costs</w:t>
      </w:r>
      <w:bookmarkEnd w:id="52"/>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lastRenderedPageBreak/>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lastRenderedPageBreak/>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No. 10 of 2013 s. 30.]</w:t>
      </w:r>
    </w:p>
    <w:p>
      <w:pPr>
        <w:pStyle w:val="Heading3"/>
        <w:spacing w:before="180"/>
      </w:pPr>
      <w:bookmarkStart w:id="53" w:name="_Toc100302883"/>
      <w:bookmarkStart w:id="54" w:name="_Toc100303107"/>
      <w:bookmarkStart w:id="55" w:name="_Toc100564262"/>
      <w:bookmarkStart w:id="56" w:name="_Toc100564458"/>
      <w:bookmarkStart w:id="57" w:name="_Toc107314140"/>
      <w:bookmarkStart w:id="58" w:name="_Toc107485025"/>
      <w:r>
        <w:rPr>
          <w:rStyle w:val="CharDivNo"/>
        </w:rPr>
        <w:t>Division 2</w:t>
      </w:r>
      <w:r>
        <w:t xml:space="preserve"> — </w:t>
      </w:r>
      <w:r>
        <w:rPr>
          <w:rStyle w:val="CharDivText"/>
        </w:rPr>
        <w:t>Assessment notices and returns</w:t>
      </w:r>
      <w:bookmarkEnd w:id="53"/>
      <w:bookmarkEnd w:id="54"/>
      <w:bookmarkEnd w:id="55"/>
      <w:bookmarkEnd w:id="56"/>
      <w:bookmarkEnd w:id="57"/>
      <w:bookmarkEnd w:id="58"/>
    </w:p>
    <w:p>
      <w:pPr>
        <w:pStyle w:val="Heading5"/>
        <w:spacing w:before="180"/>
      </w:pPr>
      <w:bookmarkStart w:id="59" w:name="_Toc107485026"/>
      <w:r>
        <w:rPr>
          <w:rStyle w:val="CharSectno"/>
        </w:rPr>
        <w:t>23</w:t>
      </w:r>
      <w:r>
        <w:t>.</w:t>
      </w:r>
      <w:r>
        <w:tab/>
        <w:t>Assessment notices</w:t>
      </w:r>
      <w:bookmarkEnd w:id="59"/>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lastRenderedPageBreak/>
        <w:tab/>
        <w:t>(d)</w:t>
      </w:r>
      <w:r>
        <w:tab/>
        <w:t xml:space="preserve">if 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No. 66 of 2003 s. 108(2); No. 82 of 2004 s. 19; No. 13 of 2007 s. 14; No. 12 of 2008 s. 37; No. 11 of 2019 s. 5.]</w:t>
      </w:r>
    </w:p>
    <w:p>
      <w:pPr>
        <w:pStyle w:val="Heading5"/>
        <w:spacing w:before="180"/>
      </w:pPr>
      <w:bookmarkStart w:id="60" w:name="_Toc107485027"/>
      <w:r>
        <w:rPr>
          <w:rStyle w:val="CharSectno"/>
        </w:rPr>
        <w:t>24</w:t>
      </w:r>
      <w:r>
        <w:t>.</w:t>
      </w:r>
      <w:r>
        <w:tab/>
        <w:t>Form of assessment notice</w:t>
      </w:r>
      <w:bookmarkEnd w:id="6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lastRenderedPageBreak/>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No. 12 of 2004 s. 9; No. 12 of 2008 s. 38; No. 10 of 2013 s. 17 and 31.]</w:t>
      </w:r>
    </w:p>
    <w:p>
      <w:pPr>
        <w:pStyle w:val="Heading5"/>
      </w:pPr>
      <w:bookmarkStart w:id="61" w:name="_Toc107485028"/>
      <w:r>
        <w:rPr>
          <w:rStyle w:val="CharSectno"/>
        </w:rPr>
        <w:lastRenderedPageBreak/>
        <w:t>25</w:t>
      </w:r>
      <w:r>
        <w:t>.</w:t>
      </w:r>
      <w:r>
        <w:tab/>
        <w:t>Statement of grounds of assessment</w:t>
      </w:r>
      <w:bookmarkEnd w:id="61"/>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No. 10 of 2013 s. 18 and 32.]</w:t>
      </w:r>
    </w:p>
    <w:p>
      <w:pPr>
        <w:pStyle w:val="Heading3"/>
        <w:spacing w:before="180"/>
      </w:pPr>
      <w:bookmarkStart w:id="62" w:name="_Toc100302887"/>
      <w:bookmarkStart w:id="63" w:name="_Toc100303111"/>
      <w:bookmarkStart w:id="64" w:name="_Toc100564266"/>
      <w:bookmarkStart w:id="65" w:name="_Toc100564462"/>
      <w:bookmarkStart w:id="66" w:name="_Toc107314144"/>
      <w:bookmarkStart w:id="67" w:name="_Toc107485029"/>
      <w:r>
        <w:rPr>
          <w:rStyle w:val="CharDivNo"/>
        </w:rPr>
        <w:t>Division 3</w:t>
      </w:r>
      <w:r>
        <w:t xml:space="preserve"> — </w:t>
      </w:r>
      <w:r>
        <w:rPr>
          <w:rStyle w:val="CharDivText"/>
        </w:rPr>
        <w:t>Penalty tax</w:t>
      </w:r>
      <w:bookmarkEnd w:id="62"/>
      <w:bookmarkEnd w:id="63"/>
      <w:bookmarkEnd w:id="64"/>
      <w:bookmarkEnd w:id="65"/>
      <w:bookmarkEnd w:id="66"/>
      <w:bookmarkEnd w:id="67"/>
    </w:p>
    <w:p>
      <w:pPr>
        <w:pStyle w:val="Heading5"/>
        <w:spacing w:before="180"/>
      </w:pPr>
      <w:bookmarkStart w:id="68" w:name="_Toc107485030"/>
      <w:r>
        <w:rPr>
          <w:rStyle w:val="CharSectno"/>
        </w:rPr>
        <w:t>26</w:t>
      </w:r>
      <w:r>
        <w:t>.</w:t>
      </w:r>
      <w:r>
        <w:tab/>
        <w:t>Penalty tax for contravention of taxation Act</w:t>
      </w:r>
      <w:bookmarkEnd w:id="68"/>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lastRenderedPageBreak/>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No. 66 of 2003 s. 95(4).]</w:t>
      </w:r>
    </w:p>
    <w:p>
      <w:pPr>
        <w:pStyle w:val="Heading5"/>
      </w:pPr>
      <w:bookmarkStart w:id="69" w:name="_Toc107485031"/>
      <w:r>
        <w:rPr>
          <w:rStyle w:val="CharSectno"/>
        </w:rPr>
        <w:t>27A</w:t>
      </w:r>
      <w:r>
        <w:t>.</w:t>
      </w:r>
      <w:r>
        <w:tab/>
        <w:t>Penalty tax for undervaluation</w:t>
      </w:r>
      <w:bookmarkEnd w:id="69"/>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lastRenderedPageBreak/>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No. 10 of 2013 s. 33.]</w:t>
      </w:r>
    </w:p>
    <w:p>
      <w:pPr>
        <w:pStyle w:val="Heading5"/>
      </w:pPr>
      <w:bookmarkStart w:id="70" w:name="_Toc107485032"/>
      <w:r>
        <w:rPr>
          <w:rStyle w:val="CharSectno"/>
        </w:rPr>
        <w:t>27</w:t>
      </w:r>
      <w:r>
        <w:t>.</w:t>
      </w:r>
      <w:r>
        <w:tab/>
        <w:t>Penalty tax for late payment</w:t>
      </w:r>
      <w:bookmarkEnd w:id="70"/>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71" w:name="_Toc107485033"/>
      <w:r>
        <w:rPr>
          <w:rStyle w:val="CharSectno"/>
        </w:rPr>
        <w:lastRenderedPageBreak/>
        <w:t>28</w:t>
      </w:r>
      <w:r>
        <w:t>.</w:t>
      </w:r>
      <w:r>
        <w:tab/>
        <w:t>Limitation on amount of penalty tax</w:t>
      </w:r>
      <w:bookmarkEnd w:id="71"/>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72" w:name="_Toc107485034"/>
      <w:r>
        <w:rPr>
          <w:rStyle w:val="CharSectno"/>
        </w:rPr>
        <w:t>29</w:t>
      </w:r>
      <w:r>
        <w:t>.</w:t>
      </w:r>
      <w:r>
        <w:tab/>
        <w:t>Remitting penalty tax</w:t>
      </w:r>
      <w:bookmarkEnd w:id="72"/>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73" w:name="_Toc107485035"/>
      <w:r>
        <w:rPr>
          <w:rStyle w:val="CharSectno"/>
        </w:rPr>
        <w:t>30</w:t>
      </w:r>
      <w:r>
        <w:t>.</w:t>
      </w:r>
      <w:r>
        <w:tab/>
        <w:t>Practice for remitting penalty tax</w:t>
      </w:r>
      <w:bookmarkEnd w:id="73"/>
    </w:p>
    <w:p>
      <w:pPr>
        <w:pStyle w:val="Subsection"/>
      </w:pPr>
      <w:r>
        <w:tab/>
      </w:r>
      <w:r>
        <w:tab/>
        <w:t>The Commissioner must publish on the Commissioner’s website the practice followed by the Commissioner when deciding whether or not to remit penalty tax under section 29.</w:t>
      </w:r>
    </w:p>
    <w:p>
      <w:pPr>
        <w:pStyle w:val="Footnotesection"/>
      </w:pPr>
      <w:r>
        <w:tab/>
        <w:t>[Section 30 inserted: No. 11 of 2019 s. 6; amended: No. 1 of 2022 s. 4.]</w:t>
      </w:r>
    </w:p>
    <w:p>
      <w:pPr>
        <w:pStyle w:val="Heading2"/>
      </w:pPr>
      <w:bookmarkStart w:id="74" w:name="_Toc100302894"/>
      <w:bookmarkStart w:id="75" w:name="_Toc100303118"/>
      <w:bookmarkStart w:id="76" w:name="_Toc100564273"/>
      <w:bookmarkStart w:id="77" w:name="_Toc100564469"/>
      <w:bookmarkStart w:id="78" w:name="_Toc107314151"/>
      <w:bookmarkStart w:id="79" w:name="_Toc107485036"/>
      <w:r>
        <w:rPr>
          <w:rStyle w:val="CharPartNo"/>
        </w:rPr>
        <w:lastRenderedPageBreak/>
        <w:t>Part 4</w:t>
      </w:r>
      <w:r>
        <w:t xml:space="preserve"> — </w:t>
      </w:r>
      <w:r>
        <w:rPr>
          <w:rStyle w:val="CharPartText"/>
        </w:rPr>
        <w:t>Objections and review proceedings</w:t>
      </w:r>
      <w:bookmarkEnd w:id="74"/>
      <w:bookmarkEnd w:id="75"/>
      <w:bookmarkEnd w:id="76"/>
      <w:bookmarkEnd w:id="77"/>
      <w:bookmarkEnd w:id="78"/>
      <w:bookmarkEnd w:id="79"/>
    </w:p>
    <w:p>
      <w:pPr>
        <w:pStyle w:val="Footnoteheading"/>
        <w:tabs>
          <w:tab w:val="left" w:pos="851"/>
        </w:tabs>
      </w:pPr>
      <w:r>
        <w:tab/>
        <w:t>[Heading amended: No. 55 of 2004 s. 1167.]</w:t>
      </w:r>
    </w:p>
    <w:p>
      <w:pPr>
        <w:pStyle w:val="Heading3"/>
      </w:pPr>
      <w:bookmarkStart w:id="80" w:name="_Toc100302895"/>
      <w:bookmarkStart w:id="81" w:name="_Toc100303119"/>
      <w:bookmarkStart w:id="82" w:name="_Toc100564274"/>
      <w:bookmarkStart w:id="83" w:name="_Toc100564470"/>
      <w:bookmarkStart w:id="84" w:name="_Toc107314152"/>
      <w:bookmarkStart w:id="85" w:name="_Toc107485037"/>
      <w:r>
        <w:rPr>
          <w:rStyle w:val="CharDivNo"/>
        </w:rPr>
        <w:t>Division 1</w:t>
      </w:r>
      <w:r>
        <w:t xml:space="preserve"> — </w:t>
      </w:r>
      <w:r>
        <w:rPr>
          <w:rStyle w:val="CharDivText"/>
        </w:rPr>
        <w:t>Procedures and restrictions</w:t>
      </w:r>
      <w:bookmarkEnd w:id="80"/>
      <w:bookmarkEnd w:id="81"/>
      <w:bookmarkEnd w:id="82"/>
      <w:bookmarkEnd w:id="83"/>
      <w:bookmarkEnd w:id="84"/>
      <w:bookmarkEnd w:id="85"/>
    </w:p>
    <w:p>
      <w:pPr>
        <w:pStyle w:val="Heading5"/>
      </w:pPr>
      <w:bookmarkStart w:id="86" w:name="_Toc107485038"/>
      <w:r>
        <w:rPr>
          <w:rStyle w:val="CharSectno"/>
        </w:rPr>
        <w:t>31</w:t>
      </w:r>
      <w:r>
        <w:t>.</w:t>
      </w:r>
      <w:r>
        <w:tab/>
        <w:t>Procedure for challenging assessments</w:t>
      </w:r>
      <w:bookmarkEnd w:id="86"/>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No. 55 of 2004 s. 1168.]</w:t>
      </w:r>
    </w:p>
    <w:p>
      <w:pPr>
        <w:pStyle w:val="Heading5"/>
      </w:pPr>
      <w:bookmarkStart w:id="87" w:name="_Toc107485039"/>
      <w:r>
        <w:rPr>
          <w:rStyle w:val="CharSectno"/>
        </w:rPr>
        <w:t>32</w:t>
      </w:r>
      <w:r>
        <w:t>.</w:t>
      </w:r>
      <w:r>
        <w:tab/>
        <w:t>Objections to land valuations</w:t>
      </w:r>
      <w:bookmarkEnd w:id="87"/>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No. 55 of 2004 s. 1169.]</w:t>
      </w:r>
    </w:p>
    <w:p>
      <w:pPr>
        <w:pStyle w:val="Heading5"/>
      </w:pPr>
      <w:bookmarkStart w:id="88" w:name="_Toc107485040"/>
      <w:r>
        <w:t>33.</w:t>
      </w:r>
      <w:r>
        <w:tab/>
        <w:t>Continuing obligation to pay assessed tax</w:t>
      </w:r>
      <w:bookmarkEnd w:id="88"/>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No. 55 of 2004 s. 1170.]</w:t>
      </w:r>
    </w:p>
    <w:p>
      <w:pPr>
        <w:pStyle w:val="Heading5"/>
      </w:pPr>
      <w:bookmarkStart w:id="89" w:name="_Toc107485041"/>
      <w:r>
        <w:t>34A.</w:t>
      </w:r>
      <w:r>
        <w:tab/>
        <w:t>Beneficial body determinations</w:t>
      </w:r>
      <w:bookmarkEnd w:id="89"/>
    </w:p>
    <w:p>
      <w:pPr>
        <w:pStyle w:val="Subsection"/>
      </w:pPr>
      <w:r>
        <w:tab/>
        <w:t>(1)</w:t>
      </w:r>
      <w:r>
        <w:tab/>
        <w:t xml:space="preserve">A decision to make, or not to make, or to revoke or amend, a beneficial body determination is final and not subject to </w:t>
      </w:r>
      <w:r>
        <w:lastRenderedPageBreak/>
        <w:t>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No. 8 of 2015 s. 18.]</w:t>
      </w:r>
    </w:p>
    <w:p>
      <w:pPr>
        <w:pStyle w:val="Heading5"/>
      </w:pPr>
      <w:bookmarkStart w:id="90" w:name="_Toc107485042"/>
      <w:r>
        <w:rPr>
          <w:rStyle w:val="CharSectno"/>
        </w:rPr>
        <w:t>34B</w:t>
      </w:r>
      <w:r>
        <w:t>.</w:t>
      </w:r>
      <w:r>
        <w:tab/>
        <w:t>Surrender of right of objection or review</w:t>
      </w:r>
      <w:bookmarkEnd w:id="90"/>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No. 8 of 2015 s. 18.]</w:t>
      </w:r>
    </w:p>
    <w:p>
      <w:pPr>
        <w:pStyle w:val="Heading3"/>
      </w:pPr>
      <w:bookmarkStart w:id="91" w:name="_Toc100302901"/>
      <w:bookmarkStart w:id="92" w:name="_Toc100303125"/>
      <w:bookmarkStart w:id="93" w:name="_Toc100564280"/>
      <w:bookmarkStart w:id="94" w:name="_Toc100564476"/>
      <w:bookmarkStart w:id="95" w:name="_Toc107314158"/>
      <w:bookmarkStart w:id="96" w:name="_Toc107485043"/>
      <w:r>
        <w:rPr>
          <w:rStyle w:val="CharDivNo"/>
        </w:rPr>
        <w:t>Division 2</w:t>
      </w:r>
      <w:r>
        <w:t xml:space="preserve"> — </w:t>
      </w:r>
      <w:r>
        <w:rPr>
          <w:rStyle w:val="CharDivText"/>
        </w:rPr>
        <w:t>Objections</w:t>
      </w:r>
      <w:bookmarkEnd w:id="91"/>
      <w:bookmarkEnd w:id="92"/>
      <w:bookmarkEnd w:id="93"/>
      <w:bookmarkEnd w:id="94"/>
      <w:bookmarkEnd w:id="95"/>
      <w:bookmarkEnd w:id="96"/>
    </w:p>
    <w:p>
      <w:pPr>
        <w:pStyle w:val="Heading5"/>
        <w:spacing w:before="200"/>
      </w:pPr>
      <w:bookmarkStart w:id="97" w:name="_Toc107485044"/>
      <w:r>
        <w:rPr>
          <w:rStyle w:val="CharSectno"/>
        </w:rPr>
        <w:t>34</w:t>
      </w:r>
      <w:r>
        <w:t>.</w:t>
      </w:r>
      <w:r>
        <w:tab/>
        <w:t>Right to object</w:t>
      </w:r>
      <w:bookmarkEnd w:id="97"/>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lastRenderedPageBreak/>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lastRenderedPageBreak/>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No. 55 of 2004 s. 1171; No. 12 of 2008 s. 39; No. 31 of 2008 s. 24 and 30; No. 8 of 2012 s. 178; No. 10 of 2013 s. 19 and 34; No. 8 of 2015 s. 19.]</w:t>
      </w:r>
    </w:p>
    <w:p>
      <w:pPr>
        <w:pStyle w:val="Heading5"/>
        <w:spacing w:before="240"/>
      </w:pPr>
      <w:bookmarkStart w:id="98" w:name="_Toc107485045"/>
      <w:r>
        <w:rPr>
          <w:rStyle w:val="CharSectno"/>
        </w:rPr>
        <w:t>35</w:t>
      </w:r>
      <w:r>
        <w:t>.</w:t>
      </w:r>
      <w:r>
        <w:tab/>
        <w:t>Form of objection</w:t>
      </w:r>
      <w:bookmarkEnd w:id="98"/>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99" w:name="_Toc107485046"/>
      <w:r>
        <w:rPr>
          <w:rStyle w:val="CharSectno"/>
        </w:rPr>
        <w:t>36</w:t>
      </w:r>
      <w:r>
        <w:t>.</w:t>
      </w:r>
      <w:r>
        <w:tab/>
        <w:t>Time for lodging objection</w:t>
      </w:r>
      <w:bookmarkEnd w:id="99"/>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lastRenderedPageBreak/>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No. 12 of 2008 s. 40; No. 10 of 2013 s. 20.]</w:t>
      </w:r>
    </w:p>
    <w:p>
      <w:pPr>
        <w:pStyle w:val="Heading5"/>
      </w:pPr>
      <w:bookmarkStart w:id="100" w:name="_Toc107485047"/>
      <w:r>
        <w:rPr>
          <w:rStyle w:val="CharSectno"/>
        </w:rPr>
        <w:lastRenderedPageBreak/>
        <w:t>37</w:t>
      </w:r>
      <w:r>
        <w:t>.</w:t>
      </w:r>
      <w:r>
        <w:tab/>
        <w:t>Consideration of objections</w:t>
      </w:r>
      <w:bookmarkEnd w:id="100"/>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lastRenderedPageBreak/>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No. 10 of 2013 s. 21.]</w:t>
      </w:r>
    </w:p>
    <w:p>
      <w:pPr>
        <w:pStyle w:val="Heading5"/>
      </w:pPr>
      <w:bookmarkStart w:id="101" w:name="_Toc107485048"/>
      <w:r>
        <w:rPr>
          <w:rStyle w:val="CharSectno"/>
        </w:rPr>
        <w:t>38</w:t>
      </w:r>
      <w:r>
        <w:t>.</w:t>
      </w:r>
      <w:r>
        <w:tab/>
        <w:t>Time limit for determining objections</w:t>
      </w:r>
      <w:bookmarkEnd w:id="101"/>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 xml:space="preserve">State </w:t>
      </w:r>
      <w:r>
        <w:rPr>
          <w:snapToGrid w:val="0"/>
        </w:rPr>
        <w:lastRenderedPageBreak/>
        <w:t>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No. 55 of 2004 s. 1172; No. 12 of 2005 s. 9.]</w:t>
      </w:r>
    </w:p>
    <w:p>
      <w:pPr>
        <w:pStyle w:val="Heading5"/>
      </w:pPr>
      <w:bookmarkStart w:id="102" w:name="_Toc107485049"/>
      <w:r>
        <w:rPr>
          <w:rStyle w:val="CharSectno"/>
        </w:rPr>
        <w:t>39</w:t>
      </w:r>
      <w:r>
        <w:t>.</w:t>
      </w:r>
      <w:r>
        <w:tab/>
        <w:t>Reassessment on determination of objection</w:t>
      </w:r>
      <w:bookmarkEnd w:id="102"/>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lastRenderedPageBreak/>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No. 17 of 2010 s. 24.]</w:t>
      </w:r>
    </w:p>
    <w:p>
      <w:pPr>
        <w:pStyle w:val="Heading3"/>
      </w:pPr>
      <w:bookmarkStart w:id="103" w:name="_Toc100302908"/>
      <w:bookmarkStart w:id="104" w:name="_Toc100303132"/>
      <w:bookmarkStart w:id="105" w:name="_Toc100564287"/>
      <w:bookmarkStart w:id="106" w:name="_Toc100564483"/>
      <w:bookmarkStart w:id="107" w:name="_Toc107314165"/>
      <w:bookmarkStart w:id="108" w:name="_Toc107485050"/>
      <w:r>
        <w:rPr>
          <w:rStyle w:val="CharDivNo"/>
        </w:rPr>
        <w:t>Division 3</w:t>
      </w:r>
      <w:r>
        <w:t> — </w:t>
      </w:r>
      <w:r>
        <w:rPr>
          <w:rStyle w:val="CharDivText"/>
        </w:rPr>
        <w:t>Reviews and stated cases</w:t>
      </w:r>
      <w:bookmarkEnd w:id="103"/>
      <w:bookmarkEnd w:id="104"/>
      <w:bookmarkEnd w:id="105"/>
      <w:bookmarkEnd w:id="106"/>
      <w:bookmarkEnd w:id="107"/>
      <w:bookmarkEnd w:id="108"/>
    </w:p>
    <w:p>
      <w:pPr>
        <w:pStyle w:val="Footnoteheading"/>
        <w:tabs>
          <w:tab w:val="left" w:pos="851"/>
        </w:tabs>
      </w:pPr>
      <w:r>
        <w:rPr>
          <w:i w:val="0"/>
        </w:rPr>
        <w:tab/>
      </w:r>
      <w:r>
        <w:t>[Heading amended: No. 55 of 2004 s. 1173.]</w:t>
      </w:r>
    </w:p>
    <w:p>
      <w:pPr>
        <w:pStyle w:val="Heading5"/>
      </w:pPr>
      <w:bookmarkStart w:id="109" w:name="_Toc107485051"/>
      <w:r>
        <w:rPr>
          <w:rStyle w:val="CharSectno"/>
        </w:rPr>
        <w:t>40</w:t>
      </w:r>
      <w:r>
        <w:t>.</w:t>
      </w:r>
      <w:r>
        <w:tab/>
        <w:t xml:space="preserve">Right of review by State </w:t>
      </w:r>
      <w:r>
        <w:rPr>
          <w:snapToGrid w:val="0"/>
        </w:rPr>
        <w:t>Administrative Tribunal</w:t>
      </w:r>
      <w:bookmarkEnd w:id="109"/>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lastRenderedPageBreak/>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No. 55 of 2004 s. 1174; No. 10 of 2013 s. 22; No. 8 of 2015 s. 20.]</w:t>
      </w:r>
    </w:p>
    <w:p>
      <w:pPr>
        <w:pStyle w:val="Ednotesection"/>
        <w:rPr>
          <w:i w:val="0"/>
        </w:rPr>
      </w:pPr>
      <w:r>
        <w:t>[</w:t>
      </w:r>
      <w:r>
        <w:rPr>
          <w:b/>
        </w:rPr>
        <w:t>41.</w:t>
      </w:r>
      <w:r>
        <w:tab/>
        <w:t>Deleted: No. 55 of 2004 s. 1175.]</w:t>
      </w:r>
    </w:p>
    <w:p>
      <w:pPr>
        <w:pStyle w:val="Heading5"/>
      </w:pPr>
      <w:bookmarkStart w:id="110" w:name="_Toc107485052"/>
      <w:r>
        <w:rPr>
          <w:rStyle w:val="CharSectno"/>
        </w:rPr>
        <w:t>42</w:t>
      </w:r>
      <w:r>
        <w:t>.</w:t>
      </w:r>
      <w:r>
        <w:tab/>
        <w:t>Time for review</w:t>
      </w:r>
      <w:bookmarkEnd w:id="110"/>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No. 55 of 2004 s. 1176.]</w:t>
      </w:r>
    </w:p>
    <w:p>
      <w:pPr>
        <w:pStyle w:val="Heading5"/>
      </w:pPr>
      <w:bookmarkStart w:id="111" w:name="_Toc107485053"/>
      <w:r>
        <w:rPr>
          <w:rStyle w:val="CharSectno"/>
        </w:rPr>
        <w:t>43</w:t>
      </w:r>
      <w:r>
        <w:t>.</w:t>
      </w:r>
      <w:r>
        <w:rPr>
          <w:vertAlign w:val="superscript"/>
        </w:rPr>
        <w:t> 1MC</w:t>
      </w:r>
      <w:r>
        <w:tab/>
        <w:t xml:space="preserve">Proceedings before State </w:t>
      </w:r>
      <w:r>
        <w:rPr>
          <w:snapToGrid w:val="0"/>
        </w:rPr>
        <w:t>Administrative Tribunal</w:t>
      </w:r>
      <w:bookmarkEnd w:id="111"/>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lastRenderedPageBreak/>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w:t>
      </w:r>
      <w:r>
        <w:lastRenderedPageBreak/>
        <w:t>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lastRenderedPageBreak/>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No. 55 of 2004 s. 1177; No. 12 of 2008 s. 41; No. 17 of 2010 s. 25 and 30(3); No. 29 of 2012 s. 41; No. 10 of 2013 s. 23; No. 9 of 2022 s. 424.]</w:t>
      </w:r>
    </w:p>
    <w:p>
      <w:pPr>
        <w:pStyle w:val="Ednotesection"/>
      </w:pPr>
      <w:r>
        <w:tab/>
        <w:t>[Modification, to section 43, to have effect under the Commonwealth Places (Mirror Taxes) Act 1998 (Commonwealth) s. 8, see Commonwealth Places (Mirror Taxes) (Modification of Applied Laws (WA)) Notice 2007 cl. 54 and endnote 1MC.]</w:t>
      </w:r>
    </w:p>
    <w:p>
      <w:pPr>
        <w:pStyle w:val="Heading5"/>
      </w:pPr>
      <w:bookmarkStart w:id="112" w:name="_Toc107485054"/>
      <w:r>
        <w:rPr>
          <w:rStyle w:val="CharSectno"/>
        </w:rPr>
        <w:t>43A</w:t>
      </w:r>
      <w:r>
        <w:t>.</w:t>
      </w:r>
      <w:r>
        <w:tab/>
        <w:t xml:space="preserve">Appeal from decision of State </w:t>
      </w:r>
      <w:r>
        <w:rPr>
          <w:snapToGrid w:val="0"/>
        </w:rPr>
        <w:t>Administrative Tribunal</w:t>
      </w:r>
      <w:bookmarkEnd w:id="112"/>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lastRenderedPageBreak/>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No. 55 of 2004 s. 1178.]</w:t>
      </w:r>
    </w:p>
    <w:p>
      <w:pPr>
        <w:pStyle w:val="Heading5"/>
      </w:pPr>
      <w:bookmarkStart w:id="113" w:name="_Toc107485055"/>
      <w:r>
        <w:rPr>
          <w:rStyle w:val="CharSectno"/>
        </w:rPr>
        <w:t>44</w:t>
      </w:r>
      <w:r>
        <w:t>.</w:t>
      </w:r>
      <w:r>
        <w:tab/>
        <w:t>Cases stated by Commissioner</w:t>
      </w:r>
      <w:bookmarkEnd w:id="113"/>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14" w:name="_Toc100302914"/>
      <w:bookmarkStart w:id="115" w:name="_Toc100303138"/>
      <w:bookmarkStart w:id="116" w:name="_Toc100564293"/>
      <w:bookmarkStart w:id="117" w:name="_Toc100564489"/>
      <w:bookmarkStart w:id="118" w:name="_Toc107314171"/>
      <w:bookmarkStart w:id="119" w:name="_Toc107485056"/>
      <w:r>
        <w:rPr>
          <w:rStyle w:val="CharPartNo"/>
        </w:rPr>
        <w:lastRenderedPageBreak/>
        <w:t>Part 5</w:t>
      </w:r>
      <w:r>
        <w:t xml:space="preserve"> — </w:t>
      </w:r>
      <w:r>
        <w:rPr>
          <w:rStyle w:val="CharPartText"/>
        </w:rPr>
        <w:t>Payment and refund of tax</w:t>
      </w:r>
      <w:bookmarkEnd w:id="114"/>
      <w:bookmarkEnd w:id="115"/>
      <w:bookmarkEnd w:id="116"/>
      <w:bookmarkEnd w:id="117"/>
      <w:bookmarkEnd w:id="118"/>
      <w:bookmarkEnd w:id="119"/>
    </w:p>
    <w:p>
      <w:pPr>
        <w:pStyle w:val="Heading3"/>
      </w:pPr>
      <w:bookmarkStart w:id="120" w:name="_Toc100302915"/>
      <w:bookmarkStart w:id="121" w:name="_Toc100303139"/>
      <w:bookmarkStart w:id="122" w:name="_Toc100564294"/>
      <w:bookmarkStart w:id="123" w:name="_Toc100564490"/>
      <w:bookmarkStart w:id="124" w:name="_Toc107314172"/>
      <w:bookmarkStart w:id="125" w:name="_Toc107485057"/>
      <w:r>
        <w:rPr>
          <w:rStyle w:val="CharDivNo"/>
        </w:rPr>
        <w:t>Division 1</w:t>
      </w:r>
      <w:r>
        <w:t xml:space="preserve"> — </w:t>
      </w:r>
      <w:r>
        <w:rPr>
          <w:rStyle w:val="CharDivText"/>
        </w:rPr>
        <w:t>Payment</w:t>
      </w:r>
      <w:bookmarkEnd w:id="120"/>
      <w:bookmarkEnd w:id="121"/>
      <w:bookmarkEnd w:id="122"/>
      <w:bookmarkEnd w:id="123"/>
      <w:bookmarkEnd w:id="124"/>
      <w:bookmarkEnd w:id="125"/>
    </w:p>
    <w:p>
      <w:pPr>
        <w:pStyle w:val="Heading5"/>
      </w:pPr>
      <w:bookmarkStart w:id="126" w:name="_Toc107485058"/>
      <w:r>
        <w:rPr>
          <w:rStyle w:val="CharSectno"/>
        </w:rPr>
        <w:t>45</w:t>
      </w:r>
      <w:r>
        <w:t>.</w:t>
      </w:r>
      <w:r>
        <w:tab/>
        <w:t>When tax is due for payment</w:t>
      </w:r>
      <w:bookmarkEnd w:id="126"/>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No. 12 of 2004 s. 10.]</w:t>
      </w:r>
    </w:p>
    <w:p>
      <w:pPr>
        <w:pStyle w:val="Heading5"/>
      </w:pPr>
      <w:bookmarkStart w:id="127" w:name="_Toc107485059"/>
      <w:r>
        <w:rPr>
          <w:rStyle w:val="CharSectno"/>
        </w:rPr>
        <w:t>46</w:t>
      </w:r>
      <w:r>
        <w:t>.</w:t>
      </w:r>
      <w:r>
        <w:tab/>
        <w:t>Allocation of payment</w:t>
      </w:r>
      <w:bookmarkEnd w:id="127"/>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28" w:name="_Toc107485060"/>
      <w:r>
        <w:rPr>
          <w:rStyle w:val="CharSectno"/>
        </w:rPr>
        <w:t>47</w:t>
      </w:r>
      <w:r>
        <w:t>.</w:t>
      </w:r>
      <w:r>
        <w:tab/>
        <w:t>Arrangements for instalments and extensions of time</w:t>
      </w:r>
      <w:bookmarkEnd w:id="128"/>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lastRenderedPageBreak/>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Subsection"/>
        <w:keepNext/>
      </w:pPr>
      <w:r>
        <w:lastRenderedPageBreak/>
        <w:tab/>
        <w:t>(9)</w:t>
      </w:r>
      <w:r>
        <w:tab/>
        <w:t>In this section, a reference to tax is to be read as including costs of the kinds referred to in section 62(a), (b), (ba) and (d).</w:t>
      </w:r>
    </w:p>
    <w:p>
      <w:pPr>
        <w:pStyle w:val="Footnotesection"/>
        <w:rPr>
          <w:iCs/>
        </w:rPr>
      </w:pPr>
      <w:r>
        <w:rPr>
          <w:iCs/>
        </w:rPr>
        <w:tab/>
        <w:t>[Section 47 amended: No. 55 of 2004 s. 1179; No. 11 of 2019 s. 7.]</w:t>
      </w:r>
    </w:p>
    <w:p>
      <w:pPr>
        <w:pStyle w:val="Heading5"/>
      </w:pPr>
      <w:bookmarkStart w:id="129" w:name="_Toc107485061"/>
      <w:r>
        <w:rPr>
          <w:rStyle w:val="CharSectno"/>
        </w:rPr>
        <w:t>48</w:t>
      </w:r>
      <w:r>
        <w:t>.</w:t>
      </w:r>
      <w:r>
        <w:tab/>
        <w:t>No action to compel approval of tax payment arrangement</w:t>
      </w:r>
      <w:bookmarkEnd w:id="129"/>
    </w:p>
    <w:p>
      <w:pPr>
        <w:pStyle w:val="Subsection"/>
      </w:pPr>
      <w:r>
        <w:tab/>
      </w:r>
      <w:r>
        <w:tab/>
        <w:t>No action can be brought in a court to compel the Commissioner to approve a tax payment arrangement.</w:t>
      </w:r>
    </w:p>
    <w:p>
      <w:pPr>
        <w:pStyle w:val="Heading3"/>
      </w:pPr>
      <w:bookmarkStart w:id="130" w:name="_Toc100302920"/>
      <w:bookmarkStart w:id="131" w:name="_Toc100303144"/>
      <w:bookmarkStart w:id="132" w:name="_Toc100564299"/>
      <w:bookmarkStart w:id="133" w:name="_Toc100564495"/>
      <w:bookmarkStart w:id="134" w:name="_Toc107314177"/>
      <w:bookmarkStart w:id="135" w:name="_Toc107485062"/>
      <w:r>
        <w:rPr>
          <w:rStyle w:val="CharDivNo"/>
        </w:rPr>
        <w:t>Division 2</w:t>
      </w:r>
      <w:r>
        <w:t xml:space="preserve"> — </w:t>
      </w:r>
      <w:r>
        <w:rPr>
          <w:rStyle w:val="CharDivText"/>
        </w:rPr>
        <w:t>Special tax return arrangements</w:t>
      </w:r>
      <w:bookmarkEnd w:id="130"/>
      <w:bookmarkEnd w:id="131"/>
      <w:bookmarkEnd w:id="132"/>
      <w:bookmarkEnd w:id="133"/>
      <w:bookmarkEnd w:id="134"/>
      <w:bookmarkEnd w:id="135"/>
    </w:p>
    <w:p>
      <w:pPr>
        <w:pStyle w:val="Heading5"/>
      </w:pPr>
      <w:bookmarkStart w:id="136" w:name="_Toc107485063"/>
      <w:r>
        <w:rPr>
          <w:rStyle w:val="CharSectno"/>
        </w:rPr>
        <w:t>49</w:t>
      </w:r>
      <w:r>
        <w:t>.</w:t>
      </w:r>
      <w:r>
        <w:tab/>
        <w:t>Approval of special tax return arrangements</w:t>
      </w:r>
      <w:bookmarkEnd w:id="136"/>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37" w:name="_Toc107485064"/>
      <w:r>
        <w:rPr>
          <w:rStyle w:val="CharSectno"/>
        </w:rPr>
        <w:lastRenderedPageBreak/>
        <w:t>50</w:t>
      </w:r>
      <w:r>
        <w:t>.</w:t>
      </w:r>
      <w:r>
        <w:tab/>
        <w:t>Content of special tax return arrangement</w:t>
      </w:r>
      <w:bookmarkEnd w:id="137"/>
    </w:p>
    <w:p>
      <w:pPr>
        <w:pStyle w:val="Subsection"/>
        <w:keepNext/>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keepNext/>
      </w:pPr>
      <w:r>
        <w:lastRenderedPageBreak/>
        <w:tab/>
        <w:t>(4)</w:t>
      </w:r>
      <w:r>
        <w:tab/>
        <w:t>A special tax return arrangement does not transfer the taxpayer’s tax liability from the taxpayer to the responsible party.</w:t>
      </w:r>
    </w:p>
    <w:p>
      <w:pPr>
        <w:pStyle w:val="Footnotesection"/>
      </w:pPr>
      <w:r>
        <w:tab/>
        <w:t>[Section 50 amended: No. 12 of 2005 s. 10; No. 12 of 2008 s. 42.]</w:t>
      </w:r>
    </w:p>
    <w:p>
      <w:pPr>
        <w:pStyle w:val="Heading5"/>
      </w:pPr>
      <w:bookmarkStart w:id="138" w:name="_Toc107485065"/>
      <w:r>
        <w:rPr>
          <w:rStyle w:val="CharSectno"/>
        </w:rPr>
        <w:t>51</w:t>
      </w:r>
      <w:r>
        <w:t>.</w:t>
      </w:r>
      <w:r>
        <w:tab/>
        <w:t>Improper endorsement or certification of instrument</w:t>
      </w:r>
      <w:bookmarkEnd w:id="138"/>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No. 12 of 2008 s. 43.]</w:t>
      </w:r>
    </w:p>
    <w:p>
      <w:pPr>
        <w:pStyle w:val="Heading5"/>
      </w:pPr>
      <w:bookmarkStart w:id="139" w:name="_Toc107485066"/>
      <w:r>
        <w:rPr>
          <w:rStyle w:val="CharSectno"/>
        </w:rPr>
        <w:t>52</w:t>
      </w:r>
      <w:r>
        <w:t>.</w:t>
      </w:r>
      <w:r>
        <w:tab/>
        <w:t>Lodging returns under special tax return arrangement</w:t>
      </w:r>
      <w:bookmarkEnd w:id="139"/>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40" w:name="_Toc107485067"/>
      <w:r>
        <w:rPr>
          <w:rStyle w:val="CharSectno"/>
        </w:rPr>
        <w:lastRenderedPageBreak/>
        <w:t>53</w:t>
      </w:r>
      <w:r>
        <w:t>.</w:t>
      </w:r>
      <w:r>
        <w:tab/>
        <w:t>Amendment or cancellation of arrangement</w:t>
      </w:r>
      <w:bookmarkEnd w:id="140"/>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41" w:name="_Toc100302926"/>
      <w:bookmarkStart w:id="142" w:name="_Toc100303150"/>
      <w:bookmarkStart w:id="143" w:name="_Toc100564305"/>
      <w:bookmarkStart w:id="144" w:name="_Toc100564501"/>
      <w:bookmarkStart w:id="145" w:name="_Toc107314183"/>
      <w:bookmarkStart w:id="146" w:name="_Toc107485068"/>
      <w:r>
        <w:rPr>
          <w:rStyle w:val="CharDivNo"/>
        </w:rPr>
        <w:t>Division 3</w:t>
      </w:r>
      <w:r>
        <w:t xml:space="preserve"> — </w:t>
      </w:r>
      <w:r>
        <w:rPr>
          <w:rStyle w:val="CharDivText"/>
        </w:rPr>
        <w:t>Refunds of tax</w:t>
      </w:r>
      <w:bookmarkEnd w:id="141"/>
      <w:bookmarkEnd w:id="142"/>
      <w:bookmarkEnd w:id="143"/>
      <w:bookmarkEnd w:id="144"/>
      <w:bookmarkEnd w:id="145"/>
      <w:bookmarkEnd w:id="146"/>
    </w:p>
    <w:p>
      <w:pPr>
        <w:pStyle w:val="Heading5"/>
      </w:pPr>
      <w:bookmarkStart w:id="147" w:name="_Toc107485069"/>
      <w:r>
        <w:rPr>
          <w:rStyle w:val="CharSectno"/>
        </w:rPr>
        <w:t>54</w:t>
      </w:r>
      <w:r>
        <w:t>.</w:t>
      </w:r>
      <w:r>
        <w:tab/>
        <w:t>Refunds</w:t>
      </w:r>
      <w:bookmarkEnd w:id="147"/>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keepNext/>
        <w:keepLines/>
      </w:pPr>
      <w:r>
        <w:lastRenderedPageBreak/>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No. 10 of 2013 s. 24.]</w:t>
      </w:r>
    </w:p>
    <w:p>
      <w:pPr>
        <w:pStyle w:val="Heading5"/>
      </w:pPr>
      <w:bookmarkStart w:id="148" w:name="_Toc107485070"/>
      <w:r>
        <w:rPr>
          <w:rStyle w:val="CharSectno"/>
        </w:rPr>
        <w:t>54A</w:t>
      </w:r>
      <w:r>
        <w:t>.</w:t>
      </w:r>
      <w:r>
        <w:tab/>
        <w:t xml:space="preserve">Interest on refunds resulting from proceedings under </w:t>
      </w:r>
      <w:r>
        <w:rPr>
          <w:i/>
        </w:rPr>
        <w:t>Valuation of Land Act 1978</w:t>
      </w:r>
      <w:bookmarkEnd w:id="148"/>
    </w:p>
    <w:p>
      <w:pPr>
        <w:pStyle w:val="Subsection"/>
      </w:pPr>
      <w:r>
        <w:tab/>
        <w:t>(1)</w:t>
      </w:r>
      <w:r>
        <w:tab/>
        <w:t xml:space="preserve">This section applies if a reassessment is made, and an amount is to be refunded or credited to a taxpayer under section 54(1)(a) or (2), as a result of — </w:t>
      </w:r>
    </w:p>
    <w:p>
      <w:pPr>
        <w:pStyle w:val="Indenta"/>
      </w:pPr>
      <w:r>
        <w:tab/>
        <w:t>(a)</w:t>
      </w:r>
      <w:r>
        <w:tab/>
        <w:t xml:space="preserve">an objection under the </w:t>
      </w:r>
      <w:r>
        <w:rPr>
          <w:i/>
        </w:rPr>
        <w:t>Valuation of Land Act 1978</w:t>
      </w:r>
      <w:r>
        <w:t xml:space="preserve"> section 32 being allowed, wholly or in part; or</w:t>
      </w:r>
    </w:p>
    <w:p>
      <w:pPr>
        <w:pStyle w:val="Indenta"/>
      </w:pPr>
      <w:r>
        <w:tab/>
        <w:t>(b)</w:t>
      </w:r>
      <w:r>
        <w:tab/>
        <w:t xml:space="preserve">a review by the State Administrative Tribunal under the </w:t>
      </w:r>
      <w:r>
        <w:rPr>
          <w:i/>
        </w:rPr>
        <w:t>Valuation of Land Act 1978</w:t>
      </w:r>
      <w:r>
        <w:t xml:space="preserve"> section 33.</w:t>
      </w:r>
    </w:p>
    <w:p>
      <w:pPr>
        <w:pStyle w:val="Subsection"/>
      </w:pPr>
      <w:r>
        <w:tab/>
        <w:t>(2)</w:t>
      </w:r>
      <w:r>
        <w:tab/>
        <w:t xml:space="preserve">The following amounts must also be refunded or credited to the taxpayer — </w:t>
      </w:r>
    </w:p>
    <w:p>
      <w:pPr>
        <w:pStyle w:val="Indenta"/>
      </w:pPr>
      <w:r>
        <w:tab/>
        <w:t>(a)</w:t>
      </w:r>
      <w:r>
        <w:tab/>
        <w:t>any amount paid by the taxpayer for the lodging of a memorial under section 76, if the Commissioner has lodged a withdrawal of the memorial as a result of the reassessment;</w:t>
      </w:r>
    </w:p>
    <w:p>
      <w:pPr>
        <w:pStyle w:val="Indenta"/>
      </w:pPr>
      <w:r>
        <w:lastRenderedPageBreak/>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amount to be refunded or credited to the taxpayer, as a result of the reassessment referred to in subsection (1), was paid by the taxpayer; or</w:t>
      </w:r>
    </w:p>
    <w:p>
      <w:pPr>
        <w:pStyle w:val="Defsubpara"/>
      </w:pPr>
      <w:r>
        <w:tab/>
        <w:t>(ii)</w:t>
      </w:r>
      <w:r>
        <w:tab/>
        <w:t xml:space="preserve">the date on which the assessment of tax to which the objection or review under the </w:t>
      </w:r>
      <w:r>
        <w:rPr>
          <w:i/>
        </w:rPr>
        <w:t xml:space="preserve">Valuation of Land Act 1978 </w:t>
      </w:r>
      <w:r>
        <w:t>related was made;</w:t>
      </w:r>
    </w:p>
    <w:p>
      <w:pPr>
        <w:pStyle w:val="Defpara"/>
      </w:pPr>
      <w:r>
        <w:tab/>
      </w:r>
      <w:r>
        <w:tab/>
        <w:t>and</w:t>
      </w:r>
    </w:p>
    <w:p>
      <w:pPr>
        <w:pStyle w:val="Defpara"/>
      </w:pPr>
      <w:r>
        <w:tab/>
        <w:t>(b)</w:t>
      </w:r>
      <w:r>
        <w:tab/>
        <w:t>ending on the date, on or after the date the Commissioner made the reassessment referred to in subsection (1), on which the Commissioner approved the refunding or crediting of the amount.</w:t>
      </w:r>
    </w:p>
    <w:p>
      <w:pPr>
        <w:pStyle w:val="Footnotesection"/>
      </w:pPr>
      <w:r>
        <w:tab/>
        <w:t>[Section 54A inserted: No. 11 of 2019 s. 8.]</w:t>
      </w:r>
    </w:p>
    <w:p>
      <w:pPr>
        <w:pStyle w:val="Heading5"/>
      </w:pPr>
      <w:bookmarkStart w:id="149" w:name="_Toc107485071"/>
      <w:r>
        <w:rPr>
          <w:rStyle w:val="CharSectno"/>
        </w:rPr>
        <w:t>55A</w:t>
      </w:r>
      <w:r>
        <w:t>.</w:t>
      </w:r>
      <w:r>
        <w:tab/>
        <w:t>Unused credit</w:t>
      </w:r>
      <w:bookmarkEnd w:id="149"/>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keepNext/>
        <w:keepLines/>
      </w:pPr>
      <w:r>
        <w:lastRenderedPageBreak/>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No. 31 of 2008 s. 25.]</w:t>
      </w:r>
    </w:p>
    <w:p>
      <w:pPr>
        <w:pStyle w:val="Heading5"/>
      </w:pPr>
      <w:bookmarkStart w:id="150" w:name="_Toc107485072"/>
      <w:r>
        <w:rPr>
          <w:rStyle w:val="CharSectno"/>
        </w:rPr>
        <w:t>55</w:t>
      </w:r>
      <w:r>
        <w:t>.</w:t>
      </w:r>
      <w:r>
        <w:tab/>
        <w:t>Refunds or credits to be passed on to third parties in some cases</w:t>
      </w:r>
      <w:bookmarkEnd w:id="150"/>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 xml:space="preserve">If the third party contributed part only of the tax payment, or partially reimbursed the taxpayer for the payment, the taxpayer </w:t>
      </w:r>
      <w:r>
        <w:lastRenderedPageBreak/>
        <w:t>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No. 12 of 2008 s. 44; No. 17 of 2010 s. 30(4).]</w:t>
      </w:r>
    </w:p>
    <w:p>
      <w:pPr>
        <w:pStyle w:val="Heading3"/>
        <w:spacing w:before="280"/>
      </w:pPr>
      <w:bookmarkStart w:id="151" w:name="_Toc100302931"/>
      <w:bookmarkStart w:id="152" w:name="_Toc100303155"/>
      <w:bookmarkStart w:id="153" w:name="_Toc100564310"/>
      <w:bookmarkStart w:id="154" w:name="_Toc100564506"/>
      <w:bookmarkStart w:id="155" w:name="_Toc107314188"/>
      <w:bookmarkStart w:id="156" w:name="_Toc107485073"/>
      <w:r>
        <w:rPr>
          <w:rStyle w:val="CharDivNo"/>
        </w:rPr>
        <w:t>Division 4</w:t>
      </w:r>
      <w:r>
        <w:t xml:space="preserve"> — </w:t>
      </w:r>
      <w:r>
        <w:rPr>
          <w:rStyle w:val="CharDivText"/>
        </w:rPr>
        <w:t>Power to waive or write off liability</w:t>
      </w:r>
      <w:bookmarkEnd w:id="151"/>
      <w:bookmarkEnd w:id="152"/>
      <w:bookmarkEnd w:id="153"/>
      <w:bookmarkEnd w:id="154"/>
      <w:bookmarkEnd w:id="155"/>
      <w:bookmarkEnd w:id="156"/>
    </w:p>
    <w:p>
      <w:pPr>
        <w:pStyle w:val="Heading5"/>
      </w:pPr>
      <w:bookmarkStart w:id="157" w:name="_Toc107485074"/>
      <w:r>
        <w:rPr>
          <w:rStyle w:val="CharSectno"/>
        </w:rPr>
        <w:t>56</w:t>
      </w:r>
      <w:r>
        <w:t>.</w:t>
      </w:r>
      <w:r>
        <w:tab/>
        <w:t>Waiving tax</w:t>
      </w:r>
      <w:bookmarkEnd w:id="157"/>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lastRenderedPageBreak/>
        <w:tab/>
        <w:t>(3)</w:t>
      </w:r>
      <w:r>
        <w:tab/>
        <w:t>A decision by the Commissioner to waive tax, or not to waive tax, is directly reviewable.</w:t>
      </w:r>
    </w:p>
    <w:p>
      <w:pPr>
        <w:pStyle w:val="Footnotesection"/>
      </w:pPr>
      <w:r>
        <w:tab/>
        <w:t>[Section 56 amended: No. 55 of 2004 s. 1180.]</w:t>
      </w:r>
    </w:p>
    <w:p>
      <w:pPr>
        <w:pStyle w:val="Heading5"/>
      </w:pPr>
      <w:bookmarkStart w:id="158" w:name="_Toc107485075"/>
      <w:r>
        <w:rPr>
          <w:rStyle w:val="CharSectno"/>
        </w:rPr>
        <w:t>57</w:t>
      </w:r>
      <w:r>
        <w:t>.</w:t>
      </w:r>
      <w:r>
        <w:tab/>
        <w:t>Writing off tax liability</w:t>
      </w:r>
      <w:bookmarkEnd w:id="158"/>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No. 55 of 2004 s. 1181.]</w:t>
      </w:r>
    </w:p>
    <w:p>
      <w:pPr>
        <w:pStyle w:val="Heading5"/>
      </w:pPr>
      <w:bookmarkStart w:id="159" w:name="_Toc107485076"/>
      <w:r>
        <w:rPr>
          <w:rStyle w:val="CharSectno"/>
        </w:rPr>
        <w:t>58</w:t>
      </w:r>
      <w:r>
        <w:t>.</w:t>
      </w:r>
      <w:r>
        <w:tab/>
        <w:t>Powers subject to</w:t>
      </w:r>
      <w:r>
        <w:rPr>
          <w:i/>
        </w:rPr>
        <w:t xml:space="preserve"> Financial Management Act 2006</w:t>
      </w:r>
      <w:bookmarkEnd w:id="159"/>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No. 77 of 2006 Sch. 1 cl. 166.]</w:t>
      </w:r>
    </w:p>
    <w:p>
      <w:pPr>
        <w:pStyle w:val="Heading5"/>
      </w:pPr>
      <w:bookmarkStart w:id="160" w:name="_Toc107485077"/>
      <w:r>
        <w:rPr>
          <w:rStyle w:val="CharSectno"/>
        </w:rPr>
        <w:t>59.</w:t>
      </w:r>
      <w:r>
        <w:tab/>
        <w:t>No action to compel waiver or writing off</w:t>
      </w:r>
      <w:bookmarkEnd w:id="160"/>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No. 55 of 2004 s. 1182.]</w:t>
      </w:r>
    </w:p>
    <w:p>
      <w:pPr>
        <w:pStyle w:val="Heading2"/>
      </w:pPr>
      <w:bookmarkStart w:id="161" w:name="_Toc100302936"/>
      <w:bookmarkStart w:id="162" w:name="_Toc100303160"/>
      <w:bookmarkStart w:id="163" w:name="_Toc100564315"/>
      <w:bookmarkStart w:id="164" w:name="_Toc100564511"/>
      <w:bookmarkStart w:id="165" w:name="_Toc107314193"/>
      <w:bookmarkStart w:id="166" w:name="_Toc107485078"/>
      <w:r>
        <w:rPr>
          <w:rStyle w:val="CharPartNo"/>
        </w:rPr>
        <w:lastRenderedPageBreak/>
        <w:t>Part 6</w:t>
      </w:r>
      <w:r>
        <w:t xml:space="preserve"> — </w:t>
      </w:r>
      <w:r>
        <w:rPr>
          <w:rStyle w:val="CharPartText"/>
        </w:rPr>
        <w:t>Recovery of tax</w:t>
      </w:r>
      <w:bookmarkEnd w:id="161"/>
      <w:bookmarkEnd w:id="162"/>
      <w:bookmarkEnd w:id="163"/>
      <w:bookmarkEnd w:id="164"/>
      <w:bookmarkEnd w:id="165"/>
      <w:bookmarkEnd w:id="166"/>
    </w:p>
    <w:p>
      <w:pPr>
        <w:pStyle w:val="Heading3"/>
      </w:pPr>
      <w:bookmarkStart w:id="167" w:name="_Toc100302937"/>
      <w:bookmarkStart w:id="168" w:name="_Toc100303161"/>
      <w:bookmarkStart w:id="169" w:name="_Toc100564316"/>
      <w:bookmarkStart w:id="170" w:name="_Toc100564512"/>
      <w:bookmarkStart w:id="171" w:name="_Toc107314194"/>
      <w:bookmarkStart w:id="172" w:name="_Toc107485079"/>
      <w:r>
        <w:rPr>
          <w:rStyle w:val="CharDivNo"/>
        </w:rPr>
        <w:t>Division 1</w:t>
      </w:r>
      <w:r>
        <w:t xml:space="preserve"> — </w:t>
      </w:r>
      <w:r>
        <w:rPr>
          <w:rStyle w:val="CharDivText"/>
        </w:rPr>
        <w:t>Recovery generally</w:t>
      </w:r>
      <w:bookmarkEnd w:id="167"/>
      <w:bookmarkEnd w:id="168"/>
      <w:bookmarkEnd w:id="169"/>
      <w:bookmarkEnd w:id="170"/>
      <w:bookmarkEnd w:id="171"/>
      <w:bookmarkEnd w:id="172"/>
    </w:p>
    <w:p>
      <w:pPr>
        <w:pStyle w:val="Heading5"/>
      </w:pPr>
      <w:bookmarkStart w:id="173" w:name="_Toc107485080"/>
      <w:r>
        <w:rPr>
          <w:rStyle w:val="CharSectno"/>
        </w:rPr>
        <w:t>60</w:t>
      </w:r>
      <w:r>
        <w:t>.</w:t>
      </w:r>
      <w:r>
        <w:rPr>
          <w:vertAlign w:val="superscript"/>
        </w:rPr>
        <w:t>  1MC</w:t>
      </w:r>
      <w:r>
        <w:tab/>
        <w:t>Recovery of unpaid tax</w:t>
      </w:r>
      <w:bookmarkEnd w:id="173"/>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Ednotesection"/>
      </w:pPr>
      <w:r>
        <w:tab/>
        <w:t>[Modification, to section 60, to have effect under the Commonwealth Places (Mirror Taxes) Act 1998 (Commonwealth) s. 8, see Commonwealth Places (Mirror Taxes) (Modification of Applied Laws (WA)) Notice 2007 cl. 55 and endnote 1MC.]</w:t>
      </w:r>
    </w:p>
    <w:p>
      <w:pPr>
        <w:pStyle w:val="Heading5"/>
      </w:pPr>
      <w:bookmarkStart w:id="174" w:name="_Toc107485081"/>
      <w:r>
        <w:rPr>
          <w:rStyle w:val="CharSectno"/>
        </w:rPr>
        <w:t>61</w:t>
      </w:r>
      <w:r>
        <w:t>.</w:t>
      </w:r>
      <w:r>
        <w:tab/>
        <w:t>Power of court to order payment of tax</w:t>
      </w:r>
      <w:bookmarkEnd w:id="174"/>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75" w:name="_Toc107485082"/>
      <w:r>
        <w:rPr>
          <w:rStyle w:val="CharSectno"/>
        </w:rPr>
        <w:t>62</w:t>
      </w:r>
      <w:r>
        <w:t>.</w:t>
      </w:r>
      <w:r>
        <w:tab/>
        <w:t>This Part applies to tax and also costs and interest</w:t>
      </w:r>
      <w:bookmarkEnd w:id="175"/>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77A(2), (3), (4A) or (4); and</w:t>
      </w:r>
    </w:p>
    <w:p>
      <w:pPr>
        <w:pStyle w:val="Indenta"/>
      </w:pPr>
      <w:r>
        <w:tab/>
        <w:t>(ba)</w:t>
      </w:r>
      <w:r>
        <w:tab/>
        <w:t>costs incurred for lodging a withdrawal of memorial under section 81;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No. 17 of 2010 s. 26; No. 11 of 2019 s. 9.]</w:t>
      </w:r>
    </w:p>
    <w:p>
      <w:pPr>
        <w:pStyle w:val="Heading5"/>
      </w:pPr>
      <w:bookmarkStart w:id="176" w:name="_Toc107485083"/>
      <w:r>
        <w:rPr>
          <w:rStyle w:val="CharSectno"/>
        </w:rPr>
        <w:lastRenderedPageBreak/>
        <w:t>63</w:t>
      </w:r>
      <w:r>
        <w:t>.</w:t>
      </w:r>
      <w:r>
        <w:tab/>
        <w:t>Recovery in cases of joint liability</w:t>
      </w:r>
      <w:bookmarkEnd w:id="176"/>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77" w:name="_Toc107485084"/>
      <w:r>
        <w:rPr>
          <w:rStyle w:val="CharSectno"/>
        </w:rPr>
        <w:t>64</w:t>
      </w:r>
      <w:r>
        <w:t>.</w:t>
      </w:r>
      <w:r>
        <w:tab/>
        <w:t>Notice of administrator’s appointment</w:t>
      </w:r>
      <w:bookmarkEnd w:id="177"/>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78" w:name="_Toc107485085"/>
      <w:r>
        <w:rPr>
          <w:rStyle w:val="CharSectno"/>
        </w:rPr>
        <w:t>65</w:t>
      </w:r>
      <w:r>
        <w:t>.</w:t>
      </w:r>
      <w:r>
        <w:tab/>
        <w:t>Recovery from garnishee</w:t>
      </w:r>
      <w:bookmarkEnd w:id="178"/>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lastRenderedPageBreak/>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lastRenderedPageBreak/>
        <w:tab/>
        <w:t>(8)</w:t>
      </w:r>
      <w:r>
        <w:tab/>
        <w:t>A garnishee who is under an obligation to pay money to the taxpayer is taken to have satisfied that obligation to the extent of the payment made under the garnishee notice.</w:t>
      </w:r>
    </w:p>
    <w:p>
      <w:pPr>
        <w:pStyle w:val="Heading5"/>
      </w:pPr>
      <w:bookmarkStart w:id="179" w:name="_Toc107485086"/>
      <w:r>
        <w:rPr>
          <w:rStyle w:val="CharSectno"/>
        </w:rPr>
        <w:t>66</w:t>
      </w:r>
      <w:r>
        <w:t>.</w:t>
      </w:r>
      <w:r>
        <w:tab/>
        <w:t>Recovery from partnerships</w:t>
      </w:r>
      <w:bookmarkEnd w:id="179"/>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180" w:name="_Toc107485087"/>
      <w:r>
        <w:rPr>
          <w:rStyle w:val="CharSectno"/>
        </w:rPr>
        <w:t>67</w:t>
      </w:r>
      <w:r>
        <w:t>.</w:t>
      </w:r>
      <w:r>
        <w:tab/>
        <w:t>Recovery from directors of body corporate</w:t>
      </w:r>
      <w:bookmarkEnd w:id="180"/>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keepNext/>
      </w:pPr>
      <w:r>
        <w:lastRenderedPageBreak/>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lastRenderedPageBreak/>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No. 30 of 2015 s. 229.]</w:t>
      </w:r>
    </w:p>
    <w:p>
      <w:pPr>
        <w:pStyle w:val="Heading5"/>
        <w:spacing w:before="180"/>
      </w:pPr>
      <w:bookmarkStart w:id="181" w:name="_Toc107485088"/>
      <w:r>
        <w:rPr>
          <w:rStyle w:val="CharSectno"/>
        </w:rPr>
        <w:t>68</w:t>
      </w:r>
      <w:r>
        <w:t>.</w:t>
      </w:r>
      <w:r>
        <w:tab/>
        <w:t>Director or body corporate may apply to Supreme Court to set aside s. 67 notice</w:t>
      </w:r>
      <w:bookmarkEnd w:id="181"/>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82" w:name="_Toc107485089"/>
      <w:r>
        <w:rPr>
          <w:rStyle w:val="CharSectno"/>
        </w:rPr>
        <w:lastRenderedPageBreak/>
        <w:t>69</w:t>
      </w:r>
      <w:r>
        <w:t>.</w:t>
      </w:r>
      <w:r>
        <w:tab/>
        <w:t>Proceedings on s. 68 application where genuine dispute as to assessment of pay-roll tax</w:t>
      </w:r>
      <w:bookmarkEnd w:id="182"/>
    </w:p>
    <w:p>
      <w:pPr>
        <w:pStyle w:val="Subsection"/>
        <w:keepNext/>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83" w:name="_Toc107485090"/>
      <w:r>
        <w:rPr>
          <w:rStyle w:val="CharSectno"/>
        </w:rPr>
        <w:t>70</w:t>
      </w:r>
      <w:r>
        <w:t>.</w:t>
      </w:r>
      <w:r>
        <w:tab/>
        <w:t>On s. 68 application, court may set aside s. 67 notice etc.</w:t>
      </w:r>
      <w:bookmarkEnd w:id="183"/>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84" w:name="_Toc107485091"/>
      <w:r>
        <w:rPr>
          <w:rStyle w:val="CharSectno"/>
        </w:rPr>
        <w:t>71</w:t>
      </w:r>
      <w:r>
        <w:t>.</w:t>
      </w:r>
      <w:r>
        <w:tab/>
        <w:t>Effect of order setting aside s. 67 notice</w:t>
      </w:r>
      <w:bookmarkEnd w:id="184"/>
    </w:p>
    <w:p>
      <w:pPr>
        <w:pStyle w:val="Subsection"/>
      </w:pPr>
      <w:r>
        <w:tab/>
      </w:r>
      <w:r>
        <w:tab/>
        <w:t xml:space="preserve">A notice served on a director of a body corporate under section 67(2) has no effect while there is in force under </w:t>
      </w:r>
      <w:r>
        <w:lastRenderedPageBreak/>
        <w:t>section 69 or 70 an order setting aside any notice served on any director of that body corporate.</w:t>
      </w:r>
    </w:p>
    <w:p>
      <w:pPr>
        <w:pStyle w:val="Heading5"/>
      </w:pPr>
      <w:bookmarkStart w:id="185" w:name="_Toc107485092"/>
      <w:r>
        <w:rPr>
          <w:rStyle w:val="CharSectno"/>
        </w:rPr>
        <w:t>72</w:t>
      </w:r>
      <w:r>
        <w:t>.</w:t>
      </w:r>
      <w:r>
        <w:tab/>
        <w:t>Dismissal of s. 68 application</w:t>
      </w:r>
      <w:bookmarkEnd w:id="185"/>
    </w:p>
    <w:p>
      <w:pPr>
        <w:pStyle w:val="Subsection"/>
      </w:pPr>
      <w:r>
        <w:tab/>
      </w:r>
      <w:r>
        <w:tab/>
        <w:t>Unless the court makes, on an application under section 68, an order under section 69 or 70, the court is to dismiss the application.</w:t>
      </w:r>
    </w:p>
    <w:p>
      <w:pPr>
        <w:pStyle w:val="Heading5"/>
      </w:pPr>
      <w:bookmarkStart w:id="186" w:name="_Toc107485093"/>
      <w:r>
        <w:rPr>
          <w:rStyle w:val="CharSectno"/>
        </w:rPr>
        <w:t>73</w:t>
      </w:r>
      <w:r>
        <w:t>.</w:t>
      </w:r>
      <w:r>
        <w:tab/>
        <w:t>Order under s. 69 or 70 may be subject to conditions</w:t>
      </w:r>
      <w:bookmarkEnd w:id="186"/>
    </w:p>
    <w:p>
      <w:pPr>
        <w:pStyle w:val="Subsection"/>
      </w:pPr>
      <w:r>
        <w:tab/>
      </w:r>
      <w:r>
        <w:tab/>
        <w:t>An order under section 69 or 70 may be made subject to conditions.</w:t>
      </w:r>
    </w:p>
    <w:p>
      <w:pPr>
        <w:pStyle w:val="Heading5"/>
      </w:pPr>
      <w:bookmarkStart w:id="187" w:name="_Toc107485094"/>
      <w:r>
        <w:rPr>
          <w:rStyle w:val="CharSectno"/>
        </w:rPr>
        <w:t>74</w:t>
      </w:r>
      <w:r>
        <w:t>.</w:t>
      </w:r>
      <w:r>
        <w:tab/>
        <w:t>Costs where applicant successful</w:t>
      </w:r>
      <w:bookmarkEnd w:id="187"/>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88" w:name="_Toc107485095"/>
      <w:r>
        <w:rPr>
          <w:rStyle w:val="CharSectno"/>
        </w:rPr>
        <w:t>75</w:t>
      </w:r>
      <w:r>
        <w:t>.</w:t>
      </w:r>
      <w:r>
        <w:tab/>
        <w:t>Period for complying with s. 67 notice if s. 68 application made</w:t>
      </w:r>
      <w:bookmarkEnd w:id="188"/>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89" w:name="_Toc100302954"/>
      <w:bookmarkStart w:id="190" w:name="_Toc100303178"/>
      <w:bookmarkStart w:id="191" w:name="_Toc100564333"/>
      <w:bookmarkStart w:id="192" w:name="_Toc100564529"/>
      <w:bookmarkStart w:id="193" w:name="_Toc107314211"/>
      <w:bookmarkStart w:id="194" w:name="_Toc107485096"/>
      <w:r>
        <w:rPr>
          <w:rStyle w:val="CharDivNo"/>
        </w:rPr>
        <w:t>Division 2</w:t>
      </w:r>
      <w:r>
        <w:t xml:space="preserve"> — </w:t>
      </w:r>
      <w:r>
        <w:rPr>
          <w:rStyle w:val="CharDivText"/>
        </w:rPr>
        <w:t>Charges on land</w:t>
      </w:r>
      <w:bookmarkEnd w:id="189"/>
      <w:bookmarkEnd w:id="190"/>
      <w:bookmarkEnd w:id="191"/>
      <w:bookmarkEnd w:id="192"/>
      <w:bookmarkEnd w:id="193"/>
      <w:bookmarkEnd w:id="194"/>
    </w:p>
    <w:p>
      <w:pPr>
        <w:pStyle w:val="Heading5"/>
        <w:spacing w:before="180"/>
      </w:pPr>
      <w:bookmarkStart w:id="195" w:name="_Toc107485097"/>
      <w:r>
        <w:rPr>
          <w:rStyle w:val="CharSectno"/>
        </w:rPr>
        <w:t>76A</w:t>
      </w:r>
      <w:r>
        <w:t>.</w:t>
      </w:r>
      <w:r>
        <w:tab/>
        <w:t>Terms used</w:t>
      </w:r>
      <w:bookmarkEnd w:id="195"/>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lastRenderedPageBreak/>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(ba)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Subsection"/>
        <w:keepNext/>
      </w:pPr>
      <w:r>
        <w:lastRenderedPageBreak/>
        <w:tab/>
        <w:t>(3)</w:t>
      </w:r>
      <w:r>
        <w:tab/>
        <w:t xml:space="preserve">A purported payment is </w:t>
      </w:r>
      <w:r>
        <w:rPr>
          <w:rStyle w:val="CharDefText"/>
        </w:rPr>
        <w:t>dishonoured</w:t>
      </w:r>
      <w:r>
        <w:t xml:space="preserve"> — </w:t>
      </w:r>
    </w:p>
    <w:p>
      <w:pPr>
        <w:pStyle w:val="Indenta"/>
      </w:pPr>
      <w:r>
        <w:tab/>
        <w:t>(a)</w:t>
      </w:r>
      <w:r>
        <w:tab/>
        <w:t>if the purported payment is by means of a cheque and the cheque is dishonoured or cancelled; or</w:t>
      </w:r>
    </w:p>
    <w:p>
      <w:pPr>
        <w:pStyle w:val="Indenta"/>
      </w:pPr>
      <w:r>
        <w:tab/>
        <w:t>(b)</w:t>
      </w:r>
      <w:r>
        <w:tab/>
        <w:t>if the purported payment is by means of a credit card and the payment is not authorised by the issuer of the card; or</w:t>
      </w:r>
    </w:p>
    <w:p>
      <w:pPr>
        <w:pStyle w:val="Indenta"/>
      </w:pPr>
      <w:r>
        <w:tab/>
        <w:t>(c)</w:t>
      </w:r>
      <w:r>
        <w:tab/>
        <w:t>if the purported payment is pursuant to an arrangement to directly debit an account with a person and the person fails to authorise the payment; or</w:t>
      </w:r>
    </w:p>
    <w:p>
      <w:pPr>
        <w:pStyle w:val="Indenta"/>
      </w:pPr>
      <w:r>
        <w:tab/>
        <w:t>(d)</w:t>
      </w:r>
      <w:r>
        <w:tab/>
        <w:t>in circumstances prescribed by the regulations.</w:t>
      </w:r>
    </w:p>
    <w:p>
      <w:pPr>
        <w:pStyle w:val="Footnotesection"/>
      </w:pPr>
      <w:r>
        <w:tab/>
        <w:t>[Section 76A inserted: No. 31 of 2008 s. 4; amended: No. 31 of 2008 s. 18; No. 10 of 2013 s. 35; No. 11 of 2019 s. 10.]</w:t>
      </w:r>
    </w:p>
    <w:p>
      <w:pPr>
        <w:pStyle w:val="Heading5"/>
      </w:pPr>
      <w:bookmarkStart w:id="196" w:name="_Toc107485098"/>
      <w:r>
        <w:rPr>
          <w:rStyle w:val="CharSectno"/>
        </w:rPr>
        <w:t>76</w:t>
      </w:r>
      <w:r>
        <w:t>.</w:t>
      </w:r>
      <w:r>
        <w:rPr>
          <w:vertAlign w:val="superscript"/>
        </w:rPr>
        <w:t> 1MC</w:t>
      </w:r>
      <w:r>
        <w:tab/>
        <w:t>Charge on land to secure land tax</w:t>
      </w:r>
      <w:bookmarkEnd w:id="196"/>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purported payment of land tax is dishonoured, the tax is taken not to be paid by the due date for the purposes of subsection (2) (even though the due date may not have arrived when the purported payment is dishonoured).</w:t>
      </w:r>
    </w:p>
    <w:p>
      <w:pPr>
        <w:pStyle w:val="Ednotesubsection"/>
        <w:spacing w:before="120"/>
      </w:pPr>
      <w:r>
        <w:tab/>
        <w:t>[(4)</w:t>
      </w:r>
      <w:r>
        <w:tab/>
        <w:t>deleted]</w:t>
      </w:r>
    </w:p>
    <w:p>
      <w:pPr>
        <w:pStyle w:val="Subsection"/>
      </w:pPr>
      <w:r>
        <w:lastRenderedPageBreak/>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No. 31 of 2008 s. 5 and 26; No. 29 of 2012 s. 42</w:t>
      </w:r>
      <w:r>
        <w:rPr>
          <w:vertAlign w:val="superscript"/>
        </w:rPr>
        <w:t> </w:t>
      </w:r>
      <w:r>
        <w:rPr>
          <w:i w:val="0"/>
          <w:vertAlign w:val="superscript"/>
        </w:rPr>
        <w:t>1</w:t>
      </w:r>
      <w:r>
        <w:t>; No. 11 of 2019 s. 11.]</w:t>
      </w:r>
    </w:p>
    <w:p>
      <w:pPr>
        <w:pStyle w:val="Ednotesection"/>
      </w:pPr>
      <w:r>
        <w:tab/>
        <w:t>[Modification, to section 76, to have effect under the Commonwealth Places (Mirror Taxes) Act 1998 (Commonwealth) s. 8, see Commonwealth Places (Mirror Taxes) (Modification of Applied Laws (WA)) Notice 2007 cl. 56 and endnote 1MC.]</w:t>
      </w:r>
    </w:p>
    <w:p>
      <w:pPr>
        <w:pStyle w:val="Heading5"/>
        <w:keepNext w:val="0"/>
        <w:keepLines w:val="0"/>
        <w:spacing w:before="180"/>
      </w:pPr>
      <w:bookmarkStart w:id="197" w:name="_Toc107485099"/>
      <w:r>
        <w:rPr>
          <w:rStyle w:val="CharSectno"/>
        </w:rPr>
        <w:t>77</w:t>
      </w:r>
      <w:r>
        <w:t>.</w:t>
      </w:r>
      <w:r>
        <w:rPr>
          <w:vertAlign w:val="superscript"/>
        </w:rPr>
        <w:t>  1MC</w:t>
      </w:r>
      <w:r>
        <w:tab/>
        <w:t>Charge on land to secure stamp duty</w:t>
      </w:r>
      <w:bookmarkEnd w:id="197"/>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lastRenderedPageBreak/>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purported payment of stamp duty is dishonoured, the duty is taken not to be paid by the due date for the purposes of subsections (1), (1a) and (2) (even though the due date may not have arrived when the purported payment is dishonoured).</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keepNext/>
      </w:pPr>
      <w:r>
        <w:lastRenderedPageBreak/>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No. 12 of 2004 s. 11; No. 31 of 2008 s. 6; No. 11 of 2019 s. 12.]</w:t>
      </w:r>
    </w:p>
    <w:p>
      <w:pPr>
        <w:pStyle w:val="Footnotesection"/>
        <w:ind w:left="890" w:hanging="890"/>
      </w:pPr>
      <w:r>
        <w:tab/>
        <w:t>[Modification, to section 77, to have effect under the Commonwealth Places (Mirror Taxes) Act 1998 (Commonwealth) s. 8, see Commonwealth Places (Mirror Taxes) (Modification of Applied Laws (WA)) Notice 2007 cl. 57 and endnote 1MC.]</w:t>
      </w:r>
    </w:p>
    <w:p>
      <w:pPr>
        <w:pStyle w:val="Heading5"/>
        <w:keepNext w:val="0"/>
        <w:keepLines w:val="0"/>
        <w:spacing w:before="180"/>
      </w:pPr>
      <w:bookmarkStart w:id="198" w:name="_Toc107485100"/>
      <w:r>
        <w:rPr>
          <w:rStyle w:val="CharSectno"/>
        </w:rPr>
        <w:t>77A</w:t>
      </w:r>
      <w:r>
        <w:t>.</w:t>
      </w:r>
      <w:r>
        <w:tab/>
        <w:t>Charge on land to secure transfer duty or landholder duty</w:t>
      </w:r>
      <w:bookmarkEnd w:id="198"/>
    </w:p>
    <w:p>
      <w:pPr>
        <w:pStyle w:val="Subsection"/>
      </w:pPr>
      <w:r>
        <w:tab/>
        <w:t>(1)</w:t>
      </w:r>
      <w:r>
        <w:tab/>
        <w:t xml:space="preserve">In this section — </w:t>
      </w:r>
    </w:p>
    <w:p>
      <w:pPr>
        <w:pStyle w:val="Defstart"/>
      </w:pPr>
      <w:r>
        <w:tab/>
      </w:r>
      <w:r>
        <w:rPr>
          <w:rStyle w:val="CharDefText"/>
        </w:rPr>
        <w:t>landholder</w:t>
      </w:r>
      <w:r>
        <w:t xml:space="preserve"> has the meaning given in the </w:t>
      </w:r>
      <w:r>
        <w:rPr>
          <w:i/>
        </w:rPr>
        <w:t>Duties Act 2008</w:t>
      </w:r>
      <w:r>
        <w:t xml:space="preserve"> section 148(1);</w:t>
      </w:r>
    </w:p>
    <w:p>
      <w:pPr>
        <w:pStyle w:val="Defstart"/>
      </w:pPr>
      <w:r>
        <w:tab/>
      </w:r>
      <w:r>
        <w:rPr>
          <w:rStyle w:val="CharDefText"/>
        </w:rPr>
        <w:t>landholder duty</w:t>
      </w:r>
      <w:r>
        <w:t xml:space="preserve"> means duty under the </w:t>
      </w:r>
      <w:r>
        <w:rPr>
          <w:i/>
        </w:rPr>
        <w:t>Duties Act 2008</w:t>
      </w:r>
      <w:r>
        <w:t xml:space="preserve"> Chapter 3 or Chapter 3A Part 3;</w:t>
      </w:r>
    </w:p>
    <w:p>
      <w:pPr>
        <w:pStyle w:val="Defstart"/>
      </w:pPr>
      <w:r>
        <w:tab/>
      </w:r>
      <w:r>
        <w:rPr>
          <w:rStyle w:val="CharDefText"/>
        </w:rPr>
        <w:t>linked entity</w:t>
      </w:r>
      <w:r>
        <w:t xml:space="preserve"> has the meaning given in the </w:t>
      </w:r>
      <w:r>
        <w:rPr>
          <w:i/>
        </w:rPr>
        <w:t>Duties Act 2008</w:t>
      </w:r>
      <w:r>
        <w:t xml:space="preserve"> section 148(1);</w:t>
      </w:r>
    </w:p>
    <w:p>
      <w:pPr>
        <w:pStyle w:val="Defstart"/>
      </w:pPr>
      <w:r>
        <w:tab/>
      </w:r>
      <w:r>
        <w:rPr>
          <w:rStyle w:val="CharDefText"/>
        </w:rPr>
        <w:t>transaction record</w:t>
      </w:r>
      <w:r>
        <w:t xml:space="preserve"> has the meaning given in the </w:t>
      </w:r>
      <w:r>
        <w:rPr>
          <w:i/>
        </w:rPr>
        <w:t xml:space="preserve">Duties Act 2008 </w:t>
      </w:r>
      <w:r>
        <w:t>section 3;</w:t>
      </w:r>
    </w:p>
    <w:p>
      <w:pPr>
        <w:pStyle w:val="Defstart"/>
      </w:pPr>
      <w:r>
        <w:tab/>
      </w:r>
      <w:r>
        <w:rPr>
          <w:rStyle w:val="CharDefText"/>
        </w:rPr>
        <w:t>transfer duty</w:t>
      </w:r>
      <w:r>
        <w:t xml:space="preserve"> means duty under the </w:t>
      </w:r>
      <w:r>
        <w:rPr>
          <w:i/>
        </w:rPr>
        <w:t>Duties Act 2008</w:t>
      </w:r>
      <w:r>
        <w:t xml:space="preserve"> Chapter 2 or Chapter 3A Part 2;</w:t>
      </w:r>
    </w:p>
    <w:p>
      <w:pPr>
        <w:pStyle w:val="Defstart"/>
      </w:pPr>
      <w:r>
        <w:tab/>
      </w:r>
      <w:r>
        <w:rPr>
          <w:rStyle w:val="CharDefText"/>
        </w:rPr>
        <w:t>transfer duty interim assessment</w:t>
      </w:r>
      <w:r>
        <w:t xml:space="preserve"> means an interim assessment under the </w:t>
      </w:r>
      <w:r>
        <w:rPr>
          <w:i/>
        </w:rPr>
        <w:t>Duties Act 2008</w:t>
      </w:r>
      <w:r>
        <w:t xml:space="preserve"> section 44A or 205R.</w:t>
      </w:r>
    </w:p>
    <w:p>
      <w:pPr>
        <w:pStyle w:val="Subsection"/>
      </w:pPr>
      <w:r>
        <w:tab/>
        <w:t>(2)</w:t>
      </w:r>
      <w:r>
        <w:tab/>
        <w:t xml:space="preserve">If transfer duty payable on a transaction in relation to land is not paid by the due date because it is taken not to be paid under </w:t>
      </w:r>
      <w:r>
        <w:lastRenderedPageBreak/>
        <w:t>subsection (6), the Commissioner may lodge a memorial to create a charge on the land for the unpaid transfer duty.</w:t>
      </w:r>
    </w:p>
    <w:p>
      <w:pPr>
        <w:pStyle w:val="Subsection"/>
      </w:pPr>
      <w:r>
        <w:tab/>
        <w:t>(2A)</w:t>
      </w:r>
      <w:r>
        <w:tab/>
        <w:t xml:space="preserve">If the Commissioner has made a transfer duty interim assessment on a transaction in relation to land and the transaction record for the transaction is endorsed under the </w:t>
      </w:r>
      <w:r>
        <w:rPr>
          <w:i/>
        </w:rPr>
        <w:t>Duties Act 2008</w:t>
      </w:r>
      <w:r>
        <w:t xml:space="preserve"> section 273(3A), the Commissioner may lodge a memorial to create a charge on the land for the transfer duty payable on the transaction for which the Commissioner has not made an assessment (the </w:t>
      </w:r>
      <w:r>
        <w:rPr>
          <w:rStyle w:val="CharDefText"/>
        </w:rPr>
        <w:t>remaining transfer duty</w:t>
      </w:r>
      <w:r>
        <w:t>).</w:t>
      </w:r>
    </w:p>
    <w:p>
      <w:pPr>
        <w:pStyle w:val="Subsection"/>
      </w:pPr>
      <w:r>
        <w:tab/>
        <w:t>(2B)</w:t>
      </w:r>
      <w:r>
        <w:tab/>
        <w:t xml:space="preserve">A memorial under subsection (2A) — </w:t>
      </w:r>
    </w:p>
    <w:p>
      <w:pPr>
        <w:pStyle w:val="Indenta"/>
      </w:pPr>
      <w:r>
        <w:tab/>
        <w:t>(a)</w:t>
      </w:r>
      <w:r>
        <w:tab/>
        <w:t>cannot be lodged without the consent of the taxpayer; and</w:t>
      </w:r>
    </w:p>
    <w:p>
      <w:pPr>
        <w:pStyle w:val="Indenta"/>
      </w:pPr>
      <w:r>
        <w:tab/>
        <w:t>(b)</w:t>
      </w:r>
      <w:r>
        <w:tab/>
        <w:t>can be lodged even though an assessment of the amount of the remaining transfer duty has not been made.</w:t>
      </w:r>
    </w:p>
    <w:p>
      <w:pPr>
        <w:pStyle w:val="Subsection"/>
      </w:pPr>
      <w:r>
        <w:tab/>
        <w:t>(3)</w:t>
      </w:r>
      <w:r>
        <w:tab/>
        <w:t>If transfer duty payable as a result of a reassessment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 xml:space="preserve">If landholder duty is not paid by the due date in respect of an acquisition of an interest in a landholder, the Commissioner may lodge a memorial to create a charge for the unpaid duty on any land the landholder’s or a linked entity’s entitlement to which </w:t>
      </w:r>
      <w:r>
        <w:lastRenderedPageBreak/>
        <w:t>was taken into account in relation to the acquisition for the purposes of calculating the landholder duty payable.</w:t>
      </w:r>
    </w:p>
    <w:p>
      <w:pPr>
        <w:pStyle w:val="Subsection"/>
        <w:spacing w:before="180"/>
      </w:pPr>
      <w:r>
        <w:tab/>
        <w:t>(5)</w:t>
      </w:r>
      <w:r>
        <w:tab/>
        <w:t xml:space="preserve">The charge arises on the land when the memorial is registered. </w:t>
      </w:r>
    </w:p>
    <w:p>
      <w:pPr>
        <w:pStyle w:val="Subsection"/>
      </w:pPr>
      <w:r>
        <w:tab/>
        <w:t>(6)</w:t>
      </w:r>
      <w:r>
        <w:tab/>
        <w:t>If a purported payment of transfer duty or landholder duty is dishonoured, the duty is taken not to be paid by the due date for the purposes of this section (even though the due date may not have arrived when the purported payment is dishonoured).</w:t>
      </w:r>
    </w:p>
    <w:p>
      <w:pPr>
        <w:pStyle w:val="Subsection"/>
        <w:spacing w:before="180"/>
      </w:pPr>
      <w:r>
        <w:tab/>
        <w:t>(7)</w:t>
      </w:r>
      <w:r>
        <w:tab/>
        <w:t>A memorial creating a charge on land for transfer duty payable in relation to a transaction cannot be lodged under subsection (2), (2A) or (3) until the title to the land has been transferred in accordance with the transaction.</w:t>
      </w:r>
    </w:p>
    <w:p>
      <w:pPr>
        <w:pStyle w:val="Footnotesection"/>
        <w:ind w:left="890" w:hanging="890"/>
      </w:pPr>
      <w:r>
        <w:tab/>
        <w:t>[Section 77A inserted: No. 12 of 2008 s. 45; amended: No. 31 of 2008 s. 19; No. 17 of 2010 s. 27; No. 11 of 2019 s. 13.]</w:t>
      </w:r>
    </w:p>
    <w:p>
      <w:pPr>
        <w:pStyle w:val="Heading5"/>
        <w:spacing w:before="240"/>
      </w:pPr>
      <w:bookmarkStart w:id="199" w:name="_Toc107485101"/>
      <w:r>
        <w:rPr>
          <w:rStyle w:val="CharSectno"/>
        </w:rPr>
        <w:t>78</w:t>
      </w:r>
      <w:r>
        <w:t>.</w:t>
      </w:r>
      <w:r>
        <w:tab/>
        <w:t>Charge on subsequent mining tenement</w:t>
      </w:r>
      <w:bookmarkEnd w:id="199"/>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No. 31 of 2008 s. 7.]</w:t>
      </w:r>
    </w:p>
    <w:p>
      <w:pPr>
        <w:pStyle w:val="Heading5"/>
        <w:keepNext w:val="0"/>
        <w:keepLines w:val="0"/>
        <w:spacing w:before="240"/>
      </w:pPr>
      <w:bookmarkStart w:id="200" w:name="_Toc107485102"/>
      <w:r>
        <w:rPr>
          <w:rStyle w:val="CharSectno"/>
        </w:rPr>
        <w:t>79</w:t>
      </w:r>
      <w:r>
        <w:t>.</w:t>
      </w:r>
      <w:r>
        <w:tab/>
        <w:t>Priority of charge</w:t>
      </w:r>
      <w:bookmarkEnd w:id="200"/>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 xml:space="preserve">However, if there is another statutory charge on the same land that ranks as a first charge under another Act, the relative </w:t>
      </w:r>
      <w:r>
        <w:lastRenderedPageBreak/>
        <w:t>priority of the charges is to be determined according to the order of registration.</w:t>
      </w:r>
    </w:p>
    <w:p>
      <w:pPr>
        <w:pStyle w:val="Footnotesection"/>
      </w:pPr>
      <w:r>
        <w:tab/>
        <w:t>[Section 79 amended: No. 31 of 2008 s. 8.]</w:t>
      </w:r>
    </w:p>
    <w:p>
      <w:pPr>
        <w:pStyle w:val="Heading5"/>
      </w:pPr>
      <w:bookmarkStart w:id="201" w:name="_Toc107485103"/>
      <w:r>
        <w:rPr>
          <w:rStyle w:val="CharSectno"/>
        </w:rPr>
        <w:t>80</w:t>
      </w:r>
      <w:r>
        <w:t>.</w:t>
      </w:r>
      <w:r>
        <w:tab/>
        <w:t>Certificate as to charge to secure unpaid land tax</w:t>
      </w:r>
      <w:bookmarkEnd w:id="201"/>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keepNext/>
      </w:pPr>
      <w:r>
        <w:lastRenderedPageBreak/>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No. 29 of 2012 s. 43.]</w:t>
      </w:r>
    </w:p>
    <w:p>
      <w:pPr>
        <w:pStyle w:val="Heading5"/>
      </w:pPr>
      <w:bookmarkStart w:id="202" w:name="_Toc107485104"/>
      <w:r>
        <w:rPr>
          <w:rStyle w:val="CharSectno"/>
        </w:rPr>
        <w:t>81</w:t>
      </w:r>
      <w:r>
        <w:t>.</w:t>
      </w:r>
      <w:r>
        <w:tab/>
        <w:t>Withdrawal of memorial to be given when tax paid</w:t>
      </w:r>
      <w:bookmarkEnd w:id="202"/>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keepNext/>
      </w:pPr>
      <w:r>
        <w:lastRenderedPageBreak/>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No. 31 of 2008 s. 9; amended: No. 31 of 2008 s. 20.]</w:t>
      </w:r>
    </w:p>
    <w:p>
      <w:pPr>
        <w:pStyle w:val="Heading5"/>
        <w:spacing w:before="180"/>
      </w:pPr>
      <w:bookmarkStart w:id="203" w:name="_Toc107485105"/>
      <w:r>
        <w:rPr>
          <w:rStyle w:val="CharSectno"/>
        </w:rPr>
        <w:t>82</w:t>
      </w:r>
      <w:r>
        <w:t>.</w:t>
      </w:r>
      <w:r>
        <w:tab/>
        <w:t>Memorials etc. affecting TLA land or real property, lodging etc.</w:t>
      </w:r>
      <w:bookmarkEnd w:id="203"/>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lastRenderedPageBreak/>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No. 31 of 2008 s. 9.]</w:t>
      </w:r>
    </w:p>
    <w:p>
      <w:pPr>
        <w:pStyle w:val="Heading5"/>
      </w:pPr>
      <w:bookmarkStart w:id="204" w:name="_Toc107485106"/>
      <w:r>
        <w:rPr>
          <w:rStyle w:val="CharSectno"/>
        </w:rPr>
        <w:t>83</w:t>
      </w:r>
      <w:r>
        <w:t>.</w:t>
      </w:r>
      <w:r>
        <w:tab/>
        <w:t>Memorials affecting mining tenements, lodging etc.</w:t>
      </w:r>
      <w:bookmarkEnd w:id="204"/>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No. 31 of 2008 s. 9.]</w:t>
      </w:r>
    </w:p>
    <w:p>
      <w:pPr>
        <w:pStyle w:val="Heading5"/>
      </w:pPr>
      <w:bookmarkStart w:id="205" w:name="_Toc107485107"/>
      <w:r>
        <w:rPr>
          <w:rStyle w:val="CharSectno"/>
        </w:rPr>
        <w:t>84</w:t>
      </w:r>
      <w:r>
        <w:t>.</w:t>
      </w:r>
      <w:r>
        <w:tab/>
        <w:t>Mortgagees to be notified if memorial registered</w:t>
      </w:r>
      <w:bookmarkEnd w:id="205"/>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lastRenderedPageBreak/>
        <w:tab/>
        <w:t>[Section 84 amended: No. 31 of 2008 s. 10.]</w:t>
      </w:r>
    </w:p>
    <w:p>
      <w:pPr>
        <w:pStyle w:val="Heading5"/>
      </w:pPr>
      <w:bookmarkStart w:id="206" w:name="_Toc107485108"/>
      <w:r>
        <w:rPr>
          <w:rStyle w:val="CharSectno"/>
        </w:rPr>
        <w:t>85</w:t>
      </w:r>
      <w:r>
        <w:t>.</w:t>
      </w:r>
      <w:r>
        <w:tab/>
        <w:t>Orders for sale of land</w:t>
      </w:r>
      <w:bookmarkEnd w:id="206"/>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(other than where the memorial creating the charge is lodged under section 77A(2A))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keepNext/>
      </w:pPr>
      <w:r>
        <w:lastRenderedPageBreak/>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lastRenderedPageBreak/>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No. 31 of 2008 s. 11 and 21; No. 11 of 2019 s. 14.]</w:t>
      </w:r>
    </w:p>
    <w:p>
      <w:pPr>
        <w:pStyle w:val="Heading5"/>
      </w:pPr>
      <w:bookmarkStart w:id="207" w:name="_Toc107485109"/>
      <w:r>
        <w:rPr>
          <w:rStyle w:val="CharSectno"/>
        </w:rPr>
        <w:t>86</w:t>
      </w:r>
      <w:r>
        <w:t>.</w:t>
      </w:r>
      <w:r>
        <w:tab/>
        <w:t>Means of enforcement not limited to charge</w:t>
      </w:r>
      <w:bookmarkEnd w:id="207"/>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No. 31 of 2008 s. 12.]</w:t>
      </w:r>
    </w:p>
    <w:p>
      <w:pPr>
        <w:pStyle w:val="Heading2"/>
      </w:pPr>
      <w:bookmarkStart w:id="208" w:name="_Toc100302968"/>
      <w:bookmarkStart w:id="209" w:name="_Toc100303192"/>
      <w:bookmarkStart w:id="210" w:name="_Toc100564347"/>
      <w:bookmarkStart w:id="211" w:name="_Toc100564543"/>
      <w:bookmarkStart w:id="212" w:name="_Toc107314225"/>
      <w:bookmarkStart w:id="213" w:name="_Toc107485110"/>
      <w:r>
        <w:rPr>
          <w:rStyle w:val="CharPartNo"/>
        </w:rPr>
        <w:lastRenderedPageBreak/>
        <w:t>Part 7</w:t>
      </w:r>
      <w:r>
        <w:rPr>
          <w:rStyle w:val="CharDivNo"/>
        </w:rPr>
        <w:t xml:space="preserve"> </w:t>
      </w:r>
      <w:r>
        <w:t>—</w:t>
      </w:r>
      <w:r>
        <w:rPr>
          <w:rStyle w:val="CharDivText"/>
        </w:rPr>
        <w:t xml:space="preserve"> </w:t>
      </w:r>
      <w:r>
        <w:rPr>
          <w:rStyle w:val="CharPartText"/>
        </w:rPr>
        <w:t>Tax records</w:t>
      </w:r>
      <w:bookmarkEnd w:id="208"/>
      <w:bookmarkEnd w:id="209"/>
      <w:bookmarkEnd w:id="210"/>
      <w:bookmarkEnd w:id="211"/>
      <w:bookmarkEnd w:id="212"/>
      <w:bookmarkEnd w:id="213"/>
    </w:p>
    <w:p>
      <w:pPr>
        <w:pStyle w:val="Heading5"/>
      </w:pPr>
      <w:bookmarkStart w:id="214" w:name="_Toc107485111"/>
      <w:r>
        <w:rPr>
          <w:rStyle w:val="CharSectno"/>
        </w:rPr>
        <w:t>87</w:t>
      </w:r>
      <w:r>
        <w:t>.</w:t>
      </w:r>
      <w:r>
        <w:tab/>
        <w:t>How long tax records to be kept</w:t>
      </w:r>
      <w:bookmarkEnd w:id="214"/>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215" w:name="_Toc107485112"/>
      <w:r>
        <w:rPr>
          <w:rStyle w:val="CharSectno"/>
        </w:rPr>
        <w:t>88</w:t>
      </w:r>
      <w:r>
        <w:t>.</w:t>
      </w:r>
      <w:r>
        <w:tab/>
        <w:t>Form of tax records</w:t>
      </w:r>
      <w:bookmarkEnd w:id="215"/>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216" w:name="_Toc107485113"/>
      <w:r>
        <w:rPr>
          <w:rStyle w:val="CharSectno"/>
        </w:rPr>
        <w:lastRenderedPageBreak/>
        <w:t>89</w:t>
      </w:r>
      <w:r>
        <w:t>.</w:t>
      </w:r>
      <w:r>
        <w:tab/>
        <w:t>Where tax records to be kept</w:t>
      </w:r>
      <w:bookmarkEnd w:id="216"/>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217" w:name="_Toc107485114"/>
      <w:r>
        <w:rPr>
          <w:rStyle w:val="CharSectno"/>
        </w:rPr>
        <w:t>90</w:t>
      </w:r>
      <w:r>
        <w:t>.</w:t>
      </w:r>
      <w:r>
        <w:tab/>
        <w:t>Failure to keep proper tax records</w:t>
      </w:r>
      <w:bookmarkEnd w:id="217"/>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lastRenderedPageBreak/>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218" w:name="_Toc107485115"/>
      <w:r>
        <w:rPr>
          <w:rStyle w:val="CharSectno"/>
        </w:rPr>
        <w:t>91</w:t>
      </w:r>
      <w:r>
        <w:t>.</w:t>
      </w:r>
      <w:r>
        <w:tab/>
        <w:t>General and specific exemptions</w:t>
      </w:r>
      <w:bookmarkEnd w:id="218"/>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219" w:name="_Toc100302974"/>
      <w:bookmarkStart w:id="220" w:name="_Toc100303198"/>
      <w:bookmarkStart w:id="221" w:name="_Toc100564353"/>
      <w:bookmarkStart w:id="222" w:name="_Toc100564549"/>
      <w:bookmarkStart w:id="223" w:name="_Toc107314231"/>
      <w:bookmarkStart w:id="224" w:name="_Toc107485116"/>
      <w:r>
        <w:rPr>
          <w:rStyle w:val="CharPartNo"/>
        </w:rPr>
        <w:lastRenderedPageBreak/>
        <w:t>Part 8</w:t>
      </w:r>
      <w:r>
        <w:t xml:space="preserve"> — </w:t>
      </w:r>
      <w:r>
        <w:rPr>
          <w:rStyle w:val="CharPartText"/>
        </w:rPr>
        <w:t>Investigations</w:t>
      </w:r>
      <w:bookmarkEnd w:id="219"/>
      <w:bookmarkEnd w:id="220"/>
      <w:bookmarkEnd w:id="221"/>
      <w:bookmarkEnd w:id="222"/>
      <w:bookmarkEnd w:id="223"/>
      <w:bookmarkEnd w:id="224"/>
    </w:p>
    <w:p>
      <w:pPr>
        <w:pStyle w:val="Heading3"/>
      </w:pPr>
      <w:bookmarkStart w:id="225" w:name="_Toc100302975"/>
      <w:bookmarkStart w:id="226" w:name="_Toc100303199"/>
      <w:bookmarkStart w:id="227" w:name="_Toc100564354"/>
      <w:bookmarkStart w:id="228" w:name="_Toc100564550"/>
      <w:bookmarkStart w:id="229" w:name="_Toc107314232"/>
      <w:bookmarkStart w:id="230" w:name="_Toc107485117"/>
      <w:r>
        <w:rPr>
          <w:rStyle w:val="CharDivNo"/>
        </w:rPr>
        <w:t>Division 1</w:t>
      </w:r>
      <w:r>
        <w:t xml:space="preserve"> — </w:t>
      </w:r>
      <w:r>
        <w:rPr>
          <w:rStyle w:val="CharDivText"/>
        </w:rPr>
        <w:t>Investigations</w:t>
      </w:r>
      <w:bookmarkEnd w:id="225"/>
      <w:bookmarkEnd w:id="226"/>
      <w:bookmarkEnd w:id="227"/>
      <w:bookmarkEnd w:id="228"/>
      <w:bookmarkEnd w:id="229"/>
      <w:bookmarkEnd w:id="230"/>
    </w:p>
    <w:p>
      <w:pPr>
        <w:pStyle w:val="Heading5"/>
      </w:pPr>
      <w:bookmarkStart w:id="231" w:name="_Toc107485118"/>
      <w:r>
        <w:rPr>
          <w:rStyle w:val="CharSectno"/>
        </w:rPr>
        <w:t>92</w:t>
      </w:r>
      <w:r>
        <w:t>.</w:t>
      </w:r>
      <w:r>
        <w:tab/>
        <w:t>Investigations, purposes of</w:t>
      </w:r>
      <w:bookmarkEnd w:id="231"/>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232" w:name="_Toc107485119"/>
      <w:r>
        <w:rPr>
          <w:rStyle w:val="CharSectno"/>
        </w:rPr>
        <w:t>93</w:t>
      </w:r>
      <w:r>
        <w:t>.</w:t>
      </w:r>
      <w:r>
        <w:tab/>
        <w:t>Investigations for purposes of recognised revenue laws</w:t>
      </w:r>
      <w:bookmarkEnd w:id="232"/>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lastRenderedPageBreak/>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233" w:name="_Toc100302978"/>
      <w:bookmarkStart w:id="234" w:name="_Toc100303202"/>
      <w:bookmarkStart w:id="235" w:name="_Toc100564357"/>
      <w:bookmarkStart w:id="236" w:name="_Toc100564553"/>
      <w:bookmarkStart w:id="237" w:name="_Toc107314235"/>
      <w:bookmarkStart w:id="238" w:name="_Toc107485120"/>
      <w:r>
        <w:rPr>
          <w:rStyle w:val="CharDivNo"/>
        </w:rPr>
        <w:t>Division 2</w:t>
      </w:r>
      <w:r>
        <w:t xml:space="preserve"> — </w:t>
      </w:r>
      <w:r>
        <w:rPr>
          <w:rStyle w:val="CharDivText"/>
        </w:rPr>
        <w:t>Obtaining tax records and other information</w:t>
      </w:r>
      <w:bookmarkEnd w:id="233"/>
      <w:bookmarkEnd w:id="234"/>
      <w:bookmarkEnd w:id="235"/>
      <w:bookmarkEnd w:id="236"/>
      <w:bookmarkEnd w:id="237"/>
      <w:bookmarkEnd w:id="238"/>
    </w:p>
    <w:p>
      <w:pPr>
        <w:pStyle w:val="Heading5"/>
      </w:pPr>
      <w:bookmarkStart w:id="239" w:name="_Toc107485121"/>
      <w:r>
        <w:rPr>
          <w:rStyle w:val="CharSectno"/>
        </w:rPr>
        <w:t>94</w:t>
      </w:r>
      <w:r>
        <w:t>.</w:t>
      </w:r>
      <w:r>
        <w:tab/>
        <w:t>Power to require person to provide information</w:t>
      </w:r>
      <w:bookmarkEnd w:id="239"/>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lastRenderedPageBreak/>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240" w:name="_Toc107485122"/>
      <w:r>
        <w:rPr>
          <w:rStyle w:val="CharSectno"/>
        </w:rPr>
        <w:t>95</w:t>
      </w:r>
      <w:r>
        <w:t>.</w:t>
      </w:r>
      <w:r>
        <w:tab/>
        <w:t>Power to require person to attend for examination</w:t>
      </w:r>
      <w:bookmarkEnd w:id="240"/>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 xml:space="preserve">may require the person to bring and produce to the examining investigator relevant material in the person’s </w:t>
      </w:r>
      <w:r>
        <w:lastRenderedPageBreak/>
        <w:t>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241" w:name="_Toc107485123"/>
      <w:r>
        <w:rPr>
          <w:rStyle w:val="CharSectno"/>
        </w:rPr>
        <w:t>96</w:t>
      </w:r>
      <w:r>
        <w:t>.</w:t>
      </w:r>
      <w:r>
        <w:tab/>
        <w:t>Power to retain documents and other records</w:t>
      </w:r>
      <w:bookmarkEnd w:id="241"/>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lastRenderedPageBreak/>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No. 12 of 2008 s. 48; No. 10 of 2013 s. 25 and 36.]</w:t>
      </w:r>
    </w:p>
    <w:p>
      <w:pPr>
        <w:pStyle w:val="Heading5"/>
      </w:pPr>
      <w:bookmarkStart w:id="242" w:name="_Toc107485124"/>
      <w:r>
        <w:rPr>
          <w:rStyle w:val="CharSectno"/>
        </w:rPr>
        <w:t>97</w:t>
      </w:r>
      <w:r>
        <w:t>.</w:t>
      </w:r>
      <w:r>
        <w:tab/>
        <w:t>Recording proceedings under s. 95</w:t>
      </w:r>
      <w:bookmarkEnd w:id="242"/>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243" w:name="_Toc100302983"/>
      <w:bookmarkStart w:id="244" w:name="_Toc100303207"/>
      <w:bookmarkStart w:id="245" w:name="_Toc100564362"/>
      <w:bookmarkStart w:id="246" w:name="_Toc100564558"/>
      <w:bookmarkStart w:id="247" w:name="_Toc107314240"/>
      <w:bookmarkStart w:id="248" w:name="_Toc107485125"/>
      <w:r>
        <w:rPr>
          <w:rStyle w:val="CharDivNo"/>
        </w:rPr>
        <w:t>Division 3</w:t>
      </w:r>
      <w:r>
        <w:t xml:space="preserve"> — </w:t>
      </w:r>
      <w:r>
        <w:rPr>
          <w:rStyle w:val="CharDivText"/>
        </w:rPr>
        <w:t>Access to premises</w:t>
      </w:r>
      <w:bookmarkEnd w:id="243"/>
      <w:bookmarkEnd w:id="244"/>
      <w:bookmarkEnd w:id="245"/>
      <w:bookmarkEnd w:id="246"/>
      <w:bookmarkEnd w:id="247"/>
      <w:bookmarkEnd w:id="248"/>
    </w:p>
    <w:p>
      <w:pPr>
        <w:pStyle w:val="Heading5"/>
      </w:pPr>
      <w:bookmarkStart w:id="249" w:name="_Toc107485126"/>
      <w:r>
        <w:rPr>
          <w:rStyle w:val="CharSectno"/>
        </w:rPr>
        <w:t>98</w:t>
      </w:r>
      <w:r>
        <w:t>.</w:t>
      </w:r>
      <w:r>
        <w:tab/>
        <w:t>Power to enter premises</w:t>
      </w:r>
      <w:bookmarkEnd w:id="249"/>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lastRenderedPageBreak/>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250" w:name="_Toc107485127"/>
      <w:r>
        <w:rPr>
          <w:rStyle w:val="CharSectno"/>
        </w:rPr>
        <w:t>99</w:t>
      </w:r>
      <w:r>
        <w:t>.</w:t>
      </w:r>
      <w:r>
        <w:tab/>
        <w:t>Powers of investigator while on premises</w:t>
      </w:r>
      <w:bookmarkEnd w:id="250"/>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lastRenderedPageBreak/>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 xml:space="preserve">Where an investigator exercises a power of entry pursuant to a warrant under section 98(2)(b), the investigator may only </w:t>
      </w:r>
      <w:r>
        <w:lastRenderedPageBreak/>
        <w:t>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w:t>
      </w:r>
      <w:r>
        <w:lastRenderedPageBreak/>
        <w:t xml:space="preserve">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No. 10 of 2013 s. 37.]</w:t>
      </w:r>
    </w:p>
    <w:p>
      <w:pPr>
        <w:pStyle w:val="Heading5"/>
        <w:spacing w:before="180"/>
      </w:pPr>
      <w:bookmarkStart w:id="251" w:name="_Toc107485128"/>
      <w:r>
        <w:rPr>
          <w:rStyle w:val="CharSectno"/>
        </w:rPr>
        <w:t>100</w:t>
      </w:r>
      <w:r>
        <w:t>.</w:t>
      </w:r>
      <w:r>
        <w:tab/>
        <w:t>Warrants to enter premises</w:t>
      </w:r>
      <w:bookmarkEnd w:id="251"/>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No. 84 of 2004 s. 80.] </w:t>
      </w:r>
    </w:p>
    <w:p>
      <w:pPr>
        <w:pStyle w:val="Heading5"/>
        <w:spacing w:before="180"/>
      </w:pPr>
      <w:bookmarkStart w:id="252" w:name="_Toc107485129"/>
      <w:r>
        <w:rPr>
          <w:rStyle w:val="CharSectno"/>
        </w:rPr>
        <w:t>101</w:t>
      </w:r>
      <w:r>
        <w:t>.</w:t>
      </w:r>
      <w:r>
        <w:tab/>
        <w:t>Use of force</w:t>
      </w:r>
      <w:bookmarkEnd w:id="252"/>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253" w:name="_Toc100302988"/>
      <w:bookmarkStart w:id="254" w:name="_Toc100303212"/>
      <w:bookmarkStart w:id="255" w:name="_Toc100564367"/>
      <w:bookmarkStart w:id="256" w:name="_Toc100564563"/>
      <w:bookmarkStart w:id="257" w:name="_Toc107314245"/>
      <w:bookmarkStart w:id="258" w:name="_Toc107485130"/>
      <w:r>
        <w:rPr>
          <w:rStyle w:val="CharDivNo"/>
        </w:rPr>
        <w:lastRenderedPageBreak/>
        <w:t>Division 4</w:t>
      </w:r>
      <w:r>
        <w:t xml:space="preserve"> — </w:t>
      </w:r>
      <w:r>
        <w:rPr>
          <w:rStyle w:val="CharDivText"/>
        </w:rPr>
        <w:t>General provisions</w:t>
      </w:r>
      <w:bookmarkEnd w:id="253"/>
      <w:bookmarkEnd w:id="254"/>
      <w:bookmarkEnd w:id="255"/>
      <w:bookmarkEnd w:id="256"/>
      <w:bookmarkEnd w:id="257"/>
      <w:bookmarkEnd w:id="258"/>
    </w:p>
    <w:p>
      <w:pPr>
        <w:pStyle w:val="Heading5"/>
      </w:pPr>
      <w:bookmarkStart w:id="259" w:name="_Toc107485131"/>
      <w:r>
        <w:rPr>
          <w:rStyle w:val="CharSectno"/>
        </w:rPr>
        <w:t>102</w:t>
      </w:r>
      <w:r>
        <w:t>.</w:t>
      </w:r>
      <w:r>
        <w:tab/>
        <w:t>Complying with requirements to provide information</w:t>
      </w:r>
      <w:bookmarkEnd w:id="259"/>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260" w:name="_Toc107485132"/>
      <w:r>
        <w:rPr>
          <w:rStyle w:val="CharSectno"/>
        </w:rPr>
        <w:t>103</w:t>
      </w:r>
      <w:r>
        <w:t>.</w:t>
      </w:r>
      <w:r>
        <w:tab/>
        <w:t>Legal professional privilege</w:t>
      </w:r>
      <w:bookmarkEnd w:id="260"/>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 xml:space="preserve">Where no claim is made under subsection (2), but it is apparent on examination by the Commissioner or an investigator that a </w:t>
      </w:r>
      <w:r>
        <w:lastRenderedPageBreak/>
        <w:t>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lastRenderedPageBreak/>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261" w:name="_Toc107485133"/>
      <w:r>
        <w:rPr>
          <w:rStyle w:val="CharSectno"/>
        </w:rPr>
        <w:t>104</w:t>
      </w:r>
      <w:r>
        <w:t>.</w:t>
      </w:r>
      <w:r>
        <w:tab/>
        <w:t>Interaction with other Acts</w:t>
      </w:r>
      <w:bookmarkEnd w:id="261"/>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lastRenderedPageBreak/>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262" w:name="_Toc100302992"/>
      <w:bookmarkStart w:id="263" w:name="_Toc100303216"/>
      <w:bookmarkStart w:id="264" w:name="_Toc100564371"/>
      <w:bookmarkStart w:id="265" w:name="_Toc100564567"/>
      <w:bookmarkStart w:id="266" w:name="_Toc107314249"/>
      <w:bookmarkStart w:id="267" w:name="_Toc107485134"/>
      <w:r>
        <w:rPr>
          <w:rStyle w:val="CharPartNo"/>
        </w:rPr>
        <w:lastRenderedPageBreak/>
        <w:t>Part 9</w:t>
      </w:r>
      <w:r>
        <w:rPr>
          <w:rStyle w:val="CharDivNo"/>
        </w:rPr>
        <w:t xml:space="preserve"> </w:t>
      </w:r>
      <w:r>
        <w:t>—</w:t>
      </w:r>
      <w:r>
        <w:rPr>
          <w:rStyle w:val="CharDivText"/>
        </w:rPr>
        <w:t xml:space="preserve"> </w:t>
      </w:r>
      <w:r>
        <w:rPr>
          <w:rStyle w:val="CharPartText"/>
        </w:rPr>
        <w:t>Offences</w:t>
      </w:r>
      <w:bookmarkEnd w:id="262"/>
      <w:bookmarkEnd w:id="263"/>
      <w:bookmarkEnd w:id="264"/>
      <w:bookmarkEnd w:id="265"/>
      <w:bookmarkEnd w:id="266"/>
      <w:bookmarkEnd w:id="267"/>
    </w:p>
    <w:p>
      <w:pPr>
        <w:pStyle w:val="Heading5"/>
        <w:spacing w:before="180"/>
      </w:pPr>
      <w:bookmarkStart w:id="268" w:name="_Toc107485135"/>
      <w:r>
        <w:rPr>
          <w:rStyle w:val="CharSectno"/>
        </w:rPr>
        <w:t>105</w:t>
      </w:r>
      <w:r>
        <w:t>.</w:t>
      </w:r>
      <w:r>
        <w:tab/>
        <w:t>General penalty provision</w:t>
      </w:r>
      <w:bookmarkEnd w:id="268"/>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269" w:name="_Toc107485136"/>
      <w:r>
        <w:rPr>
          <w:rStyle w:val="CharSectno"/>
        </w:rPr>
        <w:t>106</w:t>
      </w:r>
      <w:r>
        <w:t>.</w:t>
      </w:r>
      <w:r>
        <w:tab/>
        <w:t>Evasion of tax</w:t>
      </w:r>
      <w:bookmarkEnd w:id="269"/>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No. 84 of 2004 s. 82.] </w:t>
      </w:r>
    </w:p>
    <w:p>
      <w:pPr>
        <w:pStyle w:val="Heading5"/>
        <w:spacing w:before="180"/>
      </w:pPr>
      <w:bookmarkStart w:id="270" w:name="_Toc107485137"/>
      <w:r>
        <w:rPr>
          <w:rStyle w:val="CharSectno"/>
        </w:rPr>
        <w:t>107</w:t>
      </w:r>
      <w:r>
        <w:t>.</w:t>
      </w:r>
      <w:r>
        <w:tab/>
        <w:t>False or misleading information</w:t>
      </w:r>
      <w:bookmarkEnd w:id="270"/>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 xml:space="preserve">Penalty:  $20 000 plus 3 times the amount of tax that was avoided or might have been avoided if the false or </w:t>
      </w:r>
      <w:r>
        <w:lastRenderedPageBreak/>
        <w:t>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271" w:name="_Toc107485138"/>
      <w:r>
        <w:rPr>
          <w:rStyle w:val="CharSectno"/>
        </w:rPr>
        <w:t>108</w:t>
      </w:r>
      <w:r>
        <w:t>.</w:t>
      </w:r>
      <w:r>
        <w:tab/>
        <w:t>Obstructing or misleading investigator</w:t>
      </w:r>
      <w:bookmarkEnd w:id="271"/>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272" w:name="_Toc107485139"/>
      <w:r>
        <w:rPr>
          <w:rStyle w:val="CharSectno"/>
        </w:rPr>
        <w:t>109</w:t>
      </w:r>
      <w:r>
        <w:t>.</w:t>
      </w:r>
      <w:r>
        <w:tab/>
        <w:t>Offence by body corporate</w:t>
      </w:r>
      <w:bookmarkEnd w:id="272"/>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No. 84 of 2004 s. 82.] </w:t>
      </w:r>
    </w:p>
    <w:p>
      <w:pPr>
        <w:pStyle w:val="Heading5"/>
      </w:pPr>
      <w:bookmarkStart w:id="273" w:name="_Toc107485140"/>
      <w:r>
        <w:rPr>
          <w:rStyle w:val="CharSectno"/>
        </w:rPr>
        <w:lastRenderedPageBreak/>
        <w:t>110</w:t>
      </w:r>
      <w:r>
        <w:t>.</w:t>
      </w:r>
      <w:r>
        <w:tab/>
        <w:t>Criminal penalties not to affect civil liabilities</w:t>
      </w:r>
      <w:bookmarkEnd w:id="273"/>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274" w:name="_Toc107485141"/>
      <w:r>
        <w:rPr>
          <w:rStyle w:val="CharSectno"/>
        </w:rPr>
        <w:t>111</w:t>
      </w:r>
      <w:r>
        <w:t>.</w:t>
      </w:r>
      <w:r>
        <w:tab/>
        <w:t>Time for commencing prosecutions</w:t>
      </w:r>
      <w:bookmarkEnd w:id="274"/>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275" w:name="_Toc107485142"/>
      <w:r>
        <w:rPr>
          <w:rStyle w:val="CharSectno"/>
        </w:rPr>
        <w:t>112</w:t>
      </w:r>
      <w:r>
        <w:t>.</w:t>
      </w:r>
      <w:r>
        <w:tab/>
        <w:t>Authority required for prosecution</w:t>
      </w:r>
      <w:bookmarkEnd w:id="275"/>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No. 84 of 2004 s. 80.] </w:t>
      </w:r>
    </w:p>
    <w:p>
      <w:pPr>
        <w:pStyle w:val="Heading5"/>
      </w:pPr>
      <w:bookmarkStart w:id="276" w:name="_Toc107485143"/>
      <w:r>
        <w:rPr>
          <w:rStyle w:val="CharSectno"/>
        </w:rPr>
        <w:t>113</w:t>
      </w:r>
      <w:r>
        <w:t>.</w:t>
      </w:r>
      <w:r>
        <w:tab/>
        <w:t>General defence</w:t>
      </w:r>
      <w:bookmarkEnd w:id="276"/>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No. 84 of 2004 s. 82.] </w:t>
      </w:r>
    </w:p>
    <w:p>
      <w:pPr>
        <w:pStyle w:val="Heading2"/>
      </w:pPr>
      <w:bookmarkStart w:id="277" w:name="_Toc100303002"/>
      <w:bookmarkStart w:id="278" w:name="_Toc100303226"/>
      <w:bookmarkStart w:id="279" w:name="_Toc100564381"/>
      <w:bookmarkStart w:id="280" w:name="_Toc100564577"/>
      <w:bookmarkStart w:id="281" w:name="_Toc107314259"/>
      <w:bookmarkStart w:id="282" w:name="_Toc107485144"/>
      <w:r>
        <w:rPr>
          <w:rStyle w:val="CharPartNo"/>
        </w:rPr>
        <w:lastRenderedPageBreak/>
        <w:t>Part 10</w:t>
      </w:r>
      <w:r>
        <w:t xml:space="preserve"> — </w:t>
      </w:r>
      <w:r>
        <w:rPr>
          <w:rStyle w:val="CharPartText"/>
        </w:rPr>
        <w:t>Miscellaneous</w:t>
      </w:r>
      <w:bookmarkEnd w:id="277"/>
      <w:bookmarkEnd w:id="278"/>
      <w:bookmarkEnd w:id="279"/>
      <w:bookmarkEnd w:id="280"/>
      <w:bookmarkEnd w:id="281"/>
      <w:bookmarkEnd w:id="282"/>
    </w:p>
    <w:p>
      <w:pPr>
        <w:pStyle w:val="Heading3"/>
      </w:pPr>
      <w:bookmarkStart w:id="283" w:name="_Toc100303003"/>
      <w:bookmarkStart w:id="284" w:name="_Toc100303227"/>
      <w:bookmarkStart w:id="285" w:name="_Toc100564382"/>
      <w:bookmarkStart w:id="286" w:name="_Toc100564578"/>
      <w:bookmarkStart w:id="287" w:name="_Toc107314260"/>
      <w:bookmarkStart w:id="288" w:name="_Toc107485145"/>
      <w:r>
        <w:rPr>
          <w:rStyle w:val="CharDivNo"/>
        </w:rPr>
        <w:t>Division 1</w:t>
      </w:r>
      <w:r>
        <w:t xml:space="preserve"> — </w:t>
      </w:r>
      <w:r>
        <w:rPr>
          <w:rStyle w:val="CharDivText"/>
        </w:rPr>
        <w:t>Confidentiality</w:t>
      </w:r>
      <w:bookmarkEnd w:id="283"/>
      <w:bookmarkEnd w:id="284"/>
      <w:bookmarkEnd w:id="285"/>
      <w:bookmarkEnd w:id="286"/>
      <w:bookmarkEnd w:id="287"/>
      <w:bookmarkEnd w:id="288"/>
    </w:p>
    <w:p>
      <w:pPr>
        <w:pStyle w:val="Heading5"/>
      </w:pPr>
      <w:bookmarkStart w:id="289" w:name="_Toc107485146"/>
      <w:r>
        <w:rPr>
          <w:rStyle w:val="CharSectno"/>
        </w:rPr>
        <w:t>114</w:t>
      </w:r>
      <w:r>
        <w:t>.</w:t>
      </w:r>
      <w:r>
        <w:rPr>
          <w:vertAlign w:val="superscript"/>
        </w:rPr>
        <w:t> 1M, 1MC</w:t>
      </w:r>
      <w:r>
        <w:tab/>
        <w:t>Duty of confidentiality</w:t>
      </w:r>
      <w:bookmarkEnd w:id="289"/>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lastRenderedPageBreak/>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 or</w:t>
      </w:r>
    </w:p>
    <w:p>
      <w:pPr>
        <w:pStyle w:val="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Indenta"/>
      </w:pPr>
      <w:r>
        <w:lastRenderedPageBreak/>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 xml:space="preserve">A court cannot require a person who is subject to a duty of confidentiality under this section to give evidence, or to produce </w:t>
      </w:r>
      <w:r>
        <w:lastRenderedPageBreak/>
        <w:t>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No. 66 of 2003 s. 100; No. 31 of 2008 s. 27; No. 17 of 2010 s. 28; No. 29 of 2012 s. 44; No. 2 of 2014 s. 60; No. 37 of 2018 s. 47.]</w:t>
      </w:r>
    </w:p>
    <w:p>
      <w:pPr>
        <w:pStyle w:val="Footnotesection"/>
      </w:pPr>
      <w:r>
        <w:tab/>
        <w:t>[Modification, to section 114, to have effect under the Commonwealth Places (Mirror Taxes Administration) Act 1999 s. 7, see Commonwealth Places (Mirror Taxes Administration) Regulations 2007 r. 49 and endnote 1M.]</w:t>
      </w:r>
    </w:p>
    <w:p>
      <w:pPr>
        <w:pStyle w:val="Footnotesection"/>
      </w:pPr>
      <w:r>
        <w:tab/>
        <w:t>[Modification, to section 114, to have effect under the Commonwealth Places (Mirror Taxes) Act 1998 (Commonwealth) s. 8, see Commonwealth Places (Mirror Taxes) (Modification of Applied Laws (WA)) Notice 2007 cl. 58 and endnote 1MC.]</w:t>
      </w:r>
    </w:p>
    <w:p>
      <w:pPr>
        <w:pStyle w:val="Heading3"/>
      </w:pPr>
      <w:bookmarkStart w:id="290" w:name="_Toc100303005"/>
      <w:bookmarkStart w:id="291" w:name="_Toc100303229"/>
      <w:bookmarkStart w:id="292" w:name="_Toc100564384"/>
      <w:bookmarkStart w:id="293" w:name="_Toc100564580"/>
      <w:bookmarkStart w:id="294" w:name="_Toc107314262"/>
      <w:bookmarkStart w:id="295" w:name="_Toc107485147"/>
      <w:r>
        <w:rPr>
          <w:rStyle w:val="CharDivNo"/>
        </w:rPr>
        <w:t>Division 2</w:t>
      </w:r>
      <w:r>
        <w:t xml:space="preserve"> — </w:t>
      </w:r>
      <w:r>
        <w:rPr>
          <w:rStyle w:val="CharDivText"/>
        </w:rPr>
        <w:t>Service of documents</w:t>
      </w:r>
      <w:bookmarkEnd w:id="290"/>
      <w:bookmarkEnd w:id="291"/>
      <w:bookmarkEnd w:id="292"/>
      <w:bookmarkEnd w:id="293"/>
      <w:bookmarkEnd w:id="294"/>
      <w:bookmarkEnd w:id="295"/>
    </w:p>
    <w:p>
      <w:pPr>
        <w:pStyle w:val="Heading5"/>
      </w:pPr>
      <w:bookmarkStart w:id="296" w:name="_Toc107485148"/>
      <w:r>
        <w:rPr>
          <w:rStyle w:val="CharSectno"/>
        </w:rPr>
        <w:t>115</w:t>
      </w:r>
      <w:r>
        <w:t>.</w:t>
      </w:r>
      <w:r>
        <w:tab/>
        <w:t>Service on Commissioner</w:t>
      </w:r>
      <w:bookmarkEnd w:id="296"/>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Ednotepara"/>
        <w:tabs>
          <w:tab w:val="left" w:pos="993"/>
        </w:tabs>
        <w:spacing w:before="80"/>
      </w:pPr>
      <w:r>
        <w:tab/>
        <w:t>[(c</w:t>
      </w:r>
      <w:r>
        <w:tab/>
        <w:t>)</w:t>
      </w:r>
      <w:r>
        <w:tab/>
        <w:t>deleted]</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Footnotesection"/>
      </w:pPr>
      <w:r>
        <w:tab/>
        <w:t>[Section 115 amended: No. 11 of 2019 s. 15.]</w:t>
      </w:r>
    </w:p>
    <w:p>
      <w:pPr>
        <w:pStyle w:val="Heading5"/>
      </w:pPr>
      <w:bookmarkStart w:id="297" w:name="_Toc107485149"/>
      <w:r>
        <w:rPr>
          <w:rStyle w:val="CharSectno"/>
        </w:rPr>
        <w:lastRenderedPageBreak/>
        <w:t>116</w:t>
      </w:r>
      <w:r>
        <w:t>.</w:t>
      </w:r>
      <w:r>
        <w:tab/>
        <w:t>Service on agent or representative of taxpayer</w:t>
      </w:r>
      <w:bookmarkEnd w:id="297"/>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No. 17 of 2010 s. 30(5).]</w:t>
      </w:r>
    </w:p>
    <w:p>
      <w:pPr>
        <w:pStyle w:val="Heading5"/>
      </w:pPr>
      <w:bookmarkStart w:id="298" w:name="_Toc107485150"/>
      <w:r>
        <w:rPr>
          <w:rStyle w:val="CharSectno"/>
        </w:rPr>
        <w:t>117</w:t>
      </w:r>
      <w:r>
        <w:t>.</w:t>
      </w:r>
      <w:r>
        <w:tab/>
        <w:t>Method of service by Commissioner</w:t>
      </w:r>
      <w:bookmarkEnd w:id="298"/>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lastRenderedPageBreak/>
        <w:tab/>
        <w:t>(2)</w:t>
      </w:r>
      <w:r>
        <w:tab/>
        <w:t>Where any of the methods of service in subsection (1)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the notice or document is taken to be served on a day prescribed by the regulations.</w:t>
      </w:r>
    </w:p>
    <w:p>
      <w:pPr>
        <w:pStyle w:val="Subsection"/>
      </w:pPr>
      <w:r>
        <w:tab/>
        <w:t>(5)</w:t>
      </w:r>
      <w:r>
        <w:tab/>
        <w:t>For the purposes of subsection (4), the regulations may prescribe different days for documents served by different methods and in different circumstances.</w:t>
      </w:r>
    </w:p>
    <w:p>
      <w:pPr>
        <w:pStyle w:val="Footnotesection"/>
      </w:pPr>
      <w:r>
        <w:tab/>
        <w:t>[Section 117 amended: No. 11 of 2019 s. 16.]</w:t>
      </w:r>
    </w:p>
    <w:p>
      <w:pPr>
        <w:pStyle w:val="Heading5"/>
      </w:pPr>
      <w:bookmarkStart w:id="299" w:name="_Toc107485151"/>
      <w:r>
        <w:rPr>
          <w:rStyle w:val="CharSectno"/>
        </w:rPr>
        <w:t>118</w:t>
      </w:r>
      <w:r>
        <w:t>.</w:t>
      </w:r>
      <w:r>
        <w:tab/>
        <w:t>This Division in addition to other laws about service</w:t>
      </w:r>
      <w:bookmarkEnd w:id="299"/>
    </w:p>
    <w:p>
      <w:pPr>
        <w:pStyle w:val="Subsection"/>
      </w:pPr>
      <w:r>
        <w:tab/>
      </w:r>
      <w:r>
        <w:tab/>
        <w:t>The provisions of this Division are in addition to, and do not derogate from, other provisions of an enactment for facilitating service.</w:t>
      </w:r>
    </w:p>
    <w:p>
      <w:pPr>
        <w:pStyle w:val="Heading3"/>
      </w:pPr>
      <w:bookmarkStart w:id="300" w:name="_Toc100303010"/>
      <w:bookmarkStart w:id="301" w:name="_Toc100303234"/>
      <w:bookmarkStart w:id="302" w:name="_Toc100564389"/>
      <w:bookmarkStart w:id="303" w:name="_Toc100564585"/>
      <w:bookmarkStart w:id="304" w:name="_Toc107314267"/>
      <w:bookmarkStart w:id="305" w:name="_Toc107485152"/>
      <w:r>
        <w:rPr>
          <w:rStyle w:val="CharDivNo"/>
        </w:rPr>
        <w:t>Division 3</w:t>
      </w:r>
      <w:r>
        <w:t xml:space="preserve"> — </w:t>
      </w:r>
      <w:r>
        <w:rPr>
          <w:rStyle w:val="CharDivText"/>
        </w:rPr>
        <w:t>Evidentiary provisions</w:t>
      </w:r>
      <w:bookmarkEnd w:id="300"/>
      <w:bookmarkEnd w:id="301"/>
      <w:bookmarkEnd w:id="302"/>
      <w:bookmarkEnd w:id="303"/>
      <w:bookmarkEnd w:id="304"/>
      <w:bookmarkEnd w:id="305"/>
    </w:p>
    <w:p>
      <w:pPr>
        <w:pStyle w:val="Heading5"/>
        <w:spacing w:before="240"/>
      </w:pPr>
      <w:bookmarkStart w:id="306" w:name="_Toc107485153"/>
      <w:r>
        <w:rPr>
          <w:rStyle w:val="CharSectno"/>
        </w:rPr>
        <w:t>119</w:t>
      </w:r>
      <w:r>
        <w:t>.</w:t>
      </w:r>
      <w:r>
        <w:tab/>
        <w:t>Evidentiary value of assessment notice</w:t>
      </w:r>
      <w:bookmarkEnd w:id="306"/>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307" w:name="_Toc107485154"/>
      <w:r>
        <w:rPr>
          <w:rStyle w:val="CharSectno"/>
        </w:rPr>
        <w:lastRenderedPageBreak/>
        <w:t>120</w:t>
      </w:r>
      <w:r>
        <w:t>.</w:t>
      </w:r>
      <w:r>
        <w:tab/>
        <w:t>Evidentiary value of copies and reproductions of documents</w:t>
      </w:r>
      <w:bookmarkEnd w:id="307"/>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308" w:name="_Toc107485155"/>
      <w:r>
        <w:rPr>
          <w:rStyle w:val="CharSectno"/>
        </w:rPr>
        <w:t>121</w:t>
      </w:r>
      <w:r>
        <w:t>.</w:t>
      </w:r>
      <w:r>
        <w:tab/>
        <w:t>Evidentiary certificates</w:t>
      </w:r>
      <w:bookmarkEnd w:id="308"/>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lastRenderedPageBreak/>
        <w:tab/>
        <w:t>(2)</w:t>
      </w:r>
      <w:r>
        <w:tab/>
        <w:t>A certificate issued under this section is evidence of the facts stated in the certificate and, in the absence of evidence to the contrary, is proof of those facts.</w:t>
      </w:r>
    </w:p>
    <w:p>
      <w:pPr>
        <w:pStyle w:val="Heading5"/>
      </w:pPr>
      <w:bookmarkStart w:id="309" w:name="_Toc107485156"/>
      <w:r>
        <w:rPr>
          <w:rStyle w:val="CharSectno"/>
        </w:rPr>
        <w:t>122</w:t>
      </w:r>
      <w:r>
        <w:t>.</w:t>
      </w:r>
      <w:r>
        <w:tab/>
        <w:t>Extracts from register of delegates</w:t>
      </w:r>
      <w:bookmarkEnd w:id="309"/>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310" w:name="_Toc107485157"/>
      <w:r>
        <w:rPr>
          <w:rStyle w:val="CharSectno"/>
        </w:rPr>
        <w:t>123</w:t>
      </w:r>
      <w:r>
        <w:t>.</w:t>
      </w:r>
      <w:r>
        <w:tab/>
        <w:t>Averments in charges</w:t>
      </w:r>
      <w:bookmarkEnd w:id="310"/>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No. 84 of 2004 s. 80 and 82.] </w:t>
      </w:r>
    </w:p>
    <w:p>
      <w:pPr>
        <w:pStyle w:val="Heading5"/>
      </w:pPr>
      <w:bookmarkStart w:id="311" w:name="_Toc107485158"/>
      <w:r>
        <w:rPr>
          <w:rStyle w:val="CharSectno"/>
        </w:rPr>
        <w:t>124</w:t>
      </w:r>
      <w:r>
        <w:t>.</w:t>
      </w:r>
      <w:r>
        <w:tab/>
        <w:t>Presumption of regularity</w:t>
      </w:r>
      <w:bookmarkEnd w:id="311"/>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 xml:space="preserve">In proceedings under a taxation Act, compliance by the Commissioner or an investigator with the requirements of the </w:t>
      </w:r>
      <w:r>
        <w:lastRenderedPageBreak/>
        <w:t>taxation Acts is presumed, in the absence of evidence to the contrary.</w:t>
      </w:r>
    </w:p>
    <w:p>
      <w:pPr>
        <w:pStyle w:val="Heading3"/>
      </w:pPr>
      <w:bookmarkStart w:id="312" w:name="_Toc100303017"/>
      <w:bookmarkStart w:id="313" w:name="_Toc100303241"/>
      <w:bookmarkStart w:id="314" w:name="_Toc100564396"/>
      <w:bookmarkStart w:id="315" w:name="_Toc100564592"/>
      <w:bookmarkStart w:id="316" w:name="_Toc107314274"/>
      <w:bookmarkStart w:id="317" w:name="_Toc107485159"/>
      <w:r>
        <w:rPr>
          <w:rStyle w:val="CharDivNo"/>
        </w:rPr>
        <w:t>Division 4</w:t>
      </w:r>
      <w:r>
        <w:t xml:space="preserve"> — </w:t>
      </w:r>
      <w:r>
        <w:rPr>
          <w:rStyle w:val="CharDivText"/>
        </w:rPr>
        <w:t>Exemption from personal liability</w:t>
      </w:r>
      <w:bookmarkEnd w:id="312"/>
      <w:bookmarkEnd w:id="313"/>
      <w:bookmarkEnd w:id="314"/>
      <w:bookmarkEnd w:id="315"/>
      <w:bookmarkEnd w:id="316"/>
      <w:bookmarkEnd w:id="317"/>
    </w:p>
    <w:p>
      <w:pPr>
        <w:pStyle w:val="Heading5"/>
      </w:pPr>
      <w:bookmarkStart w:id="318" w:name="_Toc107485160"/>
      <w:r>
        <w:rPr>
          <w:rStyle w:val="CharSectno"/>
        </w:rPr>
        <w:t>125</w:t>
      </w:r>
      <w:r>
        <w:t>.</w:t>
      </w:r>
      <w:r>
        <w:rPr>
          <w:vertAlign w:val="superscript"/>
        </w:rPr>
        <w:t> 1MC</w:t>
      </w:r>
      <w:r>
        <w:tab/>
        <w:t>Exemption from personal liability</w:t>
      </w:r>
      <w:bookmarkEnd w:id="318"/>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pPr>
      <w:r>
        <w:tab/>
        <w:t>[Modification, to section 125, to have effect under the Commonwealth Places (Mirror Taxes) Act 1998 (Commonwealth) s. 8, see Commonwealth Places (Mirror Taxes) (Modification of Applied Laws (WA)) Notice 2007 cl. 59 and endnote 1MC.]</w:t>
      </w:r>
    </w:p>
    <w:p>
      <w:pPr>
        <w:pStyle w:val="Heading3"/>
      </w:pPr>
      <w:bookmarkStart w:id="319" w:name="_Toc100303019"/>
      <w:bookmarkStart w:id="320" w:name="_Toc100303243"/>
      <w:bookmarkStart w:id="321" w:name="_Toc100564398"/>
      <w:bookmarkStart w:id="322" w:name="_Toc100564594"/>
      <w:bookmarkStart w:id="323" w:name="_Toc107314276"/>
      <w:bookmarkStart w:id="324" w:name="_Toc107485161"/>
      <w:r>
        <w:rPr>
          <w:rStyle w:val="CharDivNo"/>
        </w:rPr>
        <w:t>Division 5</w:t>
      </w:r>
      <w:r>
        <w:t xml:space="preserve"> — </w:t>
      </w:r>
      <w:r>
        <w:rPr>
          <w:rStyle w:val="CharDivText"/>
        </w:rPr>
        <w:t>Regulations, practices and forms</w:t>
      </w:r>
      <w:bookmarkEnd w:id="319"/>
      <w:bookmarkEnd w:id="320"/>
      <w:bookmarkEnd w:id="321"/>
      <w:bookmarkEnd w:id="322"/>
      <w:bookmarkEnd w:id="323"/>
      <w:bookmarkEnd w:id="324"/>
    </w:p>
    <w:p>
      <w:pPr>
        <w:pStyle w:val="Footnoteheading"/>
      </w:pPr>
      <w:r>
        <w:tab/>
        <w:t>[Heading amended: No. 12 of 2008 s. 49.]</w:t>
      </w:r>
    </w:p>
    <w:p>
      <w:pPr>
        <w:pStyle w:val="Heading5"/>
        <w:spacing w:before="240"/>
      </w:pPr>
      <w:bookmarkStart w:id="325" w:name="_Toc107485162"/>
      <w:r>
        <w:rPr>
          <w:rStyle w:val="CharSectno"/>
        </w:rPr>
        <w:t>126</w:t>
      </w:r>
      <w:r>
        <w:t>.</w:t>
      </w:r>
      <w:r>
        <w:tab/>
        <w:t>Regulations</w:t>
      </w:r>
      <w:bookmarkEnd w:id="32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326" w:name="_Toc107485163"/>
      <w:r>
        <w:rPr>
          <w:rStyle w:val="CharSectno"/>
        </w:rPr>
        <w:lastRenderedPageBreak/>
        <w:t>127</w:t>
      </w:r>
      <w:r>
        <w:t>.</w:t>
      </w:r>
      <w:r>
        <w:tab/>
        <w:t>Practices</w:t>
      </w:r>
      <w:bookmarkEnd w:id="326"/>
    </w:p>
    <w:p>
      <w:pPr>
        <w:pStyle w:val="Subsection"/>
      </w:pPr>
      <w:r>
        <w:tab/>
        <w:t>(1)</w:t>
      </w:r>
      <w:r>
        <w:tab/>
        <w:t>The Commissioner is to publish all existing practices relating to the assessment of tax on the Commissioner’s website.</w:t>
      </w:r>
    </w:p>
    <w:p>
      <w:pPr>
        <w:pStyle w:val="Subsection"/>
      </w:pPr>
      <w:r>
        <w:tab/>
        <w:t>(2)</w:t>
      </w:r>
      <w:r>
        <w:tab/>
        <w:t>The Commissioner cannot establish or direct a practice to be observed unless the Commissioner first publishes that practice on the Commissioner’s website.</w:t>
      </w:r>
    </w:p>
    <w:p>
      <w:pPr>
        <w:pStyle w:val="Footnotesection"/>
      </w:pPr>
      <w:r>
        <w:tab/>
        <w:t>[Section 127 amended: No. 11 of 2019 s. 17; No. 1 of 2022 s. 5.]</w:t>
      </w:r>
    </w:p>
    <w:p>
      <w:pPr>
        <w:pStyle w:val="Heading5"/>
      </w:pPr>
      <w:bookmarkStart w:id="327" w:name="_Toc107485164"/>
      <w:r>
        <w:rPr>
          <w:rStyle w:val="CharSectno"/>
        </w:rPr>
        <w:t>128</w:t>
      </w:r>
      <w:r>
        <w:t>.</w:t>
      </w:r>
      <w:r>
        <w:tab/>
        <w:t>Forms</w:t>
      </w:r>
      <w:bookmarkEnd w:id="327"/>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No. 12 of 2008 s. 50.]</w:t>
      </w:r>
    </w:p>
    <w:p>
      <w:pPr>
        <w:pStyle w:val="Heading3"/>
      </w:pPr>
      <w:bookmarkStart w:id="328" w:name="_Toc100303023"/>
      <w:bookmarkStart w:id="329" w:name="_Toc100303247"/>
      <w:bookmarkStart w:id="330" w:name="_Toc100564402"/>
      <w:bookmarkStart w:id="331" w:name="_Toc100564598"/>
      <w:bookmarkStart w:id="332" w:name="_Toc107314280"/>
      <w:bookmarkStart w:id="333" w:name="_Toc107485165"/>
      <w:r>
        <w:rPr>
          <w:rStyle w:val="CharDivNo"/>
        </w:rPr>
        <w:t>Division 6</w:t>
      </w:r>
      <w:r>
        <w:t> — </w:t>
      </w:r>
      <w:r>
        <w:rPr>
          <w:rStyle w:val="CharDivText"/>
        </w:rPr>
        <w:t>Early operation of certain amendments to taxation Acts</w:t>
      </w:r>
      <w:bookmarkEnd w:id="328"/>
      <w:bookmarkEnd w:id="329"/>
      <w:bookmarkEnd w:id="330"/>
      <w:bookmarkEnd w:id="331"/>
      <w:bookmarkEnd w:id="332"/>
      <w:bookmarkEnd w:id="333"/>
    </w:p>
    <w:p>
      <w:pPr>
        <w:pStyle w:val="Footnoteheading"/>
        <w:spacing w:before="100"/>
      </w:pPr>
      <w:r>
        <w:tab/>
        <w:t>[Heading inserted: No. 31 of 2008 s. 28.]</w:t>
      </w:r>
    </w:p>
    <w:p>
      <w:pPr>
        <w:pStyle w:val="Heading5"/>
        <w:spacing w:before="180"/>
      </w:pPr>
      <w:bookmarkStart w:id="334" w:name="_Toc107485166"/>
      <w:r>
        <w:rPr>
          <w:rStyle w:val="CharSectno"/>
        </w:rPr>
        <w:t>129</w:t>
      </w:r>
      <w:r>
        <w:t>.</w:t>
      </w:r>
      <w:r>
        <w:tab/>
        <w:t>Terms used</w:t>
      </w:r>
      <w:bookmarkEnd w:id="334"/>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lastRenderedPageBreak/>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No. 31 of 2008 s. 28.]</w:t>
      </w:r>
    </w:p>
    <w:p>
      <w:pPr>
        <w:pStyle w:val="Heading5"/>
        <w:spacing w:before="180"/>
      </w:pPr>
      <w:bookmarkStart w:id="335" w:name="_Toc107485167"/>
      <w:r>
        <w:rPr>
          <w:rStyle w:val="CharSectno"/>
        </w:rPr>
        <w:t>130</w:t>
      </w:r>
      <w:r>
        <w:t>.</w:t>
      </w:r>
      <w:r>
        <w:tab/>
        <w:t>Determination of pre</w:t>
      </w:r>
      <w:r>
        <w:noBreakHyphen/>
        <w:t>enactment provisions</w:t>
      </w:r>
      <w:bookmarkEnd w:id="335"/>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No. 31 of 2008 s. 28.]</w:t>
      </w:r>
    </w:p>
    <w:p>
      <w:pPr>
        <w:pStyle w:val="Heading5"/>
      </w:pPr>
      <w:bookmarkStart w:id="336" w:name="_Toc107485168"/>
      <w:r>
        <w:rPr>
          <w:rStyle w:val="CharSectno"/>
        </w:rPr>
        <w:lastRenderedPageBreak/>
        <w:t>131</w:t>
      </w:r>
      <w:r>
        <w:t>.</w:t>
      </w:r>
      <w:r>
        <w:tab/>
        <w:t>Duration of determination notice</w:t>
      </w:r>
      <w:bookmarkEnd w:id="336"/>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No. 31 of 2008 s. 28.]</w:t>
      </w:r>
    </w:p>
    <w:p>
      <w:pPr>
        <w:pStyle w:val="Heading5"/>
      </w:pPr>
      <w:bookmarkStart w:id="337" w:name="_Toc107485169"/>
      <w:r>
        <w:rPr>
          <w:rStyle w:val="CharSectno"/>
        </w:rPr>
        <w:t>132</w:t>
      </w:r>
      <w:r>
        <w:t>.</w:t>
      </w:r>
      <w:r>
        <w:tab/>
        <w:t>Amendment and replacement of determination notice</w:t>
      </w:r>
      <w:bookmarkEnd w:id="337"/>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lastRenderedPageBreak/>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No. 31 of 2008 s. 28.]</w:t>
      </w:r>
    </w:p>
    <w:p>
      <w:pPr>
        <w:pStyle w:val="Heading5"/>
      </w:pPr>
      <w:bookmarkStart w:id="338" w:name="_Toc107485170"/>
      <w:r>
        <w:rPr>
          <w:rStyle w:val="CharSectno"/>
        </w:rPr>
        <w:t>133</w:t>
      </w:r>
      <w:r>
        <w:t>.</w:t>
      </w:r>
      <w:r>
        <w:tab/>
        <w:t>Effect of pre</w:t>
      </w:r>
      <w:r>
        <w:noBreakHyphen/>
        <w:t>enactment provisions</w:t>
      </w:r>
      <w:bookmarkEnd w:id="338"/>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No. 31 of 2008 s. 28.]</w:t>
      </w:r>
    </w:p>
    <w:p>
      <w:pPr>
        <w:pStyle w:val="Heading5"/>
      </w:pPr>
      <w:bookmarkStart w:id="339" w:name="_Toc107485171"/>
      <w:r>
        <w:rPr>
          <w:rStyle w:val="CharSectno"/>
        </w:rPr>
        <w:lastRenderedPageBreak/>
        <w:t>134</w:t>
      </w:r>
      <w:r>
        <w:t>.</w:t>
      </w:r>
      <w:r>
        <w:tab/>
        <w:t>Review of Division</w:t>
      </w:r>
      <w:bookmarkEnd w:id="339"/>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keepNext/>
        <w:keepLines/>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No. 31 of 2008 s. 28.]</w:t>
      </w:r>
    </w:p>
    <w:p>
      <w:pPr>
        <w:pStyle w:val="Heading3"/>
      </w:pPr>
      <w:bookmarkStart w:id="340" w:name="_Toc100303030"/>
      <w:bookmarkStart w:id="341" w:name="_Toc100303254"/>
      <w:bookmarkStart w:id="342" w:name="_Toc100564409"/>
      <w:bookmarkStart w:id="343" w:name="_Toc100564605"/>
      <w:bookmarkStart w:id="344" w:name="_Toc107314287"/>
      <w:bookmarkStart w:id="345" w:name="_Toc107485172"/>
      <w:r>
        <w:rPr>
          <w:rStyle w:val="CharDivNo"/>
        </w:rPr>
        <w:t>Division 7</w:t>
      </w:r>
      <w:r>
        <w:t> — </w:t>
      </w:r>
      <w:r>
        <w:rPr>
          <w:rStyle w:val="CharDivText"/>
        </w:rPr>
        <w:t>Emergency tax relief measures</w:t>
      </w:r>
      <w:bookmarkEnd w:id="340"/>
      <w:bookmarkEnd w:id="341"/>
      <w:bookmarkEnd w:id="342"/>
      <w:bookmarkEnd w:id="343"/>
      <w:bookmarkEnd w:id="344"/>
      <w:bookmarkEnd w:id="345"/>
    </w:p>
    <w:p>
      <w:pPr>
        <w:pStyle w:val="Footnoteheading"/>
      </w:pPr>
      <w:r>
        <w:tab/>
        <w:t>[Heading inserted: No. 1 of 2022 s. 6.]</w:t>
      </w:r>
    </w:p>
    <w:p>
      <w:pPr>
        <w:pStyle w:val="Heading5"/>
      </w:pPr>
      <w:bookmarkStart w:id="346" w:name="_Toc107485173"/>
      <w:r>
        <w:rPr>
          <w:rStyle w:val="CharSectno"/>
        </w:rPr>
        <w:t>135</w:t>
      </w:r>
      <w:r>
        <w:t>.</w:t>
      </w:r>
      <w:r>
        <w:tab/>
        <w:t>Tax relief measures</w:t>
      </w:r>
      <w:bookmarkEnd w:id="346"/>
    </w:p>
    <w:p>
      <w:pPr>
        <w:pStyle w:val="Subsection"/>
      </w:pPr>
      <w:r>
        <w:tab/>
        <w:t>(1)</w:t>
      </w:r>
      <w:r>
        <w:tab/>
        <w:t xml:space="preserve">A </w:t>
      </w:r>
      <w:r>
        <w:rPr>
          <w:rStyle w:val="CharDefText"/>
        </w:rPr>
        <w:t>tax relief measure</w:t>
      </w:r>
      <w:r>
        <w:t xml:space="preserve"> is any of the following — </w:t>
      </w:r>
    </w:p>
    <w:p>
      <w:pPr>
        <w:pStyle w:val="Indenta"/>
      </w:pPr>
      <w:r>
        <w:tab/>
        <w:t>(a)</w:t>
      </w:r>
      <w:r>
        <w:tab/>
        <w:t>a waiver or partial waiver of tax;</w:t>
      </w:r>
    </w:p>
    <w:p>
      <w:pPr>
        <w:pStyle w:val="Indenta"/>
      </w:pPr>
      <w:r>
        <w:tab/>
        <w:t>(b)</w:t>
      </w:r>
      <w:r>
        <w:tab/>
        <w:t>a reduction in a rate of tax;</w:t>
      </w:r>
    </w:p>
    <w:p>
      <w:pPr>
        <w:pStyle w:val="Indenta"/>
      </w:pPr>
      <w:r>
        <w:tab/>
        <w:t>(c)</w:t>
      </w:r>
      <w:r>
        <w:tab/>
        <w:t>an exemption that applies to any matter or class of matters in relation to which tax is payable;</w:t>
      </w:r>
    </w:p>
    <w:p>
      <w:pPr>
        <w:pStyle w:val="Indenta"/>
      </w:pPr>
      <w:r>
        <w:tab/>
        <w:t>(d)</w:t>
      </w:r>
      <w:r>
        <w:tab/>
        <w:t xml:space="preserve">a deferral of a requirement under the </w:t>
      </w:r>
      <w:r>
        <w:rPr>
          <w:i/>
        </w:rPr>
        <w:t>Pay</w:t>
      </w:r>
      <w:r>
        <w:rPr>
          <w:i/>
        </w:rPr>
        <w:noBreakHyphen/>
        <w:t>roll Tax Assessment Act 2002</w:t>
      </w:r>
      <w:r>
        <w:t xml:space="preserve"> to lodge 1 or more returns.</w:t>
      </w:r>
    </w:p>
    <w:p>
      <w:pPr>
        <w:pStyle w:val="Subsection"/>
      </w:pPr>
      <w:r>
        <w:tab/>
        <w:t>(2)</w:t>
      </w:r>
      <w:r>
        <w:tab/>
        <w:t xml:space="preserve">Subsection (1) does not apply in relation to tax of the kind referred to in paragraph (c) of the definition of </w:t>
      </w:r>
      <w:r>
        <w:rPr>
          <w:b/>
          <w:i/>
        </w:rPr>
        <w:t>tax</w:t>
      </w:r>
      <w:r>
        <w:t xml:space="preserve"> in the Glossary clause 1.</w:t>
      </w:r>
    </w:p>
    <w:p>
      <w:pPr>
        <w:pStyle w:val="Footnotesection"/>
      </w:pPr>
      <w:r>
        <w:tab/>
        <w:t>[Section 135 inserted: No. 1 of 2022 s. 6.]</w:t>
      </w:r>
    </w:p>
    <w:p>
      <w:pPr>
        <w:pStyle w:val="Heading5"/>
      </w:pPr>
      <w:bookmarkStart w:id="347" w:name="_Toc107485174"/>
      <w:r>
        <w:rPr>
          <w:rStyle w:val="CharSectno"/>
        </w:rPr>
        <w:lastRenderedPageBreak/>
        <w:t>135A</w:t>
      </w:r>
      <w:r>
        <w:t>.</w:t>
      </w:r>
      <w:r>
        <w:tab/>
        <w:t>Treasurer may declare tax relief measure due to emergency</w:t>
      </w:r>
      <w:bookmarkEnd w:id="347"/>
    </w:p>
    <w:p>
      <w:pPr>
        <w:pStyle w:val="Subsection"/>
        <w:keepNext/>
      </w:pPr>
      <w:r>
        <w:tab/>
        <w:t>(1)</w:t>
      </w:r>
      <w:r>
        <w:tab/>
        <w:t xml:space="preserve">The Treasurer may, by written instrument, declare 1 or more tax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the Treasurer considers that the tax relief measure or measures are necessary to provide relief to taxpayers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135B, is a </w:t>
      </w:r>
      <w:r>
        <w:rPr>
          <w:rStyle w:val="CharDefText"/>
        </w:rPr>
        <w:t>tax relief declaration</w:t>
      </w:r>
      <w:r>
        <w:t>.</w:t>
      </w:r>
    </w:p>
    <w:p>
      <w:pPr>
        <w:pStyle w:val="Subsection"/>
      </w:pPr>
      <w:r>
        <w:tab/>
        <w:t>(3)</w:t>
      </w:r>
      <w:r>
        <w:tab/>
        <w:t xml:space="preserve">A tax relief declaration must specify the emergency declaration (the </w:t>
      </w:r>
      <w:r>
        <w:rPr>
          <w:rStyle w:val="CharDefText"/>
        </w:rPr>
        <w:t>relevant emergency declaration</w:t>
      </w:r>
      <w:r>
        <w:t>) in relation to which it is made.</w:t>
      </w:r>
    </w:p>
    <w:p>
      <w:pPr>
        <w:pStyle w:val="Subsection"/>
      </w:pPr>
      <w:r>
        <w:tab/>
        <w:t>(4)</w:t>
      </w:r>
      <w:r>
        <w:tab/>
        <w:t xml:space="preserve">A tax relief declaration must set out a description of each declared tax relief measure, including by specifying — </w:t>
      </w:r>
    </w:p>
    <w:p>
      <w:pPr>
        <w:pStyle w:val="Indenta"/>
      </w:pPr>
      <w:r>
        <w:tab/>
        <w:t>(a)</w:t>
      </w:r>
      <w:r>
        <w:tab/>
        <w:t xml:space="preserve">for a tax relief measure referred to in section 135(1)(a), (b) or (c) — </w:t>
      </w:r>
    </w:p>
    <w:p>
      <w:pPr>
        <w:pStyle w:val="Indenti"/>
      </w:pPr>
      <w:r>
        <w:tab/>
        <w:t>(i)</w:t>
      </w:r>
      <w:r>
        <w:tab/>
        <w:t>the tax to which the measure applies; and</w:t>
      </w:r>
    </w:p>
    <w:p>
      <w:pPr>
        <w:pStyle w:val="Indenti"/>
      </w:pPr>
      <w:r>
        <w:tab/>
        <w:t>(ii)</w:t>
      </w:r>
      <w:r>
        <w:tab/>
        <w:t>the period in relation to which that tax is payable or in which liability to pay that tax arises; and</w:t>
      </w:r>
    </w:p>
    <w:p>
      <w:pPr>
        <w:pStyle w:val="Indenti"/>
      </w:pPr>
      <w:r>
        <w:tab/>
        <w:t>(iii)</w:t>
      </w:r>
      <w:r>
        <w:tab/>
        <w:t>the persons to whom the measure applies, which may be all taxpayers or taxpayers who meet specified eligibility conditions for the measure;</w:t>
      </w:r>
    </w:p>
    <w:p>
      <w:pPr>
        <w:pStyle w:val="Indenta"/>
      </w:pPr>
      <w:r>
        <w:lastRenderedPageBreak/>
        <w:tab/>
      </w:r>
      <w:r>
        <w:tab/>
        <w:t>or</w:t>
      </w:r>
    </w:p>
    <w:p>
      <w:pPr>
        <w:pStyle w:val="Indenta"/>
      </w:pPr>
      <w:r>
        <w:tab/>
        <w:t>(b)</w:t>
      </w:r>
      <w:r>
        <w:tab/>
        <w:t xml:space="preserve">for a tax relief measure referred to in section 135(1)(d) — </w:t>
      </w:r>
    </w:p>
    <w:p>
      <w:pPr>
        <w:pStyle w:val="Indenti"/>
      </w:pPr>
      <w:r>
        <w:tab/>
        <w:t>(i)</w:t>
      </w:r>
      <w:r>
        <w:tab/>
        <w:t>the return or returns to which the measure applies; and</w:t>
      </w:r>
    </w:p>
    <w:p>
      <w:pPr>
        <w:pStyle w:val="Indenti"/>
      </w:pPr>
      <w:r>
        <w:tab/>
        <w:t>(ii)</w:t>
      </w:r>
      <w:r>
        <w:tab/>
        <w:t>the period to which that return or those returns relate; and</w:t>
      </w:r>
    </w:p>
    <w:p>
      <w:pPr>
        <w:pStyle w:val="Indenti"/>
      </w:pPr>
      <w:r>
        <w:tab/>
        <w:t>(iii)</w:t>
      </w:r>
      <w:r>
        <w:tab/>
        <w:t>the persons to whom the measure applies, which may be all persons required to lodge that return or those returns or persons who meet specified eligibility conditions for the measure.</w:t>
      </w:r>
    </w:p>
    <w:p>
      <w:pPr>
        <w:pStyle w:val="Subsection"/>
      </w:pPr>
      <w:r>
        <w:tab/>
        <w:t>(5)</w:t>
      </w:r>
      <w:r>
        <w:tab/>
        <w:t>The Treasurer cannot make a tax relief declaration more than 12 months after the day on which the relevant emergency declaration ceases to be in force.</w:t>
      </w:r>
    </w:p>
    <w:p>
      <w:pPr>
        <w:pStyle w:val="Subsection"/>
      </w:pPr>
      <w:r>
        <w:tab/>
        <w:t>(6)</w:t>
      </w:r>
      <w:r>
        <w:tab/>
        <w:t xml:space="preserve">A period specified under subsection (4)(a)(ii) or (b)(ii)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 xml:space="preserve">is not limited by reference to when the tax relief declaration is made or the period (the </w:t>
      </w:r>
      <w:r>
        <w:rPr>
          <w:rStyle w:val="CharDefText"/>
        </w:rPr>
        <w:t>emergency period</w:t>
      </w:r>
      <w:r>
        <w:t>) for which the relevant emergency declaration is in force; and</w:t>
      </w:r>
    </w:p>
    <w:p>
      <w:pPr>
        <w:pStyle w:val="Indenti"/>
      </w:pPr>
      <w:r>
        <w:tab/>
        <w:t>(ii)</w:t>
      </w:r>
      <w:r>
        <w:tab/>
        <w:t>without limiting subparagraph (i), may be a period that is wholly or partly before the emergency period.</w:t>
      </w:r>
    </w:p>
    <w:p>
      <w:pPr>
        <w:pStyle w:val="Footnotesection"/>
      </w:pPr>
      <w:r>
        <w:tab/>
        <w:t>[Section 135A inserted: No. 1 of 2022 s. 6.]</w:t>
      </w:r>
    </w:p>
    <w:p>
      <w:pPr>
        <w:pStyle w:val="Heading5"/>
      </w:pPr>
      <w:bookmarkStart w:id="348" w:name="_Toc107485175"/>
      <w:r>
        <w:rPr>
          <w:rStyle w:val="CharSectno"/>
        </w:rPr>
        <w:t>135B</w:t>
      </w:r>
      <w:r>
        <w:t>.</w:t>
      </w:r>
      <w:r>
        <w:tab/>
        <w:t>Amendment and revocation of tax relief declaration</w:t>
      </w:r>
      <w:bookmarkEnd w:id="348"/>
    </w:p>
    <w:p>
      <w:pPr>
        <w:pStyle w:val="Subsection"/>
      </w:pPr>
      <w:r>
        <w:tab/>
        <w:t>(1)</w:t>
      </w:r>
      <w:r>
        <w:tab/>
        <w:t>The Treasurer may, by written instrument, amend a tax relief declaration.</w:t>
      </w:r>
    </w:p>
    <w:p>
      <w:pPr>
        <w:pStyle w:val="Subsection"/>
      </w:pPr>
      <w:r>
        <w:tab/>
        <w:t>(2)</w:t>
      </w:r>
      <w:r>
        <w:tab/>
        <w:t xml:space="preserve">A tax relief declaration cannot be amended under subsection (1) to add an additional tax relief measure, but can be amended under that subsection to replace a tax relief measure set out in </w:t>
      </w:r>
      <w:r>
        <w:lastRenderedPageBreak/>
        <w:t>the declaration with another tax relief measure that will have a substantially similar effect.</w:t>
      </w:r>
    </w:p>
    <w:p>
      <w:pPr>
        <w:pStyle w:val="Subsection"/>
      </w:pPr>
      <w:r>
        <w:tab/>
        <w:t>(3)</w:t>
      </w:r>
      <w:r>
        <w:tab/>
        <w:t>A tax relief declaration cannot be amended under subsection (1) to extend a period specified in the declaration under section 135A(4)(a)(ii) or (b)(ii) if the extension would result in the period being longer than 2 years.</w:t>
      </w:r>
    </w:p>
    <w:p>
      <w:pPr>
        <w:pStyle w:val="Subsection"/>
      </w:pPr>
      <w:r>
        <w:tab/>
        <w:t>(4)</w:t>
      </w:r>
      <w:r>
        <w:tab/>
        <w:t>An instrument amending a tax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tax relief declaration if the Treasurer considers that the tax relief measure or measures set out in the declaration are no longer necessary for the purpose referred to in section 135A(1)(b).</w:t>
      </w:r>
    </w:p>
    <w:p>
      <w:pPr>
        <w:pStyle w:val="Footnotesection"/>
      </w:pPr>
      <w:r>
        <w:tab/>
        <w:t>[Section 135B inserted: No. 1 of 2022 s. 6.]</w:t>
      </w:r>
    </w:p>
    <w:p>
      <w:pPr>
        <w:pStyle w:val="Heading5"/>
      </w:pPr>
      <w:bookmarkStart w:id="349" w:name="_Toc107485176"/>
      <w:r>
        <w:rPr>
          <w:rStyle w:val="CharSectno"/>
        </w:rPr>
        <w:t>135C</w:t>
      </w:r>
      <w:r>
        <w:t>.</w:t>
      </w:r>
      <w:r>
        <w:tab/>
        <w:t>Provisions about tax relief declarations and instruments of amendment or revocation</w:t>
      </w:r>
      <w:bookmarkEnd w:id="349"/>
    </w:p>
    <w:p>
      <w:pPr>
        <w:pStyle w:val="Subsection"/>
      </w:pPr>
      <w:r>
        <w:tab/>
        <w:t>(1)</w:t>
      </w:r>
      <w:r>
        <w:tab/>
        <w:t>Before making a tax relief declaration or an instrument amending or revoking a tax relief declaration, the Treasurer must consult the Minister.</w:t>
      </w:r>
    </w:p>
    <w:p>
      <w:pPr>
        <w:pStyle w:val="Subsection"/>
      </w:pPr>
      <w:r>
        <w:tab/>
        <w:t>(2)</w:t>
      </w:r>
      <w:r>
        <w:tab/>
        <w:t xml:space="preserve">A tax relief declaration, or an instrument amending or revoking a tax relief declaration, is subsidiary legislation for the purposes of the </w:t>
      </w:r>
      <w:r>
        <w:rPr>
          <w:i/>
        </w:rPr>
        <w:t>Interpretation Act 1984</w:t>
      </w:r>
      <w:r>
        <w:t>.</w:t>
      </w:r>
    </w:p>
    <w:p>
      <w:pPr>
        <w:pStyle w:val="Footnotesection"/>
      </w:pPr>
      <w:r>
        <w:tab/>
        <w:t>[Section 135C inserted: No. 1 of 2022 s. 6.]</w:t>
      </w:r>
    </w:p>
    <w:p>
      <w:pPr>
        <w:pStyle w:val="Heading5"/>
      </w:pPr>
      <w:bookmarkStart w:id="350" w:name="_Toc107485177"/>
      <w:r>
        <w:rPr>
          <w:rStyle w:val="CharSectno"/>
        </w:rPr>
        <w:t>135D</w:t>
      </w:r>
      <w:r>
        <w:t>.</w:t>
      </w:r>
      <w:r>
        <w:tab/>
        <w:t>Procedural requirements for declared tax relief measure</w:t>
      </w:r>
      <w:bookmarkEnd w:id="350"/>
    </w:p>
    <w:p>
      <w:pPr>
        <w:pStyle w:val="Subsection"/>
      </w:pPr>
      <w:r>
        <w:tab/>
        <w:t>(1)</w:t>
      </w:r>
      <w:r>
        <w:tab/>
        <w:t>If a tax relief declaration is in operation, the Commissioner may approve any procedural requirements that the Commissioner considers are necessary to enable the proper administration of a tax relief measure set out in the declaration (for example, requirements relating to applications or the provision of information and evidence).</w:t>
      </w:r>
    </w:p>
    <w:p>
      <w:pPr>
        <w:pStyle w:val="Subsection"/>
      </w:pPr>
      <w:r>
        <w:lastRenderedPageBreak/>
        <w:tab/>
        <w:t>(2)</w:t>
      </w:r>
      <w:r>
        <w:tab/>
        <w:t>An approval under subsection (1) must be published on the Commissioner’s website.</w:t>
      </w:r>
    </w:p>
    <w:p>
      <w:pPr>
        <w:pStyle w:val="Footnotesection"/>
      </w:pPr>
      <w:r>
        <w:tab/>
        <w:t>[Section 135D inserted: No. 1 of 2022 s. 6.]</w:t>
      </w:r>
    </w:p>
    <w:p>
      <w:pPr>
        <w:pStyle w:val="Heading5"/>
      </w:pPr>
      <w:bookmarkStart w:id="351" w:name="_Toc107485178"/>
      <w:r>
        <w:rPr>
          <w:rStyle w:val="CharSectno"/>
        </w:rPr>
        <w:t>135E</w:t>
      </w:r>
      <w:r>
        <w:t>.</w:t>
      </w:r>
      <w:r>
        <w:tab/>
        <w:t>Effect of tax relief declaration</w:t>
      </w:r>
      <w:bookmarkEnd w:id="351"/>
    </w:p>
    <w:p>
      <w:pPr>
        <w:pStyle w:val="Subsection"/>
      </w:pPr>
      <w:r>
        <w:tab/>
        <w:t>(1)</w:t>
      </w:r>
      <w:r>
        <w:tab/>
        <w:t xml:space="preserve">In this section — </w:t>
      </w:r>
    </w:p>
    <w:p>
      <w:pPr>
        <w:pStyle w:val="Defstart"/>
      </w:pPr>
      <w:r>
        <w:tab/>
      </w:r>
      <w:r>
        <w:rPr>
          <w:rStyle w:val="CharDefText"/>
        </w:rPr>
        <w:t>affected return</w:t>
      </w:r>
      <w:r>
        <w:t xml:space="preserve">, in relation to a tax relief measure of a kind referred to in section 135(1)(d) that is set out in a tax relief declaration, means a return — </w:t>
      </w:r>
    </w:p>
    <w:p>
      <w:pPr>
        <w:pStyle w:val="Defpara"/>
      </w:pPr>
      <w:r>
        <w:tab/>
        <w:t>(a)</w:t>
      </w:r>
      <w:r>
        <w:tab/>
        <w:t>to which the measure applies as specified in the declaration under section 135A(4)(b)(i); and</w:t>
      </w:r>
    </w:p>
    <w:p>
      <w:pPr>
        <w:pStyle w:val="Defpara"/>
      </w:pPr>
      <w:r>
        <w:tab/>
        <w:t>(b)</w:t>
      </w:r>
      <w:r>
        <w:tab/>
        <w:t>that relates to the period specified in the declaration under section 135A(4)(b)(ii) or part of that period;</w:t>
      </w:r>
    </w:p>
    <w:p>
      <w:pPr>
        <w:pStyle w:val="Defstart"/>
      </w:pPr>
      <w:r>
        <w:tab/>
      </w:r>
      <w:r>
        <w:rPr>
          <w:rStyle w:val="CharDefText"/>
        </w:rPr>
        <w:t>affected tax</w:t>
      </w:r>
      <w:r>
        <w:t xml:space="preserve">, in relation to a tax relief measure of a kind referred to in section 135(1)(a), (b) or (c) that is set out in a tax relief declaration, means tax — </w:t>
      </w:r>
    </w:p>
    <w:p>
      <w:pPr>
        <w:pStyle w:val="Defpara"/>
      </w:pPr>
      <w:r>
        <w:tab/>
        <w:t>(a)</w:t>
      </w:r>
      <w:r>
        <w:tab/>
        <w:t>to which the measure applies as specified in the declaration under section 135A(4)(a)(i); and</w:t>
      </w:r>
    </w:p>
    <w:p>
      <w:pPr>
        <w:pStyle w:val="Defpara"/>
      </w:pPr>
      <w:r>
        <w:tab/>
        <w:t>(b)</w:t>
      </w:r>
      <w:r>
        <w:tab/>
        <w:t>that is payable in relation to the period specified in the declaration under section 135A(4)(a)(ii), or for which the liability to pay arises in that period, as the case requires;</w:t>
      </w:r>
    </w:p>
    <w:p>
      <w:pPr>
        <w:pStyle w:val="Defstart"/>
      </w:pPr>
      <w:r>
        <w:tab/>
      </w:r>
      <w:r>
        <w:rPr>
          <w:rStyle w:val="CharDefText"/>
        </w:rPr>
        <w:t>eligible person</w:t>
      </w:r>
      <w:r>
        <w:t xml:space="preserve">, in relation to a tax relief measure set out in a tax relief declaration, means a person — </w:t>
      </w:r>
    </w:p>
    <w:p>
      <w:pPr>
        <w:pStyle w:val="Defpara"/>
      </w:pPr>
      <w:r>
        <w:tab/>
        <w:t>(a)</w:t>
      </w:r>
      <w:r>
        <w:tab/>
        <w:t>to whom the measure applies as specified in the declaration under section 135A(4)(a)(iii) or (b)(iii); and</w:t>
      </w:r>
    </w:p>
    <w:p>
      <w:pPr>
        <w:pStyle w:val="Defpara"/>
      </w:pPr>
      <w:r>
        <w:tab/>
        <w:t>(b)</w:t>
      </w:r>
      <w:r>
        <w:tab/>
        <w:t>who has complied with the procedural requirements (if any) approved for the tax relief measure under section 135D.</w:t>
      </w:r>
    </w:p>
    <w:p>
      <w:pPr>
        <w:pStyle w:val="Subsection"/>
      </w:pPr>
      <w:r>
        <w:tab/>
        <w:t>(2)</w:t>
      </w:r>
      <w:r>
        <w:tab/>
        <w:t>This section applies if a tax relief declaration setting out a tax relief measure is in operation.</w:t>
      </w:r>
    </w:p>
    <w:p>
      <w:pPr>
        <w:pStyle w:val="Subsection"/>
        <w:keepNext/>
      </w:pPr>
      <w:r>
        <w:lastRenderedPageBreak/>
        <w:tab/>
        <w:t>(3)</w:t>
      </w:r>
      <w:r>
        <w:tab/>
        <w:t xml:space="preserve">Despite any provision of a taxation Act — </w:t>
      </w:r>
    </w:p>
    <w:p>
      <w:pPr>
        <w:pStyle w:val="Indenta"/>
      </w:pPr>
      <w:r>
        <w:tab/>
        <w:t>(a)</w:t>
      </w:r>
      <w:r>
        <w:tab/>
        <w:t>the Commissioner must do everything necessary to give effect to the tax relief measure; and</w:t>
      </w:r>
    </w:p>
    <w:p>
      <w:pPr>
        <w:pStyle w:val="Indenta"/>
      </w:pPr>
      <w:r>
        <w:tab/>
        <w:t>(b)</w:t>
      </w:r>
      <w:r>
        <w:tab/>
        <w:t>without limiting paragraph (a), the applicable provisions set out in the Table apply in relation to the tax relief measure.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7"/>
        <w:gridCol w:w="3660"/>
      </w:tblGrid>
      <w:tr>
        <w:trPr>
          <w:tblHeader/>
        </w:trPr>
        <w:tc>
          <w:tcPr>
            <w:tcW w:w="2407" w:type="dxa"/>
          </w:tcPr>
          <w:p>
            <w:pPr>
              <w:pStyle w:val="TableNAm"/>
              <w:jc w:val="center"/>
              <w:rPr>
                <w:b/>
              </w:rPr>
            </w:pPr>
            <w:r>
              <w:rPr>
                <w:b/>
              </w:rPr>
              <w:t>Kind of tax relief measure</w:t>
            </w:r>
          </w:p>
        </w:tc>
        <w:tc>
          <w:tcPr>
            <w:tcW w:w="3660" w:type="dxa"/>
          </w:tcPr>
          <w:p>
            <w:pPr>
              <w:pStyle w:val="TableNAm"/>
              <w:jc w:val="center"/>
              <w:rPr>
                <w:b/>
              </w:rPr>
            </w:pPr>
            <w:r>
              <w:rPr>
                <w:b/>
              </w:rPr>
              <w:t>Provisions</w:t>
            </w:r>
          </w:p>
        </w:tc>
      </w:tr>
      <w:tr>
        <w:tc>
          <w:tcPr>
            <w:tcW w:w="2407" w:type="dxa"/>
          </w:tcPr>
          <w:p>
            <w:pPr>
              <w:pStyle w:val="TableNAm"/>
            </w:pPr>
            <w:r>
              <w:t>Waiver or partial waiver of tax</w:t>
            </w:r>
          </w:p>
        </w:tc>
        <w:tc>
          <w:tcPr>
            <w:tcW w:w="3660" w:type="dxa"/>
          </w:tcPr>
          <w:p>
            <w:pPr>
              <w:pStyle w:val="TableNAm"/>
              <w:ind w:left="567" w:hanging="567"/>
            </w:pPr>
            <w:r>
              <w:t>(a)</w:t>
            </w:r>
            <w:r>
              <w:tab/>
              <w:t>The Commissioner must waive or partly waive the payment of affected tax by an eligible person in accordance with the declaration (and may do so whether or not the eligible person has already paid the tax).</w:t>
            </w:r>
          </w:p>
          <w:p>
            <w:pPr>
              <w:pStyle w:val="TableNAm"/>
              <w:ind w:left="567" w:hanging="567"/>
            </w:pPr>
            <w:r>
              <w:t>(b)</w:t>
            </w:r>
            <w:r>
              <w:tab/>
              <w:t>An eligible person’s liability to pay the tax waived is extinguished by the waiver.</w:t>
            </w:r>
          </w:p>
          <w:p>
            <w:pPr>
              <w:pStyle w:val="TableNAm"/>
              <w:ind w:left="567" w:hanging="567"/>
            </w:pPr>
            <w:r>
              <w:t>(c)</w:t>
            </w:r>
            <w:r>
              <w:tab/>
              <w:t>Part 5 Division 4 does not apply in relation to the waiver.</w:t>
            </w:r>
          </w:p>
        </w:tc>
      </w:tr>
      <w:tr>
        <w:tc>
          <w:tcPr>
            <w:tcW w:w="2407" w:type="dxa"/>
          </w:tcPr>
          <w:p>
            <w:pPr>
              <w:pStyle w:val="TableNAm"/>
              <w:keepNext/>
            </w:pPr>
            <w:r>
              <w:t>Reduction in rate of tax</w:t>
            </w:r>
          </w:p>
        </w:tc>
        <w:tc>
          <w:tcPr>
            <w:tcW w:w="3660" w:type="dxa"/>
          </w:tcPr>
          <w:p>
            <w:pPr>
              <w:pStyle w:val="TableNAm"/>
              <w:keepNext/>
            </w:pPr>
            <w:r>
              <w:t>The rate of affected tax payable by an eligible person is, or is taken to have been, the reduced rate determined in accordance with the declaration.</w:t>
            </w:r>
          </w:p>
        </w:tc>
      </w:tr>
      <w:tr>
        <w:tc>
          <w:tcPr>
            <w:tcW w:w="2407" w:type="dxa"/>
          </w:tcPr>
          <w:p>
            <w:pPr>
              <w:pStyle w:val="TableNAm"/>
            </w:pPr>
            <w:r>
              <w:t xml:space="preserve">Exemption that applies to any matter or class of matters in </w:t>
            </w:r>
            <w:r>
              <w:lastRenderedPageBreak/>
              <w:t>relation to which tax is payable</w:t>
            </w:r>
          </w:p>
        </w:tc>
        <w:tc>
          <w:tcPr>
            <w:tcW w:w="3660" w:type="dxa"/>
          </w:tcPr>
          <w:p>
            <w:pPr>
              <w:pStyle w:val="TableNAm"/>
            </w:pPr>
            <w:r>
              <w:lastRenderedPageBreak/>
              <w:t xml:space="preserve">In determining the amount of affected tax payable by an eligible person, the exemption applies, or is </w:t>
            </w:r>
            <w:r>
              <w:lastRenderedPageBreak/>
              <w:t>taken to have applied, to the matter or class of matters in accordance with the declaration.</w:t>
            </w:r>
          </w:p>
        </w:tc>
      </w:tr>
      <w:tr>
        <w:tc>
          <w:tcPr>
            <w:tcW w:w="2407" w:type="dxa"/>
          </w:tcPr>
          <w:p>
            <w:pPr>
              <w:pStyle w:val="TableNAm"/>
            </w:pPr>
            <w:r>
              <w:lastRenderedPageBreak/>
              <w:t xml:space="preserve">Deferral of requirement under the </w:t>
            </w:r>
            <w:r>
              <w:rPr>
                <w:i/>
              </w:rPr>
              <w:t>Pay</w:t>
            </w:r>
            <w:r>
              <w:rPr>
                <w:i/>
              </w:rPr>
              <w:noBreakHyphen/>
              <w:t>roll Tax Assessment Act 2002</w:t>
            </w:r>
            <w:r>
              <w:t xml:space="preserve"> to lodge 1 or more returns</w:t>
            </w:r>
          </w:p>
        </w:tc>
        <w:tc>
          <w:tcPr>
            <w:tcW w:w="3660" w:type="dxa"/>
          </w:tcPr>
          <w:p>
            <w:pPr>
              <w:pStyle w:val="TableNAm"/>
            </w:pPr>
            <w:r>
              <w:t>A requirement for an eligible person to lodge an affected return is deferred in accordance with the declaration.</w:t>
            </w:r>
          </w:p>
        </w:tc>
      </w:tr>
    </w:tbl>
    <w:p>
      <w:pPr>
        <w:pStyle w:val="Subsection"/>
      </w:pPr>
      <w:r>
        <w:tab/>
        <w:t>(4)</w:t>
      </w:r>
      <w:r>
        <w:tab/>
        <w:t>The other provisions of this Act, and each other taxation Act, apply subject to the declaration and subsection (3) and, without limitation, all assessments, objections, review proceedings, recovery proceedings and enforcement proceedings must be made or conducted accordingly.</w:t>
      </w:r>
    </w:p>
    <w:p>
      <w:pPr>
        <w:pStyle w:val="Footnotesection"/>
      </w:pPr>
      <w:r>
        <w:tab/>
        <w:t>[Section 135E inserted: No. 1 of 2022 s. 6.]</w:t>
      </w:r>
    </w:p>
    <w:p>
      <w:pPr>
        <w:pStyle w:val="Heading5"/>
      </w:pPr>
      <w:bookmarkStart w:id="352" w:name="_Toc107485179"/>
      <w:r>
        <w:rPr>
          <w:rStyle w:val="CharSectno"/>
        </w:rPr>
        <w:t>135F</w:t>
      </w:r>
      <w:r>
        <w:t>.</w:t>
      </w:r>
      <w:r>
        <w:tab/>
        <w:t>Reassessments and refunds</w:t>
      </w:r>
      <w:bookmarkEnd w:id="352"/>
    </w:p>
    <w:p>
      <w:pPr>
        <w:pStyle w:val="Subsection"/>
      </w:pPr>
      <w:r>
        <w:tab/>
        <w:t>(1)</w:t>
      </w:r>
      <w:r>
        <w:tab/>
        <w:t>Subject to section 17, the Commissioner must make any reassessment necessary as a result of the making or amendment of a tax relief declaration and the operation of section 135E.</w:t>
      </w:r>
    </w:p>
    <w:p>
      <w:pPr>
        <w:pStyle w:val="Subsection"/>
      </w:pPr>
      <w:r>
        <w:tab/>
        <w:t>(2)</w:t>
      </w:r>
      <w:r>
        <w:tab/>
        <w:t>The Commissioner must refund tax to a taxpayer if, as a result of a reassessment under subsection (1), it appears that an overpayment of tax has been made.</w:t>
      </w:r>
    </w:p>
    <w:p>
      <w:pPr>
        <w:pStyle w:val="Subsection"/>
      </w:pPr>
      <w:r>
        <w:tab/>
        <w:t>(3)</w:t>
      </w:r>
      <w:r>
        <w:tab/>
        <w:t>Part 5 Division 3 does not apply to a refund under subsection (2).</w:t>
      </w:r>
    </w:p>
    <w:p>
      <w:pPr>
        <w:pStyle w:val="Footnotesection"/>
      </w:pPr>
      <w:r>
        <w:tab/>
        <w:t>[Section 135F inserted: No. 1 of 2022 s. 6.]</w:t>
      </w:r>
    </w:p>
    <w:p>
      <w:pPr>
        <w:pStyle w:val="Heading2"/>
      </w:pPr>
      <w:bookmarkStart w:id="353" w:name="_Toc100303038"/>
      <w:bookmarkStart w:id="354" w:name="_Toc100303262"/>
      <w:bookmarkStart w:id="355" w:name="_Toc100564417"/>
      <w:bookmarkStart w:id="356" w:name="_Toc100564613"/>
      <w:bookmarkStart w:id="357" w:name="_Toc107314295"/>
      <w:bookmarkStart w:id="358" w:name="_Toc107485180"/>
      <w:r>
        <w:rPr>
          <w:rStyle w:val="CharPartNo"/>
        </w:rPr>
        <w:lastRenderedPageBreak/>
        <w:t>Part 11</w:t>
      </w:r>
      <w:r>
        <w:rPr>
          <w:rStyle w:val="CharDivNo"/>
        </w:rPr>
        <w:t> </w:t>
      </w:r>
      <w:r>
        <w:t>—</w:t>
      </w:r>
      <w:r>
        <w:rPr>
          <w:rStyle w:val="CharDivText"/>
        </w:rPr>
        <w:t> </w:t>
      </w:r>
      <w:r>
        <w:rPr>
          <w:rStyle w:val="CharPartText"/>
        </w:rPr>
        <w:t>Transitional matters</w:t>
      </w:r>
      <w:bookmarkEnd w:id="353"/>
      <w:bookmarkEnd w:id="354"/>
      <w:bookmarkEnd w:id="355"/>
      <w:bookmarkEnd w:id="356"/>
      <w:bookmarkEnd w:id="357"/>
      <w:bookmarkEnd w:id="358"/>
    </w:p>
    <w:p>
      <w:pPr>
        <w:pStyle w:val="Footnoteheading"/>
      </w:pPr>
      <w:r>
        <w:tab/>
        <w:t>[Heading inserted: No. 10 of 2013 s. 38.]</w:t>
      </w:r>
    </w:p>
    <w:p>
      <w:pPr>
        <w:pStyle w:val="Heading5"/>
      </w:pPr>
      <w:bookmarkStart w:id="359" w:name="_Toc107485181"/>
      <w:r>
        <w:rPr>
          <w:rStyle w:val="CharSectno"/>
        </w:rPr>
        <w:t>136</w:t>
      </w:r>
      <w:r>
        <w:t>.</w:t>
      </w:r>
      <w:r>
        <w:tab/>
        <w:t xml:space="preserve">Provisions for </w:t>
      </w:r>
      <w:r>
        <w:rPr>
          <w:i/>
          <w:snapToGrid w:val="0"/>
        </w:rPr>
        <w:t>Revenue Laws Amendment Act 2013</w:t>
      </w:r>
      <w:r>
        <w:t xml:space="preserve"> Part 3</w:t>
      </w:r>
      <w:bookmarkEnd w:id="35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No. 10 of 2013 s. 38.]</w:t>
      </w:r>
    </w:p>
    <w:p>
      <w:pPr>
        <w:pStyle w:val="Heading5"/>
      </w:pPr>
      <w:bookmarkStart w:id="360" w:name="_Toc107485182"/>
      <w:r>
        <w:rPr>
          <w:rStyle w:val="CharSectno"/>
        </w:rPr>
        <w:t>137</w:t>
      </w:r>
      <w:r>
        <w:t>.</w:t>
      </w:r>
      <w:r>
        <w:tab/>
        <w:t xml:space="preserve">Provisions for </w:t>
      </w:r>
      <w:r>
        <w:rPr>
          <w:i/>
        </w:rPr>
        <w:t>Taxation Administration Amendment Act 2019</w:t>
      </w:r>
      <w:bookmarkEnd w:id="36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Taxation Administration Amendment Act 2019</w:t>
      </w:r>
      <w:r>
        <w:t xml:space="preserve"> section 8 comes into operation.</w:t>
      </w:r>
    </w:p>
    <w:p>
      <w:pPr>
        <w:pStyle w:val="Subsection"/>
      </w:pPr>
      <w:r>
        <w:tab/>
        <w:t>(2)</w:t>
      </w:r>
      <w:r>
        <w:tab/>
        <w:t xml:space="preserve">Section 54A applies in relation to an amount refunded or credited to a taxpayer on or after commencement day, even if </w:t>
      </w:r>
      <w:r>
        <w:lastRenderedPageBreak/>
        <w:t xml:space="preserve">the objection or review under the </w:t>
      </w:r>
      <w:r>
        <w:rPr>
          <w:i/>
        </w:rPr>
        <w:t>Valuation of Land Act 1978</w:t>
      </w:r>
      <w:r>
        <w:t xml:space="preserve"> that resulted in the reassessment being made and the refund or credit becoming payable occurred before commencement day.</w:t>
      </w:r>
    </w:p>
    <w:p>
      <w:pPr>
        <w:pStyle w:val="Subsection"/>
      </w:pPr>
      <w:r>
        <w:tab/>
        <w:t>(3)</w:t>
      </w:r>
      <w:r>
        <w:tab/>
        <w:t xml:space="preserve">A refund or credit of interest to a taxpayer made, or purported to be made, on or after 1 July 2003 and before commencement day is, and is taken to have always been, as valid and effective as it would have been if, on the day on which the refund or credit was made — </w:t>
      </w:r>
    </w:p>
    <w:p>
      <w:pPr>
        <w:pStyle w:val="Indenta"/>
      </w:pPr>
      <w:r>
        <w:tab/>
        <w:t>(a)</w:t>
      </w:r>
      <w:r>
        <w:tab/>
        <w:t>section 54A (as in force on commencement day) had been in force; and</w:t>
      </w:r>
    </w:p>
    <w:p>
      <w:pPr>
        <w:pStyle w:val="Indenta"/>
      </w:pPr>
      <w:r>
        <w:tab/>
        <w:t>(b)</w:t>
      </w:r>
      <w:r>
        <w:tab/>
        <w:t>the prescribed rate for section 54A had been the rate prescribed for the purposes of section 39 on that day.</w:t>
      </w:r>
    </w:p>
    <w:p>
      <w:pPr>
        <w:pStyle w:val="Footnotesection"/>
      </w:pPr>
      <w:r>
        <w:tab/>
        <w:t>[Section 137 inserted: No. 11 of 2019 s. 19.]</w:t>
      </w:r>
    </w:p>
    <w:p>
      <w:pPr>
        <w:pStyle w:val="Heading5"/>
      </w:pPr>
      <w:bookmarkStart w:id="361" w:name="_Toc107485183"/>
      <w:r>
        <w:rPr>
          <w:rStyle w:val="CharSectno"/>
        </w:rPr>
        <w:t>138</w:t>
      </w:r>
      <w:r>
        <w:t>.</w:t>
      </w:r>
      <w:r>
        <w:tab/>
        <w:t xml:space="preserve">Transitional provision for </w:t>
      </w:r>
      <w:r>
        <w:rPr>
          <w:i/>
        </w:rPr>
        <w:t>Finance Legislation Amendment (Emergency Relief) Act 2022</w:t>
      </w:r>
      <w:bookmarkEnd w:id="36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2 comes into operation.</w:t>
      </w:r>
    </w:p>
    <w:p>
      <w:pPr>
        <w:pStyle w:val="Subsection"/>
      </w:pPr>
      <w:r>
        <w:tab/>
        <w:t>(2)</w:t>
      </w:r>
      <w:r>
        <w:tab/>
        <w:t xml:space="preserve">A tax relief declaration can be made in relation to an emergency declaration (as defined in section 135A(1)) only if the emergency declaration — </w:t>
      </w:r>
    </w:p>
    <w:p>
      <w:pPr>
        <w:pStyle w:val="Indenta"/>
      </w:pPr>
      <w:r>
        <w:tab/>
        <w:t>(a)</w:t>
      </w:r>
      <w:r>
        <w:tab/>
        <w:t>is made on or after commencement day; or</w:t>
      </w:r>
    </w:p>
    <w:p>
      <w:pPr>
        <w:pStyle w:val="Indenta"/>
      </w:pPr>
      <w:r>
        <w:tab/>
        <w:t>(b)</w:t>
      </w:r>
      <w:r>
        <w:tab/>
        <w:t>was made in the period beginning on 1 March 2020 and ending immediately before commencement day (whether or not the emergency declaration ceased to be in force before commencement day).</w:t>
      </w:r>
    </w:p>
    <w:p>
      <w:pPr>
        <w:pStyle w:val="Footnotesection"/>
      </w:pPr>
      <w:r>
        <w:tab/>
        <w:t>[Section 138 inserted: No. 1 of 2022 s. 7.]</w:t>
      </w:r>
    </w:p>
    <w:p>
      <w:pPr>
        <w:pStyle w:val="Footnotesection"/>
      </w:pP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362" w:name="_Toc100303042"/>
      <w:bookmarkStart w:id="363" w:name="_Toc100303266"/>
      <w:bookmarkStart w:id="364" w:name="_Toc100564421"/>
      <w:bookmarkStart w:id="365" w:name="_Toc100564617"/>
      <w:bookmarkStart w:id="366" w:name="_Toc107314299"/>
      <w:bookmarkStart w:id="367" w:name="_Toc107485184"/>
      <w:r>
        <w:rPr>
          <w:rStyle w:val="CharSchNo"/>
        </w:rPr>
        <w:lastRenderedPageBreak/>
        <w:t>Glossary</w:t>
      </w:r>
      <w:bookmarkEnd w:id="362"/>
      <w:bookmarkEnd w:id="363"/>
      <w:bookmarkEnd w:id="364"/>
      <w:bookmarkEnd w:id="365"/>
      <w:bookmarkEnd w:id="366"/>
      <w:bookmarkEnd w:id="367"/>
    </w:p>
    <w:p>
      <w:pPr>
        <w:pStyle w:val="yShoulderClause"/>
      </w:pPr>
      <w:r>
        <w:t>[s. 4]</w:t>
      </w:r>
    </w:p>
    <w:p>
      <w:pPr>
        <w:pStyle w:val="yHeading5"/>
      </w:pPr>
      <w:bookmarkStart w:id="368" w:name="_Toc107485185"/>
      <w:r>
        <w:rPr>
          <w:rStyle w:val="CharSClsNo"/>
        </w:rPr>
        <w:t>1</w:t>
      </w:r>
      <w:r>
        <w:t>.</w:t>
      </w:r>
      <w:r>
        <w:rPr>
          <w:vertAlign w:val="superscript"/>
        </w:rPr>
        <w:t> 1M, 1MC</w:t>
      </w:r>
      <w:r>
        <w:tab/>
        <w:t>Terms used</w:t>
      </w:r>
      <w:bookmarkEnd w:id="368"/>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Commissioner’s website</w:t>
      </w:r>
      <w:r>
        <w:t xml:space="preserve"> means a website maintained by or on behalf of the Commissioner;</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lastRenderedPageBreak/>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lastRenderedPageBreak/>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w:t>
      </w:r>
      <w:r>
        <w:rPr>
          <w:szCs w:val="24"/>
        </w:rPr>
        <w:t>249(4)(b) or 266(1A)(b) or (2)(b);</w:t>
      </w:r>
      <w:r>
        <w:t xml:space="preserve"> </w:t>
      </w:r>
    </w:p>
    <w:p>
      <w:pPr>
        <w:pStyle w:val="yDefstart"/>
      </w:pPr>
      <w:r>
        <w:tab/>
      </w:r>
      <w:r>
        <w:rPr>
          <w:rStyle w:val="CharDefText"/>
        </w:rPr>
        <w:t>person</w:t>
      </w:r>
      <w:r>
        <w:t xml:space="preserve"> includes a group;</w:t>
      </w:r>
    </w:p>
    <w:p>
      <w:pPr>
        <w:pStyle w:val="yDefstart"/>
        <w:keepNext/>
        <w:keepLines/>
      </w:pPr>
      <w:r>
        <w:tab/>
      </w:r>
      <w:r>
        <w:rPr>
          <w:rStyle w:val="CharDefText"/>
        </w:rPr>
        <w:t>premises</w:t>
      </w:r>
      <w:r>
        <w:t xml:space="preserve"> means —</w:t>
      </w:r>
    </w:p>
    <w:p>
      <w:pPr>
        <w:pStyle w:val="yDefpara"/>
        <w:keepNext/>
        <w:keepLines/>
      </w:pPr>
      <w:r>
        <w:tab/>
        <w:t>(a)</w:t>
      </w:r>
      <w:r>
        <w:tab/>
        <w:t>land (whether built on or not); or</w:t>
      </w:r>
    </w:p>
    <w:p>
      <w:pPr>
        <w:pStyle w:val="yDefpara"/>
        <w:keepLines/>
      </w:pPr>
      <w:r>
        <w:tab/>
        <w:t>(b)</w:t>
      </w:r>
      <w:r>
        <w:tab/>
        <w:t>a building or structure on land; or</w:t>
      </w:r>
    </w:p>
    <w:p>
      <w:pPr>
        <w:pStyle w:val="yDefpara"/>
        <w:keepLines/>
      </w:pPr>
      <w:r>
        <w:tab/>
        <w:t>(c)</w:t>
      </w:r>
      <w:r>
        <w:tab/>
        <w:t>a vehicle,</w:t>
      </w:r>
    </w:p>
    <w:p>
      <w:pPr>
        <w:pStyle w:val="yDefstart"/>
      </w:pPr>
      <w:r>
        <w:lastRenderedPageBreak/>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lastRenderedPageBreak/>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 relief declaration</w:t>
      </w:r>
      <w:r>
        <w:t xml:space="preserve"> has the meaning given in section 135A(2);</w:t>
      </w:r>
    </w:p>
    <w:p>
      <w:pPr>
        <w:pStyle w:val="yDefstart"/>
      </w:pPr>
      <w:r>
        <w:lastRenderedPageBreak/>
        <w:tab/>
      </w:r>
      <w:r>
        <w:rPr>
          <w:rStyle w:val="CharDefText"/>
        </w:rPr>
        <w:t>tax relief measure</w:t>
      </w:r>
      <w:r>
        <w:t xml:space="preserve"> has the meaning given in section 135(1);</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No. 66 of 2003 s. 95(5) and 108(3); No. 12 of 2004 s. 12; No. 55 of 2004 s. 1183; No. 60 of 2006 s. 184; No. 12 of 2008 s. 51; No. 31 of 2008 s. 31; No. 19 of 2010 s. 51; No. 10 of 2013 s. 27 and 39; No. 8 of 2015 s. 21; No. 11 of 2019 s. 20; No. 1 of 2022 s. 8.]</w:t>
      </w:r>
    </w:p>
    <w:p>
      <w:pPr>
        <w:pStyle w:val="yFootnotesection"/>
      </w:pPr>
      <w:r>
        <w:tab/>
        <w:t>[Modification, to the Glossary, to have effect under the Commonwealth Places (Mirror Taxes Administration) Act 1999 s. 7, see Commonwealth Places (Mirror Taxes Administration) Regulations 2007 r. 50 and endnote 1M.]</w:t>
      </w:r>
    </w:p>
    <w:p>
      <w:pPr>
        <w:pStyle w:val="yFootnotesection"/>
      </w:pPr>
      <w:r>
        <w:tab/>
        <w:t>[Modification, to the Glossary, to have effect under the Commonwealth Places (Mirror Taxes) Act 1998 (Commonwealth) s. 8, see Commonwealth Places (Mirror Taxes) (Modification of Applied Laws (WA)) Notice 2007 cl. 60 and endnote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70" w:name="_Toc100303044"/>
      <w:bookmarkStart w:id="371" w:name="_Toc100303268"/>
      <w:bookmarkStart w:id="372" w:name="_Toc100564423"/>
      <w:bookmarkStart w:id="373" w:name="_Toc100564619"/>
      <w:bookmarkStart w:id="374" w:name="_Toc107314301"/>
      <w:bookmarkStart w:id="375" w:name="_Toc107485186"/>
      <w:r>
        <w:lastRenderedPageBreak/>
        <w:t>Notes</w:t>
      </w:r>
      <w:bookmarkEnd w:id="370"/>
      <w:bookmarkEnd w:id="371"/>
      <w:bookmarkEnd w:id="372"/>
      <w:bookmarkEnd w:id="373"/>
      <w:bookmarkEnd w:id="374"/>
      <w:bookmarkEnd w:id="375"/>
    </w:p>
    <w:p>
      <w:pPr>
        <w:pStyle w:val="nStatement"/>
      </w:pPr>
      <w:r>
        <w:t xml:space="preserve">This is a compilation of the </w:t>
      </w:r>
      <w:r>
        <w:rPr>
          <w:i/>
          <w:noProof/>
        </w:rPr>
        <w:t>Taxation Administration Act 2003</w:t>
      </w:r>
      <w:r>
        <w:t xml:space="preserve"> and includes amendments made by other written laws</w:t>
      </w:r>
      <w:r>
        <w:rPr>
          <w:vertAlign w:val="superscript"/>
        </w:rPr>
        <w:t> </w:t>
      </w:r>
      <w:r>
        <w:rPr>
          <w:snapToGrid w:val="0"/>
          <w:vertAlign w:val="superscript"/>
        </w:rPr>
        <w:t>2</w:t>
      </w:r>
      <w:r>
        <w:t xml:space="preserve">. For provisions that have come into operation, and for information about any reprints, see the compilation table. </w:t>
      </w:r>
    </w:p>
    <w:p>
      <w:pPr>
        <w:pStyle w:val="nHeading3"/>
      </w:pPr>
      <w:bookmarkStart w:id="376" w:name="_Toc107485187"/>
      <w:r>
        <w:t>Compilation table</w:t>
      </w:r>
      <w:bookmarkEnd w:id="376"/>
    </w:p>
    <w:tbl>
      <w:tblPr>
        <w:tblW w:w="720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93"/>
        <w:gridCol w:w="1009"/>
        <w:gridCol w:w="1134"/>
        <w:gridCol w:w="2694"/>
      </w:tblGrid>
      <w:tr>
        <w:trPr>
          <w:tblHeader/>
        </w:trPr>
        <w:tc>
          <w:tcPr>
            <w:tcW w:w="2272" w:type="dxa"/>
          </w:tcPr>
          <w:p>
            <w:pPr>
              <w:pStyle w:val="nTable"/>
              <w:spacing w:after="40"/>
              <w:rPr>
                <w:b/>
              </w:rPr>
            </w:pPr>
            <w:r>
              <w:rPr>
                <w:b/>
              </w:rPr>
              <w:t>Short title</w:t>
            </w:r>
          </w:p>
        </w:tc>
        <w:tc>
          <w:tcPr>
            <w:tcW w:w="1102"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2" w:type="dxa"/>
            <w:tcBorders>
              <w:top w:val="single" w:sz="8" w:space="0" w:color="auto"/>
            </w:tcBorders>
          </w:tcPr>
          <w:p>
            <w:pPr>
              <w:pStyle w:val="nTable"/>
              <w:spacing w:after="40"/>
            </w:pPr>
            <w:r>
              <w:rPr>
                <w:i/>
                <w:snapToGrid w:val="0"/>
              </w:rPr>
              <w:t>Taxation Administration Act 2003</w:t>
            </w:r>
          </w:p>
        </w:tc>
        <w:tc>
          <w:tcPr>
            <w:tcW w:w="1102" w:type="dxa"/>
            <w:gridSpan w:val="2"/>
            <w:tcBorders>
              <w:top w:val="single" w:sz="8" w:space="0" w:color="auto"/>
            </w:tcBorders>
          </w:tcPr>
          <w:p>
            <w:pPr>
              <w:pStyle w:val="nTable"/>
              <w:spacing w:after="40"/>
            </w:pPr>
            <w:r>
              <w:t xml:space="preserve">1 of 2003 </w:t>
            </w:r>
          </w:p>
        </w:tc>
        <w:tc>
          <w:tcPr>
            <w:tcW w:w="1134" w:type="dxa"/>
            <w:tcBorders>
              <w:top w:val="single" w:sz="8" w:space="0" w:color="auto"/>
            </w:tcBorders>
          </w:tcPr>
          <w:p>
            <w:pPr>
              <w:pStyle w:val="nTable"/>
              <w:spacing w:after="40"/>
            </w:pPr>
            <w:r>
              <w:t>20 Mar 2003</w:t>
            </w:r>
          </w:p>
        </w:tc>
        <w:tc>
          <w:tcPr>
            <w:tcW w:w="2694" w:type="dxa"/>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3</w:t>
            </w:r>
          </w:p>
        </w:tc>
        <w:tc>
          <w:tcPr>
            <w:tcW w:w="1102" w:type="dxa"/>
            <w:gridSpan w:val="2"/>
          </w:tcPr>
          <w:p>
            <w:pPr>
              <w:pStyle w:val="nTable"/>
              <w:spacing w:after="40"/>
            </w:pPr>
            <w:r>
              <w:t>66 of 2003</w:t>
            </w:r>
          </w:p>
        </w:tc>
        <w:tc>
          <w:tcPr>
            <w:tcW w:w="1134" w:type="dxa"/>
          </w:tcPr>
          <w:p>
            <w:pPr>
              <w:pStyle w:val="nTable"/>
              <w:spacing w:after="40"/>
            </w:pPr>
            <w:r>
              <w:t>5 Dec 2003</w:t>
            </w:r>
          </w:p>
        </w:tc>
        <w:tc>
          <w:tcPr>
            <w:tcW w:w="2694" w:type="dxa"/>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vertAlign w:val="superscript"/>
              </w:rPr>
            </w:pPr>
            <w:r>
              <w:rPr>
                <w:i/>
                <w:noProof/>
                <w:snapToGrid w:val="0"/>
              </w:rPr>
              <w:t xml:space="preserve">Revenue Laws Amendment and Repeal Act 2004 </w:t>
            </w:r>
            <w:r>
              <w:rPr>
                <w:noProof/>
                <w:snapToGrid w:val="0"/>
              </w:rPr>
              <w:t>Pt. 4</w:t>
            </w:r>
          </w:p>
        </w:tc>
        <w:tc>
          <w:tcPr>
            <w:tcW w:w="1102" w:type="dxa"/>
            <w:gridSpan w:val="2"/>
          </w:tcPr>
          <w:p>
            <w:pPr>
              <w:pStyle w:val="nTable"/>
              <w:spacing w:after="40"/>
            </w:pPr>
            <w:r>
              <w:t>12 of 2004</w:t>
            </w:r>
          </w:p>
        </w:tc>
        <w:tc>
          <w:tcPr>
            <w:tcW w:w="1134" w:type="dxa"/>
          </w:tcPr>
          <w:p>
            <w:pPr>
              <w:pStyle w:val="nTable"/>
              <w:spacing w:after="40"/>
            </w:pPr>
            <w:r>
              <w:t>29 Jun 2004</w:t>
            </w:r>
          </w:p>
        </w:tc>
        <w:tc>
          <w:tcPr>
            <w:tcW w:w="2694" w:type="dxa"/>
          </w:tcPr>
          <w:p>
            <w:pPr>
              <w:pStyle w:val="nTable"/>
              <w:spacing w:after="40"/>
            </w:pPr>
            <w:r>
              <w:t>29 Jun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State Administrative Tribunal (Conferral of Jurisdiction) Amendment and Repeal Act 2004</w:t>
            </w:r>
            <w:r>
              <w:t xml:space="preserve"> Pt. 2 Div. 124</w:t>
            </w:r>
            <w:r>
              <w:rPr>
                <w:vertAlign w:val="superscript"/>
              </w:rPr>
              <w:t> 4, 5</w:t>
            </w:r>
          </w:p>
        </w:tc>
        <w:tc>
          <w:tcPr>
            <w:tcW w:w="1102" w:type="dxa"/>
            <w:gridSpan w:val="2"/>
          </w:tcPr>
          <w:p>
            <w:pPr>
              <w:pStyle w:val="nTable"/>
              <w:spacing w:after="40"/>
            </w:pPr>
            <w:r>
              <w:t>55 of 2004</w:t>
            </w:r>
          </w:p>
        </w:tc>
        <w:tc>
          <w:tcPr>
            <w:tcW w:w="1134" w:type="dxa"/>
          </w:tcPr>
          <w:p>
            <w:pPr>
              <w:pStyle w:val="nTable"/>
              <w:spacing w:after="40"/>
            </w:pPr>
            <w:r>
              <w:t>24 Nov 2004</w:t>
            </w:r>
          </w:p>
        </w:tc>
        <w:tc>
          <w:tcPr>
            <w:tcW w:w="2694"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 xml:space="preserve">Revenue Laws Amendment (Tax Relief) Act 2004 </w:t>
            </w:r>
            <w:r>
              <w:t>Pt. 3 </w:t>
            </w:r>
            <w:r>
              <w:rPr>
                <w:vertAlign w:val="superscript"/>
              </w:rPr>
              <w:t>6</w:t>
            </w:r>
          </w:p>
        </w:tc>
        <w:tc>
          <w:tcPr>
            <w:tcW w:w="1102" w:type="dxa"/>
            <w:gridSpan w:val="2"/>
          </w:tcPr>
          <w:p>
            <w:pPr>
              <w:pStyle w:val="nTable"/>
              <w:spacing w:after="40"/>
            </w:pPr>
            <w:r>
              <w:t>82 of 2004</w:t>
            </w:r>
          </w:p>
        </w:tc>
        <w:tc>
          <w:tcPr>
            <w:tcW w:w="1134" w:type="dxa"/>
          </w:tcPr>
          <w:p>
            <w:pPr>
              <w:pStyle w:val="nTable"/>
              <w:spacing w:after="40"/>
            </w:pPr>
            <w:r>
              <w:t>8 Dec 2004</w:t>
            </w:r>
          </w:p>
        </w:tc>
        <w:tc>
          <w:tcPr>
            <w:tcW w:w="2694" w:type="dxa"/>
          </w:tcPr>
          <w:p>
            <w:pPr>
              <w:pStyle w:val="nTable"/>
              <w:spacing w:after="40"/>
            </w:pPr>
            <w:r>
              <w:t>8 Dec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snapToGrid w:val="0"/>
              </w:rPr>
              <w:lastRenderedPageBreak/>
              <w:t>Criminal Procedure and Appeals (Consequential and Other Provisions) Act 2004</w:t>
            </w:r>
            <w:r>
              <w:rPr>
                <w:snapToGrid w:val="0"/>
              </w:rPr>
              <w:t xml:space="preserve"> s. 80 and 82</w:t>
            </w:r>
          </w:p>
        </w:tc>
        <w:tc>
          <w:tcPr>
            <w:tcW w:w="1102" w:type="dxa"/>
            <w:gridSpan w:val="2"/>
          </w:tcPr>
          <w:p>
            <w:pPr>
              <w:pStyle w:val="nTable"/>
              <w:spacing w:after="40"/>
            </w:pPr>
            <w:r>
              <w:rPr>
                <w:snapToGrid w:val="0"/>
              </w:rPr>
              <w:t>84 of 2004</w:t>
            </w:r>
          </w:p>
        </w:tc>
        <w:tc>
          <w:tcPr>
            <w:tcW w:w="1134" w:type="dxa"/>
          </w:tcPr>
          <w:p>
            <w:pPr>
              <w:pStyle w:val="nTable"/>
              <w:spacing w:after="40"/>
            </w:pPr>
            <w:r>
              <w:t>16 Dec 2004</w:t>
            </w:r>
          </w:p>
        </w:tc>
        <w:tc>
          <w:tcPr>
            <w:tcW w:w="2694"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Revenue Laws Amendment Act (No. 2) 2005</w:t>
            </w:r>
            <w:r>
              <w:rPr>
                <w:snapToGrid w:val="0"/>
              </w:rPr>
              <w:t xml:space="preserve"> Pt. 4</w:t>
            </w:r>
          </w:p>
        </w:tc>
        <w:tc>
          <w:tcPr>
            <w:tcW w:w="1102" w:type="dxa"/>
            <w:gridSpan w:val="2"/>
          </w:tcPr>
          <w:p>
            <w:pPr>
              <w:pStyle w:val="nTable"/>
              <w:keepNext/>
              <w:keepLines/>
              <w:spacing w:after="40"/>
              <w:rPr>
                <w:snapToGrid w:val="0"/>
              </w:rPr>
            </w:pPr>
            <w:r>
              <w:rPr>
                <w:snapToGrid w:val="0"/>
              </w:rPr>
              <w:t>12 of 2005</w:t>
            </w:r>
          </w:p>
        </w:tc>
        <w:tc>
          <w:tcPr>
            <w:tcW w:w="1134" w:type="dxa"/>
          </w:tcPr>
          <w:p>
            <w:pPr>
              <w:pStyle w:val="nTable"/>
              <w:keepNext/>
              <w:keepLines/>
              <w:spacing w:after="40"/>
            </w:pPr>
            <w:r>
              <w:t>30 Aug 2005</w:t>
            </w:r>
          </w:p>
        </w:tc>
        <w:tc>
          <w:tcPr>
            <w:tcW w:w="2694" w:type="dxa"/>
          </w:tcPr>
          <w:p>
            <w:pPr>
              <w:pStyle w:val="nTable"/>
              <w:keepNext/>
              <w:keepLines/>
              <w:spacing w:after="40"/>
              <w:rPr>
                <w:snapToGrid w:val="0"/>
              </w:rPr>
            </w:pPr>
            <w:r>
              <w:rPr>
                <w:snapToGrid w:val="0"/>
              </w:rPr>
              <w:t>30 Aug 2005 (see s. 2(1))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pPr>
            <w:r>
              <w:rPr>
                <w:i/>
                <w:snapToGrid w:val="0"/>
              </w:rPr>
              <w:t>Planning and Development (Consequential and Transitional Provisions) Act 2005</w:t>
            </w:r>
            <w:r>
              <w:t xml:space="preserve"> s. 15</w:t>
            </w:r>
          </w:p>
        </w:tc>
        <w:tc>
          <w:tcPr>
            <w:tcW w:w="1102" w:type="dxa"/>
            <w:gridSpan w:val="2"/>
          </w:tcPr>
          <w:p>
            <w:pPr>
              <w:pStyle w:val="nTable"/>
              <w:spacing w:after="40"/>
            </w:pPr>
            <w:r>
              <w:rPr>
                <w:snapToGrid w:val="0"/>
              </w:rPr>
              <w:t>38 of 2005</w:t>
            </w:r>
          </w:p>
        </w:tc>
        <w:tc>
          <w:tcPr>
            <w:tcW w:w="1134" w:type="dxa"/>
          </w:tcPr>
          <w:p>
            <w:pPr>
              <w:pStyle w:val="nTable"/>
              <w:spacing w:after="40"/>
            </w:pPr>
            <w:r>
              <w:t>12 Dec 2005</w:t>
            </w:r>
          </w:p>
        </w:tc>
        <w:tc>
          <w:tcPr>
            <w:tcW w:w="2694"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Land Information Authority Act 2006</w:t>
            </w:r>
            <w:r>
              <w:rPr>
                <w:snapToGrid w:val="0"/>
              </w:rPr>
              <w:t xml:space="preserve"> s. 184</w:t>
            </w:r>
          </w:p>
        </w:tc>
        <w:tc>
          <w:tcPr>
            <w:tcW w:w="1102" w:type="dxa"/>
            <w:gridSpan w:val="2"/>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694"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02" w:type="dxa"/>
            <w:gridSpan w:val="2"/>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694"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(Assessment) Act 2007</w:t>
            </w:r>
            <w:r>
              <w:rPr>
                <w:iCs/>
                <w:snapToGrid w:val="0"/>
              </w:rPr>
              <w:t xml:space="preserve"> Pt. 3</w:t>
            </w:r>
          </w:p>
        </w:tc>
        <w:tc>
          <w:tcPr>
            <w:tcW w:w="1102" w:type="dxa"/>
            <w:gridSpan w:val="2"/>
          </w:tcPr>
          <w:p>
            <w:pPr>
              <w:pStyle w:val="nTable"/>
              <w:spacing w:after="40"/>
              <w:rPr>
                <w:snapToGrid w:val="0"/>
              </w:rPr>
            </w:pPr>
            <w:r>
              <w:rPr>
                <w:snapToGrid w:val="0"/>
              </w:rPr>
              <w:t xml:space="preserve">13 of 2007 </w:t>
            </w:r>
          </w:p>
        </w:tc>
        <w:tc>
          <w:tcPr>
            <w:tcW w:w="1134" w:type="dxa"/>
          </w:tcPr>
          <w:p>
            <w:pPr>
              <w:pStyle w:val="nTable"/>
              <w:spacing w:after="40"/>
              <w:rPr>
                <w:snapToGrid w:val="0"/>
              </w:rPr>
            </w:pPr>
            <w:r>
              <w:rPr>
                <w:snapToGrid w:val="0"/>
              </w:rPr>
              <w:t>29 Jun 2007</w:t>
            </w:r>
          </w:p>
        </w:tc>
        <w:tc>
          <w:tcPr>
            <w:tcW w:w="2694" w:type="dxa"/>
          </w:tcPr>
          <w:p>
            <w:pPr>
              <w:pStyle w:val="nTable"/>
              <w:spacing w:after="40"/>
            </w:pPr>
            <w:r>
              <w:t>30 Jun 2007 (see s. 2(b))</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02" w:type="dxa"/>
            <w:gridSpan w:val="2"/>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694"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rPr>
              <w:t>Duties Legislation Amendment Act 2008</w:t>
            </w:r>
            <w:r>
              <w:rPr>
                <w:iCs/>
              </w:rPr>
              <w:t xml:space="preserve"> Pt. 2 Div. 3</w:t>
            </w:r>
            <w:r>
              <w:rPr>
                <w:iCs/>
                <w:vertAlign w:val="superscript"/>
              </w:rPr>
              <w:t> 7</w:t>
            </w:r>
          </w:p>
        </w:tc>
        <w:tc>
          <w:tcPr>
            <w:tcW w:w="1102" w:type="dxa"/>
            <w:gridSpan w:val="2"/>
          </w:tcPr>
          <w:p>
            <w:pPr>
              <w:pStyle w:val="nTable"/>
              <w:spacing w:after="40"/>
              <w:rPr>
                <w:snapToGrid w:val="0"/>
              </w:rPr>
            </w:pPr>
            <w:r>
              <w:t>12 of 2008</w:t>
            </w:r>
          </w:p>
        </w:tc>
        <w:tc>
          <w:tcPr>
            <w:tcW w:w="1134" w:type="dxa"/>
          </w:tcPr>
          <w:p>
            <w:pPr>
              <w:pStyle w:val="nTable"/>
              <w:spacing w:after="40"/>
              <w:rPr>
                <w:snapToGrid w:val="0"/>
              </w:rPr>
            </w:pPr>
            <w:r>
              <w:t>14 Apr 2008</w:t>
            </w:r>
          </w:p>
        </w:tc>
        <w:tc>
          <w:tcPr>
            <w:tcW w:w="2694" w:type="dxa"/>
          </w:tcPr>
          <w:p>
            <w:pPr>
              <w:pStyle w:val="nTable"/>
              <w:spacing w:after="40"/>
              <w:rPr>
                <w:snapToGrid w:val="0"/>
              </w:rPr>
            </w:pPr>
            <w:r>
              <w:t>1 Jul 2008 (see s. 2(d))</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02" w:type="dxa"/>
            <w:gridSpan w:val="2"/>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694" w:type="dxa"/>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lastRenderedPageBreak/>
              <w:t>Revenue Laws Amendment and Repeal Act 2010</w:t>
            </w:r>
            <w:r>
              <w:rPr>
                <w:iCs/>
                <w:snapToGrid w:val="0"/>
              </w:rPr>
              <w:t xml:space="preserve"> Pt. 5 and s. 30</w:t>
            </w:r>
          </w:p>
        </w:tc>
        <w:tc>
          <w:tcPr>
            <w:tcW w:w="1102" w:type="dxa"/>
            <w:gridSpan w:val="2"/>
          </w:tcPr>
          <w:p>
            <w:pPr>
              <w:pStyle w:val="nTable"/>
              <w:keepNext/>
              <w:keepLines/>
              <w:spacing w:after="40"/>
              <w:rPr>
                <w:snapToGrid w:val="0"/>
              </w:rPr>
            </w:pPr>
            <w:r>
              <w:rPr>
                <w:snapToGrid w:val="0"/>
              </w:rPr>
              <w:t>17 of 2010</w:t>
            </w:r>
          </w:p>
        </w:tc>
        <w:tc>
          <w:tcPr>
            <w:tcW w:w="1134" w:type="dxa"/>
          </w:tcPr>
          <w:p>
            <w:pPr>
              <w:pStyle w:val="nTable"/>
              <w:keepNext/>
              <w:keepLines/>
              <w:spacing w:after="40"/>
              <w:rPr>
                <w:snapToGrid w:val="0"/>
              </w:rPr>
            </w:pPr>
            <w:r>
              <w:rPr>
                <w:snapToGrid w:val="0"/>
              </w:rPr>
              <w:t>25 Jun 2010</w:t>
            </w:r>
          </w:p>
        </w:tc>
        <w:tc>
          <w:tcPr>
            <w:tcW w:w="2694" w:type="dxa"/>
          </w:tcPr>
          <w:p>
            <w:pPr>
              <w:pStyle w:val="nTable"/>
              <w:keepNext/>
              <w:keepLines/>
              <w:spacing w:after="40"/>
              <w:ind w:right="-76"/>
            </w:pPr>
            <w:r>
              <w:t>26 Jun 2010 (see s. 2(b))</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02"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69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02" w:type="dxa"/>
            <w:gridSpan w:val="2"/>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694"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Revenue Laws Amendment Act 2012</w:t>
            </w:r>
            <w:r>
              <w:rPr>
                <w:snapToGrid w:val="0"/>
              </w:rPr>
              <w:t xml:space="preserve"> Pt. 8</w:t>
            </w:r>
          </w:p>
        </w:tc>
        <w:tc>
          <w:tcPr>
            <w:tcW w:w="1102" w:type="dxa"/>
            <w:gridSpan w:val="2"/>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694" w:type="dxa"/>
          </w:tcPr>
          <w:p>
            <w:pPr>
              <w:pStyle w:val="nTable"/>
              <w:spacing w:after="40"/>
              <w:rPr>
                <w:snapToGrid w:val="0"/>
              </w:rPr>
            </w:pPr>
            <w:r>
              <w:rPr>
                <w:snapToGrid w:val="0"/>
              </w:rPr>
              <w:t>Heading to Pt. 8, s. 40 and 42(4): 1 Jul 2009 (see s. 2(d));</w:t>
            </w:r>
            <w:r>
              <w:rPr>
                <w:snapToGrid w:val="0"/>
              </w:rPr>
              <w:br/>
              <w:t>s. 41, 42(1)-(3), 43 and 44: 4 Sep 2012 (see s. 2(e))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02" w:type="dxa"/>
            <w:gridSpan w:val="2"/>
          </w:tcPr>
          <w:p>
            <w:pPr>
              <w:pStyle w:val="nTable"/>
              <w:spacing w:after="40"/>
              <w:rPr>
                <w:snapToGrid w:val="0"/>
              </w:rPr>
            </w:pPr>
            <w:r>
              <w:rPr>
                <w:snapToGrid w:val="0"/>
              </w:rPr>
              <w:t>10 of 2013</w:t>
            </w:r>
          </w:p>
        </w:tc>
        <w:tc>
          <w:tcPr>
            <w:tcW w:w="1134" w:type="dxa"/>
          </w:tcPr>
          <w:p>
            <w:pPr>
              <w:pStyle w:val="nTable"/>
              <w:spacing w:after="40"/>
              <w:rPr>
                <w:snapToGrid w:val="0"/>
              </w:rPr>
            </w:pPr>
            <w:r>
              <w:rPr>
                <w:snapToGrid w:val="0"/>
              </w:rPr>
              <w:t>24 Sep 2013</w:t>
            </w:r>
          </w:p>
        </w:tc>
        <w:tc>
          <w:tcPr>
            <w:tcW w:w="2694" w:type="dxa"/>
          </w:tcPr>
          <w:p>
            <w:pPr>
              <w:pStyle w:val="nTable"/>
              <w:spacing w:after="40"/>
              <w:rPr>
                <w:snapToGrid w:val="0"/>
              </w:rPr>
            </w:pPr>
            <w:r>
              <w:rPr>
                <w:snapToGrid w:val="0"/>
              </w:rPr>
              <w:t>25 Sep 2013 (see s. 2(b))</w:t>
            </w:r>
          </w:p>
        </w:tc>
      </w:tr>
      <w:tr>
        <w:tblPrEx>
          <w:tblBorders>
            <w:top w:val="none" w:sz="0" w:space="0" w:color="auto"/>
            <w:bottom w:val="none" w:sz="0" w:space="0" w:color="auto"/>
            <w:insideH w:val="none" w:sz="0" w:space="0" w:color="auto"/>
          </w:tblBorders>
        </w:tblPrEx>
        <w:trPr>
          <w:cantSplit/>
        </w:trPr>
        <w:tc>
          <w:tcPr>
            <w:tcW w:w="2272"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02" w:type="dxa"/>
            <w:gridSpan w:val="2"/>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rPr>
                <w:snapToGrid w:val="0"/>
              </w:rPr>
            </w:pPr>
            <w:r>
              <w:rPr>
                <w:snapToGrid w:val="0"/>
              </w:rPr>
              <w:t>24 Mar 2014</w:t>
            </w:r>
          </w:p>
        </w:tc>
        <w:tc>
          <w:tcPr>
            <w:tcW w:w="2694" w:type="dxa"/>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72"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02" w:type="dxa"/>
            <w:gridSpan w:val="2"/>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694"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72" w:type="dxa"/>
            <w:tcBorders>
              <w:top w:val="nil"/>
              <w:bottom w:val="nil"/>
              <w:right w:val="nil"/>
            </w:tcBorders>
            <w:shd w:val="clear" w:color="auto" w:fill="auto"/>
          </w:tcPr>
          <w:p>
            <w:pPr>
              <w:pStyle w:val="nTable"/>
              <w:spacing w:after="40"/>
              <w:rPr>
                <w:i/>
              </w:rPr>
            </w:pPr>
            <w:r>
              <w:rPr>
                <w:i/>
                <w:noProof/>
              </w:rPr>
              <w:t xml:space="preserve">Associations Incorporation Act 2015 </w:t>
            </w:r>
            <w:r>
              <w:rPr>
                <w:noProof/>
              </w:rPr>
              <w:t>s. 229</w:t>
            </w:r>
          </w:p>
        </w:tc>
        <w:tc>
          <w:tcPr>
            <w:tcW w:w="1102" w:type="dxa"/>
            <w:gridSpan w:val="2"/>
            <w:tcBorders>
              <w:top w:val="nil"/>
              <w:left w:val="nil"/>
              <w:bottom w:val="nil"/>
              <w:right w:val="nil"/>
            </w:tcBorders>
            <w:shd w:val="clear" w:color="auto" w:fill="auto"/>
          </w:tcPr>
          <w:p>
            <w:pPr>
              <w:pStyle w:val="nTable"/>
              <w:spacing w:after="40"/>
            </w:pPr>
            <w:r>
              <w:t>30 of 2015</w:t>
            </w:r>
          </w:p>
        </w:tc>
        <w:tc>
          <w:tcPr>
            <w:tcW w:w="1134" w:type="dxa"/>
            <w:tcBorders>
              <w:top w:val="nil"/>
              <w:left w:val="nil"/>
              <w:bottom w:val="nil"/>
              <w:right w:val="nil"/>
            </w:tcBorders>
            <w:shd w:val="clear" w:color="auto" w:fill="auto"/>
          </w:tcPr>
          <w:p>
            <w:pPr>
              <w:pStyle w:val="nTable"/>
              <w:spacing w:after="40"/>
            </w:pPr>
            <w:r>
              <w:t>2 Nov 2015</w:t>
            </w:r>
          </w:p>
        </w:tc>
        <w:tc>
          <w:tcPr>
            <w:tcW w:w="2694" w:type="dxa"/>
            <w:tcBorders>
              <w:top w:val="nil"/>
              <w:left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202" w:type="dxa"/>
            <w:gridSpan w:val="5"/>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 except those in the </w:t>
            </w:r>
            <w:r>
              <w:rPr>
                <w:i/>
                <w:snapToGrid w:val="0"/>
              </w:rPr>
              <w:t>Associations Incorporation Act 2015</w:t>
            </w:r>
            <w:r>
              <w:rPr>
                <w:snapToGrid w:val="0"/>
              </w:rPr>
              <w:t>)</w:t>
            </w:r>
          </w:p>
        </w:tc>
      </w:tr>
      <w:tr>
        <w:trPr>
          <w:cantSplit/>
        </w:trPr>
        <w:tc>
          <w:tcPr>
            <w:tcW w:w="2365" w:type="dxa"/>
            <w:gridSpan w:val="2"/>
            <w:tcBorders>
              <w:top w:val="nil"/>
              <w:bottom w:val="nil"/>
              <w:right w:val="nil"/>
            </w:tcBorders>
            <w:shd w:val="clear" w:color="auto" w:fill="auto"/>
          </w:tcPr>
          <w:p>
            <w:pPr>
              <w:pStyle w:val="nTable"/>
              <w:spacing w:after="40"/>
              <w:rPr>
                <w:i/>
              </w:rPr>
            </w:pPr>
            <w:r>
              <w:rPr>
                <w:i/>
                <w:snapToGrid w:val="0"/>
              </w:rPr>
              <w:t>Transport (Road Passenger Services) Act 2018</w:t>
            </w:r>
            <w:r>
              <w:rPr>
                <w:snapToGrid w:val="0"/>
              </w:rPr>
              <w:t xml:space="preserve"> Pt. 14 Div. 2 Subdiv. 8</w:t>
            </w:r>
          </w:p>
        </w:tc>
        <w:tc>
          <w:tcPr>
            <w:tcW w:w="1009"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694" w:type="dxa"/>
            <w:tcBorders>
              <w:top w:val="nil"/>
              <w:left w:val="nil"/>
              <w:bottom w:val="nil"/>
            </w:tcBorders>
            <w:shd w:val="clear" w:color="auto" w:fill="auto"/>
          </w:tcPr>
          <w:p>
            <w:pPr>
              <w:pStyle w:val="nTable"/>
              <w:spacing w:after="40"/>
            </w:pPr>
            <w:r>
              <w:rPr>
                <w:snapToGrid w:val="0"/>
              </w:rPr>
              <w:t xml:space="preserve">1 Apr 2019 (see s. 2(b) and </w:t>
            </w:r>
            <w:r>
              <w:rPr>
                <w:i/>
                <w:snapToGrid w:val="0"/>
              </w:rPr>
              <w:t>Gazette</w:t>
            </w:r>
            <w:r>
              <w:rPr>
                <w:snapToGrid w:val="0"/>
              </w:rPr>
              <w:t xml:space="preserve"> 26 Feb 2019 p. 449</w:t>
            </w:r>
            <w:r>
              <w:rPr>
                <w:snapToGrid w:val="0"/>
              </w:rPr>
              <w:noBreakHyphen/>
              <w:t>50)</w:t>
            </w:r>
          </w:p>
        </w:tc>
      </w:tr>
      <w:tr>
        <w:trPr>
          <w:cantSplit/>
        </w:trPr>
        <w:tc>
          <w:tcPr>
            <w:tcW w:w="2365" w:type="dxa"/>
            <w:gridSpan w:val="2"/>
            <w:tcBorders>
              <w:top w:val="nil"/>
              <w:bottom w:val="nil"/>
              <w:right w:val="nil"/>
            </w:tcBorders>
            <w:shd w:val="clear" w:color="auto" w:fill="auto"/>
          </w:tcPr>
          <w:p>
            <w:pPr>
              <w:pStyle w:val="nTable"/>
              <w:spacing w:after="40"/>
              <w:rPr>
                <w:i/>
                <w:snapToGrid w:val="0"/>
              </w:rPr>
            </w:pPr>
            <w:r>
              <w:rPr>
                <w:i/>
              </w:rPr>
              <w:t>Betting Tax Assessment Act 2018</w:t>
            </w:r>
            <w:r>
              <w:t xml:space="preserve"> Pt. 8 Div. 1 Subdiv. 4</w:t>
            </w:r>
          </w:p>
        </w:tc>
        <w:tc>
          <w:tcPr>
            <w:tcW w:w="1009" w:type="dxa"/>
            <w:tcBorders>
              <w:top w:val="nil"/>
              <w:left w:val="nil"/>
              <w:bottom w:val="nil"/>
              <w:right w:val="nil"/>
            </w:tcBorders>
            <w:shd w:val="clear" w:color="auto" w:fill="auto"/>
          </w:tcPr>
          <w:p>
            <w:pPr>
              <w:pStyle w:val="nTable"/>
              <w:spacing w:after="40"/>
            </w:pPr>
            <w:r>
              <w:t>37 of 2018</w:t>
            </w:r>
          </w:p>
        </w:tc>
        <w:tc>
          <w:tcPr>
            <w:tcW w:w="1134" w:type="dxa"/>
            <w:tcBorders>
              <w:top w:val="nil"/>
              <w:left w:val="nil"/>
              <w:bottom w:val="nil"/>
              <w:right w:val="nil"/>
            </w:tcBorders>
            <w:shd w:val="clear" w:color="auto" w:fill="auto"/>
          </w:tcPr>
          <w:p>
            <w:pPr>
              <w:pStyle w:val="nTable"/>
              <w:spacing w:after="40"/>
            </w:pPr>
            <w:r>
              <w:t>12 Dec 2018</w:t>
            </w:r>
          </w:p>
        </w:tc>
        <w:tc>
          <w:tcPr>
            <w:tcW w:w="2694" w:type="dxa"/>
            <w:tcBorders>
              <w:top w:val="nil"/>
              <w:left w:val="nil"/>
              <w:bottom w:val="nil"/>
            </w:tcBorders>
            <w:shd w:val="clear" w:color="auto" w:fill="auto"/>
          </w:tcPr>
          <w:p>
            <w:pPr>
              <w:pStyle w:val="nTable"/>
              <w:spacing w:after="40"/>
              <w:rPr>
                <w:snapToGrid w:val="0"/>
              </w:rPr>
            </w:pPr>
            <w:r>
              <w:t>1 Jan 2019 (see s. 2(c))</w:t>
            </w:r>
          </w:p>
        </w:tc>
      </w:tr>
      <w:tr>
        <w:trPr>
          <w:cantSplit/>
        </w:trPr>
        <w:tc>
          <w:tcPr>
            <w:tcW w:w="2365" w:type="dxa"/>
            <w:gridSpan w:val="2"/>
            <w:tcBorders>
              <w:top w:val="nil"/>
              <w:bottom w:val="nil"/>
              <w:right w:val="nil"/>
            </w:tcBorders>
            <w:shd w:val="clear" w:color="auto" w:fill="auto"/>
          </w:tcPr>
          <w:p>
            <w:pPr>
              <w:pStyle w:val="nTable"/>
              <w:spacing w:after="40"/>
              <w:rPr>
                <w:i/>
              </w:rPr>
            </w:pPr>
            <w:r>
              <w:rPr>
                <w:i/>
              </w:rPr>
              <w:t xml:space="preserve">Taxation Administration Amendment Act 2019 </w:t>
            </w:r>
            <w:r>
              <w:t>Pt. 2</w:t>
            </w:r>
          </w:p>
        </w:tc>
        <w:tc>
          <w:tcPr>
            <w:tcW w:w="1009" w:type="dxa"/>
            <w:tcBorders>
              <w:top w:val="nil"/>
              <w:left w:val="nil"/>
              <w:bottom w:val="nil"/>
              <w:right w:val="nil"/>
            </w:tcBorders>
            <w:shd w:val="clear" w:color="auto" w:fill="auto"/>
          </w:tcPr>
          <w:p>
            <w:pPr>
              <w:pStyle w:val="nTable"/>
              <w:spacing w:after="40"/>
            </w:pPr>
            <w:r>
              <w:t>11 of 2019</w:t>
            </w:r>
          </w:p>
        </w:tc>
        <w:tc>
          <w:tcPr>
            <w:tcW w:w="1134" w:type="dxa"/>
            <w:tcBorders>
              <w:top w:val="nil"/>
              <w:left w:val="nil"/>
              <w:bottom w:val="nil"/>
              <w:right w:val="nil"/>
            </w:tcBorders>
            <w:shd w:val="clear" w:color="auto" w:fill="auto"/>
          </w:tcPr>
          <w:p>
            <w:pPr>
              <w:pStyle w:val="nTable"/>
              <w:spacing w:after="40"/>
            </w:pPr>
            <w:r>
              <w:t>12 Jun 2019</w:t>
            </w:r>
          </w:p>
        </w:tc>
        <w:tc>
          <w:tcPr>
            <w:tcW w:w="2694" w:type="dxa"/>
            <w:tcBorders>
              <w:top w:val="nil"/>
              <w:left w:val="nil"/>
              <w:bottom w:val="nil"/>
            </w:tcBorders>
            <w:shd w:val="clear" w:color="auto" w:fill="auto"/>
          </w:tcPr>
          <w:p>
            <w:pPr>
              <w:pStyle w:val="nTable"/>
              <w:spacing w:after="40"/>
            </w:pPr>
            <w:r>
              <w:t>13 Jun 2019 (see s. 2(b))</w:t>
            </w:r>
          </w:p>
        </w:tc>
      </w:tr>
      <w:tr>
        <w:trPr>
          <w:cantSplit/>
        </w:trPr>
        <w:tc>
          <w:tcPr>
            <w:tcW w:w="2365" w:type="dxa"/>
            <w:gridSpan w:val="2"/>
            <w:tcBorders>
              <w:top w:val="nil"/>
              <w:bottom w:val="nil"/>
              <w:right w:val="nil"/>
            </w:tcBorders>
            <w:shd w:val="clear" w:color="auto" w:fill="auto"/>
          </w:tcPr>
          <w:p>
            <w:pPr>
              <w:pStyle w:val="nTable"/>
              <w:spacing w:after="40"/>
            </w:pPr>
            <w:r>
              <w:rPr>
                <w:i/>
              </w:rPr>
              <w:t>Finance Legislation Amendment (Emergency Relief) Act 2022</w:t>
            </w:r>
            <w:r>
              <w:t xml:space="preserve"> Pt. 2</w:t>
            </w:r>
          </w:p>
        </w:tc>
        <w:tc>
          <w:tcPr>
            <w:tcW w:w="1009" w:type="dxa"/>
            <w:tcBorders>
              <w:top w:val="nil"/>
              <w:left w:val="nil"/>
              <w:bottom w:val="nil"/>
              <w:right w:val="nil"/>
            </w:tcBorders>
            <w:shd w:val="clear" w:color="auto" w:fill="auto"/>
          </w:tcPr>
          <w:p>
            <w:pPr>
              <w:pStyle w:val="nTable"/>
              <w:spacing w:after="40"/>
            </w:pPr>
            <w:r>
              <w:t>1 of 2022</w:t>
            </w:r>
          </w:p>
        </w:tc>
        <w:tc>
          <w:tcPr>
            <w:tcW w:w="1134" w:type="dxa"/>
            <w:tcBorders>
              <w:top w:val="nil"/>
              <w:left w:val="nil"/>
              <w:bottom w:val="nil"/>
              <w:right w:val="nil"/>
            </w:tcBorders>
            <w:shd w:val="clear" w:color="auto" w:fill="auto"/>
          </w:tcPr>
          <w:p>
            <w:pPr>
              <w:pStyle w:val="nTable"/>
              <w:spacing w:after="40"/>
            </w:pPr>
            <w:r>
              <w:t>21 Feb 2022</w:t>
            </w:r>
          </w:p>
        </w:tc>
        <w:tc>
          <w:tcPr>
            <w:tcW w:w="2694" w:type="dxa"/>
            <w:tcBorders>
              <w:top w:val="nil"/>
              <w:left w:val="nil"/>
              <w:bottom w:val="nil"/>
            </w:tcBorders>
            <w:shd w:val="clear" w:color="auto" w:fill="auto"/>
          </w:tcPr>
          <w:p>
            <w:pPr>
              <w:pStyle w:val="nTable"/>
              <w:spacing w:after="40"/>
            </w:pPr>
            <w:r>
              <w:t>22 Feb 2022 (see s. 2(b))</w:t>
            </w:r>
          </w:p>
        </w:tc>
      </w:tr>
      <w:tr>
        <w:trPr>
          <w:cantSplit/>
        </w:trPr>
        <w:tc>
          <w:tcPr>
            <w:tcW w:w="2365" w:type="dxa"/>
            <w:gridSpan w:val="2"/>
            <w:tcBorders>
              <w:top w:val="nil"/>
              <w:bottom w:val="single" w:sz="4" w:space="0" w:color="auto"/>
              <w:right w:val="nil"/>
            </w:tcBorders>
            <w:shd w:val="clear" w:color="auto" w:fill="auto"/>
          </w:tcPr>
          <w:p>
            <w:pPr>
              <w:pStyle w:val="nTable"/>
              <w:spacing w:after="40"/>
              <w:rPr>
                <w:i/>
              </w:rPr>
            </w:pPr>
            <w:r>
              <w:rPr>
                <w:i/>
              </w:rPr>
              <w:lastRenderedPageBreak/>
              <w:t>Legal Profession Uniform Law Application Act 2022</w:t>
            </w:r>
            <w:r>
              <w:t xml:space="preserve"> s. 424</w:t>
            </w:r>
          </w:p>
        </w:tc>
        <w:tc>
          <w:tcPr>
            <w:tcW w:w="1009" w:type="dxa"/>
            <w:tcBorders>
              <w:top w:val="nil"/>
              <w:left w:val="nil"/>
              <w:bottom w:val="single" w:sz="4" w:space="0" w:color="auto"/>
              <w:right w:val="nil"/>
            </w:tcBorders>
            <w:shd w:val="clear" w:color="auto" w:fill="auto"/>
          </w:tcPr>
          <w:p>
            <w:pPr>
              <w:pStyle w:val="nTable"/>
              <w:spacing w:after="40"/>
            </w:pPr>
            <w:r>
              <w:t>9 of 2022</w:t>
            </w:r>
          </w:p>
        </w:tc>
        <w:tc>
          <w:tcPr>
            <w:tcW w:w="1134" w:type="dxa"/>
            <w:tcBorders>
              <w:top w:val="nil"/>
              <w:left w:val="nil"/>
              <w:bottom w:val="single" w:sz="4" w:space="0" w:color="auto"/>
              <w:right w:val="nil"/>
            </w:tcBorders>
            <w:shd w:val="clear" w:color="auto" w:fill="auto"/>
          </w:tcPr>
          <w:p>
            <w:pPr>
              <w:pStyle w:val="nTable"/>
              <w:spacing w:after="40"/>
            </w:pPr>
            <w:r>
              <w:t>14 Apr 2022</w:t>
            </w:r>
          </w:p>
        </w:tc>
        <w:tc>
          <w:tcPr>
            <w:tcW w:w="2694" w:type="dxa"/>
            <w:tcBorders>
              <w:top w:val="nil"/>
              <w:left w:val="nil"/>
              <w:bottom w:val="single" w:sz="4" w:space="0" w:color="auto"/>
            </w:tcBorders>
            <w:shd w:val="clear" w:color="auto" w:fill="auto"/>
          </w:tcPr>
          <w:p>
            <w:pPr>
              <w:pStyle w:val="nTable"/>
              <w:spacing w:after="40"/>
            </w:pPr>
            <w:r>
              <w:rPr>
                <w:snapToGrid w:val="0"/>
              </w:rPr>
              <w:t>1 Jul 2022 (see s. 2(c) and SL 2022/113 cl. 2)</w:t>
            </w:r>
          </w:p>
        </w:tc>
      </w:tr>
    </w:tbl>
    <w:p>
      <w:pPr>
        <w:pStyle w:val="nHeading3"/>
      </w:pPr>
      <w:bookmarkStart w:id="377" w:name="_Toc107485188"/>
      <w:r>
        <w:t>Other notes</w:t>
      </w:r>
      <w:bookmarkEnd w:id="377"/>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1</w:t>
      </w:r>
      <w:r>
        <w:t xml:space="preserve">. </w:t>
      </w:r>
    </w:p>
    <w:p>
      <w:pPr>
        <w:pStyle w:val="nNote"/>
      </w:pPr>
      <w:r>
        <w:tab/>
        <w:t>If a modification is to:</w:t>
      </w:r>
    </w:p>
    <w:p>
      <w:pPr>
        <w:pStyle w:val="nNote"/>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Lines/>
        <w:numPr>
          <w:ilvl w:val="0"/>
          <w:numId w:val="1"/>
        </w:numPr>
        <w:spacing w:before="0"/>
        <w:ind w:left="714" w:hanging="357"/>
      </w:pPr>
      <w:r>
        <w:t>amend a numbered provision, the amended provision is identified by the superscript 1MC appearing after the provision number.</w:t>
      </w:r>
    </w:p>
    <w:p>
      <w:pPr>
        <w:pStyle w:val="nNote"/>
        <w:keepNext/>
        <w:keepLines/>
      </w:pPr>
    </w:p>
    <w:p>
      <w:pPr>
        <w:pStyle w:val="nNote"/>
      </w:pPr>
      <w:r>
        <w:rPr>
          <w:vertAlign w:val="superscript"/>
        </w:rPr>
        <w:t>1</w:t>
      </w:r>
      <w:r>
        <w:tab/>
        <w:t xml:space="preserve">The </w:t>
      </w:r>
      <w:r>
        <w:rPr>
          <w:i/>
        </w:rPr>
        <w:t>Revenue Laws Amendment Act 2012</w:t>
      </w:r>
      <w:r>
        <w:t xml:space="preserve"> s. 42(4) was deemed to have come into operation on 1 Jul 2009, see s. 2(d) of that Act).</w:t>
      </w:r>
    </w:p>
    <w:p>
      <w:pPr>
        <w:pStyle w:val="nNote"/>
        <w:rPr>
          <w:snapToGrid w:val="0"/>
        </w:rPr>
      </w:pPr>
      <w:r>
        <w:rPr>
          <w:snapToGrid w:val="0"/>
          <w:vertAlign w:val="superscript"/>
        </w:rPr>
        <w:t>2</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p>
    <w:p>
      <w:pPr>
        <w:pStyle w:val="nNote"/>
        <w:keepNext/>
        <w:keepLines/>
        <w:rPr>
          <w:snapToGrid w:val="0"/>
        </w:rPr>
      </w:pPr>
      <w:r>
        <w:rPr>
          <w:vertAlign w:val="superscript"/>
        </w:rPr>
        <w:t>3</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Note"/>
        <w:rPr>
          <w:snapToGrid w:val="0"/>
        </w:rPr>
      </w:pPr>
      <w:r>
        <w:rPr>
          <w:snapToGrid w:val="0"/>
          <w:vertAlign w:val="superscript"/>
        </w:rPr>
        <w:t>4</w:t>
      </w:r>
      <w:r>
        <w:rPr>
          <w:snapToGrid w:val="0"/>
        </w:rPr>
        <w:tab/>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Note"/>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Note"/>
        <w:rPr>
          <w:iCs/>
        </w:rPr>
      </w:pPr>
      <w:r>
        <w:rPr>
          <w:iCs/>
        </w:rPr>
        <w:tab/>
        <w:t xml:space="preserve">The definition of </w:t>
      </w:r>
      <w:r>
        <w:rPr>
          <w:b/>
          <w:bCs/>
          <w:i/>
        </w:rPr>
        <w:t>non-reviewable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rPr>
          <w:snapToGrid w:val="0"/>
        </w:rPr>
      </w:pPr>
      <w:r>
        <w:rPr>
          <w:vertAlign w:val="superscript"/>
        </w:rPr>
        <w:t>6</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lastRenderedPageBreak/>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Note"/>
        <w:spacing w:before="120"/>
      </w:pPr>
      <w:r>
        <w:rPr>
          <w:vertAlign w:val="superscript"/>
        </w:rPr>
        <w:t>7</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379" w:name="_Toc100303047"/>
      <w:bookmarkStart w:id="380" w:name="_Toc100303272"/>
      <w:bookmarkStart w:id="381" w:name="_Toc100564427"/>
      <w:bookmarkStart w:id="382" w:name="_Toc100564623"/>
      <w:bookmarkStart w:id="383" w:name="_Toc107314304"/>
      <w:bookmarkStart w:id="384" w:name="_Toc107485189"/>
      <w:r>
        <w:rPr>
          <w:sz w:val="28"/>
        </w:rPr>
        <w:lastRenderedPageBreak/>
        <w:t>Defined terms</w:t>
      </w:r>
      <w:bookmarkEnd w:id="379"/>
      <w:bookmarkEnd w:id="380"/>
      <w:bookmarkEnd w:id="381"/>
      <w:bookmarkEnd w:id="382"/>
      <w:bookmarkEnd w:id="383"/>
      <w:bookmarkEnd w:id="3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Gl. cl. 1</w:t>
      </w:r>
    </w:p>
    <w:p>
      <w:pPr>
        <w:pStyle w:val="DefinedTerms"/>
      </w:pPr>
      <w:r>
        <w:t>affected return</w:t>
      </w:r>
      <w:r>
        <w:tab/>
        <w:t>135E(1)</w:t>
      </w:r>
    </w:p>
    <w:p>
      <w:pPr>
        <w:pStyle w:val="DefinedTerms"/>
      </w:pPr>
      <w:r>
        <w:t>affected tax</w:t>
      </w:r>
      <w:r>
        <w:tab/>
        <w:t>135E(1)</w:t>
      </w:r>
    </w:p>
    <w:p>
      <w:pPr>
        <w:pStyle w:val="DefinedTerms"/>
      </w:pPr>
      <w:r>
        <w:t>amending Bill</w:t>
      </w:r>
      <w:r>
        <w:tab/>
        <w:t>129(1)</w:t>
      </w:r>
    </w:p>
    <w:p>
      <w:pPr>
        <w:pStyle w:val="DefinedTerms"/>
      </w:pPr>
      <w:r>
        <w:t>appointed representative</w:t>
      </w:r>
      <w:r>
        <w:tab/>
        <w:t>Gl. cl. 1</w:t>
      </w:r>
    </w:p>
    <w:p>
      <w:pPr>
        <w:pStyle w:val="DefinedTerms"/>
      </w:pPr>
      <w:r>
        <w:t>approved</w:t>
      </w:r>
      <w:r>
        <w:tab/>
        <w:t>Gl. cl. 1</w:t>
      </w:r>
    </w:p>
    <w:p>
      <w:pPr>
        <w:pStyle w:val="DefinedTerms"/>
      </w:pPr>
      <w:r>
        <w:t>assessment</w:t>
      </w:r>
      <w:r>
        <w:tab/>
        <w:t>Gl. cl. 1</w:t>
      </w:r>
    </w:p>
    <w:p>
      <w:pPr>
        <w:pStyle w:val="DefinedTerms"/>
      </w:pPr>
      <w:r>
        <w:t>assessment notice</w:t>
      </w:r>
      <w:r>
        <w:tab/>
        <w:t xml:space="preserve">Gl. cl. 1 </w:t>
      </w:r>
    </w:p>
    <w:p>
      <w:pPr>
        <w:pStyle w:val="DefinedTerms"/>
      </w:pPr>
      <w:r>
        <w:t>before</w:t>
      </w:r>
      <w:r>
        <w:tab/>
        <w:t>129(2)</w:t>
      </w:r>
    </w:p>
    <w:p>
      <w:pPr>
        <w:pStyle w:val="DefinedTerms"/>
      </w:pPr>
      <w:r>
        <w:t>beneficial body determination</w:t>
      </w:r>
      <w:r>
        <w:tab/>
        <w:t>Gl. cl. 1</w:t>
      </w:r>
    </w:p>
    <w:p>
      <w:pPr>
        <w:pStyle w:val="DefinedTerms"/>
      </w:pPr>
      <w:r>
        <w:t>charge</w:t>
      </w:r>
      <w:r>
        <w:tab/>
        <w:t xml:space="preserve">Gl. cl. 1 </w:t>
      </w:r>
    </w:p>
    <w:p>
      <w:pPr>
        <w:pStyle w:val="DefinedTerms"/>
      </w:pPr>
      <w:r>
        <w:t>commencement day</w:t>
      </w:r>
      <w:r>
        <w:tab/>
        <w:t>135F(1), 137(1), 138(1)</w:t>
      </w:r>
    </w:p>
    <w:p>
      <w:pPr>
        <w:pStyle w:val="DefinedTerms"/>
      </w:pPr>
      <w:r>
        <w:t>Commissioner</w:t>
      </w:r>
      <w:r>
        <w:tab/>
        <w:t xml:space="preserve">Gl. cl. 1 </w:t>
      </w:r>
    </w:p>
    <w:p>
      <w:pPr>
        <w:pStyle w:val="DefinedTerms"/>
      </w:pPr>
      <w:r>
        <w:t>Commissioner’s website</w:t>
      </w:r>
      <w:r>
        <w:tab/>
        <w:t>Gl. cl. 1 complete</w:t>
      </w:r>
      <w:r>
        <w:tab/>
        <w:t xml:space="preserve">Gl. cl. 1 </w:t>
      </w:r>
    </w:p>
    <w:p>
      <w:pPr>
        <w:pStyle w:val="DefinedTerms"/>
      </w:pPr>
      <w:r>
        <w:t>compromise agreement</w:t>
      </w:r>
      <w:r>
        <w:tab/>
        <w:t>20A(1)</w:t>
      </w:r>
    </w:p>
    <w:p>
      <w:pPr>
        <w:pStyle w:val="DefinedTerms"/>
      </w:pPr>
      <w:r>
        <w:t>compromise assessment</w:t>
      </w:r>
      <w:r>
        <w:tab/>
        <w:t>Gl. cl. 1</w:t>
      </w:r>
    </w:p>
    <w:p>
      <w:pPr>
        <w:pStyle w:val="DefinedTerms"/>
      </w:pPr>
      <w:r>
        <w:t>corresponding Commissioner</w:t>
      </w:r>
      <w:r>
        <w:tab/>
        <w:t>Gl. cl. 1</w:t>
      </w:r>
    </w:p>
    <w:p>
      <w:pPr>
        <w:pStyle w:val="DefinedTerms"/>
      </w:pPr>
      <w:r>
        <w:t>costs of valuation</w:t>
      </w:r>
      <w:r>
        <w:tab/>
        <w:t>24(7)</w:t>
      </w:r>
    </w:p>
    <w:p>
      <w:pPr>
        <w:pStyle w:val="DefinedTerms"/>
      </w:pPr>
      <w:r>
        <w:t>date</w:t>
      </w:r>
      <w:r>
        <w:tab/>
        <w:t xml:space="preserve">Gl. cl. 1 </w:t>
      </w:r>
    </w:p>
    <w:p>
      <w:pPr>
        <w:pStyle w:val="DefinedTerms"/>
      </w:pPr>
      <w:r>
        <w:t>decision</w:t>
      </w:r>
      <w:r>
        <w:tab/>
        <w:t xml:space="preserve">Gl. cl. 1 </w:t>
      </w:r>
    </w:p>
    <w:p>
      <w:pPr>
        <w:pStyle w:val="DefinedTerms"/>
      </w:pPr>
      <w:r>
        <w:t>determination notice</w:t>
      </w:r>
      <w:r>
        <w:tab/>
        <w:t>129(1)</w:t>
      </w:r>
    </w:p>
    <w:p>
      <w:pPr>
        <w:pStyle w:val="DefinedTerms"/>
      </w:pPr>
      <w:r>
        <w:t>directly reviewable decision</w:t>
      </w:r>
      <w:r>
        <w:tab/>
        <w:t xml:space="preserve">Gl. cl. 1 </w:t>
      </w:r>
    </w:p>
    <w:p>
      <w:pPr>
        <w:pStyle w:val="DefinedTerms"/>
      </w:pPr>
      <w:r>
        <w:t>dishonoured</w:t>
      </w:r>
      <w:r>
        <w:tab/>
        <w:t>76A(3)</w:t>
      </w:r>
    </w:p>
    <w:p>
      <w:pPr>
        <w:pStyle w:val="DefinedTerms"/>
      </w:pPr>
      <w:r>
        <w:t>document</w:t>
      </w:r>
      <w:r>
        <w:tab/>
        <w:t xml:space="preserve">Gl. cl. 1 </w:t>
      </w:r>
    </w:p>
    <w:p>
      <w:pPr>
        <w:pStyle w:val="DefinedTerms"/>
      </w:pPr>
      <w:r>
        <w:t>due date</w:t>
      </w:r>
      <w:r>
        <w:tab/>
        <w:t>Gl. cl. 1</w:t>
      </w:r>
    </w:p>
    <w:p>
      <w:pPr>
        <w:pStyle w:val="DefinedTerms"/>
      </w:pPr>
      <w:r>
        <w:t>eligible person</w:t>
      </w:r>
      <w:r>
        <w:tab/>
        <w:t>135E(1)</w:t>
      </w:r>
    </w:p>
    <w:p>
      <w:pPr>
        <w:pStyle w:val="DefinedTerms"/>
      </w:pPr>
      <w:r>
        <w:t>emergency declaration</w:t>
      </w:r>
      <w:r>
        <w:tab/>
        <w:t>135A</w:t>
      </w:r>
    </w:p>
    <w:p>
      <w:pPr>
        <w:pStyle w:val="DefinedTerms"/>
      </w:pPr>
      <w:r>
        <w:t>emergency period</w:t>
      </w:r>
      <w:r>
        <w:tab/>
        <w:t>135A(6)</w:t>
      </w:r>
    </w:p>
    <w:p>
      <w:pPr>
        <w:pStyle w:val="DefinedTerms"/>
      </w:pPr>
      <w:r>
        <w:t>endorse</w:t>
      </w:r>
      <w:r>
        <w:tab/>
        <w:t>Gl. cl. 1</w:t>
      </w:r>
    </w:p>
    <w:p>
      <w:pPr>
        <w:pStyle w:val="DefinedTerms"/>
      </w:pPr>
      <w:r>
        <w:t>garnishee</w:t>
      </w:r>
      <w:r>
        <w:tab/>
        <w:t>65(1), Gl. cl. 1</w:t>
      </w:r>
    </w:p>
    <w:p>
      <w:pPr>
        <w:pStyle w:val="DefinedTerms"/>
      </w:pPr>
      <w:r>
        <w:t>group</w:t>
      </w:r>
      <w:r>
        <w:tab/>
        <w:t>Gl. cl. 1</w:t>
      </w:r>
    </w:p>
    <w:p>
      <w:pPr>
        <w:pStyle w:val="DefinedTerms"/>
      </w:pPr>
      <w:r>
        <w:t>identity card</w:t>
      </w:r>
      <w:r>
        <w:tab/>
        <w:t>Gl. cl. 1</w:t>
      </w:r>
    </w:p>
    <w:p>
      <w:pPr>
        <w:pStyle w:val="DefinedTerms"/>
      </w:pPr>
      <w:r>
        <w:t>instrument</w:t>
      </w:r>
      <w:r>
        <w:tab/>
        <w:t>82(1), Gl. cl. 1</w:t>
      </w:r>
    </w:p>
    <w:p>
      <w:pPr>
        <w:pStyle w:val="DefinedTerms"/>
      </w:pPr>
      <w:r>
        <w:t>interim assessment</w:t>
      </w:r>
      <w:r>
        <w:tab/>
        <w:t>16A(1), Gl. cl. 1</w:t>
      </w:r>
    </w:p>
    <w:p>
      <w:pPr>
        <w:pStyle w:val="DefinedTerms"/>
      </w:pPr>
      <w:r>
        <w:t>investigation purposes</w:t>
      </w:r>
      <w:r>
        <w:tab/>
        <w:t>Gl. cl. 1</w:t>
      </w:r>
    </w:p>
    <w:p>
      <w:pPr>
        <w:pStyle w:val="DefinedTerms"/>
      </w:pPr>
      <w:r>
        <w:t>investigator</w:t>
      </w:r>
      <w:r>
        <w:tab/>
        <w:t>Gl. cl. 1</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lastRenderedPageBreak/>
        <w:t>linked entity</w:t>
      </w:r>
      <w:r>
        <w:tab/>
        <w:t>77A(1)</w:t>
      </w:r>
    </w:p>
    <w:p>
      <w:pPr>
        <w:pStyle w:val="DefinedTerms"/>
      </w:pPr>
      <w:r>
        <w:t>lodge</w:t>
      </w:r>
      <w:r>
        <w:tab/>
        <w:t>76A(1)</w:t>
      </w:r>
    </w:p>
    <w:p>
      <w:pPr>
        <w:pStyle w:val="DefinedTerms"/>
      </w:pPr>
      <w:r>
        <w:t>mining tenement</w:t>
      </w:r>
      <w:r>
        <w:tab/>
        <w:t>76A(1)</w:t>
      </w:r>
    </w:p>
    <w:p>
      <w:pPr>
        <w:pStyle w:val="DefinedTerms"/>
      </w:pPr>
      <w:r>
        <w:t>objection</w:t>
      </w:r>
      <w:r>
        <w:tab/>
        <w:t>Gl. cl. 1</w:t>
      </w:r>
    </w:p>
    <w:p>
      <w:pPr>
        <w:pStyle w:val="DefinedTerms"/>
      </w:pPr>
      <w:r>
        <w:t>official assessment</w:t>
      </w:r>
      <w:r>
        <w:tab/>
        <w:t>Gl. cl. 1</w:t>
      </w:r>
    </w:p>
    <w:p>
      <w:pPr>
        <w:pStyle w:val="DefinedTerms"/>
      </w:pPr>
      <w:r>
        <w:t>official document</w:t>
      </w:r>
      <w:r>
        <w:tab/>
        <w:t>Gl. cl. 1</w:t>
      </w:r>
    </w:p>
    <w:p>
      <w:pPr>
        <w:pStyle w:val="DefinedTerms"/>
      </w:pPr>
      <w:r>
        <w:t>original assessment</w:t>
      </w:r>
      <w:r>
        <w:tab/>
        <w:t>Gl. cl. 1</w:t>
      </w:r>
    </w:p>
    <w:p>
      <w:pPr>
        <w:pStyle w:val="DefinedTerms"/>
      </w:pPr>
      <w:r>
        <w:t>original notice</w:t>
      </w:r>
      <w:r>
        <w:tab/>
        <w:t>132(3)</w:t>
      </w:r>
    </w:p>
    <w:p>
      <w:pPr>
        <w:pStyle w:val="DefinedTerms"/>
      </w:pPr>
      <w:r>
        <w:t>penalty tax</w:t>
      </w:r>
      <w:r>
        <w:tab/>
        <w:t>Gl. cl. 1</w:t>
      </w:r>
    </w:p>
    <w:p>
      <w:pPr>
        <w:pStyle w:val="DefinedTerms"/>
      </w:pPr>
      <w:r>
        <w:t>person</w:t>
      </w:r>
      <w:r>
        <w:tab/>
        <w:t>Gl. cl. 1</w:t>
      </w:r>
    </w:p>
    <w:p>
      <w:pPr>
        <w:pStyle w:val="DefinedTerms"/>
      </w:pPr>
      <w:r>
        <w:t>premises</w:t>
      </w:r>
      <w:r>
        <w:tab/>
        <w:t>Gl. cl. 1</w:t>
      </w:r>
    </w:p>
    <w:p>
      <w:pPr>
        <w:pStyle w:val="DefinedTerms"/>
      </w:pPr>
      <w:r>
        <w:t>previous assessment</w:t>
      </w:r>
      <w:r>
        <w:tab/>
        <w:t>Gl. cl. 1</w:t>
      </w:r>
    </w:p>
    <w:p>
      <w:pPr>
        <w:pStyle w:val="DefinedTerms"/>
      </w:pPr>
      <w:r>
        <w:t>primary liability</w:t>
      </w:r>
      <w:r>
        <w:tab/>
        <w:t>Gl. cl. 1</w:t>
      </w:r>
    </w:p>
    <w:p>
      <w:pPr>
        <w:pStyle w:val="DefinedTerms"/>
      </w:pPr>
      <w:r>
        <w:t>qualified valuer</w:t>
      </w:r>
      <w:r>
        <w:tab/>
        <w:t>Gl. cl. 1</w:t>
      </w:r>
    </w:p>
    <w:p>
      <w:pPr>
        <w:pStyle w:val="DefinedTerms"/>
      </w:pPr>
      <w:r>
        <w:t>real property</w:t>
      </w:r>
      <w:r>
        <w:tab/>
        <w:t>76A(1)</w:t>
      </w:r>
    </w:p>
    <w:p>
      <w:pPr>
        <w:pStyle w:val="DefinedTerms"/>
      </w:pPr>
      <w:r>
        <w:t>reassessment</w:t>
      </w:r>
      <w:r>
        <w:tab/>
        <w:t>Gl. cl. 1</w:t>
      </w:r>
    </w:p>
    <w:p>
      <w:pPr>
        <w:pStyle w:val="DefinedTerms"/>
      </w:pPr>
      <w:r>
        <w:t>reassessment period</w:t>
      </w:r>
      <w:r>
        <w:tab/>
        <w:t>39(3), 43(4A), 54A(3)</w:t>
      </w:r>
    </w:p>
    <w:p>
      <w:pPr>
        <w:pStyle w:val="DefinedTerms"/>
      </w:pPr>
      <w:r>
        <w:t>recognised jurisdiction</w:t>
      </w:r>
      <w:r>
        <w:tab/>
        <w:t>Gl. cl. 1</w:t>
      </w:r>
    </w:p>
    <w:p>
      <w:pPr>
        <w:pStyle w:val="DefinedTerms"/>
      </w:pPr>
      <w:r>
        <w:t>recognised revenue law</w:t>
      </w:r>
      <w:r>
        <w:tab/>
        <w:t>Gl. cl. 1</w:t>
      </w:r>
    </w:p>
    <w:p>
      <w:pPr>
        <w:pStyle w:val="DefinedTerms"/>
      </w:pPr>
      <w:r>
        <w:t>record</w:t>
      </w:r>
      <w:r>
        <w:tab/>
        <w:t>Gl. cl. 1</w:t>
      </w:r>
    </w:p>
    <w:p>
      <w:pPr>
        <w:pStyle w:val="DefinedTerms"/>
      </w:pPr>
      <w:r>
        <w:t>register</w:t>
      </w:r>
      <w:r>
        <w:tab/>
        <w:t>76A(1)</w:t>
      </w:r>
    </w:p>
    <w:p>
      <w:pPr>
        <w:pStyle w:val="DefinedTerms"/>
      </w:pPr>
      <w:r>
        <w:t>Registrar</w:t>
      </w:r>
      <w:r>
        <w:tab/>
        <w:t>82(1)</w:t>
      </w:r>
    </w:p>
    <w:p>
      <w:pPr>
        <w:pStyle w:val="DefinedTerms"/>
      </w:pPr>
      <w:r>
        <w:t>Registrar of Titles</w:t>
      </w:r>
      <w:r>
        <w:tab/>
        <w:t>Gl. cl. 1</w:t>
      </w:r>
    </w:p>
    <w:p>
      <w:pPr>
        <w:pStyle w:val="DefinedTerms"/>
      </w:pPr>
      <w:r>
        <w:t>relevant emergency declaration</w:t>
      </w:r>
      <w:r>
        <w:tab/>
        <w:t>135A(3)</w:t>
      </w:r>
    </w:p>
    <w:p>
      <w:pPr>
        <w:pStyle w:val="DefinedTerms"/>
      </w:pPr>
      <w:r>
        <w:t>relevant land Act</w:t>
      </w:r>
      <w:r>
        <w:tab/>
        <w:t>76A(1)</w:t>
      </w:r>
    </w:p>
    <w:p>
      <w:pPr>
        <w:pStyle w:val="DefinedTerms"/>
      </w:pPr>
      <w:r>
        <w:t>relevant material</w:t>
      </w:r>
      <w:r>
        <w:tab/>
        <w:t>Gl. cl. 1</w:t>
      </w:r>
    </w:p>
    <w:p>
      <w:pPr>
        <w:pStyle w:val="DefinedTerms"/>
      </w:pPr>
      <w:r>
        <w:t>remaining transfer duty</w:t>
      </w:r>
      <w:r>
        <w:tab/>
        <w:t>77A(2A)</w:t>
      </w:r>
    </w:p>
    <w:p>
      <w:pPr>
        <w:pStyle w:val="DefinedTerms"/>
      </w:pPr>
      <w:r>
        <w:t>responsible party</w:t>
      </w:r>
      <w:r>
        <w:tab/>
        <w:t>Gl. cl. 1</w:t>
      </w:r>
    </w:p>
    <w:p>
      <w:pPr>
        <w:pStyle w:val="DefinedTerms"/>
      </w:pPr>
      <w:r>
        <w:t>review proceedings</w:t>
      </w:r>
      <w:r>
        <w:tab/>
        <w:t>Gl. cl. 1</w:t>
      </w:r>
    </w:p>
    <w:p>
      <w:pPr>
        <w:pStyle w:val="DefinedTerms"/>
      </w:pPr>
      <w:r>
        <w:t>self-assessment</w:t>
      </w:r>
      <w:r>
        <w:tab/>
        <w:t>Gl. cl. 1</w:t>
      </w:r>
    </w:p>
    <w:p>
      <w:pPr>
        <w:pStyle w:val="DefinedTerms"/>
      </w:pPr>
      <w:r>
        <w:t>special tax return arrangement</w:t>
      </w:r>
      <w:r>
        <w:tab/>
        <w:t>Gl. cl. 1</w:t>
      </w:r>
    </w:p>
    <w:p>
      <w:pPr>
        <w:pStyle w:val="DefinedTerms"/>
      </w:pPr>
      <w:r>
        <w:t>State</w:t>
      </w:r>
      <w:r>
        <w:tab/>
        <w:t>Gl. cl. 1</w:t>
      </w:r>
    </w:p>
    <w:p>
      <w:pPr>
        <w:pStyle w:val="DefinedTerms"/>
      </w:pPr>
      <w:r>
        <w:t>statutory administrator of a taxpayer’s assets</w:t>
      </w:r>
      <w:r>
        <w:tab/>
        <w:t>64(3)</w:t>
      </w:r>
    </w:p>
    <w:p>
      <w:pPr>
        <w:pStyle w:val="DefinedTerms"/>
      </w:pPr>
      <w:r>
        <w:t>tax</w:t>
      </w:r>
      <w:r>
        <w:tab/>
        <w:t>Gl. cl. 1</w:t>
      </w:r>
    </w:p>
    <w:p>
      <w:pPr>
        <w:pStyle w:val="DefinedTerms"/>
      </w:pPr>
      <w:r>
        <w:t>taxation Act</w:t>
      </w:r>
      <w:r>
        <w:tab/>
        <w:t>129(1), Gl. cl. 1</w:t>
      </w:r>
    </w:p>
    <w:p>
      <w:pPr>
        <w:pStyle w:val="DefinedTerms"/>
      </w:pPr>
      <w:r>
        <w:t>taxation matter</w:t>
      </w:r>
      <w:r>
        <w:tab/>
        <w:t>7(3)</w:t>
      </w:r>
    </w:p>
    <w:p>
      <w:pPr>
        <w:pStyle w:val="DefinedTerms"/>
      </w:pPr>
      <w:r>
        <w:t>tax liability</w:t>
      </w:r>
      <w:r>
        <w:tab/>
        <w:t>Gl. cl. 1</w:t>
      </w:r>
    </w:p>
    <w:p>
      <w:pPr>
        <w:pStyle w:val="DefinedTerms"/>
      </w:pPr>
      <w:r>
        <w:t>taxpayer</w:t>
      </w:r>
      <w:r>
        <w:tab/>
        <w:t>Gl. cl. 1</w:t>
      </w:r>
    </w:p>
    <w:p>
      <w:pPr>
        <w:pStyle w:val="DefinedTerms"/>
      </w:pPr>
      <w:r>
        <w:t>tax payment arrangement</w:t>
      </w:r>
      <w:r>
        <w:tab/>
        <w:t>Gl. cl. 1</w:t>
      </w:r>
    </w:p>
    <w:p>
      <w:pPr>
        <w:pStyle w:val="DefinedTerms"/>
      </w:pPr>
      <w:r>
        <w:t>tax record</w:t>
      </w:r>
      <w:r>
        <w:tab/>
        <w:t>Gl. cl. 1</w:t>
      </w:r>
    </w:p>
    <w:p>
      <w:pPr>
        <w:pStyle w:val="DefinedTerms"/>
      </w:pPr>
      <w:r>
        <w:t>tax relief declaration</w:t>
      </w:r>
      <w:r>
        <w:tab/>
        <w:t>135A(2), Gl. cl. 1</w:t>
      </w:r>
    </w:p>
    <w:p>
      <w:pPr>
        <w:pStyle w:val="DefinedTerms"/>
      </w:pPr>
      <w:r>
        <w:t>tax relief measure</w:t>
      </w:r>
      <w:r>
        <w:tab/>
        <w:t>135(1), Gl. cl. 1</w:t>
      </w:r>
    </w:p>
    <w:p>
      <w:pPr>
        <w:pStyle w:val="DefinedTerms"/>
      </w:pPr>
      <w:r>
        <w:t>tax threshold</w:t>
      </w:r>
      <w:r>
        <w:tab/>
        <w:t>129(1)</w:t>
      </w:r>
    </w:p>
    <w:p>
      <w:pPr>
        <w:pStyle w:val="DefinedTerms"/>
      </w:pPr>
      <w:r>
        <w:t>TLA land</w:t>
      </w:r>
      <w:r>
        <w:tab/>
        <w:t>76A(1)</w:t>
      </w:r>
    </w:p>
    <w:p>
      <w:pPr>
        <w:pStyle w:val="DefinedTerms"/>
      </w:pPr>
      <w:r>
        <w:t>transaction record</w:t>
      </w:r>
      <w:r>
        <w:tab/>
        <w:t>77A(1)</w:t>
      </w:r>
    </w:p>
    <w:p>
      <w:pPr>
        <w:pStyle w:val="DefinedTerms"/>
      </w:pPr>
      <w:r>
        <w:lastRenderedPageBreak/>
        <w:t>transfer duty</w:t>
      </w:r>
      <w:r>
        <w:tab/>
        <w:t>77A(1)</w:t>
      </w:r>
    </w:p>
    <w:p>
      <w:pPr>
        <w:pStyle w:val="DefinedTerms"/>
      </w:pPr>
      <w:r>
        <w:t>transfer duty interim assessment</w:t>
      </w:r>
      <w:r>
        <w:tab/>
        <w:t>77A(1)</w:t>
      </w:r>
    </w:p>
    <w:p>
      <w:pPr>
        <w:pStyle w:val="DefinedTerms"/>
      </w:pPr>
      <w:r>
        <w:t>unaffected amount</w:t>
      </w:r>
      <w:r>
        <w:tab/>
        <w:t>133(2)</w:t>
      </w:r>
    </w:p>
    <w:p>
      <w:pPr>
        <w:pStyle w:val="DefinedTerms"/>
      </w:pPr>
      <w:r>
        <w:t>vehicle</w:t>
      </w:r>
      <w:r>
        <w:tab/>
        <w:t>Gl. cl. 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9" w:name="Schedule"/>
    <w:bookmarkEnd w:id="3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8" w:name="Compilation"/>
    <w:bookmarkEnd w:id="37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5" w:name="DefinedTerms"/>
    <w:bookmarkEnd w:id="3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6" w:name="Coversheet"/>
    <w:bookmarkEnd w:id="3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A5A05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860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E29B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16C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EA5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093246"/>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 w:name="WAFER_20190327084900" w:val="RemoveTocBookmarks,RemoveUnusedBookmarks,RemoveLanguageTags,ResetPageSize,RunningHeaders,UpdateStyles,UsedStyles"/>
    <w:docVar w:name="WAFER_20190327084900_GUID" w:val="70e276ad-31bb-4dca-935f-c4411e8e7be8"/>
    <w:docVar w:name="WAFER_20190614141609" w:val="RemoveTocBookmarks,RemoveUnusedBookmarks,RemoveLanguageTags,ResetPageSize,RunningHeaders,UpdateStyles,UsedStyles"/>
    <w:docVar w:name="WAFER_20190614141609_GUID" w:val="18150d97-9651-43b6-b6b2-f4082d80384c"/>
    <w:docVar w:name="WAFER_20210702153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2153126_GUID" w:val="5f9083c9-b6f6-4c50-9d0e-4e2278a0d46f"/>
    <w:docVar w:name="WAFER_20220218124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8124238_GUID" w:val="5f1c17f3-e446-44d4-901a-827ead66c81c"/>
    <w:docVar w:name="WAFER_202204080932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18_GUID" w:val="88f8e027-7eb2-45af-a7c5-22c8e7561606"/>
    <w:docVar w:name="WAFER_202204080932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46_GUID" w:val="fc2d42ee-e67f-49a6-8e12-cb6aba5993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5:docId w15:val="{6FAE2162-F811-4CA5-A34B-A15D8112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C61CE-D0DB-4CAF-B01B-EBCD0AC44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33577</Words>
  <Characters>161507</Characters>
  <Application>Microsoft Office Word</Application>
  <DocSecurity>0</DocSecurity>
  <Lines>4365</Lines>
  <Paragraphs>2501</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192583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2003 - 05-j0-00</dc:title>
  <dc:subject/>
  <dc:creator/>
  <cp:keywords/>
  <dc:description/>
  <cp:lastModifiedBy>Master Repository Process</cp:lastModifiedBy>
  <cp:revision>4</cp:revision>
  <cp:lastPrinted>2016-05-05T02:09:00Z</cp:lastPrinted>
  <dcterms:created xsi:type="dcterms:W3CDTF">2022-06-30T07:12:00Z</dcterms:created>
  <dcterms:modified xsi:type="dcterms:W3CDTF">2022-06-30T07:12:00Z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AsAtDate">
    <vt:lpwstr>01 Jul 2022</vt:lpwstr>
  </property>
  <property fmtid="{D5CDD505-2E9C-101B-9397-08002B2CF9AE}" pid="8" name="Suffix">
    <vt:lpwstr>05-j0-00</vt:lpwstr>
  </property>
  <property fmtid="{D5CDD505-2E9C-101B-9397-08002B2CF9AE}" pid="9" name="CommencementDate">
    <vt:lpwstr>20220701</vt:lpwstr>
  </property>
</Properties>
</file>