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(Preventative Detention)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Terrorism (Preventative Detention)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_Toc107483394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_Toc107483395 \h </w:instrText>
      </w:r>
      <w:r>
        <w:fldChar w:fldCharType="separate"/>
      </w:r>
      <w:r>
        <w:t>2</w:t>
      </w:r>
      <w:r>
        <w:fldChar w:fldCharType="end"/>
      </w:r>
    </w:p>
    <w:p>
      <w:pPr>
        <w:pStyle w:val="TOC8"/>
        <w:rPr>
          <w:rFonts w:asciiTheme="minorHAnsi" w:eastAsiaTheme="minorEastAsia" w:hAnsiTheme="minorHAnsi" w:cstheme="minorBidi"/>
          <w:szCs w:val="22"/>
        </w:rPr>
      </w:pPr>
      <w:r>
        <w:t>3.</w:t>
      </w:r>
      <w:r>
        <w:tab/>
        <w:t>Object</w:t>
      </w:r>
      <w:r>
        <w:tab/>
      </w:r>
      <w:r>
        <w:fldChar w:fldCharType="begin"/>
      </w:r>
      <w:r>
        <w:instrText xml:space="preserve"> PAGEREF _Toc107483396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in this Act</w:t>
      </w:r>
      <w:r>
        <w:tab/>
      </w:r>
      <w:r>
        <w:fldChar w:fldCharType="begin"/>
      </w:r>
      <w:r>
        <w:instrText xml:space="preserve"> PAGEREF _Toc107483397 \h </w:instrText>
      </w:r>
      <w:r>
        <w:fldChar w:fldCharType="separate"/>
      </w:r>
      <w:r>
        <w:t>2</w:t>
      </w:r>
      <w:r>
        <w:fldChar w:fldCharType="end"/>
      </w:r>
    </w:p>
    <w:p>
      <w:pPr>
        <w:pStyle w:val="TOC8"/>
        <w:rPr>
          <w:rFonts w:asciiTheme="minorHAnsi" w:eastAsiaTheme="minorEastAsia" w:hAnsiTheme="minorHAnsi" w:cstheme="minorBidi"/>
          <w:szCs w:val="22"/>
        </w:rPr>
      </w:pPr>
      <w:r>
        <w:t>5.</w:t>
      </w:r>
      <w:r>
        <w:tab/>
        <w:t>Meaning of “reasonably suspects”</w:t>
      </w:r>
      <w:r>
        <w:tab/>
      </w:r>
      <w:r>
        <w:fldChar w:fldCharType="begin"/>
      </w:r>
      <w:r>
        <w:instrText xml:space="preserve"> PAGEREF _Toc107483398 \h </w:instrText>
      </w:r>
      <w:r>
        <w:fldChar w:fldCharType="separate"/>
      </w:r>
      <w:r>
        <w:t>5</w:t>
      </w:r>
      <w:r>
        <w:fldChar w:fldCharType="end"/>
      </w:r>
    </w:p>
    <w:p>
      <w:pPr>
        <w:pStyle w:val="TOC8"/>
        <w:rPr>
          <w:rFonts w:asciiTheme="minorHAnsi" w:eastAsiaTheme="minorEastAsia" w:hAnsiTheme="minorHAnsi" w:cstheme="minorBidi"/>
          <w:szCs w:val="22"/>
        </w:rPr>
      </w:pPr>
      <w:r>
        <w:t>6.</w:t>
      </w:r>
      <w:r>
        <w:tab/>
        <w:t>Meaning of “terrorist act”</w:t>
      </w:r>
      <w:r>
        <w:tab/>
      </w:r>
      <w:r>
        <w:fldChar w:fldCharType="begin"/>
      </w:r>
      <w:r>
        <w:instrText xml:space="preserve"> PAGEREF _Toc107483399 \h </w:instrText>
      </w:r>
      <w:r>
        <w:fldChar w:fldCharType="separate"/>
      </w:r>
      <w:r>
        <w:t>5</w:t>
      </w:r>
      <w:r>
        <w:fldChar w:fldCharType="end"/>
      </w:r>
    </w:p>
    <w:p>
      <w:pPr>
        <w:pStyle w:val="TOC8"/>
        <w:rPr>
          <w:rFonts w:asciiTheme="minorHAnsi" w:eastAsiaTheme="minorEastAsia" w:hAnsiTheme="minorHAnsi" w:cstheme="minorBidi"/>
          <w:szCs w:val="22"/>
        </w:rPr>
      </w:pPr>
      <w:r>
        <w:t>7.</w:t>
      </w:r>
      <w:r>
        <w:tab/>
        <w:t>Issuing authorities</w:t>
      </w:r>
      <w:r>
        <w:tab/>
      </w:r>
      <w:r>
        <w:fldChar w:fldCharType="begin"/>
      </w:r>
      <w:r>
        <w:instrText xml:space="preserve"> PAGEREF _Toc107483400 \h </w:instrText>
      </w:r>
      <w:r>
        <w:fldChar w:fldCharType="separate"/>
      </w:r>
      <w:r>
        <w:t>6</w:t>
      </w:r>
      <w:r>
        <w:fldChar w:fldCharType="end"/>
      </w:r>
    </w:p>
    <w:p>
      <w:pPr>
        <w:pStyle w:val="TOC8"/>
        <w:rPr>
          <w:rFonts w:asciiTheme="minorHAnsi" w:eastAsiaTheme="minorEastAsia" w:hAnsiTheme="minorHAnsi" w:cstheme="minorBidi"/>
          <w:szCs w:val="22"/>
        </w:rPr>
      </w:pPr>
      <w:r>
        <w:t>8.</w:t>
      </w:r>
      <w:r>
        <w:tab/>
        <w:t>Police officer on whom functions as to preventative detention are imposed</w:t>
      </w:r>
      <w:r>
        <w:tab/>
      </w:r>
      <w:r>
        <w:fldChar w:fldCharType="begin"/>
      </w:r>
      <w:r>
        <w:instrText xml:space="preserve"> PAGEREF _Toc107483401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Preventative detention orders</w:t>
      </w:r>
    </w:p>
    <w:p>
      <w:pPr>
        <w:pStyle w:val="TOC8"/>
        <w:rPr>
          <w:rFonts w:asciiTheme="minorHAnsi" w:eastAsiaTheme="minorEastAsia" w:hAnsiTheme="minorHAnsi" w:cstheme="minorBidi"/>
          <w:szCs w:val="22"/>
        </w:rPr>
      </w:pPr>
      <w:r>
        <w:t>9.</w:t>
      </w:r>
      <w:r>
        <w:tab/>
        <w:t>Basis for applying for and making preventative detention orders</w:t>
      </w:r>
      <w:r>
        <w:tab/>
      </w:r>
      <w:r>
        <w:fldChar w:fldCharType="begin"/>
      </w:r>
      <w:r>
        <w:instrText xml:space="preserve"> PAGEREF _Toc107483403 \h </w:instrText>
      </w:r>
      <w:r>
        <w:fldChar w:fldCharType="separate"/>
      </w:r>
      <w:r>
        <w:t>8</w:t>
      </w:r>
      <w:r>
        <w:fldChar w:fldCharType="end"/>
      </w:r>
    </w:p>
    <w:p>
      <w:pPr>
        <w:pStyle w:val="TOC8"/>
        <w:rPr>
          <w:rFonts w:asciiTheme="minorHAnsi" w:eastAsiaTheme="minorEastAsia" w:hAnsiTheme="minorHAnsi" w:cstheme="minorBidi"/>
          <w:szCs w:val="22"/>
        </w:rPr>
      </w:pPr>
      <w:r>
        <w:t>10.</w:t>
      </w:r>
      <w:r>
        <w:tab/>
        <w:t>Authorising police officers to apply for a preventative detention order</w:t>
      </w:r>
      <w:r>
        <w:tab/>
      </w:r>
      <w:r>
        <w:fldChar w:fldCharType="begin"/>
      </w:r>
      <w:r>
        <w:instrText xml:space="preserve"> PAGEREF _Toc107483404 \h </w:instrText>
      </w:r>
      <w:r>
        <w:fldChar w:fldCharType="separate"/>
      </w:r>
      <w:r>
        <w:t>8</w:t>
      </w:r>
      <w:r>
        <w:fldChar w:fldCharType="end"/>
      </w:r>
    </w:p>
    <w:p>
      <w:pPr>
        <w:pStyle w:val="TOC8"/>
        <w:rPr>
          <w:rFonts w:asciiTheme="minorHAnsi" w:eastAsiaTheme="minorEastAsia" w:hAnsiTheme="minorHAnsi" w:cstheme="minorBidi"/>
          <w:szCs w:val="22"/>
        </w:rPr>
      </w:pPr>
      <w:r>
        <w:t>11.</w:t>
      </w:r>
      <w:r>
        <w:tab/>
        <w:t>Application for a preventative detention order</w:t>
      </w:r>
      <w:r>
        <w:tab/>
      </w:r>
      <w:r>
        <w:fldChar w:fldCharType="begin"/>
      </w:r>
      <w:r>
        <w:instrText xml:space="preserve"> PAGEREF _Toc107483405 \h </w:instrText>
      </w:r>
      <w:r>
        <w:fldChar w:fldCharType="separate"/>
      </w:r>
      <w:r>
        <w:t>9</w:t>
      </w:r>
      <w:r>
        <w:fldChar w:fldCharType="end"/>
      </w:r>
    </w:p>
    <w:p>
      <w:pPr>
        <w:pStyle w:val="TOC8"/>
        <w:rPr>
          <w:rFonts w:asciiTheme="minorHAnsi" w:eastAsiaTheme="minorEastAsia" w:hAnsiTheme="minorHAnsi" w:cstheme="minorBidi"/>
          <w:szCs w:val="22"/>
        </w:rPr>
      </w:pPr>
      <w:r>
        <w:t>12.</w:t>
      </w:r>
      <w:r>
        <w:tab/>
        <w:t>Procedure for applying for preventative detention order</w:t>
      </w:r>
      <w:r>
        <w:tab/>
      </w:r>
      <w:r>
        <w:fldChar w:fldCharType="begin"/>
      </w:r>
      <w:r>
        <w:instrText xml:space="preserve"> PAGEREF _Toc107483406 \h </w:instrText>
      </w:r>
      <w:r>
        <w:fldChar w:fldCharType="separate"/>
      </w:r>
      <w:r>
        <w:t>10</w:t>
      </w:r>
      <w:r>
        <w:fldChar w:fldCharType="end"/>
      </w:r>
    </w:p>
    <w:p>
      <w:pPr>
        <w:pStyle w:val="TOC8"/>
        <w:rPr>
          <w:rFonts w:asciiTheme="minorHAnsi" w:eastAsiaTheme="minorEastAsia" w:hAnsiTheme="minorHAnsi" w:cstheme="minorBidi"/>
          <w:szCs w:val="22"/>
        </w:rPr>
      </w:pPr>
      <w:r>
        <w:t>13.</w:t>
      </w:r>
      <w:r>
        <w:tab/>
        <w:t>Preventative detention orders</w:t>
      </w:r>
      <w:r>
        <w:tab/>
      </w:r>
      <w:r>
        <w:fldChar w:fldCharType="begin"/>
      </w:r>
      <w:r>
        <w:instrText xml:space="preserve"> PAGEREF _Toc107483407 \h </w:instrText>
      </w:r>
      <w:r>
        <w:fldChar w:fldCharType="separate"/>
      </w:r>
      <w:r>
        <w:t>12</w:t>
      </w:r>
      <w:r>
        <w:fldChar w:fldCharType="end"/>
      </w:r>
    </w:p>
    <w:p>
      <w:pPr>
        <w:pStyle w:val="TOC8"/>
        <w:rPr>
          <w:rFonts w:asciiTheme="minorHAnsi" w:eastAsiaTheme="minorEastAsia" w:hAnsiTheme="minorHAnsi" w:cstheme="minorBidi"/>
          <w:szCs w:val="22"/>
        </w:rPr>
      </w:pPr>
      <w:r>
        <w:t>14.</w:t>
      </w:r>
      <w:r>
        <w:tab/>
        <w:t>Duration of preventative detention orders</w:t>
      </w:r>
      <w:r>
        <w:tab/>
      </w:r>
      <w:r>
        <w:fldChar w:fldCharType="begin"/>
      </w:r>
      <w:r>
        <w:instrText xml:space="preserve"> PAGEREF _Toc107483408 \h </w:instrText>
      </w:r>
      <w:r>
        <w:fldChar w:fldCharType="separate"/>
      </w:r>
      <w:r>
        <w:t>14</w:t>
      </w:r>
      <w:r>
        <w:fldChar w:fldCharType="end"/>
      </w:r>
    </w:p>
    <w:p>
      <w:pPr>
        <w:pStyle w:val="TOC8"/>
        <w:rPr>
          <w:rFonts w:asciiTheme="minorHAnsi" w:eastAsiaTheme="minorEastAsia" w:hAnsiTheme="minorHAnsi" w:cstheme="minorBidi"/>
          <w:szCs w:val="22"/>
        </w:rPr>
      </w:pPr>
      <w:r>
        <w:t>15.</w:t>
      </w:r>
      <w:r>
        <w:tab/>
        <w:t>Multiple preventative detention orders</w:t>
      </w:r>
      <w:r>
        <w:tab/>
      </w:r>
      <w:r>
        <w:fldChar w:fldCharType="begin"/>
      </w:r>
      <w:r>
        <w:instrText xml:space="preserve"> PAGEREF _Toc107483409 \h </w:instrText>
      </w:r>
      <w:r>
        <w:fldChar w:fldCharType="separate"/>
      </w:r>
      <w:r>
        <w:t>15</w:t>
      </w:r>
      <w:r>
        <w:fldChar w:fldCharType="end"/>
      </w:r>
    </w:p>
    <w:p>
      <w:pPr>
        <w:pStyle w:val="TOC8"/>
        <w:rPr>
          <w:rFonts w:asciiTheme="minorHAnsi" w:eastAsiaTheme="minorEastAsia" w:hAnsiTheme="minorHAnsi" w:cstheme="minorBidi"/>
          <w:szCs w:val="22"/>
        </w:rPr>
      </w:pPr>
      <w:r>
        <w:t>16.</w:t>
      </w:r>
      <w:r>
        <w:tab/>
        <w:t>No preventative detention order in relation to person under 16 years of age</w:t>
      </w:r>
      <w:r>
        <w:tab/>
      </w:r>
      <w:r>
        <w:fldChar w:fldCharType="begin"/>
      </w:r>
      <w:r>
        <w:instrText xml:space="preserve"> PAGEREF _Toc107483410 \h </w:instrText>
      </w:r>
      <w:r>
        <w:fldChar w:fldCharType="separate"/>
      </w:r>
      <w:r>
        <w:t>16</w:t>
      </w:r>
      <w:r>
        <w:fldChar w:fldCharType="end"/>
      </w:r>
    </w:p>
    <w:p>
      <w:pPr>
        <w:pStyle w:val="TOC8"/>
        <w:rPr>
          <w:rFonts w:asciiTheme="minorHAnsi" w:eastAsiaTheme="minorEastAsia" w:hAnsiTheme="minorHAnsi" w:cstheme="minorBidi"/>
          <w:szCs w:val="22"/>
        </w:rPr>
      </w:pPr>
      <w:r>
        <w:t>17.</w:t>
      </w:r>
      <w:r>
        <w:tab/>
        <w:t>Prohibited contact order (person in relation to whom preventative detention order is being sought)</w:t>
      </w:r>
      <w:r>
        <w:tab/>
      </w:r>
      <w:r>
        <w:fldChar w:fldCharType="begin"/>
      </w:r>
      <w:r>
        <w:instrText xml:space="preserve"> PAGEREF _Toc107483411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w:t>
      </w:r>
      <w:r>
        <w:tab/>
        <w:t>Prohibited contact order (person in relation to whom preventative detention order is already in force)</w:t>
      </w:r>
      <w:r>
        <w:tab/>
      </w:r>
      <w:r>
        <w:fldChar w:fldCharType="begin"/>
      </w:r>
      <w:r>
        <w:instrText xml:space="preserve"> PAGEREF _Toc107483412 \h </w:instrText>
      </w:r>
      <w:r>
        <w:fldChar w:fldCharType="separate"/>
      </w:r>
      <w:r>
        <w:t>18</w:t>
      </w:r>
      <w:r>
        <w:fldChar w:fldCharType="end"/>
      </w:r>
    </w:p>
    <w:p>
      <w:pPr>
        <w:pStyle w:val="TOC8"/>
        <w:rPr>
          <w:rFonts w:asciiTheme="minorHAnsi" w:eastAsiaTheme="minorEastAsia" w:hAnsiTheme="minorHAnsi" w:cstheme="minorBidi"/>
          <w:szCs w:val="22"/>
        </w:rPr>
      </w:pPr>
      <w:r>
        <w:t>19.</w:t>
      </w:r>
      <w:r>
        <w:tab/>
        <w:t>Form and notification of prohibited contact order</w:t>
      </w:r>
      <w:r>
        <w:tab/>
      </w:r>
      <w:r>
        <w:fldChar w:fldCharType="begin"/>
      </w:r>
      <w:r>
        <w:instrText xml:space="preserve"> PAGEREF _Toc107483413 \h </w:instrText>
      </w:r>
      <w:r>
        <w:fldChar w:fldCharType="separate"/>
      </w:r>
      <w:r>
        <w:t>19</w:t>
      </w:r>
      <w:r>
        <w:fldChar w:fldCharType="end"/>
      </w:r>
    </w:p>
    <w:p>
      <w:pPr>
        <w:pStyle w:val="TOC8"/>
        <w:rPr>
          <w:rFonts w:asciiTheme="minorHAnsi" w:eastAsiaTheme="minorEastAsia" w:hAnsiTheme="minorHAnsi" w:cstheme="minorBidi"/>
          <w:szCs w:val="22"/>
        </w:rPr>
      </w:pPr>
      <w:r>
        <w:t>20.</w:t>
      </w:r>
      <w:r>
        <w:tab/>
        <w:t>Revocation of preventative detention order or prohibited contact order</w:t>
      </w:r>
      <w:r>
        <w:tab/>
      </w:r>
      <w:r>
        <w:fldChar w:fldCharType="begin"/>
      </w:r>
      <w:r>
        <w:instrText xml:space="preserve"> PAGEREF _Toc107483414 \h </w:instrText>
      </w:r>
      <w:r>
        <w:fldChar w:fldCharType="separate"/>
      </w:r>
      <w:r>
        <w:t>19</w:t>
      </w:r>
      <w:r>
        <w:fldChar w:fldCharType="end"/>
      </w:r>
    </w:p>
    <w:p>
      <w:pPr>
        <w:pStyle w:val="TOC8"/>
        <w:rPr>
          <w:rFonts w:asciiTheme="minorHAnsi" w:eastAsiaTheme="minorEastAsia" w:hAnsiTheme="minorHAnsi" w:cstheme="minorBidi"/>
          <w:szCs w:val="22"/>
        </w:rPr>
      </w:pPr>
      <w:r>
        <w:t>21.</w:t>
      </w:r>
      <w:r>
        <w:tab/>
        <w:t>Status of person making preventative detention order</w:t>
      </w:r>
      <w:r>
        <w:tab/>
      </w:r>
      <w:r>
        <w:fldChar w:fldCharType="begin"/>
      </w:r>
      <w:r>
        <w:instrText xml:space="preserve"> PAGEREF _Toc107483415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Review of preventative detention orders</w:t>
      </w:r>
    </w:p>
    <w:p>
      <w:pPr>
        <w:pStyle w:val="TOC8"/>
        <w:rPr>
          <w:rFonts w:asciiTheme="minorHAnsi" w:eastAsiaTheme="minorEastAsia" w:hAnsiTheme="minorHAnsi" w:cstheme="minorBidi"/>
          <w:szCs w:val="22"/>
        </w:rPr>
      </w:pPr>
      <w:r>
        <w:t>22.</w:t>
      </w:r>
      <w:r>
        <w:tab/>
        <w:t>Review by Supreme Court</w:t>
      </w:r>
      <w:r>
        <w:tab/>
      </w:r>
      <w:r>
        <w:fldChar w:fldCharType="begin"/>
      </w:r>
      <w:r>
        <w:instrText xml:space="preserve"> PAGEREF _Toc107483417 \h </w:instrText>
      </w:r>
      <w:r>
        <w:fldChar w:fldCharType="separate"/>
      </w:r>
      <w:r>
        <w:t>21</w:t>
      </w:r>
      <w:r>
        <w:fldChar w:fldCharType="end"/>
      </w:r>
    </w:p>
    <w:p>
      <w:pPr>
        <w:pStyle w:val="TOC8"/>
        <w:rPr>
          <w:rFonts w:asciiTheme="minorHAnsi" w:eastAsiaTheme="minorEastAsia" w:hAnsiTheme="minorHAnsi" w:cstheme="minorBidi"/>
          <w:szCs w:val="22"/>
        </w:rPr>
      </w:pPr>
      <w:r>
        <w:t>23.</w:t>
      </w:r>
      <w:r>
        <w:tab/>
        <w:t>Powers may be exercised while review is in progress</w:t>
      </w:r>
      <w:r>
        <w:tab/>
      </w:r>
      <w:r>
        <w:fldChar w:fldCharType="begin"/>
      </w:r>
      <w:r>
        <w:instrText xml:space="preserve"> PAGEREF _Toc107483418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Carrying out preventative detention orders</w:t>
      </w:r>
    </w:p>
    <w:p>
      <w:pPr>
        <w:pStyle w:val="TOC8"/>
        <w:rPr>
          <w:rFonts w:asciiTheme="minorHAnsi" w:eastAsiaTheme="minorEastAsia" w:hAnsiTheme="minorHAnsi" w:cstheme="minorBidi"/>
          <w:szCs w:val="22"/>
        </w:rPr>
      </w:pPr>
      <w:r>
        <w:t>24.</w:t>
      </w:r>
      <w:r>
        <w:tab/>
        <w:t>Power to detain person under preventative detention order</w:t>
      </w:r>
      <w:r>
        <w:tab/>
      </w:r>
      <w:r>
        <w:fldChar w:fldCharType="begin"/>
      </w:r>
      <w:r>
        <w:instrText xml:space="preserve"> PAGEREF _Toc107483420 \h </w:instrText>
      </w:r>
      <w:r>
        <w:fldChar w:fldCharType="separate"/>
      </w:r>
      <w:r>
        <w:t>24</w:t>
      </w:r>
      <w:r>
        <w:fldChar w:fldCharType="end"/>
      </w:r>
    </w:p>
    <w:p>
      <w:pPr>
        <w:pStyle w:val="TOC8"/>
        <w:rPr>
          <w:rFonts w:asciiTheme="minorHAnsi" w:eastAsiaTheme="minorEastAsia" w:hAnsiTheme="minorHAnsi" w:cstheme="minorBidi"/>
          <w:szCs w:val="22"/>
        </w:rPr>
      </w:pPr>
      <w:r>
        <w:t>25.</w:t>
      </w:r>
      <w:r>
        <w:tab/>
        <w:t>Endorsement of order with date and time person taken into custody or detained</w:t>
      </w:r>
      <w:r>
        <w:tab/>
      </w:r>
      <w:r>
        <w:fldChar w:fldCharType="begin"/>
      </w:r>
      <w:r>
        <w:instrText xml:space="preserve"> PAGEREF _Toc107483421 \h </w:instrText>
      </w:r>
      <w:r>
        <w:fldChar w:fldCharType="separate"/>
      </w:r>
      <w:r>
        <w:t>25</w:t>
      </w:r>
      <w:r>
        <w:fldChar w:fldCharType="end"/>
      </w:r>
    </w:p>
    <w:p>
      <w:pPr>
        <w:pStyle w:val="TOC8"/>
        <w:rPr>
          <w:rFonts w:asciiTheme="minorHAnsi" w:eastAsiaTheme="minorEastAsia" w:hAnsiTheme="minorHAnsi" w:cstheme="minorBidi"/>
          <w:szCs w:val="22"/>
        </w:rPr>
      </w:pPr>
      <w:r>
        <w:t>26.</w:t>
      </w:r>
      <w:r>
        <w:tab/>
        <w:t>Exercising powers, general matters</w:t>
      </w:r>
      <w:r>
        <w:tab/>
      </w:r>
      <w:r>
        <w:fldChar w:fldCharType="begin"/>
      </w:r>
      <w:r>
        <w:instrText xml:space="preserve"> PAGEREF _Toc107483422 \h </w:instrText>
      </w:r>
      <w:r>
        <w:fldChar w:fldCharType="separate"/>
      </w:r>
      <w:r>
        <w:t>25</w:t>
      </w:r>
      <w:r>
        <w:fldChar w:fldCharType="end"/>
      </w:r>
    </w:p>
    <w:p>
      <w:pPr>
        <w:pStyle w:val="TOC8"/>
        <w:rPr>
          <w:rFonts w:asciiTheme="minorHAnsi" w:eastAsiaTheme="minorEastAsia" w:hAnsiTheme="minorHAnsi" w:cstheme="minorBidi"/>
          <w:szCs w:val="22"/>
        </w:rPr>
      </w:pPr>
      <w:r>
        <w:t>27.</w:t>
      </w:r>
      <w:r>
        <w:tab/>
        <w:t>Personal details of certain people may be obtained</w:t>
      </w:r>
      <w:r>
        <w:tab/>
      </w:r>
      <w:r>
        <w:fldChar w:fldCharType="begin"/>
      </w:r>
      <w:r>
        <w:instrText xml:space="preserve"> PAGEREF _Toc107483423 \h </w:instrText>
      </w:r>
      <w:r>
        <w:fldChar w:fldCharType="separate"/>
      </w:r>
      <w:r>
        <w:t>26</w:t>
      </w:r>
      <w:r>
        <w:fldChar w:fldCharType="end"/>
      </w:r>
    </w:p>
    <w:p>
      <w:pPr>
        <w:pStyle w:val="TOC8"/>
        <w:rPr>
          <w:rFonts w:asciiTheme="minorHAnsi" w:eastAsiaTheme="minorEastAsia" w:hAnsiTheme="minorHAnsi" w:cstheme="minorBidi"/>
          <w:szCs w:val="22"/>
        </w:rPr>
      </w:pPr>
      <w:r>
        <w:t>28.</w:t>
      </w:r>
      <w:r>
        <w:tab/>
        <w:t>Power to enter places</w:t>
      </w:r>
      <w:r>
        <w:tab/>
      </w:r>
      <w:r>
        <w:fldChar w:fldCharType="begin"/>
      </w:r>
      <w:r>
        <w:instrText xml:space="preserve"> PAGEREF _Toc107483424 \h </w:instrText>
      </w:r>
      <w:r>
        <w:fldChar w:fldCharType="separate"/>
      </w:r>
      <w:r>
        <w:t>26</w:t>
      </w:r>
      <w:r>
        <w:fldChar w:fldCharType="end"/>
      </w:r>
    </w:p>
    <w:p>
      <w:pPr>
        <w:pStyle w:val="TOC8"/>
        <w:rPr>
          <w:rFonts w:asciiTheme="minorHAnsi" w:eastAsiaTheme="minorEastAsia" w:hAnsiTheme="minorHAnsi" w:cstheme="minorBidi"/>
          <w:szCs w:val="22"/>
        </w:rPr>
      </w:pPr>
      <w:r>
        <w:t>29.</w:t>
      </w:r>
      <w:r>
        <w:tab/>
        <w:t>Use of force</w:t>
      </w:r>
      <w:r>
        <w:tab/>
      </w:r>
      <w:r>
        <w:fldChar w:fldCharType="begin"/>
      </w:r>
      <w:r>
        <w:instrText xml:space="preserve"> PAGEREF _Toc107483425 \h </w:instrText>
      </w:r>
      <w:r>
        <w:fldChar w:fldCharType="separate"/>
      </w:r>
      <w:r>
        <w:t>27</w:t>
      </w:r>
      <w:r>
        <w:fldChar w:fldCharType="end"/>
      </w:r>
    </w:p>
    <w:p>
      <w:pPr>
        <w:pStyle w:val="TOC8"/>
        <w:rPr>
          <w:rFonts w:asciiTheme="minorHAnsi" w:eastAsiaTheme="minorEastAsia" w:hAnsiTheme="minorHAnsi" w:cstheme="minorBidi"/>
          <w:szCs w:val="22"/>
        </w:rPr>
      </w:pPr>
      <w:r>
        <w:t>30.</w:t>
      </w:r>
      <w:r>
        <w:tab/>
        <w:t>Power to search people</w:t>
      </w:r>
      <w:r>
        <w:tab/>
      </w:r>
      <w:r>
        <w:fldChar w:fldCharType="begin"/>
      </w:r>
      <w:r>
        <w:instrText xml:space="preserve"> PAGEREF _Toc107483426 \h </w:instrText>
      </w:r>
      <w:r>
        <w:fldChar w:fldCharType="separate"/>
      </w:r>
      <w:r>
        <w:t>27</w:t>
      </w:r>
      <w:r>
        <w:fldChar w:fldCharType="end"/>
      </w:r>
    </w:p>
    <w:p>
      <w:pPr>
        <w:pStyle w:val="TOC8"/>
        <w:rPr>
          <w:rFonts w:asciiTheme="minorHAnsi" w:eastAsiaTheme="minorEastAsia" w:hAnsiTheme="minorHAnsi" w:cstheme="minorBidi"/>
          <w:szCs w:val="22"/>
        </w:rPr>
      </w:pPr>
      <w:r>
        <w:t>31.</w:t>
      </w:r>
      <w:r>
        <w:tab/>
        <w:t xml:space="preserve">Warrant under Part III Division 3 of the </w:t>
      </w:r>
      <w:r>
        <w:rPr>
          <w:i/>
        </w:rPr>
        <w:t>Australian Security Intelligence Organisation Act 1979</w:t>
      </w:r>
      <w:r>
        <w:tab/>
      </w:r>
      <w:r>
        <w:fldChar w:fldCharType="begin"/>
      </w:r>
      <w:r>
        <w:instrText xml:space="preserve"> PAGEREF _Toc107483427 \h </w:instrText>
      </w:r>
      <w:r>
        <w:fldChar w:fldCharType="separate"/>
      </w:r>
      <w:r>
        <w:t>28</w:t>
      </w:r>
      <w:r>
        <w:fldChar w:fldCharType="end"/>
      </w:r>
    </w:p>
    <w:p>
      <w:pPr>
        <w:pStyle w:val="TOC8"/>
        <w:rPr>
          <w:rFonts w:asciiTheme="minorHAnsi" w:eastAsiaTheme="minorEastAsia" w:hAnsiTheme="minorHAnsi" w:cstheme="minorBidi"/>
          <w:szCs w:val="22"/>
        </w:rPr>
      </w:pPr>
      <w:r>
        <w:t>32.</w:t>
      </w:r>
      <w:r>
        <w:tab/>
        <w:t>Release of person from preventative detention</w:t>
      </w:r>
      <w:r>
        <w:tab/>
      </w:r>
      <w:r>
        <w:fldChar w:fldCharType="begin"/>
      </w:r>
      <w:r>
        <w:instrText xml:space="preserve"> PAGEREF _Toc107483428 \h </w:instrText>
      </w:r>
      <w:r>
        <w:fldChar w:fldCharType="separate"/>
      </w:r>
      <w:r>
        <w:t>29</w:t>
      </w:r>
      <w:r>
        <w:fldChar w:fldCharType="end"/>
      </w:r>
    </w:p>
    <w:p>
      <w:pPr>
        <w:pStyle w:val="TOC8"/>
        <w:rPr>
          <w:rFonts w:asciiTheme="minorHAnsi" w:eastAsiaTheme="minorEastAsia" w:hAnsiTheme="minorHAnsi" w:cstheme="minorBidi"/>
          <w:szCs w:val="22"/>
        </w:rPr>
      </w:pPr>
      <w:r>
        <w:t>33.</w:t>
      </w:r>
      <w:r>
        <w:tab/>
        <w:t>Arrangement for person to be in detention in a prison or detention centre</w:t>
      </w:r>
      <w:r>
        <w:tab/>
      </w:r>
      <w:r>
        <w:fldChar w:fldCharType="begin"/>
      </w:r>
      <w:r>
        <w:instrText xml:space="preserve"> PAGEREF _Toc107483429 \h </w:instrText>
      </w:r>
      <w:r>
        <w:fldChar w:fldCharType="separate"/>
      </w:r>
      <w:r>
        <w:t>31</w:t>
      </w:r>
      <w:r>
        <w:fldChar w:fldCharType="end"/>
      </w:r>
    </w:p>
    <w:p>
      <w:pPr>
        <w:pStyle w:val="TOC8"/>
        <w:rPr>
          <w:rFonts w:asciiTheme="minorHAnsi" w:eastAsiaTheme="minorEastAsia" w:hAnsiTheme="minorHAnsi" w:cstheme="minorBidi"/>
          <w:szCs w:val="22"/>
        </w:rPr>
      </w:pPr>
      <w:r>
        <w:t>34.</w:t>
      </w:r>
      <w:r>
        <w:tab/>
        <w:t>Inspector of Custodial Services to be notified of detention</w:t>
      </w:r>
      <w:r>
        <w:tab/>
      </w:r>
      <w:r>
        <w:fldChar w:fldCharType="begin"/>
      </w:r>
      <w:r>
        <w:instrText xml:space="preserve"> PAGEREF _Toc107483430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Informing person detained about preventative detention order</w:t>
      </w:r>
    </w:p>
    <w:p>
      <w:pPr>
        <w:pStyle w:val="TOC8"/>
        <w:rPr>
          <w:rFonts w:asciiTheme="minorHAnsi" w:eastAsiaTheme="minorEastAsia" w:hAnsiTheme="minorHAnsi" w:cstheme="minorBidi"/>
          <w:szCs w:val="22"/>
        </w:rPr>
      </w:pPr>
      <w:r>
        <w:t>35.</w:t>
      </w:r>
      <w:r>
        <w:tab/>
        <w:t>Effect of preventative detention order to be explained to person detained</w:t>
      </w:r>
      <w:r>
        <w:tab/>
      </w:r>
      <w:r>
        <w:fldChar w:fldCharType="begin"/>
      </w:r>
      <w:r>
        <w:instrText xml:space="preserve"> PAGEREF _Toc107483432 \h </w:instrText>
      </w:r>
      <w:r>
        <w:fldChar w:fldCharType="separate"/>
      </w:r>
      <w:r>
        <w:t>34</w:t>
      </w:r>
      <w:r>
        <w:fldChar w:fldCharType="end"/>
      </w:r>
    </w:p>
    <w:p>
      <w:pPr>
        <w:pStyle w:val="TOC8"/>
        <w:rPr>
          <w:rFonts w:asciiTheme="minorHAnsi" w:eastAsiaTheme="minorEastAsia" w:hAnsiTheme="minorHAnsi" w:cstheme="minorBidi"/>
          <w:szCs w:val="22"/>
        </w:rPr>
      </w:pPr>
      <w:r>
        <w:lastRenderedPageBreak/>
        <w:t>36.</w:t>
      </w:r>
      <w:r>
        <w:tab/>
        <w:t>Compliance with duties to inform</w:t>
      </w:r>
      <w:r>
        <w:tab/>
      </w:r>
      <w:r>
        <w:fldChar w:fldCharType="begin"/>
      </w:r>
      <w:r>
        <w:instrText xml:space="preserve"> PAGEREF _Toc107483433 \h </w:instrText>
      </w:r>
      <w:r>
        <w:fldChar w:fldCharType="separate"/>
      </w:r>
      <w:r>
        <w:t>36</w:t>
      </w:r>
      <w:r>
        <w:fldChar w:fldCharType="end"/>
      </w:r>
    </w:p>
    <w:p>
      <w:pPr>
        <w:pStyle w:val="TOC8"/>
        <w:rPr>
          <w:rFonts w:asciiTheme="minorHAnsi" w:eastAsiaTheme="minorEastAsia" w:hAnsiTheme="minorHAnsi" w:cstheme="minorBidi"/>
          <w:szCs w:val="22"/>
        </w:rPr>
      </w:pPr>
      <w:r>
        <w:t>37.</w:t>
      </w:r>
      <w:r>
        <w:tab/>
        <w:t>Copy of preventative detention order and summary of grounds</w:t>
      </w:r>
      <w:r>
        <w:tab/>
      </w:r>
      <w:r>
        <w:fldChar w:fldCharType="begin"/>
      </w:r>
      <w:r>
        <w:instrText xml:space="preserve"> PAGEREF _Toc107483434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Treatment of person in detention</w:t>
      </w:r>
    </w:p>
    <w:p>
      <w:pPr>
        <w:pStyle w:val="TOC8"/>
        <w:rPr>
          <w:rFonts w:asciiTheme="minorHAnsi" w:eastAsiaTheme="minorEastAsia" w:hAnsiTheme="minorHAnsi" w:cstheme="minorBidi"/>
          <w:szCs w:val="22"/>
        </w:rPr>
      </w:pPr>
      <w:r>
        <w:t>38.</w:t>
      </w:r>
      <w:r>
        <w:tab/>
        <w:t>Application of Part</w:t>
      </w:r>
      <w:r>
        <w:tab/>
      </w:r>
      <w:r>
        <w:fldChar w:fldCharType="begin"/>
      </w:r>
      <w:r>
        <w:instrText xml:space="preserve"> PAGEREF _Toc107483436 \h </w:instrText>
      </w:r>
      <w:r>
        <w:fldChar w:fldCharType="separate"/>
      </w:r>
      <w:r>
        <w:t>39</w:t>
      </w:r>
      <w:r>
        <w:fldChar w:fldCharType="end"/>
      </w:r>
    </w:p>
    <w:p>
      <w:pPr>
        <w:pStyle w:val="TOC8"/>
        <w:rPr>
          <w:rFonts w:asciiTheme="minorHAnsi" w:eastAsiaTheme="minorEastAsia" w:hAnsiTheme="minorHAnsi" w:cstheme="minorBidi"/>
          <w:szCs w:val="22"/>
        </w:rPr>
      </w:pPr>
      <w:r>
        <w:t>39.</w:t>
      </w:r>
      <w:r>
        <w:tab/>
        <w:t>Humane treatment of detainee</w:t>
      </w:r>
      <w:r>
        <w:tab/>
      </w:r>
      <w:r>
        <w:fldChar w:fldCharType="begin"/>
      </w:r>
      <w:r>
        <w:instrText xml:space="preserve"> PAGEREF _Toc107483437 \h </w:instrText>
      </w:r>
      <w:r>
        <w:fldChar w:fldCharType="separate"/>
      </w:r>
      <w:r>
        <w:t>39</w:t>
      </w:r>
      <w:r>
        <w:fldChar w:fldCharType="end"/>
      </w:r>
    </w:p>
    <w:p>
      <w:pPr>
        <w:pStyle w:val="TOC8"/>
        <w:rPr>
          <w:rFonts w:asciiTheme="minorHAnsi" w:eastAsiaTheme="minorEastAsia" w:hAnsiTheme="minorHAnsi" w:cstheme="minorBidi"/>
          <w:szCs w:val="22"/>
        </w:rPr>
      </w:pPr>
      <w:r>
        <w:t>40.</w:t>
      </w:r>
      <w:r>
        <w:tab/>
        <w:t>Restriction on contact with other people</w:t>
      </w:r>
      <w:r>
        <w:tab/>
      </w:r>
      <w:r>
        <w:fldChar w:fldCharType="begin"/>
      </w:r>
      <w:r>
        <w:instrText xml:space="preserve"> PAGEREF _Toc107483438 \h </w:instrText>
      </w:r>
      <w:r>
        <w:fldChar w:fldCharType="separate"/>
      </w:r>
      <w:r>
        <w:t>40</w:t>
      </w:r>
      <w:r>
        <w:fldChar w:fldCharType="end"/>
      </w:r>
    </w:p>
    <w:p>
      <w:pPr>
        <w:pStyle w:val="TOC8"/>
        <w:rPr>
          <w:rFonts w:asciiTheme="minorHAnsi" w:eastAsiaTheme="minorEastAsia" w:hAnsiTheme="minorHAnsi" w:cstheme="minorBidi"/>
          <w:szCs w:val="22"/>
        </w:rPr>
      </w:pPr>
      <w:r>
        <w:t>41.</w:t>
      </w:r>
      <w:r>
        <w:tab/>
        <w:t>Contacting family members and home or work associates</w:t>
      </w:r>
      <w:r>
        <w:tab/>
      </w:r>
      <w:r>
        <w:fldChar w:fldCharType="begin"/>
      </w:r>
      <w:r>
        <w:instrText xml:space="preserve"> PAGEREF _Toc107483439 \h </w:instrText>
      </w:r>
      <w:r>
        <w:fldChar w:fldCharType="separate"/>
      </w:r>
      <w:r>
        <w:t>40</w:t>
      </w:r>
      <w:r>
        <w:fldChar w:fldCharType="end"/>
      </w:r>
    </w:p>
    <w:p>
      <w:pPr>
        <w:pStyle w:val="TOC8"/>
        <w:rPr>
          <w:rFonts w:asciiTheme="minorHAnsi" w:eastAsiaTheme="minorEastAsia" w:hAnsiTheme="minorHAnsi" w:cstheme="minorBidi"/>
          <w:szCs w:val="22"/>
        </w:rPr>
      </w:pPr>
      <w:r>
        <w:t>42.</w:t>
      </w:r>
      <w:r>
        <w:tab/>
        <w:t>Contacting proper authorities to make complaints, allegations of serious misconduct and representations</w:t>
      </w:r>
      <w:r>
        <w:tab/>
      </w:r>
      <w:r>
        <w:fldChar w:fldCharType="begin"/>
      </w:r>
      <w:r>
        <w:instrText xml:space="preserve"> PAGEREF _Toc107483440 \h </w:instrText>
      </w:r>
      <w:r>
        <w:fldChar w:fldCharType="separate"/>
      </w:r>
      <w:r>
        <w:t>41</w:t>
      </w:r>
      <w:r>
        <w:fldChar w:fldCharType="end"/>
      </w:r>
    </w:p>
    <w:p>
      <w:pPr>
        <w:pStyle w:val="TOC8"/>
        <w:rPr>
          <w:rFonts w:asciiTheme="minorHAnsi" w:eastAsiaTheme="minorEastAsia" w:hAnsiTheme="minorHAnsi" w:cstheme="minorBidi"/>
          <w:szCs w:val="22"/>
        </w:rPr>
      </w:pPr>
      <w:r>
        <w:t>43.</w:t>
      </w:r>
      <w:r>
        <w:tab/>
        <w:t>Contacting lawyer</w:t>
      </w:r>
      <w:r>
        <w:tab/>
      </w:r>
      <w:r>
        <w:fldChar w:fldCharType="begin"/>
      </w:r>
      <w:r>
        <w:instrText xml:space="preserve"> PAGEREF _Toc107483441 \h </w:instrText>
      </w:r>
      <w:r>
        <w:fldChar w:fldCharType="separate"/>
      </w:r>
      <w:r>
        <w:t>42</w:t>
      </w:r>
      <w:r>
        <w:fldChar w:fldCharType="end"/>
      </w:r>
    </w:p>
    <w:p>
      <w:pPr>
        <w:pStyle w:val="TOC8"/>
        <w:rPr>
          <w:rFonts w:asciiTheme="minorHAnsi" w:eastAsiaTheme="minorEastAsia" w:hAnsiTheme="minorHAnsi" w:cstheme="minorBidi"/>
          <w:szCs w:val="22"/>
        </w:rPr>
      </w:pPr>
      <w:r>
        <w:t>43A.</w:t>
      </w:r>
      <w:r>
        <w:tab/>
        <w:t>Contact with approved religious or spiritual adviser</w:t>
      </w:r>
      <w:r>
        <w:tab/>
      </w:r>
      <w:r>
        <w:fldChar w:fldCharType="begin"/>
      </w:r>
      <w:r>
        <w:instrText xml:space="preserve"> PAGEREF _Toc107483442 \h </w:instrText>
      </w:r>
      <w:r>
        <w:fldChar w:fldCharType="separate"/>
      </w:r>
      <w:r>
        <w:t>44</w:t>
      </w:r>
      <w:r>
        <w:fldChar w:fldCharType="end"/>
      </w:r>
    </w:p>
    <w:p>
      <w:pPr>
        <w:pStyle w:val="TOC8"/>
        <w:rPr>
          <w:rFonts w:asciiTheme="minorHAnsi" w:eastAsiaTheme="minorEastAsia" w:hAnsiTheme="minorHAnsi" w:cstheme="minorBidi"/>
          <w:szCs w:val="22"/>
        </w:rPr>
      </w:pPr>
      <w:r>
        <w:t>44.</w:t>
      </w:r>
      <w:r>
        <w:tab/>
        <w:t>Monitoring contact with family members, home or work associates, lawyer or approved religious or spiritual adviser</w:t>
      </w:r>
      <w:r>
        <w:tab/>
      </w:r>
      <w:r>
        <w:fldChar w:fldCharType="begin"/>
      </w:r>
      <w:r>
        <w:instrText xml:space="preserve"> PAGEREF _Toc107483443 \h </w:instrText>
      </w:r>
      <w:r>
        <w:fldChar w:fldCharType="separate"/>
      </w:r>
      <w:r>
        <w:t>45</w:t>
      </w:r>
      <w:r>
        <w:fldChar w:fldCharType="end"/>
      </w:r>
    </w:p>
    <w:p>
      <w:pPr>
        <w:pStyle w:val="TOC8"/>
        <w:rPr>
          <w:rFonts w:asciiTheme="minorHAnsi" w:eastAsiaTheme="minorEastAsia" w:hAnsiTheme="minorHAnsi" w:cstheme="minorBidi"/>
          <w:szCs w:val="22"/>
        </w:rPr>
      </w:pPr>
      <w:r>
        <w:t>45.</w:t>
      </w:r>
      <w:r>
        <w:tab/>
        <w:t>Special contact rules for people under 18 or incapable of managing their own affairs</w:t>
      </w:r>
      <w:r>
        <w:tab/>
      </w:r>
      <w:r>
        <w:fldChar w:fldCharType="begin"/>
      </w:r>
      <w:r>
        <w:instrText xml:space="preserve"> PAGEREF _Toc107483444 \h </w:instrText>
      </w:r>
      <w:r>
        <w:fldChar w:fldCharType="separate"/>
      </w:r>
      <w:r>
        <w:t>46</w:t>
      </w:r>
      <w:r>
        <w:fldChar w:fldCharType="end"/>
      </w:r>
    </w:p>
    <w:p>
      <w:pPr>
        <w:pStyle w:val="TOC8"/>
        <w:rPr>
          <w:rFonts w:asciiTheme="minorHAnsi" w:eastAsiaTheme="minorEastAsia" w:hAnsiTheme="minorHAnsi" w:cstheme="minorBidi"/>
          <w:szCs w:val="22"/>
        </w:rPr>
      </w:pPr>
      <w:r>
        <w:t>46.</w:t>
      </w:r>
      <w:r>
        <w:tab/>
        <w:t>Disclosure offences</w:t>
      </w:r>
      <w:r>
        <w:tab/>
      </w:r>
      <w:r>
        <w:fldChar w:fldCharType="begin"/>
      </w:r>
      <w:r>
        <w:instrText xml:space="preserve"> PAGEREF _Toc107483445 \h </w:instrText>
      </w:r>
      <w:r>
        <w:fldChar w:fldCharType="separate"/>
      </w:r>
      <w:r>
        <w:t>50</w:t>
      </w:r>
      <w:r>
        <w:fldChar w:fldCharType="end"/>
      </w:r>
    </w:p>
    <w:p>
      <w:pPr>
        <w:pStyle w:val="TOC8"/>
        <w:rPr>
          <w:rFonts w:asciiTheme="minorHAnsi" w:eastAsiaTheme="minorEastAsia" w:hAnsiTheme="minorHAnsi" w:cstheme="minorBidi"/>
          <w:szCs w:val="22"/>
        </w:rPr>
      </w:pPr>
      <w:r>
        <w:t>47.</w:t>
      </w:r>
      <w:r>
        <w:tab/>
        <w:t>Detainee not to be questioned while in detention</w:t>
      </w:r>
      <w:r>
        <w:tab/>
      </w:r>
      <w:r>
        <w:fldChar w:fldCharType="begin"/>
      </w:r>
      <w:r>
        <w:instrText xml:space="preserve"> PAGEREF _Toc107483446 \h </w:instrText>
      </w:r>
      <w:r>
        <w:fldChar w:fldCharType="separate"/>
      </w:r>
      <w:r>
        <w:t>55</w:t>
      </w:r>
      <w:r>
        <w:fldChar w:fldCharType="end"/>
      </w:r>
    </w:p>
    <w:p>
      <w:pPr>
        <w:pStyle w:val="TOC8"/>
        <w:rPr>
          <w:rFonts w:asciiTheme="minorHAnsi" w:eastAsiaTheme="minorEastAsia" w:hAnsiTheme="minorHAnsi" w:cstheme="minorBidi"/>
          <w:szCs w:val="22"/>
        </w:rPr>
      </w:pPr>
      <w:r>
        <w:t>48.</w:t>
      </w:r>
      <w:r>
        <w:tab/>
        <w:t>Taking identification material</w:t>
      </w:r>
      <w:r>
        <w:tab/>
      </w:r>
      <w:r>
        <w:fldChar w:fldCharType="begin"/>
      </w:r>
      <w:r>
        <w:instrText xml:space="preserve"> PAGEREF _Toc107483447 \h </w:instrText>
      </w:r>
      <w:r>
        <w:fldChar w:fldCharType="separate"/>
      </w:r>
      <w:r>
        <w:t>56</w:t>
      </w:r>
      <w:r>
        <w:fldChar w:fldCharType="end"/>
      </w:r>
    </w:p>
    <w:p>
      <w:pPr>
        <w:pStyle w:val="TOC8"/>
        <w:rPr>
          <w:rFonts w:asciiTheme="minorHAnsi" w:eastAsiaTheme="minorEastAsia" w:hAnsiTheme="minorHAnsi" w:cstheme="minorBidi"/>
          <w:szCs w:val="22"/>
        </w:rPr>
      </w:pPr>
      <w:r>
        <w:t>49.</w:t>
      </w:r>
      <w:r>
        <w:tab/>
        <w:t>Use of identification material</w:t>
      </w:r>
      <w:r>
        <w:tab/>
      </w:r>
      <w:r>
        <w:fldChar w:fldCharType="begin"/>
      </w:r>
      <w:r>
        <w:instrText xml:space="preserve"> PAGEREF _Toc107483448 \h </w:instrText>
      </w:r>
      <w:r>
        <w:fldChar w:fldCharType="separate"/>
      </w:r>
      <w:r>
        <w:t>58</w:t>
      </w:r>
      <w:r>
        <w:fldChar w:fldCharType="end"/>
      </w:r>
    </w:p>
    <w:p>
      <w:pPr>
        <w:pStyle w:val="TOC8"/>
        <w:rPr>
          <w:rFonts w:asciiTheme="minorHAnsi" w:eastAsiaTheme="minorEastAsia" w:hAnsiTheme="minorHAnsi" w:cstheme="minorBidi"/>
          <w:szCs w:val="22"/>
        </w:rPr>
      </w:pPr>
      <w:r>
        <w:t>50.</w:t>
      </w:r>
      <w:r>
        <w:tab/>
        <w:t>Offences of contravening safeguards</w:t>
      </w:r>
      <w:r>
        <w:tab/>
      </w:r>
      <w:r>
        <w:fldChar w:fldCharType="begin"/>
      </w:r>
      <w:r>
        <w:instrText xml:space="preserve"> PAGEREF _Toc107483449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51.</w:t>
      </w:r>
      <w:r>
        <w:tab/>
        <w:t>Commissioner’s functions may be performed by others</w:t>
      </w:r>
      <w:r>
        <w:tab/>
      </w:r>
      <w:r>
        <w:fldChar w:fldCharType="begin"/>
      </w:r>
      <w:r>
        <w:instrText xml:space="preserve"> PAGEREF _Toc107483451 \h </w:instrText>
      </w:r>
      <w:r>
        <w:fldChar w:fldCharType="separate"/>
      </w:r>
      <w:r>
        <w:t>60</w:t>
      </w:r>
      <w:r>
        <w:fldChar w:fldCharType="end"/>
      </w:r>
    </w:p>
    <w:p>
      <w:pPr>
        <w:pStyle w:val="TOC8"/>
        <w:rPr>
          <w:rFonts w:asciiTheme="minorHAnsi" w:eastAsiaTheme="minorEastAsia" w:hAnsiTheme="minorHAnsi" w:cstheme="minorBidi"/>
          <w:szCs w:val="22"/>
        </w:rPr>
      </w:pPr>
      <w:r>
        <w:t>52.</w:t>
      </w:r>
      <w:r>
        <w:tab/>
        <w:t>Nature of functions of Magistrate</w:t>
      </w:r>
      <w:r>
        <w:tab/>
      </w:r>
      <w:r>
        <w:fldChar w:fldCharType="begin"/>
      </w:r>
      <w:r>
        <w:instrText xml:space="preserve"> PAGEREF _Toc107483452 \h </w:instrText>
      </w:r>
      <w:r>
        <w:fldChar w:fldCharType="separate"/>
      </w:r>
      <w:r>
        <w:t>60</w:t>
      </w:r>
      <w:r>
        <w:fldChar w:fldCharType="end"/>
      </w:r>
    </w:p>
    <w:p>
      <w:pPr>
        <w:pStyle w:val="TOC8"/>
        <w:rPr>
          <w:rFonts w:asciiTheme="minorHAnsi" w:eastAsiaTheme="minorEastAsia" w:hAnsiTheme="minorHAnsi" w:cstheme="minorBidi"/>
          <w:szCs w:val="22"/>
        </w:rPr>
      </w:pPr>
      <w:r>
        <w:t>53.</w:t>
      </w:r>
      <w:r>
        <w:tab/>
        <w:t>Restrictions on publicity about proceedings in Supreme Court</w:t>
      </w:r>
      <w:r>
        <w:tab/>
      </w:r>
      <w:r>
        <w:fldChar w:fldCharType="begin"/>
      </w:r>
      <w:r>
        <w:instrText xml:space="preserve"> PAGEREF _Toc107483453 \h </w:instrText>
      </w:r>
      <w:r>
        <w:fldChar w:fldCharType="separate"/>
      </w:r>
      <w:r>
        <w:t>61</w:t>
      </w:r>
      <w:r>
        <w:fldChar w:fldCharType="end"/>
      </w:r>
    </w:p>
    <w:p>
      <w:pPr>
        <w:pStyle w:val="TOC8"/>
        <w:rPr>
          <w:rFonts w:asciiTheme="minorHAnsi" w:eastAsiaTheme="minorEastAsia" w:hAnsiTheme="minorHAnsi" w:cstheme="minorBidi"/>
          <w:szCs w:val="22"/>
        </w:rPr>
      </w:pPr>
      <w:r>
        <w:t>54.</w:t>
      </w:r>
      <w:r>
        <w:tab/>
        <w:t>Quarterly report about preventative detention orders</w:t>
      </w:r>
      <w:r>
        <w:tab/>
      </w:r>
      <w:r>
        <w:fldChar w:fldCharType="begin"/>
      </w:r>
      <w:r>
        <w:instrText xml:space="preserve"> PAGEREF _Toc107483454 \h </w:instrText>
      </w:r>
      <w:r>
        <w:fldChar w:fldCharType="separate"/>
      </w:r>
      <w:r>
        <w:t>61</w:t>
      </w:r>
      <w:r>
        <w:fldChar w:fldCharType="end"/>
      </w:r>
    </w:p>
    <w:p>
      <w:pPr>
        <w:pStyle w:val="TOC8"/>
        <w:rPr>
          <w:rFonts w:asciiTheme="minorHAnsi" w:eastAsiaTheme="minorEastAsia" w:hAnsiTheme="minorHAnsi" w:cstheme="minorBidi"/>
          <w:szCs w:val="22"/>
        </w:rPr>
      </w:pPr>
      <w:r>
        <w:t>55.</w:t>
      </w:r>
      <w:r>
        <w:tab/>
        <w:t>Powers of others not affected</w:t>
      </w:r>
      <w:r>
        <w:tab/>
      </w:r>
      <w:r>
        <w:fldChar w:fldCharType="begin"/>
      </w:r>
      <w:r>
        <w:instrText xml:space="preserve"> PAGEREF _Toc107483455 \h </w:instrText>
      </w:r>
      <w:r>
        <w:fldChar w:fldCharType="separate"/>
      </w:r>
      <w:r>
        <w:t>62</w:t>
      </w:r>
      <w:r>
        <w:fldChar w:fldCharType="end"/>
      </w:r>
    </w:p>
    <w:p>
      <w:pPr>
        <w:pStyle w:val="TOC8"/>
        <w:rPr>
          <w:rFonts w:asciiTheme="minorHAnsi" w:eastAsiaTheme="minorEastAsia" w:hAnsiTheme="minorHAnsi" w:cstheme="minorBidi"/>
          <w:szCs w:val="22"/>
        </w:rPr>
      </w:pPr>
      <w:r>
        <w:t>56.</w:t>
      </w:r>
      <w:r>
        <w:tab/>
        <w:t>Law relating to legal professional privilege not affected</w:t>
      </w:r>
      <w:r>
        <w:tab/>
      </w:r>
      <w:r>
        <w:fldChar w:fldCharType="begin"/>
      </w:r>
      <w:r>
        <w:instrText xml:space="preserve"> PAGEREF _Toc107483456 \h </w:instrText>
      </w:r>
      <w:r>
        <w:fldChar w:fldCharType="separate"/>
      </w:r>
      <w:r>
        <w:t>63</w:t>
      </w:r>
      <w:r>
        <w:fldChar w:fldCharType="end"/>
      </w:r>
    </w:p>
    <w:p>
      <w:pPr>
        <w:pStyle w:val="TOC8"/>
        <w:rPr>
          <w:rFonts w:asciiTheme="minorHAnsi" w:eastAsiaTheme="minorEastAsia" w:hAnsiTheme="minorHAnsi" w:cstheme="minorBidi"/>
          <w:szCs w:val="22"/>
        </w:rPr>
      </w:pPr>
      <w:r>
        <w:t>57.</w:t>
      </w:r>
      <w:r>
        <w:tab/>
        <w:t>Legal proceedings in relation to preventative detention orders</w:t>
      </w:r>
      <w:r>
        <w:tab/>
      </w:r>
      <w:r>
        <w:fldChar w:fldCharType="begin"/>
      </w:r>
      <w:r>
        <w:instrText xml:space="preserve"> PAGEREF _Toc107483457 \h </w:instrText>
      </w:r>
      <w:r>
        <w:fldChar w:fldCharType="separate"/>
      </w:r>
      <w:r>
        <w:t>63</w:t>
      </w:r>
      <w:r>
        <w:fldChar w:fldCharType="end"/>
      </w:r>
    </w:p>
    <w:p>
      <w:pPr>
        <w:pStyle w:val="TOC8"/>
        <w:rPr>
          <w:rFonts w:asciiTheme="minorHAnsi" w:eastAsiaTheme="minorEastAsia" w:hAnsiTheme="minorHAnsi" w:cstheme="minorBidi"/>
          <w:szCs w:val="22"/>
        </w:rPr>
      </w:pPr>
      <w:r>
        <w:lastRenderedPageBreak/>
        <w:t>58.</w:t>
      </w:r>
      <w:r>
        <w:tab/>
        <w:t>Regulations</w:t>
      </w:r>
      <w:r>
        <w:tab/>
      </w:r>
      <w:r>
        <w:fldChar w:fldCharType="begin"/>
      </w:r>
      <w:r>
        <w:instrText xml:space="preserve"> PAGEREF _Toc107483458 \h </w:instrText>
      </w:r>
      <w:r>
        <w:fldChar w:fldCharType="separate"/>
      </w:r>
      <w:r>
        <w:t>64</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_Toc107483459 \h </w:instrText>
      </w:r>
      <w:r>
        <w:fldChar w:fldCharType="separate"/>
      </w:r>
      <w:r>
        <w:t>64</w:t>
      </w:r>
      <w:r>
        <w:fldChar w:fldCharType="end"/>
      </w:r>
    </w:p>
    <w:p>
      <w:pPr>
        <w:pStyle w:val="TOC8"/>
        <w:rPr>
          <w:rFonts w:asciiTheme="minorHAnsi" w:eastAsiaTheme="minorEastAsia" w:hAnsiTheme="minorHAnsi" w:cstheme="minorBidi"/>
          <w:szCs w:val="22"/>
        </w:rPr>
      </w:pPr>
      <w:r>
        <w:t>60.</w:t>
      </w:r>
      <w:r>
        <w:tab/>
        <w:t>Expiry of orders and power to make them</w:t>
      </w:r>
      <w:r>
        <w:tab/>
      </w:r>
      <w:r>
        <w:fldChar w:fldCharType="begin"/>
      </w:r>
      <w:r>
        <w:instrText xml:space="preserve"> PAGEREF _Toc107483460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_Toc107483462 \h </w:instrText>
      </w:r>
      <w:r>
        <w:fldChar w:fldCharType="separate"/>
      </w:r>
      <w:r>
        <w:t>66</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_Toc107483463 \h </w:instrText>
      </w:r>
      <w:r>
        <w:fldChar w:fldCharType="separate"/>
      </w:r>
      <w:r>
        <w:t>66</w:t>
      </w:r>
      <w:r>
        <w:fldChar w:fldCharType="end"/>
      </w:r>
    </w:p>
    <w:p>
      <w:pPr>
        <w:pStyle w:val="TOC8"/>
        <w:rPr>
          <w:rFonts w:asciiTheme="minorHAnsi" w:eastAsiaTheme="minorEastAsia" w:hAnsiTheme="minorHAnsi" w:cstheme="minorBidi"/>
          <w:szCs w:val="22"/>
        </w:rPr>
      </w:pPr>
      <w:r>
        <w:t>3.</w:t>
      </w:r>
      <w:r>
        <w:tab/>
        <w:t>Use of force when exercising powers</w:t>
      </w:r>
      <w:r>
        <w:tab/>
      </w:r>
      <w:r>
        <w:fldChar w:fldCharType="begin"/>
      </w:r>
      <w:r>
        <w:instrText xml:space="preserve"> PAGEREF _Toc107483464 \h </w:instrText>
      </w:r>
      <w:r>
        <w:fldChar w:fldCharType="separate"/>
      </w:r>
      <w:r>
        <w:t>66</w:t>
      </w:r>
      <w:r>
        <w:fldChar w:fldCharType="end"/>
      </w:r>
    </w:p>
    <w:p>
      <w:pPr>
        <w:pStyle w:val="TOC8"/>
        <w:rPr>
          <w:rFonts w:asciiTheme="minorHAnsi" w:eastAsiaTheme="minorEastAsia" w:hAnsiTheme="minorHAnsi" w:cstheme="minorBidi"/>
          <w:szCs w:val="22"/>
        </w:rPr>
      </w:pPr>
      <w:r>
        <w:t>4.</w:t>
      </w:r>
      <w:r>
        <w:tab/>
        <w:t>Areas may be cordoned off</w:t>
      </w:r>
      <w:r>
        <w:tab/>
      </w:r>
      <w:r>
        <w:fldChar w:fldCharType="begin"/>
      </w:r>
      <w:r>
        <w:instrText xml:space="preserve"> PAGEREF _Toc107483465 \h </w:instrText>
      </w:r>
      <w:r>
        <w:fldChar w:fldCharType="separate"/>
      </w:r>
      <w:r>
        <w:t>67</w:t>
      </w:r>
      <w:r>
        <w:fldChar w:fldCharType="end"/>
      </w:r>
    </w:p>
    <w:p>
      <w:pPr>
        <w:pStyle w:val="TOC8"/>
        <w:rPr>
          <w:rFonts w:asciiTheme="minorHAnsi" w:eastAsiaTheme="minorEastAsia" w:hAnsiTheme="minorHAnsi" w:cstheme="minorBidi"/>
          <w:szCs w:val="22"/>
        </w:rPr>
      </w:pPr>
      <w:r>
        <w:t>5.</w:t>
      </w:r>
      <w:r>
        <w:tab/>
        <w:t>Returning seized things</w:t>
      </w:r>
      <w:r>
        <w:tab/>
      </w:r>
      <w:r>
        <w:fldChar w:fldCharType="begin"/>
      </w:r>
      <w:r>
        <w:instrText xml:space="preserve"> PAGEREF _Toc107483466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2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_Toc107483469 \h </w:instrText>
      </w:r>
      <w:r>
        <w:fldChar w:fldCharType="separate"/>
      </w:r>
      <w:r>
        <w:t>69</w:t>
      </w:r>
      <w:r>
        <w:fldChar w:fldCharType="end"/>
      </w:r>
    </w:p>
    <w:p>
      <w:pPr>
        <w:pStyle w:val="TOC8"/>
        <w:rPr>
          <w:rFonts w:asciiTheme="minorHAnsi" w:eastAsiaTheme="minorEastAsia" w:hAnsiTheme="minorHAnsi" w:cstheme="minorBidi"/>
          <w:szCs w:val="22"/>
        </w:rPr>
      </w:pPr>
      <w:r>
        <w:t>2.</w:t>
      </w:r>
      <w:r>
        <w:tab/>
        <w:t>Basic search</w:t>
      </w:r>
      <w:r>
        <w:tab/>
      </w:r>
      <w:r>
        <w:fldChar w:fldCharType="begin"/>
      </w:r>
      <w:r>
        <w:instrText xml:space="preserve"> PAGEREF _Toc107483470 \h </w:instrText>
      </w:r>
      <w:r>
        <w:fldChar w:fldCharType="separate"/>
      </w:r>
      <w:r>
        <w:t>69</w:t>
      </w:r>
      <w:r>
        <w:fldChar w:fldCharType="end"/>
      </w:r>
    </w:p>
    <w:p>
      <w:pPr>
        <w:pStyle w:val="TOC8"/>
        <w:rPr>
          <w:rFonts w:asciiTheme="minorHAnsi" w:eastAsiaTheme="minorEastAsia" w:hAnsiTheme="minorHAnsi" w:cstheme="minorBidi"/>
          <w:szCs w:val="22"/>
        </w:rPr>
      </w:pPr>
      <w:r>
        <w:t>3.</w:t>
      </w:r>
      <w:r>
        <w:tab/>
        <w:t>Strip search</w:t>
      </w:r>
      <w:r>
        <w:tab/>
      </w:r>
      <w:r>
        <w:fldChar w:fldCharType="begin"/>
      </w:r>
      <w:r>
        <w:instrText xml:space="preserve"> PAGEREF _Toc107483471 \h </w:instrText>
      </w:r>
      <w:r>
        <w:fldChar w:fldCharType="separate"/>
      </w:r>
      <w:r>
        <w:t>69</w:t>
      </w:r>
      <w:r>
        <w:fldChar w:fldCharType="end"/>
      </w:r>
    </w:p>
    <w:p>
      <w:pPr>
        <w:pStyle w:val="TOC8"/>
        <w:rPr>
          <w:rFonts w:asciiTheme="minorHAnsi" w:eastAsiaTheme="minorEastAsia" w:hAnsiTheme="minorHAnsi" w:cstheme="minorBidi"/>
          <w:szCs w:val="22"/>
        </w:rPr>
      </w:pPr>
      <w:r>
        <w:t>4.</w:t>
      </w:r>
      <w:r>
        <w:tab/>
        <w:t>Ascertaining gender of person</w:t>
      </w:r>
      <w:r>
        <w:tab/>
      </w:r>
      <w:r>
        <w:fldChar w:fldCharType="begin"/>
      </w:r>
      <w:r>
        <w:instrText xml:space="preserve"> PAGEREF _Toc107483472 \h </w:instrText>
      </w:r>
      <w:r>
        <w:fldChar w:fldCharType="separate"/>
      </w:r>
      <w:r>
        <w:t>70</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_Toc107483473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_Toc107483475 \h </w:instrText>
      </w:r>
      <w:r>
        <w:fldChar w:fldCharType="separate"/>
      </w:r>
      <w:r>
        <w:t>71</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_Toc107483476 \h </w:instrText>
      </w:r>
      <w:r>
        <w:fldChar w:fldCharType="separate"/>
      </w:r>
      <w:r>
        <w:t>71</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_Toc107483477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_Toc107483479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3" w:name="BillCited"/>
      <w:bookmarkEnd w:id="3"/>
      <w:r>
        <w:rPr>
          <w:snapToGrid w:val="0"/>
        </w:rPr>
        <w:t>An Act to authorise temporary detention in order to prevent the occurrence of a terrorist act or preserve evidence of, or relating to, a recent terrorist act; and for other purposes.</w:t>
      </w:r>
    </w:p>
    <w:p>
      <w:pPr>
        <w:pStyle w:val="Enactment"/>
      </w:pPr>
      <w:r>
        <w:t>The Parliament of Western Australia enacts as follows:</w:t>
      </w:r>
    </w:p>
    <w:p>
      <w:pPr>
        <w:pStyle w:val="Heading2"/>
      </w:pPr>
      <w:bookmarkStart w:id="4" w:name="_Toc100304274"/>
      <w:bookmarkStart w:id="5" w:name="_Toc100304515"/>
      <w:bookmarkStart w:id="6" w:name="_Toc100563570"/>
      <w:bookmarkStart w:id="7" w:name="_Toc107312504"/>
      <w:bookmarkStart w:id="8" w:name="_Toc10748339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107483394"/>
      <w:r>
        <w:rPr>
          <w:rStyle w:val="CharSectno"/>
        </w:rPr>
        <w:t>1</w:t>
      </w:r>
      <w:r>
        <w:t>.</w:t>
      </w:r>
      <w:r>
        <w:tab/>
      </w:r>
      <w:r>
        <w:rPr>
          <w:snapToGrid w:val="0"/>
        </w:rPr>
        <w:t>Short title</w:t>
      </w:r>
      <w:bookmarkEnd w:id="9"/>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10" w:name="_Toc107483395"/>
      <w:r>
        <w:rPr>
          <w:rStyle w:val="CharSectno"/>
        </w:rPr>
        <w:t>2</w:t>
      </w:r>
      <w:r>
        <w:rPr>
          <w:snapToGrid w:val="0"/>
        </w:rPr>
        <w:t>.</w:t>
      </w:r>
      <w:r>
        <w:rPr>
          <w:snapToGrid w:val="0"/>
        </w:rPr>
        <w:tab/>
      </w:r>
      <w:r>
        <w:t>Commencement</w:t>
      </w:r>
      <w:bookmarkEnd w:id="10"/>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11" w:name="_Toc107483396"/>
      <w:r>
        <w:rPr>
          <w:rStyle w:val="CharSectno"/>
        </w:rPr>
        <w:t>3</w:t>
      </w:r>
      <w:r>
        <w:t>.</w:t>
      </w:r>
      <w:r>
        <w:tab/>
        <w:t>Object</w:t>
      </w:r>
      <w:bookmarkEnd w:id="11"/>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2" w:name="_Toc107483397"/>
      <w:r>
        <w:rPr>
          <w:rStyle w:val="CharSectno"/>
        </w:rPr>
        <w:t>4</w:t>
      </w:r>
      <w:r>
        <w:t>.</w:t>
      </w:r>
      <w:r>
        <w:tab/>
        <w:t>Terms used in this Act</w:t>
      </w:r>
      <w:bookmarkEnd w:id="12"/>
    </w:p>
    <w:p>
      <w:pPr>
        <w:pStyle w:val="Subsection"/>
      </w:pPr>
      <w:r>
        <w:tab/>
        <w:t>(1)</w:t>
      </w:r>
      <w:r>
        <w:tab/>
        <w:t xml:space="preserve">In this Act, unless the contrary intention appears — </w:t>
      </w:r>
    </w:p>
    <w:p>
      <w:pPr>
        <w:pStyle w:val="Defstart"/>
      </w:pPr>
      <w:r>
        <w:tab/>
      </w:r>
      <w:r>
        <w:rPr>
          <w:rStyle w:val="CharDefText"/>
        </w:rPr>
        <w:t>allegation of serious misconduct</w:t>
      </w:r>
      <w:r>
        <w:t xml:space="preserve"> has the same meaning as in the </w:t>
      </w:r>
      <w:r>
        <w:rPr>
          <w:i/>
        </w:rPr>
        <w:t>Corruption, Crime and Misconduct Act 2003</w:t>
      </w:r>
      <w:r>
        <w:t>;</w:t>
      </w:r>
    </w:p>
    <w:p>
      <w:pPr>
        <w:pStyle w:val="Defstart"/>
      </w:pPr>
      <w:r>
        <w:tab/>
      </w:r>
      <w:r>
        <w:rPr>
          <w:rStyle w:val="CharDefText"/>
        </w:rPr>
        <w:t>approved religious or spiritual adviser</w:t>
      </w:r>
      <w:r>
        <w:t xml:space="preserve"> means a person approved under section 43A(1);</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 xml:space="preserve">a law of another State or a Territory that provides for preventative detention of persons in relation to terrorist acts (including any law of another State or a Territory </w:t>
      </w:r>
      <w:r>
        <w:lastRenderedPageBreak/>
        <w:t>that is declared by the regulations to be a corresponding law);</w:t>
      </w:r>
    </w:p>
    <w:p>
      <w:pPr>
        <w:pStyle w:val="Defstart"/>
      </w:pPr>
      <w:r>
        <w:rPr>
          <w:b/>
        </w:rPr>
        <w:tab/>
      </w:r>
      <w:r>
        <w:rPr>
          <w:rStyle w:val="CharDefText"/>
        </w:rPr>
        <w:t>Corruption and Crime Commission</w:t>
      </w:r>
      <w:r>
        <w:t xml:space="preserve"> means the Corruption and Crime Commission under the </w:t>
      </w:r>
      <w:r>
        <w:rPr>
          <w:i/>
        </w:rPr>
        <w:t>Corruption, Crime and Misconduct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lastRenderedPageBreak/>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tab/>
      </w:r>
      <w:r>
        <w:rPr>
          <w:rStyle w:val="CharDefText"/>
        </w:rPr>
        <w:t>photograph</w:t>
      </w:r>
      <w:r>
        <w:t xml:space="preserve"> includes a digital image and a video recording;</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tab/>
        <w:t>(3)</w:t>
      </w:r>
      <w:r>
        <w:tab/>
        <w:t>Notes in this Act are provided to assist understanding and do not form part of this Act.</w:t>
      </w:r>
    </w:p>
    <w:p>
      <w:pPr>
        <w:pStyle w:val="Footnotesection"/>
      </w:pPr>
      <w:r>
        <w:tab/>
        <w:t>[Section 4 amended: No. 21 of 2008 s. 710; No. 35 of 2014 s. 38(2)</w:t>
      </w:r>
      <w:r>
        <w:noBreakHyphen/>
        <w:t>(4); No. 23 of 2019 s. 4; No. 9 of 2022 s. 424.]</w:t>
      </w:r>
    </w:p>
    <w:p>
      <w:pPr>
        <w:pStyle w:val="Heading5"/>
      </w:pPr>
      <w:bookmarkStart w:id="13" w:name="_Toc107483398"/>
      <w:r>
        <w:rPr>
          <w:rStyle w:val="CharSectno"/>
        </w:rPr>
        <w:lastRenderedPageBreak/>
        <w:t>5</w:t>
      </w:r>
      <w:r>
        <w:t>.</w:t>
      </w:r>
      <w:r>
        <w:tab/>
        <w:t>Meaning of “reasonably suspects”</w:t>
      </w:r>
      <w:bookmarkEnd w:id="13"/>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14" w:name="_Toc107483399"/>
      <w:r>
        <w:rPr>
          <w:rStyle w:val="CharSectno"/>
        </w:rPr>
        <w:t>6</w:t>
      </w:r>
      <w:r>
        <w:t>.</w:t>
      </w:r>
      <w:r>
        <w:tab/>
        <w:t>Meaning of “terrorist act”</w:t>
      </w:r>
      <w:bookmarkEnd w:id="14"/>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lastRenderedPageBreak/>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PermNoteHeading"/>
      </w:pPr>
      <w:r>
        <w:tab/>
        <w:t>Note for this section:</w:t>
      </w:r>
    </w:p>
    <w:p>
      <w:pPr>
        <w:pStyle w:val="PermNoteText"/>
      </w:pPr>
      <w:r>
        <w:tab/>
      </w:r>
      <w:r>
        <w:tab/>
        <w:t>This section is consistent with the definition of “terrorist act” used in Part 5.3 of the Criminal Code of the Commonwealth.</w:t>
      </w:r>
    </w:p>
    <w:p>
      <w:pPr>
        <w:pStyle w:val="Heading5"/>
      </w:pPr>
      <w:bookmarkStart w:id="15" w:name="_Toc107483400"/>
      <w:r>
        <w:rPr>
          <w:rStyle w:val="CharSectno"/>
        </w:rPr>
        <w:t>7</w:t>
      </w:r>
      <w:r>
        <w:t>.</w:t>
      </w:r>
      <w:r>
        <w:tab/>
        <w:t>Issuing authorities</w:t>
      </w:r>
      <w:bookmarkEnd w:id="15"/>
    </w:p>
    <w:p>
      <w:pPr>
        <w:pStyle w:val="Subsection"/>
      </w:pPr>
      <w:r>
        <w:tab/>
        <w:t>(1)</w:t>
      </w:r>
      <w:r>
        <w:tab/>
        <w:t>The Governor may, in writing, appoint a judge or retired judge as an issuing authority for preventative detention orders.</w:t>
      </w:r>
    </w:p>
    <w:p>
      <w:pPr>
        <w:pStyle w:val="Subsection"/>
      </w:pPr>
      <w:r>
        <w:lastRenderedPageBreak/>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16" w:name="_Toc107483401"/>
      <w:r>
        <w:rPr>
          <w:rStyle w:val="CharSectno"/>
        </w:rPr>
        <w:t>8</w:t>
      </w:r>
      <w:r>
        <w:t>.</w:t>
      </w:r>
      <w:r>
        <w:tab/>
        <w:t>Police officer on whom functions as to preventative detention are imposed</w:t>
      </w:r>
      <w:bookmarkEnd w:id="16"/>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17" w:name="_Toc100304283"/>
      <w:bookmarkStart w:id="18" w:name="_Toc100304524"/>
      <w:bookmarkStart w:id="19" w:name="_Toc100563579"/>
      <w:bookmarkStart w:id="20" w:name="_Toc107312513"/>
      <w:bookmarkStart w:id="21" w:name="_Toc107483402"/>
      <w:r>
        <w:rPr>
          <w:rStyle w:val="CharPartNo"/>
        </w:rPr>
        <w:lastRenderedPageBreak/>
        <w:t>Part 2</w:t>
      </w:r>
      <w:r>
        <w:rPr>
          <w:rStyle w:val="CharDivNo"/>
        </w:rPr>
        <w:t> </w:t>
      </w:r>
      <w:r>
        <w:t>—</w:t>
      </w:r>
      <w:r>
        <w:rPr>
          <w:rStyle w:val="CharDivText"/>
        </w:rPr>
        <w:t> </w:t>
      </w:r>
      <w:r>
        <w:rPr>
          <w:rStyle w:val="CharPartText"/>
        </w:rPr>
        <w:t>Preventative detention orders</w:t>
      </w:r>
      <w:bookmarkEnd w:id="17"/>
      <w:bookmarkEnd w:id="18"/>
      <w:bookmarkEnd w:id="19"/>
      <w:bookmarkEnd w:id="20"/>
      <w:bookmarkEnd w:id="21"/>
    </w:p>
    <w:p>
      <w:pPr>
        <w:pStyle w:val="Heading5"/>
      </w:pPr>
      <w:bookmarkStart w:id="22" w:name="_Toc107483403"/>
      <w:r>
        <w:rPr>
          <w:rStyle w:val="CharSectno"/>
        </w:rPr>
        <w:t>9</w:t>
      </w:r>
      <w:r>
        <w:t>.</w:t>
      </w:r>
      <w:r>
        <w:tab/>
        <w:t>Basis for applying for and making preventative detention orders</w:t>
      </w:r>
      <w:bookmarkEnd w:id="22"/>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that —</w:t>
      </w:r>
    </w:p>
    <w:p>
      <w:pPr>
        <w:pStyle w:val="Indenta"/>
      </w:pPr>
      <w:r>
        <w:tab/>
        <w:t>(a)</w:t>
      </w:r>
      <w:r>
        <w:tab/>
        <w:t>is capable of being carried out; and</w:t>
      </w:r>
    </w:p>
    <w:p>
      <w:pPr>
        <w:pStyle w:val="Indenta"/>
      </w:pPr>
      <w:r>
        <w:tab/>
        <w:t>(b)</w:t>
      </w:r>
      <w:r>
        <w:tab/>
        <w:t>could occur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Footnotesection"/>
      </w:pPr>
      <w:r>
        <w:tab/>
        <w:t>[Section 9 amended: No. 23 of 2019 s. 5.]</w:t>
      </w:r>
    </w:p>
    <w:p>
      <w:pPr>
        <w:pStyle w:val="Heading5"/>
      </w:pPr>
      <w:bookmarkStart w:id="23" w:name="_Toc107483404"/>
      <w:r>
        <w:rPr>
          <w:rStyle w:val="CharSectno"/>
        </w:rPr>
        <w:t>10</w:t>
      </w:r>
      <w:r>
        <w:t>.</w:t>
      </w:r>
      <w:r>
        <w:tab/>
        <w:t>Authorising police officers to apply for a preventative detention order</w:t>
      </w:r>
      <w:bookmarkEnd w:id="23"/>
    </w:p>
    <w:p>
      <w:pPr>
        <w:pStyle w:val="Subsection"/>
      </w:pPr>
      <w:r>
        <w:tab/>
        <w:t>(1)</w:t>
      </w:r>
      <w:r>
        <w:tab/>
        <w:t>The Commissioner may authorise a police officer to apply for a preventative detention order in relation to a person.</w:t>
      </w:r>
    </w:p>
    <w:p>
      <w:pPr>
        <w:pStyle w:val="Subsection"/>
      </w:pPr>
      <w:r>
        <w:lastRenderedPageBreak/>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24" w:name="_Toc107483405"/>
      <w:r>
        <w:rPr>
          <w:rStyle w:val="CharSectno"/>
        </w:rPr>
        <w:t>11</w:t>
      </w:r>
      <w:r>
        <w:t>.</w:t>
      </w:r>
      <w:r>
        <w:tab/>
        <w:t>Application for a preventative detention order</w:t>
      </w:r>
      <w:bookmarkEnd w:id="24"/>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lastRenderedPageBreak/>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25" w:name="_Toc107483406"/>
      <w:r>
        <w:rPr>
          <w:rStyle w:val="CharSectno"/>
        </w:rPr>
        <w:t>12</w:t>
      </w:r>
      <w:r>
        <w:t>.</w:t>
      </w:r>
      <w:r>
        <w:tab/>
        <w:t>Procedure for applying for preventative detention order</w:t>
      </w:r>
      <w:bookmarkEnd w:id="25"/>
      <w:r>
        <w:t xml:space="preserve"> </w:t>
      </w:r>
    </w:p>
    <w:p>
      <w:pPr>
        <w:pStyle w:val="Subsection"/>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lastRenderedPageBreak/>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w:t>
      </w:r>
      <w:r>
        <w:lastRenderedPageBreak/>
        <w:t xml:space="preserve">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26" w:name="_Toc107483407"/>
      <w:r>
        <w:rPr>
          <w:rStyle w:val="CharSectno"/>
        </w:rPr>
        <w:t>13</w:t>
      </w:r>
      <w:r>
        <w:t>.</w:t>
      </w:r>
      <w:r>
        <w:tab/>
        <w:t>Preventative detention orders</w:t>
      </w:r>
      <w:bookmarkEnd w:id="26"/>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lastRenderedPageBreak/>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or identified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 or, if the name of the person is not known, identifying information referred to in subsection (4A); and</w:t>
      </w:r>
    </w:p>
    <w:p>
      <w:pPr>
        <w:pStyle w:val="Indenta"/>
      </w:pPr>
      <w:r>
        <w:tab/>
        <w:t>(b)</w:t>
      </w:r>
      <w:r>
        <w:tab/>
        <w:t>the permitted detention period; and</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lastRenderedPageBreak/>
        <w:tab/>
        <w:t>(4A)</w:t>
      </w:r>
      <w:r>
        <w:tab/>
        <w:t xml:space="preserve">The identifying information must comprise a description sufficient to identify the person and may include any of the following — </w:t>
      </w:r>
    </w:p>
    <w:p>
      <w:pPr>
        <w:pStyle w:val="Indenta"/>
      </w:pPr>
      <w:r>
        <w:tab/>
        <w:t>(a)</w:t>
      </w:r>
      <w:r>
        <w:tab/>
        <w:t>part of the person’s name;</w:t>
      </w:r>
    </w:p>
    <w:p>
      <w:pPr>
        <w:pStyle w:val="Indenta"/>
      </w:pPr>
      <w:r>
        <w:tab/>
        <w:t>(b)</w:t>
      </w:r>
      <w:r>
        <w:tab/>
        <w:t>an alias or a nickname of the person;</w:t>
      </w:r>
    </w:p>
    <w:p>
      <w:pPr>
        <w:pStyle w:val="Indenta"/>
      </w:pPr>
      <w:r>
        <w:tab/>
        <w:t>(c)</w:t>
      </w:r>
      <w:r>
        <w:tab/>
        <w:t>a physical description of the person;</w:t>
      </w:r>
    </w:p>
    <w:p>
      <w:pPr>
        <w:pStyle w:val="Indenta"/>
      </w:pPr>
      <w:r>
        <w:tab/>
        <w:t>(d)</w:t>
      </w:r>
      <w:r>
        <w:tab/>
        <w:t>a photograph of the person attached to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Footnotesection"/>
      </w:pPr>
      <w:r>
        <w:tab/>
        <w:t>[Section 13 amended: No. 23 of 2019 s. 6.]</w:t>
      </w:r>
    </w:p>
    <w:p>
      <w:pPr>
        <w:pStyle w:val="Heading5"/>
      </w:pPr>
      <w:bookmarkStart w:id="27" w:name="_Toc107483408"/>
      <w:r>
        <w:rPr>
          <w:rStyle w:val="CharSectno"/>
        </w:rPr>
        <w:t>14</w:t>
      </w:r>
      <w:r>
        <w:t>.</w:t>
      </w:r>
      <w:r>
        <w:tab/>
        <w:t>Duration of preventative detention orders</w:t>
      </w:r>
      <w:bookmarkEnd w:id="27"/>
    </w:p>
    <w:p>
      <w:pPr>
        <w:pStyle w:val="Subsection"/>
      </w:pPr>
      <w:r>
        <w:tab/>
        <w:t>(1)</w:t>
      </w:r>
      <w:r>
        <w:tab/>
        <w:t>A preventative detention order in relation to a person comes into force when it is made.</w:t>
      </w:r>
    </w:p>
    <w:p>
      <w:pPr>
        <w:pStyle w:val="PermNoteHeading"/>
      </w:pPr>
      <w:r>
        <w:tab/>
        <w:t>Note for this subsection:</w:t>
      </w:r>
    </w:p>
    <w:p>
      <w:pPr>
        <w:pStyle w:val="PermNoteText"/>
      </w:pPr>
      <w:r>
        <w:tab/>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lastRenderedPageBreak/>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PermNoteHeading"/>
      </w:pPr>
      <w:r>
        <w:tab/>
        <w:t>Note for this section:</w:t>
      </w:r>
    </w:p>
    <w:p>
      <w:pPr>
        <w:pStyle w:val="PermNoteText"/>
      </w:pPr>
      <w:r>
        <w:tab/>
      </w:r>
      <w:r>
        <w:tab/>
        <w:t>The order does not cease to have effect merely because the person is released from detention under the order.</w:t>
      </w:r>
    </w:p>
    <w:p>
      <w:pPr>
        <w:pStyle w:val="Heading5"/>
      </w:pPr>
      <w:bookmarkStart w:id="28" w:name="_Toc107483409"/>
      <w:r>
        <w:rPr>
          <w:rStyle w:val="CharSectno"/>
        </w:rPr>
        <w:t>15</w:t>
      </w:r>
      <w:r>
        <w:t>.</w:t>
      </w:r>
      <w:r>
        <w:tab/>
        <w:t>Multiple preventative detention orders</w:t>
      </w:r>
      <w:bookmarkEnd w:id="28"/>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 xml:space="preserve">A preventative detention order can be made even if the person concerned is under detention (or temporarily released from detention) under a prevention order or preservation order in relation to the same terrorist act or a different terrorist act, and </w:t>
      </w:r>
      <w:r>
        <w:lastRenderedPageBreak/>
        <w:t>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29" w:name="_Toc107483410"/>
      <w:r>
        <w:rPr>
          <w:rStyle w:val="CharSectno"/>
        </w:rPr>
        <w:t>16</w:t>
      </w:r>
      <w:r>
        <w:t>.</w:t>
      </w:r>
      <w:r>
        <w:tab/>
        <w:t>No preventative detention order in relation to person under 16 years of age</w:t>
      </w:r>
      <w:bookmarkEnd w:id="29"/>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lastRenderedPageBreak/>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30" w:name="_Toc107483411"/>
      <w:r>
        <w:rPr>
          <w:rStyle w:val="CharSectno"/>
        </w:rPr>
        <w:t>17</w:t>
      </w:r>
      <w:r>
        <w:t>.</w:t>
      </w:r>
      <w:r>
        <w:tab/>
        <w:t>Prohibited contact order (person in relation to whom preventative detention order is being sought)</w:t>
      </w:r>
      <w:bookmarkEnd w:id="30"/>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31" w:name="_Toc107483412"/>
      <w:r>
        <w:rPr>
          <w:rStyle w:val="CharSectno"/>
        </w:rPr>
        <w:lastRenderedPageBreak/>
        <w:t>18</w:t>
      </w:r>
      <w:r>
        <w:t>.</w:t>
      </w:r>
      <w:r>
        <w:tab/>
        <w:t>Prohibited contact order (person in relation to whom preventative detention order is already in force)</w:t>
      </w:r>
      <w:bookmarkEnd w:id="31"/>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32" w:name="_Toc107483413"/>
      <w:r>
        <w:rPr>
          <w:rStyle w:val="CharSectno"/>
        </w:rPr>
        <w:lastRenderedPageBreak/>
        <w:t>19</w:t>
      </w:r>
      <w:r>
        <w:t>.</w:t>
      </w:r>
      <w:r>
        <w:tab/>
        <w:t>Form and notification of prohibited contact order</w:t>
      </w:r>
      <w:bookmarkEnd w:id="32"/>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33" w:name="_Toc107483414"/>
      <w:r>
        <w:rPr>
          <w:rStyle w:val="CharSectno"/>
        </w:rPr>
        <w:t>20</w:t>
      </w:r>
      <w:r>
        <w:t>.</w:t>
      </w:r>
      <w:r>
        <w:tab/>
        <w:t>Revocation of preventative detention order or prohibited contact order</w:t>
      </w:r>
      <w:bookmarkEnd w:id="33"/>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lastRenderedPageBreak/>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34" w:name="_Toc107483415"/>
      <w:r>
        <w:rPr>
          <w:rStyle w:val="CharSectno"/>
        </w:rPr>
        <w:t>21</w:t>
      </w:r>
      <w:r>
        <w:t>.</w:t>
      </w:r>
      <w:r>
        <w:tab/>
        <w:t>Status of person making preventative detention order</w:t>
      </w:r>
      <w:bookmarkEnd w:id="34"/>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35" w:name="_Toc100304297"/>
      <w:bookmarkStart w:id="36" w:name="_Toc100304538"/>
      <w:bookmarkStart w:id="37" w:name="_Toc100563593"/>
      <w:bookmarkStart w:id="38" w:name="_Toc107312527"/>
      <w:bookmarkStart w:id="39" w:name="_Toc107483416"/>
      <w:r>
        <w:rPr>
          <w:rStyle w:val="CharPartNo"/>
        </w:rPr>
        <w:lastRenderedPageBreak/>
        <w:t>Part 3</w:t>
      </w:r>
      <w:r>
        <w:rPr>
          <w:rStyle w:val="CharDivNo"/>
        </w:rPr>
        <w:t> </w:t>
      </w:r>
      <w:r>
        <w:t>—</w:t>
      </w:r>
      <w:r>
        <w:rPr>
          <w:rStyle w:val="CharDivText"/>
        </w:rPr>
        <w:t> </w:t>
      </w:r>
      <w:r>
        <w:rPr>
          <w:rStyle w:val="CharPartText"/>
        </w:rPr>
        <w:t>Review of preventative detention orders</w:t>
      </w:r>
      <w:bookmarkEnd w:id="35"/>
      <w:bookmarkEnd w:id="36"/>
      <w:bookmarkEnd w:id="37"/>
      <w:bookmarkEnd w:id="38"/>
      <w:bookmarkEnd w:id="39"/>
    </w:p>
    <w:p>
      <w:pPr>
        <w:pStyle w:val="Heading5"/>
      </w:pPr>
      <w:bookmarkStart w:id="40" w:name="_Toc107483417"/>
      <w:r>
        <w:rPr>
          <w:rStyle w:val="CharSectno"/>
        </w:rPr>
        <w:t>22</w:t>
      </w:r>
      <w:r>
        <w:t>.</w:t>
      </w:r>
      <w:r>
        <w:tab/>
        <w:t>Review by Supreme Court</w:t>
      </w:r>
      <w:bookmarkEnd w:id="40"/>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lastRenderedPageBreak/>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41" w:name="_Toc107483418"/>
      <w:r>
        <w:rPr>
          <w:rStyle w:val="CharSectno"/>
        </w:rPr>
        <w:t>23</w:t>
      </w:r>
      <w:r>
        <w:t>.</w:t>
      </w:r>
      <w:r>
        <w:tab/>
        <w:t>Powers may be exercised while review is in progress</w:t>
      </w:r>
      <w:bookmarkEnd w:id="41"/>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lastRenderedPageBreak/>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42" w:name="_Toc100304300"/>
      <w:bookmarkStart w:id="43" w:name="_Toc100304541"/>
      <w:bookmarkStart w:id="44" w:name="_Toc100563596"/>
      <w:bookmarkStart w:id="45" w:name="_Toc107312530"/>
      <w:bookmarkStart w:id="46" w:name="_Toc107483419"/>
      <w:r>
        <w:rPr>
          <w:rStyle w:val="CharPartNo"/>
        </w:rPr>
        <w:lastRenderedPageBreak/>
        <w:t>Part 4</w:t>
      </w:r>
      <w:r>
        <w:rPr>
          <w:rStyle w:val="CharDivNo"/>
        </w:rPr>
        <w:t> </w:t>
      </w:r>
      <w:r>
        <w:t>—</w:t>
      </w:r>
      <w:r>
        <w:rPr>
          <w:rStyle w:val="CharDivText"/>
        </w:rPr>
        <w:t> </w:t>
      </w:r>
      <w:r>
        <w:rPr>
          <w:rStyle w:val="CharPartText"/>
        </w:rPr>
        <w:t>Carrying out preventative detention orders</w:t>
      </w:r>
      <w:bookmarkEnd w:id="42"/>
      <w:bookmarkEnd w:id="43"/>
      <w:bookmarkEnd w:id="44"/>
      <w:bookmarkEnd w:id="45"/>
      <w:bookmarkEnd w:id="46"/>
    </w:p>
    <w:p>
      <w:pPr>
        <w:pStyle w:val="Heading5"/>
      </w:pPr>
      <w:bookmarkStart w:id="47" w:name="_Toc107483420"/>
      <w:r>
        <w:rPr>
          <w:rStyle w:val="CharSectno"/>
        </w:rPr>
        <w:t>24</w:t>
      </w:r>
      <w:r>
        <w:t>.</w:t>
      </w:r>
      <w:r>
        <w:tab/>
        <w:t>Power to detain person under preventative detention order</w:t>
      </w:r>
      <w:bookmarkEnd w:id="47"/>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lastRenderedPageBreak/>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48" w:name="_Toc107483421"/>
      <w:r>
        <w:rPr>
          <w:rStyle w:val="CharSectno"/>
        </w:rPr>
        <w:t>25</w:t>
      </w:r>
      <w:r>
        <w:t>.</w:t>
      </w:r>
      <w:r>
        <w:tab/>
        <w:t>Endorsement of order with date and time person taken into custody or detained</w:t>
      </w:r>
      <w:bookmarkEnd w:id="48"/>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49" w:name="_Toc107483422"/>
      <w:r>
        <w:rPr>
          <w:rStyle w:val="CharSectno"/>
        </w:rPr>
        <w:t>26</w:t>
      </w:r>
      <w:r>
        <w:t>.</w:t>
      </w:r>
      <w:r>
        <w:tab/>
        <w:t>Exercising powers, general matters</w:t>
      </w:r>
      <w:bookmarkEnd w:id="49"/>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lastRenderedPageBreak/>
        <w:tab/>
        <w:t>(4)</w:t>
      </w:r>
      <w:r>
        <w:tab/>
        <w:t>Subsections (2) and (3) do not affect the operation of the</w:t>
      </w:r>
      <w:r>
        <w:rPr>
          <w:i/>
        </w:rPr>
        <w:t xml:space="preserve"> Criminal Investigation (Identifying People) Act 2002</w:t>
      </w:r>
      <w:r>
        <w:t xml:space="preserve"> section 16.</w:t>
      </w:r>
    </w:p>
    <w:p>
      <w:pPr>
        <w:pStyle w:val="Heading5"/>
      </w:pPr>
      <w:bookmarkStart w:id="50" w:name="_Toc107483423"/>
      <w:r>
        <w:rPr>
          <w:rStyle w:val="CharSectno"/>
        </w:rPr>
        <w:t>27</w:t>
      </w:r>
      <w:r>
        <w:t>.</w:t>
      </w:r>
      <w:r>
        <w:tab/>
        <w:t>Personal details of certain people may be obtained</w:t>
      </w:r>
      <w:bookmarkEnd w:id="50"/>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51" w:name="_Toc107483424"/>
      <w:r>
        <w:rPr>
          <w:rStyle w:val="CharSectno"/>
        </w:rPr>
        <w:t>28</w:t>
      </w:r>
      <w:r>
        <w:t>.</w:t>
      </w:r>
      <w:r>
        <w:tab/>
        <w:t>Power to enter places</w:t>
      </w:r>
      <w:bookmarkEnd w:id="51"/>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w:t>
      </w:r>
      <w:r>
        <w:lastRenderedPageBreak/>
        <w:t xml:space="preserve">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52" w:name="_Toc107483425"/>
      <w:r>
        <w:rPr>
          <w:rStyle w:val="CharSectno"/>
        </w:rPr>
        <w:t>29</w:t>
      </w:r>
      <w:r>
        <w:t>.</w:t>
      </w:r>
      <w:r>
        <w:tab/>
        <w:t>Use of force</w:t>
      </w:r>
      <w:bookmarkEnd w:id="52"/>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53" w:name="_Toc107483426"/>
      <w:r>
        <w:rPr>
          <w:rStyle w:val="CharSectno"/>
        </w:rPr>
        <w:t>30</w:t>
      </w:r>
      <w:r>
        <w:t>.</w:t>
      </w:r>
      <w:r>
        <w:tab/>
        <w:t>Power to search people</w:t>
      </w:r>
      <w:bookmarkEnd w:id="53"/>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lastRenderedPageBreak/>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54" w:name="_Toc107483427"/>
      <w:r>
        <w:rPr>
          <w:rStyle w:val="CharSectno"/>
        </w:rPr>
        <w:t>31</w:t>
      </w:r>
      <w:r>
        <w:t>.</w:t>
      </w:r>
      <w:r>
        <w:tab/>
        <w:t xml:space="preserve">Warrant under Part III Division 3 of the </w:t>
      </w:r>
      <w:r>
        <w:rPr>
          <w:i/>
        </w:rPr>
        <w:t>Australian Security Intelligence Organisation Act 1979</w:t>
      </w:r>
      <w:bookmarkEnd w:id="54"/>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 xml:space="preserve">Without limiting subsection (2), the police officer may, under section 32, release the person from detention under the </w:t>
      </w:r>
      <w:r>
        <w:lastRenderedPageBreak/>
        <w:t>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No. 1 of 2008 s. 4.]</w:t>
      </w:r>
    </w:p>
    <w:p>
      <w:pPr>
        <w:pStyle w:val="Heading5"/>
      </w:pPr>
      <w:bookmarkStart w:id="55" w:name="_Toc107483428"/>
      <w:r>
        <w:rPr>
          <w:rStyle w:val="CharSectno"/>
        </w:rPr>
        <w:t>32</w:t>
      </w:r>
      <w:r>
        <w:t>.</w:t>
      </w:r>
      <w:r>
        <w:tab/>
        <w:t>Release of person from preventative detention</w:t>
      </w:r>
      <w:bookmarkEnd w:id="55"/>
      <w:r>
        <w:t xml:space="preserve"> </w:t>
      </w:r>
    </w:p>
    <w:p>
      <w:pPr>
        <w:pStyle w:val="Subsection"/>
      </w:pPr>
      <w:r>
        <w:tab/>
        <w:t>(1)</w:t>
      </w:r>
      <w:r>
        <w:tab/>
        <w:t>The police officer who is detaining a person under a preventative detention order may release the person from detention under the order.</w:t>
      </w:r>
    </w:p>
    <w:p>
      <w:pPr>
        <w:pStyle w:val="PermNoteHeading"/>
      </w:pPr>
      <w:r>
        <w:tab/>
        <w:t>Note for this subsection:</w:t>
      </w:r>
    </w:p>
    <w:p>
      <w:pPr>
        <w:pStyle w:val="PermNoteText"/>
      </w:pPr>
      <w:r>
        <w:tab/>
      </w:r>
      <w:r>
        <w:tab/>
        <w:t>A person may be released, for example, so that the person may be arrested and otherwise dealt with for a suspected offence.</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lastRenderedPageBreak/>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PermNoteHeading"/>
      </w:pPr>
      <w:r>
        <w:tab/>
        <w:t>Note for this subsection:</w:t>
      </w:r>
    </w:p>
    <w:p>
      <w:pPr>
        <w:pStyle w:val="PermNoteText"/>
      </w:pPr>
      <w:r>
        <w:tab/>
      </w:r>
      <w:r>
        <w:tab/>
        <w:t>During this period, the provisions of this Part that apply to a person who is in detention under a preventative detention order (for example, section 40(1) which deals with the people the person may contact) do not apply to the person.</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PermNoteHeading"/>
      </w:pPr>
      <w:r>
        <w:tab/>
        <w:t>Note for this paragraph:</w:t>
      </w:r>
    </w:p>
    <w:p>
      <w:pPr>
        <w:pStyle w:val="PermNoteText"/>
      </w:pPr>
      <w:r>
        <w:tab/>
      </w:r>
      <w:r>
        <w:tab/>
        <w:t>This means that the time for which the person may be detained under the order continues to run while the person is released.</w:t>
      </w:r>
    </w:p>
    <w:p>
      <w:pPr>
        <w:pStyle w:val="Indenta"/>
      </w:pPr>
      <w:r>
        <w:tab/>
        <w:t>(b)</w:t>
      </w:r>
      <w:r>
        <w:tab/>
        <w:t xml:space="preserve">a person released under subsection (1) from detention under a preventative detention order may again be taken into custody and kept in detention under the order at any </w:t>
      </w:r>
      <w:r>
        <w:lastRenderedPageBreak/>
        <w:t>time while the order remains in force in relation to the person.</w:t>
      </w:r>
    </w:p>
    <w:p>
      <w:pPr>
        <w:pStyle w:val="Footnotesection"/>
      </w:pPr>
      <w:r>
        <w:tab/>
        <w:t>[Section 32 amended: No. 1 of 2008 s. 5.]</w:t>
      </w:r>
    </w:p>
    <w:p>
      <w:pPr>
        <w:pStyle w:val="Heading5"/>
      </w:pPr>
      <w:bookmarkStart w:id="56" w:name="_Toc107483429"/>
      <w:r>
        <w:rPr>
          <w:rStyle w:val="CharSectno"/>
        </w:rPr>
        <w:t>33</w:t>
      </w:r>
      <w:r>
        <w:t>.</w:t>
      </w:r>
      <w:r>
        <w:tab/>
        <w:t>Arrangement for person to be in detention in a prison or detention centre</w:t>
      </w:r>
      <w:bookmarkEnd w:id="56"/>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PermNoteHeading"/>
      </w:pPr>
      <w:r>
        <w:tab/>
        <w:t>Note for this subsection:</w:t>
      </w:r>
    </w:p>
    <w:p>
      <w:pPr>
        <w:pStyle w:val="PermNoteText"/>
      </w:pPr>
      <w:r>
        <w:tab/>
      </w:r>
      <w:r>
        <w:tab/>
        <w:t>Under section 16 a preventative detention order cannot be made in relation to a person who is under 16 years of age.</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 xml:space="preserve">the preventative detention order is taken to order the person to be detained in the institution and authorise the </w:t>
      </w:r>
      <w:r>
        <w:lastRenderedPageBreak/>
        <w:t>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95E(b)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43A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keepNext/>
      </w:pPr>
      <w:r>
        <w:lastRenderedPageBreak/>
        <w:tab/>
      </w:r>
      <w:r>
        <w:tab/>
        <w:t>as if they conferred entitlements on the person.</w:t>
      </w:r>
    </w:p>
    <w:p>
      <w:pPr>
        <w:pStyle w:val="Footnotesection"/>
      </w:pPr>
      <w:r>
        <w:tab/>
        <w:t>[Section 33 amended: No. 23 of 2019 s. 7.]</w:t>
      </w:r>
    </w:p>
    <w:p>
      <w:pPr>
        <w:pStyle w:val="Heading5"/>
      </w:pPr>
      <w:bookmarkStart w:id="57" w:name="_Toc107483430"/>
      <w:r>
        <w:rPr>
          <w:rStyle w:val="CharSectno"/>
        </w:rPr>
        <w:t>34</w:t>
      </w:r>
      <w:r>
        <w:t>.</w:t>
      </w:r>
      <w:r>
        <w:tab/>
        <w:t>Inspector of Custodial Services to be notified of detention</w:t>
      </w:r>
      <w:bookmarkEnd w:id="57"/>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58" w:name="_Toc100304312"/>
      <w:bookmarkStart w:id="59" w:name="_Toc100304553"/>
      <w:bookmarkStart w:id="60" w:name="_Toc100563608"/>
      <w:bookmarkStart w:id="61" w:name="_Toc107312542"/>
      <w:bookmarkStart w:id="62" w:name="_Toc107483431"/>
      <w:r>
        <w:rPr>
          <w:rStyle w:val="CharPartNo"/>
        </w:rPr>
        <w:lastRenderedPageBreak/>
        <w:t>Part 5</w:t>
      </w:r>
      <w:r>
        <w:rPr>
          <w:rStyle w:val="CharDivNo"/>
        </w:rPr>
        <w:t> </w:t>
      </w:r>
      <w:r>
        <w:t>—</w:t>
      </w:r>
      <w:r>
        <w:rPr>
          <w:rStyle w:val="CharDivText"/>
        </w:rPr>
        <w:t> </w:t>
      </w:r>
      <w:r>
        <w:rPr>
          <w:rStyle w:val="CharPartText"/>
        </w:rPr>
        <w:t>Informing person detained about preventative detention order</w:t>
      </w:r>
      <w:bookmarkEnd w:id="58"/>
      <w:bookmarkEnd w:id="59"/>
      <w:bookmarkEnd w:id="60"/>
      <w:bookmarkEnd w:id="61"/>
      <w:bookmarkEnd w:id="62"/>
    </w:p>
    <w:p>
      <w:pPr>
        <w:pStyle w:val="Heading5"/>
      </w:pPr>
      <w:bookmarkStart w:id="63" w:name="_Toc107483432"/>
      <w:r>
        <w:rPr>
          <w:rStyle w:val="CharSectno"/>
        </w:rPr>
        <w:t>35</w:t>
      </w:r>
      <w:r>
        <w:t>.</w:t>
      </w:r>
      <w:r>
        <w:tab/>
        <w:t>Effect of preventative detention order to be explained to person detained</w:t>
      </w:r>
      <w:bookmarkEnd w:id="63"/>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the fact that the preventative detention order has been made in relation to the person; and</w:t>
      </w:r>
    </w:p>
    <w:p>
      <w:pPr>
        <w:pStyle w:val="Indenta"/>
      </w:pPr>
      <w:r>
        <w:tab/>
        <w:t>(b)</w:t>
      </w:r>
      <w:r>
        <w:tab/>
        <w:t>the requirement for there to be a review of the order under Part 3 and the fact that the person will have an opportunity to be heard on the review of the order; and</w:t>
      </w:r>
    </w:p>
    <w:p>
      <w:pPr>
        <w:pStyle w:val="Indenta"/>
      </w:pPr>
      <w:r>
        <w:tab/>
        <w:t>(c)</w:t>
      </w:r>
      <w:r>
        <w:tab/>
        <w:t>the period during which the person may be kept in detention under the order; and</w:t>
      </w:r>
    </w:p>
    <w:p>
      <w:pPr>
        <w:pStyle w:val="Indenta"/>
      </w:pPr>
      <w:r>
        <w:tab/>
        <w:t>(d)</w:t>
      </w:r>
      <w:r>
        <w:tab/>
        <w:t>if the period of detention is less than the maximum permissible under this Act — the fact that an application may be made for a further preventative detention order; and</w:t>
      </w:r>
    </w:p>
    <w:p>
      <w:pPr>
        <w:pStyle w:val="Indenta"/>
      </w:pPr>
      <w:r>
        <w:tab/>
        <w:t>(e)</w:t>
      </w:r>
      <w:r>
        <w:tab/>
        <w:t>the person’s entitlement under section 41 to contact family members and others; and</w:t>
      </w:r>
    </w:p>
    <w:p>
      <w:pPr>
        <w:pStyle w:val="Indenta"/>
      </w:pPr>
      <w:r>
        <w:tab/>
        <w:t>(f)</w:t>
      </w:r>
      <w:r>
        <w:tab/>
        <w:t>the person’s entitlement under section 42(1) to contact the Parliamentary Commissioner; and</w:t>
      </w:r>
    </w:p>
    <w:p>
      <w:pPr>
        <w:pStyle w:val="Indenta"/>
      </w:pPr>
      <w:r>
        <w:tab/>
        <w:t>(g)</w:t>
      </w:r>
      <w:r>
        <w:tab/>
        <w:t>the person’s entitlement under section 42(2) to contact the Corruption and Crime Commission; and</w:t>
      </w:r>
    </w:p>
    <w:p>
      <w:pPr>
        <w:pStyle w:val="Indenta"/>
      </w:pPr>
      <w:r>
        <w:tab/>
        <w:t>(h)</w:t>
      </w:r>
      <w:r>
        <w:tab/>
        <w:t>the person’s entitlement under section 43 to contact a lawyer; and</w:t>
      </w:r>
    </w:p>
    <w:p>
      <w:pPr>
        <w:pStyle w:val="Indenta"/>
      </w:pPr>
      <w:r>
        <w:tab/>
        <w:t>(ha)</w:t>
      </w:r>
      <w:r>
        <w:tab/>
        <w:t>the person’s entitlement under section 43A to have contact with an approved religious or spiritual adviser; and</w:t>
      </w:r>
    </w:p>
    <w:p>
      <w:pPr>
        <w:pStyle w:val="Indenta"/>
      </w:pPr>
      <w:r>
        <w:lastRenderedPageBreak/>
        <w:tab/>
        <w:t>(i)</w:t>
      </w:r>
      <w:r>
        <w:tab/>
        <w:t>if section 45 applies to the person, the person’s entitlement under that section to contact parents, guardians and others; and</w:t>
      </w:r>
    </w:p>
    <w:p>
      <w:pPr>
        <w:pStyle w:val="Indenta"/>
      </w:pPr>
      <w:r>
        <w:tab/>
        <w:t>(j)</w:t>
      </w:r>
      <w:r>
        <w:tab/>
        <w:t>the restrictions that apply as to the disclosures that the person is entitled to make while the person is in detention under the order, and the consequences of failing to comply with those restrictions; and</w:t>
      </w:r>
    </w:p>
    <w:p>
      <w:pPr>
        <w:pStyle w:val="Indenta"/>
      </w:pPr>
      <w:r>
        <w:tab/>
        <w:t>(k)</w:t>
      </w:r>
      <w:r>
        <w:tab/>
        <w:t>the restrictions that apply to the people the person may contact while the person is in detention under the order; and</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Footnotesection"/>
      </w:pPr>
      <w:r>
        <w:tab/>
        <w:t>[Section 35 amended: No. 23 of 2019 s. 8.]</w:t>
      </w:r>
    </w:p>
    <w:p>
      <w:pPr>
        <w:pStyle w:val="Heading5"/>
      </w:pPr>
      <w:bookmarkStart w:id="64" w:name="_Toc107483433"/>
      <w:r>
        <w:rPr>
          <w:rStyle w:val="CharSectno"/>
        </w:rPr>
        <w:lastRenderedPageBreak/>
        <w:t>36</w:t>
      </w:r>
      <w:r>
        <w:t>.</w:t>
      </w:r>
      <w:r>
        <w:tab/>
        <w:t>Compliance with duties to inform</w:t>
      </w:r>
      <w:bookmarkEnd w:id="64"/>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65" w:name="_Toc107483434"/>
      <w:r>
        <w:rPr>
          <w:rStyle w:val="CharSectno"/>
        </w:rPr>
        <w:t>37</w:t>
      </w:r>
      <w:r>
        <w:t>.</w:t>
      </w:r>
      <w:r>
        <w:tab/>
        <w:t>Copy of preventative detention order and summary of grounds</w:t>
      </w:r>
      <w:bookmarkEnd w:id="65"/>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lastRenderedPageBreak/>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lastRenderedPageBreak/>
        <w:tab/>
        <w:t>(10)</w:t>
      </w:r>
      <w:r>
        <w:tab/>
        <w:t>The lawfulness of a person’s detention under a preventative detention order is not affected by a failure to comply with subsection (1), (5) or (9).</w:t>
      </w:r>
    </w:p>
    <w:p>
      <w:pPr>
        <w:pStyle w:val="Heading2"/>
      </w:pPr>
      <w:bookmarkStart w:id="66" w:name="_Toc100304316"/>
      <w:bookmarkStart w:id="67" w:name="_Toc100304557"/>
      <w:bookmarkStart w:id="68" w:name="_Toc100563612"/>
      <w:bookmarkStart w:id="69" w:name="_Toc107312546"/>
      <w:bookmarkStart w:id="70" w:name="_Toc107483435"/>
      <w:r>
        <w:rPr>
          <w:rStyle w:val="CharPartNo"/>
        </w:rPr>
        <w:lastRenderedPageBreak/>
        <w:t>Part 6</w:t>
      </w:r>
      <w:r>
        <w:rPr>
          <w:rStyle w:val="CharDivNo"/>
        </w:rPr>
        <w:t> </w:t>
      </w:r>
      <w:r>
        <w:t>—</w:t>
      </w:r>
      <w:r>
        <w:rPr>
          <w:rStyle w:val="CharDivText"/>
        </w:rPr>
        <w:t> </w:t>
      </w:r>
      <w:r>
        <w:rPr>
          <w:rStyle w:val="CharPartText"/>
        </w:rPr>
        <w:t>Treatment of person in detention</w:t>
      </w:r>
      <w:bookmarkEnd w:id="66"/>
      <w:bookmarkEnd w:id="67"/>
      <w:bookmarkEnd w:id="68"/>
      <w:bookmarkEnd w:id="69"/>
      <w:bookmarkEnd w:id="70"/>
    </w:p>
    <w:p>
      <w:pPr>
        <w:pStyle w:val="Heading5"/>
      </w:pPr>
      <w:bookmarkStart w:id="71" w:name="_Toc107483436"/>
      <w:r>
        <w:rPr>
          <w:rStyle w:val="CharSectno"/>
        </w:rPr>
        <w:t>38</w:t>
      </w:r>
      <w:r>
        <w:t>.</w:t>
      </w:r>
      <w:r>
        <w:tab/>
        <w:t>Application of Part</w:t>
      </w:r>
      <w:bookmarkEnd w:id="71"/>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72" w:name="_Toc107483437"/>
      <w:r>
        <w:rPr>
          <w:rStyle w:val="CharSectno"/>
        </w:rPr>
        <w:t>39</w:t>
      </w:r>
      <w:r>
        <w:t>.</w:t>
      </w:r>
      <w:r>
        <w:tab/>
        <w:t>Humane treatment of detainee</w:t>
      </w:r>
      <w:bookmarkEnd w:id="72"/>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73" w:name="_Toc107483438"/>
      <w:r>
        <w:rPr>
          <w:rStyle w:val="CharSectno"/>
        </w:rPr>
        <w:lastRenderedPageBreak/>
        <w:t>40</w:t>
      </w:r>
      <w:r>
        <w:t>.</w:t>
      </w:r>
      <w:r>
        <w:tab/>
        <w:t>Restriction on contact with other people</w:t>
      </w:r>
      <w:bookmarkEnd w:id="73"/>
    </w:p>
    <w:p>
      <w:pPr>
        <w:pStyle w:val="Subsection"/>
      </w:pPr>
      <w:r>
        <w:tab/>
        <w:t>(1)</w:t>
      </w:r>
      <w:r>
        <w:tab/>
        <w:t xml:space="preserve">Except as provided by section 41, 42, 43, 43A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PermNoteHeading"/>
      </w:pPr>
      <w:r>
        <w:tab/>
        <w:t>Note for this subsection:</w:t>
      </w:r>
    </w:p>
    <w:p>
      <w:pPr>
        <w:pStyle w:val="PermNoteText"/>
      </w:pPr>
      <w:r>
        <w:tab/>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43A and 45 have effect subject to any prohibited contact order made in relation to the detainee’s detention. </w:t>
      </w:r>
    </w:p>
    <w:p>
      <w:pPr>
        <w:pStyle w:val="Footnotesection"/>
      </w:pPr>
      <w:r>
        <w:tab/>
        <w:t>[Section 40 amended: No. 23 of 2019 s. 9.]</w:t>
      </w:r>
    </w:p>
    <w:p>
      <w:pPr>
        <w:pStyle w:val="Heading5"/>
        <w:keepLines w:val="0"/>
      </w:pPr>
      <w:bookmarkStart w:id="74" w:name="_Toc107483439"/>
      <w:r>
        <w:rPr>
          <w:rStyle w:val="CharSectno"/>
        </w:rPr>
        <w:t>41</w:t>
      </w:r>
      <w:r>
        <w:t>.</w:t>
      </w:r>
      <w:r>
        <w:tab/>
        <w:t>Contacting family members and home or work associates</w:t>
      </w:r>
      <w:bookmarkEnd w:id="74"/>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lastRenderedPageBreak/>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75" w:name="_Toc107483440"/>
      <w:r>
        <w:rPr>
          <w:rStyle w:val="CharSectno"/>
        </w:rPr>
        <w:t>42</w:t>
      </w:r>
      <w:r>
        <w:t>.</w:t>
      </w:r>
      <w:r>
        <w:tab/>
        <w:t>Contacting proper authorities to make complaints, allegations of serious misconduct and representations</w:t>
      </w:r>
      <w:bookmarkEnd w:id="75"/>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Crime and Misconduct Act 2003</w:t>
      </w:r>
      <w:r>
        <w:t>, the detainee is entitled to contact the Corruption and Crime Commission to make an allegation of serious misconduct in connection with the detainee’s detention under the PDO.</w:t>
      </w:r>
    </w:p>
    <w:p>
      <w:pPr>
        <w:pStyle w:val="Subsection"/>
      </w:pPr>
      <w:r>
        <w:lastRenderedPageBreak/>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Footnotesection"/>
      </w:pPr>
      <w:r>
        <w:tab/>
        <w:t>[Section 42 amended: No. 35 of 2014 s. 38(5).]</w:t>
      </w:r>
    </w:p>
    <w:p>
      <w:pPr>
        <w:pStyle w:val="Heading5"/>
      </w:pPr>
      <w:bookmarkStart w:id="76" w:name="_Toc107483441"/>
      <w:r>
        <w:rPr>
          <w:rStyle w:val="CharSectno"/>
        </w:rPr>
        <w:t>43</w:t>
      </w:r>
      <w:r>
        <w:t>.</w:t>
      </w:r>
      <w:r>
        <w:tab/>
        <w:t>Contacting lawyer</w:t>
      </w:r>
      <w:bookmarkEnd w:id="76"/>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serious misconduct to the Corruption and Crime Commission in connection with the detainee’s detention under the PDO;</w:t>
      </w:r>
    </w:p>
    <w:p>
      <w:pPr>
        <w:pStyle w:val="Indenta"/>
      </w:pPr>
      <w:r>
        <w:tab/>
        <w:t>(f)</w:t>
      </w:r>
      <w:r>
        <w:tab/>
        <w:t xml:space="preserve">arranging for the lawyer to make representations to the Inspector of Custodial Services that are in connection </w:t>
      </w:r>
      <w:r>
        <w:lastRenderedPageBreak/>
        <w:t>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Footnotesection"/>
      </w:pPr>
      <w:r>
        <w:tab/>
        <w:t>[Section 43 amended: No. 35 of 2014 s. 38(6).]</w:t>
      </w:r>
    </w:p>
    <w:p>
      <w:pPr>
        <w:pStyle w:val="Heading5"/>
      </w:pPr>
      <w:bookmarkStart w:id="77" w:name="_Toc107483442"/>
      <w:r>
        <w:rPr>
          <w:rStyle w:val="CharSectno"/>
        </w:rPr>
        <w:lastRenderedPageBreak/>
        <w:t>43A</w:t>
      </w:r>
      <w:r>
        <w:t>.</w:t>
      </w:r>
      <w:r>
        <w:tab/>
        <w:t>Contact with approved religious or spiritual adviser</w:t>
      </w:r>
      <w:bookmarkEnd w:id="77"/>
    </w:p>
    <w:p>
      <w:pPr>
        <w:pStyle w:val="Subsection"/>
      </w:pPr>
      <w:r>
        <w:tab/>
        <w:t>(1)</w:t>
      </w:r>
      <w:r>
        <w:tab/>
        <w:t xml:space="preserve">A person may be approved as a religious or spiritual adviser for the purposes of subsection (2) by — </w:t>
      </w:r>
    </w:p>
    <w:p>
      <w:pPr>
        <w:pStyle w:val="Indenta"/>
      </w:pPr>
      <w:r>
        <w:tab/>
        <w:t>(a)</w:t>
      </w:r>
      <w:r>
        <w:tab/>
        <w:t>the Commissioner; or</w:t>
      </w:r>
    </w:p>
    <w:p>
      <w:pPr>
        <w:pStyle w:val="Indenta"/>
      </w:pPr>
      <w:r>
        <w:tab/>
        <w:t>(b)</w:t>
      </w:r>
      <w:r>
        <w:tab/>
        <w:t>a senior police officer authorised by the Commissioner to give the approval.</w:t>
      </w:r>
    </w:p>
    <w:p>
      <w:pPr>
        <w:pStyle w:val="Subsection"/>
      </w:pPr>
      <w:r>
        <w:tab/>
        <w:t>(2)</w:t>
      </w:r>
      <w:r>
        <w:tab/>
        <w:t>A detainee is entitled to have contact with a person who is a religious or spiritual adviser approved under subsection (1) for the purpose of religious or spiritual guidance.</w:t>
      </w:r>
    </w:p>
    <w:p>
      <w:pPr>
        <w:pStyle w:val="Subsection"/>
      </w:pPr>
      <w:r>
        <w:tab/>
        <w:t>(3)</w:t>
      </w:r>
      <w:r>
        <w:tab/>
        <w:t xml:space="preserve">To avoid doubt, the detainee is entitled to disclose the following to an approved religious or spiritual adviser — </w:t>
      </w:r>
    </w:p>
    <w:p>
      <w:pPr>
        <w:pStyle w:val="Indenta"/>
      </w:pPr>
      <w:r>
        <w:tab/>
        <w:t>(a)</w:t>
      </w:r>
      <w:r>
        <w:tab/>
        <w:t>the fact that the PDO has been made in relation to the detainee;</w:t>
      </w:r>
    </w:p>
    <w:p>
      <w:pPr>
        <w:pStyle w:val="Indenta"/>
      </w:pPr>
      <w:r>
        <w:tab/>
        <w:t>(b)</w:t>
      </w:r>
      <w:r>
        <w:tab/>
        <w:t>the period for which the detainee is to be kept in detention.</w:t>
      </w:r>
    </w:p>
    <w:p>
      <w:pPr>
        <w:pStyle w:val="Subsection"/>
      </w:pPr>
      <w:r>
        <w:tab/>
        <w:t>(4)</w:t>
      </w:r>
      <w:r>
        <w:tab/>
        <w:t>The form of contact that the detainee is entitled to have with an approved religious or spiritual adviser under subsection (2) is limited to being visited by the adviser.</w:t>
      </w:r>
    </w:p>
    <w:p>
      <w:pPr>
        <w:pStyle w:val="Subsection"/>
      </w:pPr>
      <w:r>
        <w:tab/>
        <w:t>(5)</w:t>
      </w:r>
      <w:r>
        <w:tab/>
        <w:t>The police officer who is detaining the detainee must, as far as reasonably practicable, assist the detainee in exercising the detainee’s entitlement to have contact with an approved religious or spiritual adviser under subsection (2).</w:t>
      </w:r>
    </w:p>
    <w:p>
      <w:pPr>
        <w:pStyle w:val="Subsection"/>
      </w:pPr>
      <w:r>
        <w:tab/>
        <w:t>(6)</w:t>
      </w:r>
      <w:r>
        <w:tab/>
        <w:t xml:space="preserve">Before approving under subsection (1) a person who is not a religious or spiritual adviser approved under the </w:t>
      </w:r>
      <w:r>
        <w:rPr>
          <w:i/>
        </w:rPr>
        <w:t>Prisons Act 1981</w:t>
      </w:r>
      <w:r>
        <w:t xml:space="preserve"> section 95E(b), the Commissioner or the senior police officer must consult with the chief executive officer of the department principally assisting the Minister administering the </w:t>
      </w:r>
      <w:r>
        <w:rPr>
          <w:i/>
        </w:rPr>
        <w:t>Prisons Act 1981</w:t>
      </w:r>
      <w:r>
        <w:t xml:space="preserve"> to administer that Act.</w:t>
      </w:r>
    </w:p>
    <w:p>
      <w:pPr>
        <w:pStyle w:val="Footnotesection"/>
      </w:pPr>
      <w:r>
        <w:tab/>
        <w:t>[Section 43A inserted: No. 23 of 2019 s. 10.]</w:t>
      </w:r>
    </w:p>
    <w:p>
      <w:pPr>
        <w:pStyle w:val="Heading5"/>
      </w:pPr>
      <w:bookmarkStart w:id="78" w:name="_Toc107483443"/>
      <w:r>
        <w:rPr>
          <w:rStyle w:val="CharSectno"/>
        </w:rPr>
        <w:lastRenderedPageBreak/>
        <w:t>44</w:t>
      </w:r>
      <w:r>
        <w:t>.</w:t>
      </w:r>
      <w:r>
        <w:tab/>
        <w:t>Monitoring contact with family members, home or work associates, lawyer or approved religious or spiritual adviser</w:t>
      </w:r>
      <w:bookmarkEnd w:id="78"/>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(2A)</w:t>
      </w:r>
      <w:r>
        <w:tab/>
        <w:t>The contact the detainee has with an approved religious or spiritual adviser under section 43A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(2) or (2A)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 xml:space="preserve">arrange for the services of an appropriate interpreter to be provided if it is reasonably practicable to do so during </w:t>
      </w:r>
      <w:r>
        <w:lastRenderedPageBreak/>
        <w:t>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Footnotesection"/>
      </w:pPr>
      <w:r>
        <w:tab/>
        <w:t>[Section 44 amended: No. 23 of 2019 s. 11.]</w:t>
      </w:r>
    </w:p>
    <w:p>
      <w:pPr>
        <w:pStyle w:val="Heading5"/>
      </w:pPr>
      <w:bookmarkStart w:id="79" w:name="_Toc107483444"/>
      <w:r>
        <w:rPr>
          <w:rStyle w:val="CharSectno"/>
        </w:rPr>
        <w:t>45</w:t>
      </w:r>
      <w:r>
        <w:t>.</w:t>
      </w:r>
      <w:r>
        <w:tab/>
        <w:t>Special contact rules for people under 18 or incapable of managing their own affairs</w:t>
      </w:r>
      <w:bookmarkEnd w:id="79"/>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keepNext/>
      </w:pPr>
      <w:r>
        <w:lastRenderedPageBreak/>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lastRenderedPageBreak/>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lastRenderedPageBreak/>
        <w:tab/>
        <w:t>(11)</w:t>
      </w:r>
      <w:r>
        <w:tab/>
        <w:t>The entitlements of the detainee under this section are in addition to those that the detainee has under sections 41, 43 and 43A.</w:t>
      </w:r>
    </w:p>
    <w:p>
      <w:pPr>
        <w:pStyle w:val="Subsection"/>
      </w:pPr>
      <w:r>
        <w:tab/>
        <w:t>(12)</w:t>
      </w:r>
      <w:r>
        <w:tab/>
        <w:t>The police officer who is detaining the detainee must, as far as reasonably practicable, assist the detainee in exercising the detainee’s entitlement to have contact with persons under this Part.</w:t>
      </w:r>
    </w:p>
    <w:p>
      <w:pPr>
        <w:pStyle w:val="Subsection"/>
      </w:pPr>
      <w:r>
        <w:tab/>
        <w:t>(13)</w:t>
      </w:r>
      <w:r>
        <w:tab/>
        <w:t>Without limiting subsection (12), the requirement under that subsection includes giving the detainee reasonable assistance in locating any person with whom the detainee is entitled to have contact under this Part.</w:t>
      </w:r>
    </w:p>
    <w:p>
      <w:pPr>
        <w:pStyle w:val="Subsection"/>
      </w:pPr>
      <w:r>
        <w:tab/>
        <w:t>(14)</w:t>
      </w:r>
      <w:r>
        <w:tab/>
        <w:t xml:space="preserve">If the detainee is not entitled to have contact with another person because the other person is not acceptable to the police officer who is detaining the detainee, the police officer must — </w:t>
      </w:r>
    </w:p>
    <w:p>
      <w:pPr>
        <w:pStyle w:val="Indenta"/>
      </w:pPr>
      <w:r>
        <w:tab/>
        <w:t>(a)</w:t>
      </w:r>
      <w:r>
        <w:tab/>
        <w:t>give the detainee reasons why the person is not acceptable, unless doing so would result in the disclosure of criminal intelligence information; and</w:t>
      </w:r>
    </w:p>
    <w:p>
      <w:pPr>
        <w:pStyle w:val="Indenta"/>
      </w:pPr>
      <w:r>
        <w:tab/>
        <w:t>(b)</w:t>
      </w:r>
      <w:r>
        <w:tab/>
        <w:t>give the detainee an opportunity to nominate another person with whom the detainee is entitled to have contact; and</w:t>
      </w:r>
    </w:p>
    <w:p>
      <w:pPr>
        <w:pStyle w:val="Indenta"/>
      </w:pPr>
      <w:r>
        <w:tab/>
        <w:t>(c)</w:t>
      </w:r>
      <w:r>
        <w:tab/>
        <w:t xml:space="preserve">offer the detainee contact with another person who is acceptable to the police officer and who has relevant experience in working with 1 or more of the following, as appropriate in the circumstances — </w:t>
      </w:r>
    </w:p>
    <w:p>
      <w:pPr>
        <w:pStyle w:val="Indenti"/>
      </w:pPr>
      <w:r>
        <w:tab/>
        <w:t>(i)</w:t>
      </w:r>
      <w:r>
        <w:tab/>
        <w:t>young people;</w:t>
      </w:r>
    </w:p>
    <w:p>
      <w:pPr>
        <w:pStyle w:val="Indenti"/>
      </w:pPr>
      <w:r>
        <w:tab/>
        <w:t>(ii)</w:t>
      </w:r>
      <w:r>
        <w:tab/>
        <w:t>persons incapable of managing their own affairs;</w:t>
      </w:r>
    </w:p>
    <w:p>
      <w:pPr>
        <w:pStyle w:val="Indenti"/>
      </w:pPr>
      <w:r>
        <w:tab/>
        <w:t>(iii)</w:t>
      </w:r>
      <w:r>
        <w:tab/>
        <w:t>persons in a class of persons prescribed for the purposes of this subsection.</w:t>
      </w:r>
    </w:p>
    <w:p>
      <w:pPr>
        <w:pStyle w:val="Subsection"/>
        <w:keepNext/>
      </w:pPr>
      <w:r>
        <w:tab/>
        <w:t>(15)</w:t>
      </w:r>
      <w:r>
        <w:tab/>
        <w:t xml:space="preserve">In subsection (14) — </w:t>
      </w:r>
    </w:p>
    <w:p>
      <w:pPr>
        <w:pStyle w:val="Defstart"/>
        <w:keepNext/>
      </w:pPr>
      <w:r>
        <w:tab/>
      </w:r>
      <w:r>
        <w:rPr>
          <w:rStyle w:val="CharDefText"/>
        </w:rPr>
        <w:t>criminal intelligence information</w:t>
      </w:r>
      <w:r>
        <w:t xml:space="preserve"> means information relating to actual or suspected criminal activity (whether in this State or </w:t>
      </w:r>
      <w:r>
        <w:lastRenderedPageBreak/>
        <w:t xml:space="preserve">elsewhere) the disclosure of which could reasonably be expected — </w:t>
      </w:r>
    </w:p>
    <w:p>
      <w:pPr>
        <w:pStyle w:val="Defpara"/>
      </w:pPr>
      <w:r>
        <w:tab/>
        <w:t>(a)</w:t>
      </w:r>
      <w:r>
        <w:tab/>
        <w:t>to prejudice national security; or</w:t>
      </w:r>
    </w:p>
    <w:p>
      <w:pPr>
        <w:pStyle w:val="Defpara"/>
      </w:pPr>
      <w:r>
        <w:tab/>
        <w:t>(b)</w:t>
      </w:r>
      <w:r>
        <w:tab/>
        <w:t>to endanger a person’s life or physical safety; or</w:t>
      </w:r>
    </w:p>
    <w:p>
      <w:pPr>
        <w:pStyle w:val="Defpara"/>
      </w:pPr>
      <w:r>
        <w:tab/>
        <w:t>(c)</w:t>
      </w:r>
      <w:r>
        <w:tab/>
        <w:t>to threaten significant damage to infrastructure or property; or</w:t>
      </w:r>
    </w:p>
    <w:p>
      <w:pPr>
        <w:pStyle w:val="Defpara"/>
      </w:pPr>
      <w:r>
        <w:tab/>
        <w:t>(d)</w:t>
      </w:r>
      <w:r>
        <w:tab/>
        <w:t>to prejudice a criminal investigation; or</w:t>
      </w:r>
    </w:p>
    <w:p>
      <w:pPr>
        <w:pStyle w:val="Defpara"/>
      </w:pPr>
      <w:r>
        <w:tab/>
        <w:t>(e)</w:t>
      </w:r>
      <w:r>
        <w:tab/>
        <w:t>to reveal intelligence</w:t>
      </w:r>
      <w:r>
        <w:noBreakHyphen/>
        <w:t>gathering methodologies, investigative techniques or technologies or covert practices; or</w:t>
      </w:r>
    </w:p>
    <w:p>
      <w:pPr>
        <w:pStyle w:val="Defpara"/>
      </w:pPr>
      <w:r>
        <w:tab/>
        <w:t>(f)</w:t>
      </w:r>
      <w:r>
        <w:tab/>
        <w:t>to enable the discovery of the existence or identity of a confidential source of information relevant to law enforcement.</w:t>
      </w:r>
    </w:p>
    <w:p>
      <w:pPr>
        <w:pStyle w:val="Footnotesection"/>
      </w:pPr>
      <w:r>
        <w:tab/>
        <w:t>[Section 45 amended: No. 23 of 2019 s. 12.]</w:t>
      </w:r>
    </w:p>
    <w:p>
      <w:pPr>
        <w:pStyle w:val="Heading5"/>
      </w:pPr>
      <w:bookmarkStart w:id="80" w:name="_Toc107483445"/>
      <w:r>
        <w:rPr>
          <w:rStyle w:val="CharSectno"/>
        </w:rPr>
        <w:t>46</w:t>
      </w:r>
      <w:r>
        <w:t>.</w:t>
      </w:r>
      <w:r>
        <w:tab/>
        <w:t>Disclosure offences</w:t>
      </w:r>
      <w:bookmarkEnd w:id="80"/>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 43A or 45.</w:t>
      </w:r>
    </w:p>
    <w:p>
      <w:pPr>
        <w:pStyle w:val="Penstart"/>
      </w:pPr>
      <w:r>
        <w:tab/>
        <w:t>Penalty: imprisonment for 5 years.</w:t>
      </w:r>
    </w:p>
    <w:p>
      <w:pPr>
        <w:pStyle w:val="Subsection"/>
        <w:keepNext/>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lastRenderedPageBreak/>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serious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w:t>
      </w:r>
      <w:r>
        <w:lastRenderedPageBreak/>
        <w:t xml:space="preserve">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serious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lastRenderedPageBreak/>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(7A)</w:t>
      </w:r>
      <w:r>
        <w:tab/>
        <w:t xml:space="preserve">If the detainee has contact with an approved religious or spiritual adviser (the </w:t>
      </w:r>
      <w:r>
        <w:rPr>
          <w:rStyle w:val="CharDefText"/>
        </w:rPr>
        <w:t>adviser</w:t>
      </w:r>
      <w:r>
        <w:t xml:space="preserve">) under section 43A, the adviser commits a crime if, while the detainee is in detention under the PDO, the adviser discloses to another person — </w:t>
      </w:r>
    </w:p>
    <w:p>
      <w:pPr>
        <w:pStyle w:val="Indenta"/>
      </w:pPr>
      <w:r>
        <w:lastRenderedPageBreak/>
        <w:tab/>
        <w:t>(a)</w:t>
      </w:r>
      <w:r>
        <w:tab/>
        <w:t>the fact that a PDO has been made in relation to the detainee; or</w:t>
      </w:r>
    </w:p>
    <w:p>
      <w:pPr>
        <w:pStyle w:val="Indenta"/>
      </w:pPr>
      <w:r>
        <w:tab/>
        <w:t>(b)</w:t>
      </w:r>
      <w:r>
        <w:tab/>
        <w:t>the fact that the detainee is in detention; or</w:t>
      </w:r>
    </w:p>
    <w:p>
      <w:pPr>
        <w:pStyle w:val="Indenta"/>
      </w:pPr>
      <w:r>
        <w:tab/>
        <w:t>(c)</w:t>
      </w:r>
      <w:r>
        <w:tab/>
        <w:t>the period for which the detainee is to be kept in detention; or</w:t>
      </w:r>
    </w:p>
    <w:p>
      <w:pPr>
        <w:pStyle w:val="Indenta"/>
      </w:pPr>
      <w:r>
        <w:tab/>
        <w:t>(d)</w:t>
      </w:r>
      <w:r>
        <w:tab/>
        <w:t>any information that the detainee gives the adviser in the course of the contact.</w:t>
      </w:r>
    </w:p>
    <w:p>
      <w:pPr>
        <w:pStyle w:val="Penstart"/>
      </w:pPr>
      <w:r>
        <w:tab/>
        <w:t>Penalty for this subsection: imprisonment for 5 years.</w:t>
      </w:r>
    </w:p>
    <w:p>
      <w:pPr>
        <w:pStyle w:val="Subsection"/>
      </w:pPr>
      <w:r>
        <w:tab/>
        <w:t>(8)</w:t>
      </w:r>
      <w:r>
        <w:tab/>
        <w:t>If —</w:t>
      </w:r>
    </w:p>
    <w:p>
      <w:pPr>
        <w:pStyle w:val="Indenta"/>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keepNext/>
        <w:spacing w:before="120"/>
      </w:pPr>
      <w:r>
        <w:lastRenderedPageBreak/>
        <w:tab/>
        <w:t>(9)</w:t>
      </w:r>
      <w:r>
        <w:tab/>
        <w:t xml:space="preserve">If — </w:t>
      </w:r>
    </w:p>
    <w:p>
      <w:pPr>
        <w:pStyle w:val="Indenta"/>
        <w:keepNext/>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Footnotesection"/>
      </w:pPr>
      <w:r>
        <w:tab/>
        <w:t>[Section 46 amended: No. 35 of 2014 s. 38(7); No. 23 of 2019 s. 13.]</w:t>
      </w:r>
    </w:p>
    <w:p>
      <w:pPr>
        <w:pStyle w:val="Heading5"/>
        <w:spacing w:before="180"/>
      </w:pPr>
      <w:bookmarkStart w:id="81" w:name="_Toc107483446"/>
      <w:r>
        <w:rPr>
          <w:rStyle w:val="CharSectno"/>
        </w:rPr>
        <w:t>47</w:t>
      </w:r>
      <w:r>
        <w:t>.</w:t>
      </w:r>
      <w:r>
        <w:tab/>
        <w:t>Detainee not to be questioned while in detention</w:t>
      </w:r>
      <w:bookmarkEnd w:id="81"/>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or identified in the PDO; or</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PermNoteHeading"/>
      </w:pPr>
      <w:r>
        <w:tab/>
        <w:t>Note for this section:</w:t>
      </w:r>
    </w:p>
    <w:p>
      <w:pPr>
        <w:pStyle w:val="PermNoteText"/>
      </w:pPr>
      <w:r>
        <w:tab/>
      </w:r>
      <w:r>
        <w:tab/>
        <w:t>This section will not apply to the person if the person is released from detention under the order (even though the order may still be in force in relation to the person).</w:t>
      </w:r>
    </w:p>
    <w:p>
      <w:pPr>
        <w:pStyle w:val="Footnotesection"/>
      </w:pPr>
      <w:r>
        <w:tab/>
        <w:t>[Section 47 amended: No. 23 of 2019 s. 14.]</w:t>
      </w:r>
    </w:p>
    <w:p>
      <w:pPr>
        <w:pStyle w:val="Heading5"/>
      </w:pPr>
      <w:bookmarkStart w:id="82" w:name="_Toc107483447"/>
      <w:r>
        <w:rPr>
          <w:rStyle w:val="CharSectno"/>
        </w:rPr>
        <w:lastRenderedPageBreak/>
        <w:t>48</w:t>
      </w:r>
      <w:r>
        <w:t>.</w:t>
      </w:r>
      <w:r>
        <w:tab/>
        <w:t>Taking identification material</w:t>
      </w:r>
      <w:bookmarkEnd w:id="82"/>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keepNext/>
      </w:pPr>
      <w:r>
        <w:lastRenderedPageBreak/>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keepNext/>
      </w:pPr>
      <w:r>
        <w:lastRenderedPageBreak/>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Footnotesection"/>
      </w:pPr>
      <w:r>
        <w:tab/>
        <w:t>[Section 48 amended: No. 23 of 2019 s. 15.]</w:t>
      </w:r>
    </w:p>
    <w:p>
      <w:pPr>
        <w:pStyle w:val="Heading5"/>
      </w:pPr>
      <w:bookmarkStart w:id="83" w:name="_Toc107483448"/>
      <w:r>
        <w:rPr>
          <w:rStyle w:val="CharSectno"/>
        </w:rPr>
        <w:t>49</w:t>
      </w:r>
      <w:r>
        <w:t>.</w:t>
      </w:r>
      <w:r>
        <w:tab/>
        <w:t>Use of identification material</w:t>
      </w:r>
      <w:bookmarkEnd w:id="83"/>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or identified in the PDO.</w:t>
      </w:r>
    </w:p>
    <w:p>
      <w:pPr>
        <w:pStyle w:val="Subsection"/>
        <w:keepNext/>
      </w:pPr>
      <w:r>
        <w:lastRenderedPageBreak/>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Footnotesection"/>
      </w:pPr>
      <w:r>
        <w:tab/>
        <w:t>[Section 49 amended: No. 23 of 2019 s. 16.]</w:t>
      </w:r>
    </w:p>
    <w:p>
      <w:pPr>
        <w:pStyle w:val="Heading5"/>
      </w:pPr>
      <w:bookmarkStart w:id="84" w:name="_Toc107483449"/>
      <w:r>
        <w:rPr>
          <w:rStyle w:val="CharSectno"/>
        </w:rPr>
        <w:t>50</w:t>
      </w:r>
      <w:r>
        <w:t>.</w:t>
      </w:r>
      <w:r>
        <w:tab/>
        <w:t>Offences of contravening safeguards</w:t>
      </w:r>
      <w:bookmarkEnd w:id="84"/>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85" w:name="_Toc100304331"/>
      <w:bookmarkStart w:id="86" w:name="_Toc100304572"/>
      <w:bookmarkStart w:id="87" w:name="_Toc100563627"/>
      <w:bookmarkStart w:id="88" w:name="_Toc107312561"/>
      <w:bookmarkStart w:id="89" w:name="_Toc107483450"/>
      <w:r>
        <w:rPr>
          <w:rStyle w:val="CharPartNo"/>
        </w:rPr>
        <w:lastRenderedPageBreak/>
        <w:t>Part 7</w:t>
      </w:r>
      <w:r>
        <w:rPr>
          <w:rStyle w:val="CharDivNo"/>
        </w:rPr>
        <w:t> </w:t>
      </w:r>
      <w:r>
        <w:t>—</w:t>
      </w:r>
      <w:r>
        <w:rPr>
          <w:rStyle w:val="CharDivText"/>
        </w:rPr>
        <w:t> </w:t>
      </w:r>
      <w:r>
        <w:rPr>
          <w:rStyle w:val="CharPartText"/>
        </w:rPr>
        <w:t>Miscellaneous</w:t>
      </w:r>
      <w:bookmarkEnd w:id="85"/>
      <w:bookmarkEnd w:id="86"/>
      <w:bookmarkEnd w:id="87"/>
      <w:bookmarkEnd w:id="88"/>
      <w:bookmarkEnd w:id="89"/>
    </w:p>
    <w:p>
      <w:pPr>
        <w:pStyle w:val="Heading5"/>
      </w:pPr>
      <w:bookmarkStart w:id="90" w:name="_Toc107483451"/>
      <w:r>
        <w:rPr>
          <w:rStyle w:val="CharSectno"/>
        </w:rPr>
        <w:t>51</w:t>
      </w:r>
      <w:r>
        <w:t>.</w:t>
      </w:r>
      <w:r>
        <w:tab/>
        <w:t>Commissioner’s functions may be performed by others</w:t>
      </w:r>
      <w:bookmarkEnd w:id="90"/>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91" w:name="_Toc107483452"/>
      <w:r>
        <w:rPr>
          <w:rStyle w:val="CharSectno"/>
        </w:rPr>
        <w:t>52</w:t>
      </w:r>
      <w:r>
        <w:t>.</w:t>
      </w:r>
      <w:r>
        <w:tab/>
        <w:t>Nature of functions of Magistrate</w:t>
      </w:r>
      <w:bookmarkEnd w:id="91"/>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lastRenderedPageBreak/>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92" w:name="_Toc107483453"/>
      <w:r>
        <w:rPr>
          <w:rStyle w:val="CharSectno"/>
        </w:rPr>
        <w:t>53</w:t>
      </w:r>
      <w:r>
        <w:t>.</w:t>
      </w:r>
      <w:r>
        <w:tab/>
        <w:t>Restrictions on publicity about proceedings in Supreme Court</w:t>
      </w:r>
      <w:bookmarkEnd w:id="92"/>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93" w:name="_Toc107483454"/>
      <w:r>
        <w:rPr>
          <w:rStyle w:val="CharSectno"/>
        </w:rPr>
        <w:t>54</w:t>
      </w:r>
      <w:r>
        <w:t>.</w:t>
      </w:r>
      <w:r>
        <w:tab/>
        <w:t>Quarterly report about preventative detention orders</w:t>
      </w:r>
      <w:bookmarkEnd w:id="93"/>
    </w:p>
    <w:p>
      <w:pPr>
        <w:pStyle w:val="Subsection"/>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lastRenderedPageBreak/>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94" w:name="_Toc107483455"/>
      <w:r>
        <w:rPr>
          <w:rStyle w:val="CharSectno"/>
        </w:rPr>
        <w:t>55</w:t>
      </w:r>
      <w:r>
        <w:t>.</w:t>
      </w:r>
      <w:r>
        <w:tab/>
        <w:t>Powers of others not affected</w:t>
      </w:r>
      <w:bookmarkEnd w:id="94"/>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rPr>
        <w:t>Corruption, Crime and Misconduct Act 2003</w:t>
      </w:r>
      <w:r>
        <w:t xml:space="preserve"> of the Corruption and Crime Commission, the Commissioner under that Act, the Public Sector Commissioner or the Parliamentary Inspector; or</w:t>
      </w:r>
    </w:p>
    <w:p>
      <w:pPr>
        <w:pStyle w:val="Indenta"/>
      </w:pPr>
      <w:r>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w:t>
      </w:r>
      <w:r>
        <w:lastRenderedPageBreak/>
        <w:t>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Footnotesection"/>
      </w:pPr>
      <w:r>
        <w:tab/>
        <w:t>[Section 55 amended: No. 35 of 2014 s. 38(8).]</w:t>
      </w:r>
    </w:p>
    <w:p>
      <w:pPr>
        <w:pStyle w:val="Heading5"/>
      </w:pPr>
      <w:bookmarkStart w:id="95" w:name="_Toc107483456"/>
      <w:r>
        <w:rPr>
          <w:rStyle w:val="CharSectno"/>
        </w:rPr>
        <w:t>56</w:t>
      </w:r>
      <w:r>
        <w:t>.</w:t>
      </w:r>
      <w:r>
        <w:tab/>
        <w:t>Law relating to legal professional privilege not affected</w:t>
      </w:r>
      <w:bookmarkEnd w:id="95"/>
    </w:p>
    <w:p>
      <w:pPr>
        <w:pStyle w:val="Subsection"/>
      </w:pPr>
      <w:r>
        <w:tab/>
      </w:r>
      <w:r>
        <w:tab/>
        <w:t>To avoid doubt, this Act does not affect the law relating to legal professional privilege.</w:t>
      </w:r>
    </w:p>
    <w:p>
      <w:pPr>
        <w:pStyle w:val="Heading5"/>
      </w:pPr>
      <w:bookmarkStart w:id="96" w:name="_Toc107483457"/>
      <w:r>
        <w:rPr>
          <w:rStyle w:val="CharSectno"/>
        </w:rPr>
        <w:t>57</w:t>
      </w:r>
      <w:r>
        <w:t>.</w:t>
      </w:r>
      <w:r>
        <w:tab/>
        <w:t>Legal proceedings in relation to preventative detention orders</w:t>
      </w:r>
      <w:bookmarkEnd w:id="96"/>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lastRenderedPageBreak/>
        <w:tab/>
        <w:t>(4)</w:t>
      </w:r>
      <w:r>
        <w:tab/>
        <w:t>If the Supreme Court makes a determination under subsection (3), the State is liable to pay the compensation determined by the Court.</w:t>
      </w:r>
    </w:p>
    <w:p>
      <w:pPr>
        <w:pStyle w:val="Heading5"/>
      </w:pPr>
      <w:bookmarkStart w:id="97" w:name="_Toc107483458"/>
      <w:r>
        <w:rPr>
          <w:rStyle w:val="CharSectno"/>
        </w:rPr>
        <w:t>58</w:t>
      </w:r>
      <w:r>
        <w:t>.</w:t>
      </w:r>
      <w:r>
        <w:tab/>
        <w:t>Regulations</w:t>
      </w:r>
      <w:bookmarkEnd w:id="9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98" w:name="_Toc107483459"/>
      <w:r>
        <w:rPr>
          <w:rStyle w:val="CharSectno"/>
        </w:rPr>
        <w:t>59</w:t>
      </w:r>
      <w:r>
        <w:t>.</w:t>
      </w:r>
      <w:r>
        <w:tab/>
        <w:t>Review of Act</w:t>
      </w:r>
      <w:bookmarkEnd w:id="98"/>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99" w:name="_Toc107483460"/>
      <w:r>
        <w:rPr>
          <w:rStyle w:val="CharSectno"/>
        </w:rPr>
        <w:t>60</w:t>
      </w:r>
      <w:r>
        <w:t>.</w:t>
      </w:r>
      <w:r>
        <w:tab/>
        <w:t>Expiry of orders and power to make them</w:t>
      </w:r>
      <w:bookmarkEnd w:id="99"/>
    </w:p>
    <w:p>
      <w:pPr>
        <w:pStyle w:val="Subsection"/>
      </w:pPr>
      <w:r>
        <w:tab/>
        <w:t>(1)</w:t>
      </w:r>
      <w:r>
        <w:tab/>
        <w:t>In this section —</w:t>
      </w:r>
    </w:p>
    <w:p>
      <w:pPr>
        <w:pStyle w:val="Defstart"/>
      </w:pPr>
      <w:r>
        <w:tab/>
      </w:r>
      <w:r>
        <w:rPr>
          <w:rStyle w:val="CharDefText"/>
        </w:rPr>
        <w:t>expiry day</w:t>
      </w:r>
      <w:r>
        <w:t xml:space="preserve"> means 22 September 2026.</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pPr>
      <w:r>
        <w:lastRenderedPageBreak/>
        <w:tab/>
        <w:t>(3)</w:t>
      </w:r>
      <w:r>
        <w:tab/>
        <w:t xml:space="preserve">A preventative detention order, and a prohibited contact order, cannot be applied for, or made, on or after the expiry day. </w:t>
      </w:r>
    </w:p>
    <w:p>
      <w:pPr>
        <w:pStyle w:val="Footnotesection"/>
      </w:pPr>
      <w:r>
        <w:tab/>
        <w:t>[Section 60 amended: No. 23 of 2016 s. 4.]</w:t>
      </w:r>
    </w:p>
    <w:p>
      <w:pPr>
        <w:pStyle w:val="Subsection"/>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0" w:name="_Toc100304342"/>
      <w:bookmarkStart w:id="101" w:name="_Toc100304583"/>
      <w:bookmarkStart w:id="102" w:name="_Toc100563638"/>
      <w:bookmarkStart w:id="103" w:name="_Toc107312572"/>
      <w:bookmarkStart w:id="104" w:name="_Toc107483461"/>
      <w:r>
        <w:rPr>
          <w:rStyle w:val="CharSchNo"/>
        </w:rPr>
        <w:lastRenderedPageBreak/>
        <w:t>Schedule 1</w:t>
      </w:r>
      <w:r>
        <w:t> — </w:t>
      </w:r>
      <w:r>
        <w:rPr>
          <w:rStyle w:val="CharSchText"/>
        </w:rPr>
        <w:t>Ancillary provisions about exercising powers</w:t>
      </w:r>
      <w:bookmarkEnd w:id="100"/>
      <w:bookmarkEnd w:id="101"/>
      <w:bookmarkEnd w:id="102"/>
      <w:bookmarkEnd w:id="103"/>
      <w:bookmarkEnd w:id="104"/>
    </w:p>
    <w:p>
      <w:pPr>
        <w:pStyle w:val="yShoulderClause"/>
      </w:pPr>
      <w:r>
        <w:t>[s. 26(1), 48(5)]</w:t>
      </w:r>
    </w:p>
    <w:p>
      <w:pPr>
        <w:pStyle w:val="yHeading5"/>
      </w:pPr>
      <w:bookmarkStart w:id="105" w:name="_Toc107483462"/>
      <w:r>
        <w:rPr>
          <w:rStyle w:val="CharSClsNo"/>
        </w:rPr>
        <w:t>1</w:t>
      </w:r>
      <w:r>
        <w:t>.</w:t>
      </w:r>
      <w:r>
        <w:tab/>
        <w:t>When powers may be exercised</w:t>
      </w:r>
      <w:bookmarkEnd w:id="105"/>
    </w:p>
    <w:p>
      <w:pPr>
        <w:pStyle w:val="ySubsection"/>
      </w:pPr>
      <w:r>
        <w:tab/>
      </w:r>
      <w:r>
        <w:tab/>
        <w:t>A power in this Act may be exercised at any time of the day or night, unless it is expressly provided otherwise.</w:t>
      </w:r>
    </w:p>
    <w:p>
      <w:pPr>
        <w:pStyle w:val="yHeading5"/>
      </w:pPr>
      <w:bookmarkStart w:id="106" w:name="_Toc107483463"/>
      <w:r>
        <w:rPr>
          <w:rStyle w:val="CharSClsNo"/>
        </w:rPr>
        <w:t>2</w:t>
      </w:r>
      <w:r>
        <w:t>.</w:t>
      </w:r>
      <w:r>
        <w:tab/>
        <w:t>Assistance to exercise powers</w:t>
      </w:r>
      <w:bookmarkEnd w:id="106"/>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07" w:name="_Toc107483464"/>
      <w:r>
        <w:rPr>
          <w:rStyle w:val="CharSClsNo"/>
        </w:rPr>
        <w:t>3</w:t>
      </w:r>
      <w:r>
        <w:t>.</w:t>
      </w:r>
      <w:r>
        <w:tab/>
        <w:t>Use of force when exercising powers</w:t>
      </w:r>
      <w:bookmarkEnd w:id="107"/>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lastRenderedPageBreak/>
        <w:tab/>
        <w:t>(3)</w:t>
      </w:r>
      <w:r>
        <w:tab/>
        <w:t>To the extent of any inconsistency between this clause and section 29, section 29 prevails.</w:t>
      </w:r>
    </w:p>
    <w:p>
      <w:pPr>
        <w:pStyle w:val="yHeading5"/>
      </w:pPr>
      <w:bookmarkStart w:id="108" w:name="_Toc107483465"/>
      <w:r>
        <w:rPr>
          <w:rStyle w:val="CharSClsNo"/>
        </w:rPr>
        <w:t>4</w:t>
      </w:r>
      <w:r>
        <w:t>.</w:t>
      </w:r>
      <w:r>
        <w:tab/>
        <w:t>Areas may be cordoned off</w:t>
      </w:r>
      <w:bookmarkEnd w:id="108"/>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lastRenderedPageBreak/>
        <w:tab/>
        <w:t>Penalty: a fine of $12 000 and imprisonment for 12 months.</w:t>
      </w:r>
    </w:p>
    <w:p>
      <w:pPr>
        <w:pStyle w:val="yHeading5"/>
      </w:pPr>
      <w:bookmarkStart w:id="109" w:name="_Toc107483466"/>
      <w:r>
        <w:rPr>
          <w:rStyle w:val="CharSClsNo"/>
        </w:rPr>
        <w:t>5</w:t>
      </w:r>
      <w:r>
        <w:t>.</w:t>
      </w:r>
      <w:r>
        <w:tab/>
        <w:t>Returning seized things</w:t>
      </w:r>
      <w:bookmarkEnd w:id="109"/>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1" w:name="_Toc100304348"/>
      <w:bookmarkStart w:id="112" w:name="_Toc100304589"/>
      <w:bookmarkStart w:id="113" w:name="_Toc100563644"/>
      <w:bookmarkStart w:id="114" w:name="_Toc107312578"/>
      <w:bookmarkStart w:id="115" w:name="_Toc107483467"/>
      <w:r>
        <w:rPr>
          <w:rStyle w:val="CharSchNo"/>
        </w:rPr>
        <w:lastRenderedPageBreak/>
        <w:t>Schedule 2</w:t>
      </w:r>
      <w:r>
        <w:t> — </w:t>
      </w:r>
      <w:r>
        <w:rPr>
          <w:rStyle w:val="CharSchText"/>
        </w:rPr>
        <w:t>Searching people</w:t>
      </w:r>
      <w:bookmarkEnd w:id="111"/>
      <w:bookmarkEnd w:id="112"/>
      <w:bookmarkEnd w:id="113"/>
      <w:bookmarkEnd w:id="114"/>
      <w:bookmarkEnd w:id="115"/>
    </w:p>
    <w:p>
      <w:pPr>
        <w:pStyle w:val="yShoulderClause"/>
      </w:pPr>
      <w:r>
        <w:t>[s. 30(2)]</w:t>
      </w:r>
    </w:p>
    <w:p>
      <w:pPr>
        <w:pStyle w:val="yHeading3"/>
      </w:pPr>
      <w:bookmarkStart w:id="116" w:name="_Toc100304349"/>
      <w:bookmarkStart w:id="117" w:name="_Toc100304590"/>
      <w:bookmarkStart w:id="118" w:name="_Toc100563645"/>
      <w:bookmarkStart w:id="119" w:name="_Toc107312579"/>
      <w:bookmarkStart w:id="120" w:name="_Toc107483468"/>
      <w:r>
        <w:rPr>
          <w:rStyle w:val="CharSDivNo"/>
        </w:rPr>
        <w:t>Division 1</w:t>
      </w:r>
      <w:r>
        <w:t> — </w:t>
      </w:r>
      <w:r>
        <w:rPr>
          <w:rStyle w:val="CharSDivText"/>
        </w:rPr>
        <w:t>Preliminary</w:t>
      </w:r>
      <w:bookmarkEnd w:id="116"/>
      <w:bookmarkEnd w:id="117"/>
      <w:bookmarkEnd w:id="118"/>
      <w:bookmarkEnd w:id="119"/>
      <w:bookmarkEnd w:id="120"/>
    </w:p>
    <w:p>
      <w:pPr>
        <w:pStyle w:val="yHeading5"/>
      </w:pPr>
      <w:bookmarkStart w:id="121" w:name="_Toc107483469"/>
      <w:r>
        <w:rPr>
          <w:rStyle w:val="CharSClsNo"/>
        </w:rPr>
        <w:t>1</w:t>
      </w:r>
      <w:r>
        <w:t>.</w:t>
      </w:r>
      <w:r>
        <w:tab/>
        <w:t>Terms used in this Schedule</w:t>
      </w:r>
      <w:bookmarkEnd w:id="121"/>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122" w:name="_Toc107483470"/>
      <w:r>
        <w:rPr>
          <w:rStyle w:val="CharSClsNo"/>
        </w:rPr>
        <w:t>2</w:t>
      </w:r>
      <w:r>
        <w:t>.</w:t>
      </w:r>
      <w:r>
        <w:tab/>
        <w:t>Basic search</w:t>
      </w:r>
      <w:bookmarkEnd w:id="122"/>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123" w:name="_Toc107483471"/>
      <w:r>
        <w:rPr>
          <w:rStyle w:val="CharSClsNo"/>
        </w:rPr>
        <w:t>3</w:t>
      </w:r>
      <w:r>
        <w:t>.</w:t>
      </w:r>
      <w:r>
        <w:tab/>
        <w:t>Strip search</w:t>
      </w:r>
      <w:bookmarkEnd w:id="123"/>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lastRenderedPageBreak/>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24" w:name="_Toc107483472"/>
      <w:r>
        <w:rPr>
          <w:rStyle w:val="CharSClsNo"/>
        </w:rPr>
        <w:t>4</w:t>
      </w:r>
      <w:r>
        <w:t>.</w:t>
      </w:r>
      <w:r>
        <w:tab/>
        <w:t>Ascertaining gender of person</w:t>
      </w:r>
      <w:bookmarkEnd w:id="124"/>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25" w:name="_Toc107483473"/>
      <w:r>
        <w:rPr>
          <w:rStyle w:val="CharSClsNo"/>
        </w:rPr>
        <w:t>5</w:t>
      </w:r>
      <w:r>
        <w:t>.</w:t>
      </w:r>
      <w:r>
        <w:tab/>
        <w:t>Powers to assist doing searches</w:t>
      </w:r>
      <w:bookmarkEnd w:id="125"/>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126" w:name="_Toc100304355"/>
      <w:bookmarkStart w:id="127" w:name="_Toc100304596"/>
      <w:bookmarkStart w:id="128" w:name="_Toc100563651"/>
      <w:bookmarkStart w:id="129" w:name="_Toc107312585"/>
      <w:bookmarkStart w:id="130" w:name="_Toc107483474"/>
      <w:r>
        <w:rPr>
          <w:rStyle w:val="CharSDivNo"/>
        </w:rPr>
        <w:lastRenderedPageBreak/>
        <w:t>Division 2</w:t>
      </w:r>
      <w:r>
        <w:t> — </w:t>
      </w:r>
      <w:r>
        <w:rPr>
          <w:rStyle w:val="CharSDivText"/>
        </w:rPr>
        <w:t>How searches must be done</w:t>
      </w:r>
      <w:bookmarkEnd w:id="126"/>
      <w:bookmarkEnd w:id="127"/>
      <w:bookmarkEnd w:id="128"/>
      <w:bookmarkEnd w:id="129"/>
      <w:bookmarkEnd w:id="130"/>
    </w:p>
    <w:p>
      <w:pPr>
        <w:pStyle w:val="yHeading5"/>
      </w:pPr>
      <w:bookmarkStart w:id="131" w:name="_Toc107483475"/>
      <w:r>
        <w:rPr>
          <w:rStyle w:val="CharSClsNo"/>
        </w:rPr>
        <w:t>6</w:t>
      </w:r>
      <w:r>
        <w:t>.</w:t>
      </w:r>
      <w:r>
        <w:tab/>
        <w:t>Operation of this Division</w:t>
      </w:r>
      <w:bookmarkEnd w:id="131"/>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32" w:name="_Toc107483476"/>
      <w:r>
        <w:rPr>
          <w:rStyle w:val="CharSClsNo"/>
        </w:rPr>
        <w:t>7</w:t>
      </w:r>
      <w:r>
        <w:t>.</w:t>
      </w:r>
      <w:r>
        <w:tab/>
        <w:t>General procedure</w:t>
      </w:r>
      <w:bookmarkEnd w:id="132"/>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lastRenderedPageBreak/>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33" w:name="_Toc107483477"/>
      <w:r>
        <w:rPr>
          <w:rStyle w:val="CharSClsNo"/>
        </w:rPr>
        <w:t>8</w:t>
      </w:r>
      <w:r>
        <w:t>.</w:t>
      </w:r>
      <w:r>
        <w:tab/>
        <w:t>Strip searches of protected people</w:t>
      </w:r>
      <w:bookmarkEnd w:id="133"/>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lastRenderedPageBreak/>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CentredBaseLine"/>
        <w:jc w:val="center"/>
      </w:pPr>
      <w:r>
        <w:t xml:space="preserve"> </w:t>
      </w: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34" w:name="_Toc100304600"/>
      <w:bookmarkStart w:id="135" w:name="_Toc100563655"/>
      <w:bookmarkStart w:id="136" w:name="_Toc107312589"/>
      <w:bookmarkStart w:id="137" w:name="_Toc107483478"/>
      <w:bookmarkStart w:id="138" w:name="_Toc100304361"/>
      <w:r>
        <w:lastRenderedPageBreak/>
        <w:t>Notes</w:t>
      </w:r>
      <w:bookmarkEnd w:id="134"/>
      <w:bookmarkEnd w:id="135"/>
      <w:bookmarkEnd w:id="136"/>
      <w:bookmarkEnd w:id="137"/>
    </w:p>
    <w:p>
      <w:pPr>
        <w:pStyle w:val="nStatement"/>
      </w:pPr>
      <w:r>
        <w:t xml:space="preserve">This is a compilation of the </w:t>
      </w:r>
      <w:r>
        <w:rPr>
          <w:i/>
          <w:noProof/>
        </w:rPr>
        <w:t>Terrorism (Preventative Detention) Act 2006</w:t>
      </w:r>
      <w:r>
        <w:t xml:space="preserve"> and includes amendments made by other written laws. For provisions that have come into operation see the compilation table. </w:t>
      </w:r>
    </w:p>
    <w:p>
      <w:pPr>
        <w:pStyle w:val="nHeading3"/>
      </w:pPr>
      <w:bookmarkStart w:id="139" w:name="_Toc107483479"/>
      <w:r>
        <w:t>Compilation table</w:t>
      </w:r>
      <w:bookmarkEnd w:id="13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Pr>
          <w:p>
            <w:pPr>
              <w:pStyle w:val="nTable"/>
              <w:spacing w:before="100"/>
            </w:pPr>
            <w:r>
              <w:t>21 of 2008</w:t>
            </w:r>
          </w:p>
        </w:tc>
        <w:tc>
          <w:tcPr>
            <w:tcW w:w="1134" w:type="dxa"/>
          </w:tcPr>
          <w:p>
            <w:pPr>
              <w:pStyle w:val="nTable"/>
              <w:spacing w:before="100"/>
            </w:pPr>
            <w:r>
              <w:t>27 May 2008</w:t>
            </w:r>
          </w:p>
        </w:tc>
        <w:tc>
          <w:tcPr>
            <w:tcW w:w="2552" w:type="dxa"/>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noProof/>
                <w:snapToGrid w:val="0"/>
              </w:rPr>
            </w:pPr>
            <w:r>
              <w:rPr>
                <w:i/>
                <w:snapToGrid w:val="0"/>
              </w:rPr>
              <w:t>Corruption and Crime Commission Amendment (Misconduct) Act 2014</w:t>
            </w:r>
            <w:r>
              <w:rPr>
                <w:snapToGrid w:val="0"/>
              </w:rPr>
              <w:t xml:space="preserve"> s. 38</w:t>
            </w:r>
          </w:p>
        </w:tc>
        <w:tc>
          <w:tcPr>
            <w:tcW w:w="1134" w:type="dxa"/>
          </w:tcPr>
          <w:p>
            <w:pPr>
              <w:pStyle w:val="nTable"/>
              <w:spacing w:before="100"/>
            </w:pPr>
            <w:r>
              <w:rPr>
                <w:snapToGrid w:val="0"/>
              </w:rPr>
              <w:t>35 of 2014</w:t>
            </w:r>
          </w:p>
        </w:tc>
        <w:tc>
          <w:tcPr>
            <w:tcW w:w="1134" w:type="dxa"/>
          </w:tcPr>
          <w:p>
            <w:pPr>
              <w:pStyle w:val="nTable"/>
              <w:spacing w:before="100"/>
            </w:pPr>
            <w:r>
              <w:t>9 Dec 2014</w:t>
            </w:r>
          </w:p>
        </w:tc>
        <w:tc>
          <w:tcPr>
            <w:tcW w:w="2552" w:type="dxa"/>
          </w:tcPr>
          <w:p>
            <w:pPr>
              <w:pStyle w:val="nTable"/>
              <w:spacing w:before="10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rPr>
              <w:t>Terrorism (Preventative Detention) Amendment Act 2016</w:t>
            </w:r>
          </w:p>
        </w:tc>
        <w:tc>
          <w:tcPr>
            <w:tcW w:w="1134" w:type="dxa"/>
          </w:tcPr>
          <w:p>
            <w:pPr>
              <w:pStyle w:val="nTable"/>
              <w:spacing w:before="100"/>
              <w:rPr>
                <w:snapToGrid w:val="0"/>
              </w:rPr>
            </w:pPr>
            <w:r>
              <w:rPr>
                <w:snapToGrid w:val="0"/>
              </w:rPr>
              <w:t>23 of 2016</w:t>
            </w:r>
          </w:p>
        </w:tc>
        <w:tc>
          <w:tcPr>
            <w:tcW w:w="1134" w:type="dxa"/>
          </w:tcPr>
          <w:p>
            <w:pPr>
              <w:pStyle w:val="nTable"/>
              <w:spacing w:before="100"/>
            </w:pPr>
            <w:r>
              <w:t>12 Sep 2016</w:t>
            </w:r>
          </w:p>
        </w:tc>
        <w:tc>
          <w:tcPr>
            <w:tcW w:w="2552" w:type="dxa"/>
          </w:tcPr>
          <w:p>
            <w:pPr>
              <w:pStyle w:val="nTable"/>
              <w:spacing w:before="100"/>
              <w:rPr>
                <w:snapToGrid w:val="0"/>
              </w:rPr>
            </w:pPr>
            <w:r>
              <w:rPr>
                <w:snapToGrid w:val="0"/>
              </w:rPr>
              <w:t>12 Sep 2016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rPr>
            </w:pPr>
            <w:r>
              <w:rPr>
                <w:i/>
              </w:rPr>
              <w:t>Terrorism (Preventative Detention) Amendment Act 2019</w:t>
            </w:r>
          </w:p>
        </w:tc>
        <w:tc>
          <w:tcPr>
            <w:tcW w:w="1134" w:type="dxa"/>
          </w:tcPr>
          <w:p>
            <w:pPr>
              <w:pStyle w:val="nTable"/>
              <w:spacing w:before="100"/>
              <w:rPr>
                <w:snapToGrid w:val="0"/>
              </w:rPr>
            </w:pPr>
            <w:r>
              <w:rPr>
                <w:snapToGrid w:val="0"/>
              </w:rPr>
              <w:t>23 of 2019</w:t>
            </w:r>
          </w:p>
        </w:tc>
        <w:tc>
          <w:tcPr>
            <w:tcW w:w="1134" w:type="dxa"/>
          </w:tcPr>
          <w:p>
            <w:pPr>
              <w:pStyle w:val="nTable"/>
              <w:spacing w:before="100"/>
            </w:pPr>
            <w:r>
              <w:t>8 Oct 2019</w:t>
            </w:r>
          </w:p>
        </w:tc>
        <w:tc>
          <w:tcPr>
            <w:tcW w:w="2552" w:type="dxa"/>
          </w:tcPr>
          <w:p>
            <w:pPr>
              <w:pStyle w:val="nTable"/>
              <w:spacing w:before="100"/>
              <w:rPr>
                <w:snapToGrid w:val="0"/>
              </w:rPr>
            </w:pPr>
            <w:r>
              <w:rPr>
                <w:snapToGrid w:val="0"/>
              </w:rPr>
              <w:t xml:space="preserve">s. 1 and 2: 8 Oct 2019 (see s. 2(a)); </w:t>
            </w:r>
            <w:r>
              <w:rPr>
                <w:snapToGrid w:val="0"/>
              </w:rPr>
              <w:br/>
              <w:t>Act other than s. 1 and 2: 9 Oct 2019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before="100"/>
              <w:rPr>
                <w:i/>
              </w:rPr>
            </w:pPr>
            <w:r>
              <w:rPr>
                <w:i/>
              </w:rPr>
              <w:t>Legal Profession Uniform Law Application Act 2022</w:t>
            </w:r>
            <w:r>
              <w:t xml:space="preserve"> s. 424</w:t>
            </w:r>
          </w:p>
        </w:tc>
        <w:tc>
          <w:tcPr>
            <w:tcW w:w="1134" w:type="dxa"/>
            <w:tcBorders>
              <w:bottom w:val="single" w:sz="4" w:space="0" w:color="auto"/>
            </w:tcBorders>
          </w:tcPr>
          <w:p>
            <w:pPr>
              <w:pStyle w:val="nTable"/>
              <w:spacing w:before="100"/>
              <w:rPr>
                <w:snapToGrid w:val="0"/>
              </w:rPr>
            </w:pPr>
            <w:r>
              <w:t>9 of 2022</w:t>
            </w:r>
          </w:p>
        </w:tc>
        <w:tc>
          <w:tcPr>
            <w:tcW w:w="1134" w:type="dxa"/>
            <w:tcBorders>
              <w:bottom w:val="single" w:sz="4" w:space="0" w:color="auto"/>
            </w:tcBorders>
          </w:tcPr>
          <w:p>
            <w:pPr>
              <w:pStyle w:val="nTable"/>
              <w:spacing w:before="100"/>
            </w:pPr>
            <w:r>
              <w:t>14 Apr 2022</w:t>
            </w:r>
          </w:p>
        </w:tc>
        <w:tc>
          <w:tcPr>
            <w:tcW w:w="2552" w:type="dxa"/>
            <w:tcBorders>
              <w:bottom w:val="single" w:sz="4" w:space="0" w:color="auto"/>
            </w:tcBorders>
          </w:tcPr>
          <w:p>
            <w:pPr>
              <w:pStyle w:val="nTable"/>
              <w:spacing w:before="100"/>
              <w:rPr>
                <w:snapToGrid w:val="0"/>
              </w:rPr>
            </w:pPr>
            <w:r>
              <w:rPr>
                <w:snapToGrid w:val="0"/>
              </w:rPr>
              <w:t>1 Jul 2022 (see s. 2(c) and SL 2022/113 cl. 2)</w:t>
            </w:r>
          </w:p>
        </w:tc>
      </w:tr>
    </w:tbl>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41" w:name="_Toc107483480"/>
      <w:bookmarkEnd w:id="138"/>
      <w:r>
        <w:rPr>
          <w:sz w:val="28"/>
        </w:rPr>
        <w:lastRenderedPageBreak/>
        <w:t>Defined terms</w:t>
      </w:r>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adviser</w:t>
      </w:r>
      <w:r>
        <w:tab/>
        <w:t>46(7A)</w:t>
      </w:r>
    </w:p>
    <w:p>
      <w:pPr>
        <w:pStyle w:val="DefinedTerms"/>
      </w:pPr>
      <w:r>
        <w:t>allegation of serious misconduct</w:t>
      </w:r>
      <w:r>
        <w:tab/>
        <w:t>4(1)</w:t>
      </w:r>
    </w:p>
    <w:p>
      <w:pPr>
        <w:pStyle w:val="DefinedTerms"/>
      </w:pPr>
      <w:r>
        <w:t>appropriate person</w:t>
      </w:r>
      <w:r>
        <w:tab/>
        <w:t>48(14)</w:t>
      </w:r>
    </w:p>
    <w:p>
      <w:pPr>
        <w:pStyle w:val="DefinedTerms"/>
      </w:pPr>
      <w:r>
        <w:t>approved religious or spiritual adviser</w:t>
      </w:r>
      <w:r>
        <w:tab/>
        <w:t>4(1)</w:t>
      </w:r>
    </w:p>
    <w:p>
      <w:pPr>
        <w:pStyle w:val="DefinedTerms"/>
      </w:pPr>
      <w:r>
        <w:t>ASIO Act</w:t>
      </w:r>
      <w:r>
        <w:tab/>
        <w:t>4(1)</w:t>
      </w:r>
    </w:p>
    <w:p>
      <w:pPr>
        <w:pStyle w:val="DefinedTerms"/>
      </w:pPr>
      <w:r>
        <w:t>authorised</w:t>
      </w:r>
      <w:r>
        <w:tab/>
        <w:t>51(1), Sch. 1 cl. 4(1)</w:t>
      </w:r>
    </w:p>
    <w:p>
      <w:pPr>
        <w:pStyle w:val="DefinedTerms"/>
      </w:pPr>
      <w:r>
        <w:t>basic search</w:t>
      </w:r>
      <w:r>
        <w:tab/>
        <w:t>Sch. 2 cl. 1</w:t>
      </w:r>
    </w:p>
    <w:p>
      <w:pPr>
        <w:pStyle w:val="DefinedTerms"/>
      </w:pPr>
      <w:r>
        <w:t>child</w:t>
      </w:r>
      <w:r>
        <w:tab/>
        <w:t>Sch. 2 cl. 8(1)</w:t>
      </w:r>
    </w:p>
    <w:p>
      <w:pPr>
        <w:pStyle w:val="DefinedTerms"/>
      </w:pPr>
      <w:r>
        <w:t>Commissioner</w:t>
      </w:r>
      <w:r>
        <w:tab/>
        <w:t>4(1)</w:t>
      </w:r>
    </w:p>
    <w:p>
      <w:pPr>
        <w:pStyle w:val="DefinedTerms"/>
      </w:pPr>
      <w:r>
        <w:t>corresponding law</w:t>
      </w:r>
      <w:r>
        <w:tab/>
        <w:t>4(1)</w:t>
      </w:r>
    </w:p>
    <w:p>
      <w:pPr>
        <w:pStyle w:val="DefinedTerms"/>
      </w:pPr>
      <w:r>
        <w:t>Corruption and Crime Commission</w:t>
      </w:r>
      <w:r>
        <w:tab/>
        <w:t>4(1)</w:t>
      </w:r>
    </w:p>
    <w:p>
      <w:pPr>
        <w:pStyle w:val="DefinedTerms"/>
      </w:pPr>
      <w:r>
        <w:t>criminal intelligence information</w:t>
      </w:r>
      <w:r>
        <w:tab/>
        <w:t>45(15)</w:t>
      </w:r>
    </w:p>
    <w:p>
      <w:pPr>
        <w:pStyle w:val="DefinedTerms"/>
      </w:pPr>
      <w:r>
        <w:t>dealt with</w:t>
      </w:r>
      <w:r>
        <w:tab/>
        <w:t>32(4)</w:t>
      </w:r>
    </w:p>
    <w:p>
      <w:pPr>
        <w:pStyle w:val="DefinedTerms"/>
      </w:pPr>
      <w:r>
        <w:t>Deputy Commissioner</w:t>
      </w:r>
      <w:r>
        <w:tab/>
        <w:t>51(1)</w:t>
      </w:r>
    </w:p>
    <w:p>
      <w:pPr>
        <w:pStyle w:val="DefinedTerms"/>
      </w:pPr>
      <w:r>
        <w:t>detainee</w:t>
      </w:r>
      <w:r>
        <w:tab/>
        <w:t>38</w:t>
      </w:r>
    </w:p>
    <w:p>
      <w:pPr>
        <w:pStyle w:val="DefinedTerms"/>
      </w:pPr>
      <w:r>
        <w:t>detention centre</w:t>
      </w:r>
      <w:r>
        <w:tab/>
        <w:t>4(1)</w:t>
      </w:r>
    </w:p>
    <w:p>
      <w:pPr>
        <w:pStyle w:val="DefinedTerms"/>
      </w:pPr>
      <w:r>
        <w:t>disclosure recipient</w:t>
      </w:r>
      <w:r>
        <w:tab/>
        <w:t>46(8)</w:t>
      </w:r>
    </w:p>
    <w:p>
      <w:pPr>
        <w:pStyle w:val="DefinedTerms"/>
      </w:pPr>
      <w:r>
        <w:t>disturb</w:t>
      </w:r>
      <w:r>
        <w:tab/>
        <w:t>Sch. 1 cl. 4(1)</w:t>
      </w:r>
    </w:p>
    <w:p>
      <w:pPr>
        <w:pStyle w:val="DefinedTerms"/>
      </w:pPr>
      <w:r>
        <w:t>earlier discloser</w:t>
      </w:r>
      <w:r>
        <w:tab/>
        <w:t>46(8)</w:t>
      </w:r>
    </w:p>
    <w:p>
      <w:pPr>
        <w:pStyle w:val="DefinedTerms"/>
      </w:pPr>
      <w:r>
        <w:t>evidence of, or relating to, a terrorist act</w:t>
      </w:r>
      <w:r>
        <w:tab/>
        <w:t>4(1)</w:t>
      </w:r>
    </w:p>
    <w:p>
      <w:pPr>
        <w:pStyle w:val="DefinedTerms"/>
      </w:pPr>
      <w:r>
        <w:t>expiry day</w:t>
      </w:r>
      <w:r>
        <w:tab/>
        <w:t>60(1)</w:t>
      </w:r>
    </w:p>
    <w:p>
      <w:pPr>
        <w:pStyle w:val="DefinedTerms"/>
      </w:pPr>
      <w:r>
        <w:t>family member</w:t>
      </w:r>
      <w:r>
        <w:tab/>
        <w:t>41(3)</w:t>
      </w:r>
    </w:p>
    <w:p>
      <w:pPr>
        <w:pStyle w:val="DefinedTerms"/>
      </w:pPr>
      <w:r>
        <w:t>first anniversary</w:t>
      </w:r>
      <w:r>
        <w:tab/>
        <w:t>59(1)</w:t>
      </w:r>
    </w:p>
    <w:p>
      <w:pPr>
        <w:pStyle w:val="DefinedTerms"/>
      </w:pPr>
      <w:r>
        <w:t>frisk search</w:t>
      </w:r>
      <w:r>
        <w:tab/>
        <w:t>Sch. 2 cl. 1</w:t>
      </w:r>
    </w:p>
    <w:p>
      <w:pPr>
        <w:pStyle w:val="DefinedTerms"/>
      </w:pPr>
      <w:r>
        <w:t>identification material</w:t>
      </w:r>
      <w:r>
        <w:tab/>
        <w:t>4(1)</w:t>
      </w:r>
    </w:p>
    <w:p>
      <w:pPr>
        <w:pStyle w:val="DefinedTerms"/>
      </w:pPr>
      <w:r>
        <w:t>identifying particular</w:t>
      </w:r>
      <w:r>
        <w:tab/>
        <w:t>4(1)</w:t>
      </w:r>
    </w:p>
    <w:p>
      <w:pPr>
        <w:pStyle w:val="DefinedTerms"/>
      </w:pPr>
      <w:r>
        <w:t>incapable person</w:t>
      </w:r>
      <w:r>
        <w:tab/>
        <w:t>Sch. 2 cl. 8(1)</w:t>
      </w:r>
    </w:p>
    <w:p>
      <w:pPr>
        <w:pStyle w:val="DefinedTerms"/>
      </w:pPr>
      <w:r>
        <w:t>Inspector of Custodial Services</w:t>
      </w:r>
      <w:r>
        <w:tab/>
        <w:t>4(1)</w:t>
      </w:r>
    </w:p>
    <w:p>
      <w:pPr>
        <w:pStyle w:val="DefinedTerms"/>
      </w:pPr>
      <w:r>
        <w:t>institution</w:t>
      </w:r>
      <w:r>
        <w:tab/>
        <w:t>4(1)</w:t>
      </w:r>
    </w:p>
    <w:p>
      <w:pPr>
        <w:pStyle w:val="DefinedTerms"/>
      </w:pPr>
      <w:r>
        <w:t>interpreter</w:t>
      </w:r>
      <w:r>
        <w:tab/>
        <w:t>46(6)</w:t>
      </w:r>
    </w:p>
    <w:p>
      <w:pPr>
        <w:pStyle w:val="DefinedTerms"/>
      </w:pPr>
      <w:r>
        <w:t>issuing authority</w:t>
      </w:r>
      <w:r>
        <w:tab/>
        <w:t>4(1)</w:t>
      </w:r>
    </w:p>
    <w:p>
      <w:pPr>
        <w:pStyle w:val="DefinedTerms"/>
      </w:pPr>
      <w:r>
        <w:t>judge</w:t>
      </w:r>
      <w:r>
        <w:tab/>
        <w:t>4(1)</w:t>
      </w:r>
    </w:p>
    <w:p>
      <w:pPr>
        <w:pStyle w:val="DefinedTerms"/>
      </w:pPr>
      <w:r>
        <w:t>lawyer</w:t>
      </w:r>
      <w:r>
        <w:tab/>
        <w:t>46(2)</w:t>
      </w:r>
    </w:p>
    <w:p>
      <w:pPr>
        <w:pStyle w:val="DefinedTerms"/>
      </w:pPr>
      <w:r>
        <w:t>lock-up</w:t>
      </w:r>
      <w:r>
        <w:tab/>
        <w:t>4(1)</w:t>
      </w:r>
    </w:p>
    <w:p>
      <w:pPr>
        <w:pStyle w:val="DefinedTerms"/>
      </w:pPr>
      <w:r>
        <w:t>monitor</w:t>
      </w:r>
      <w:r>
        <w:tab/>
        <w:t>46(9)</w:t>
      </w:r>
    </w:p>
    <w:p>
      <w:pPr>
        <w:pStyle w:val="DefinedTerms"/>
      </w:pPr>
      <w:r>
        <w:t>monitoring order</w:t>
      </w:r>
      <w:r>
        <w:tab/>
        <w:t>44(7)</w:t>
      </w:r>
    </w:p>
    <w:p>
      <w:pPr>
        <w:pStyle w:val="DefinedTerms"/>
      </w:pPr>
      <w:r>
        <w:t>national security</w:t>
      </w:r>
      <w:r>
        <w:tab/>
        <w:t>4(1)</w:t>
      </w:r>
    </w:p>
    <w:p>
      <w:pPr>
        <w:pStyle w:val="DefinedTerms"/>
      </w:pPr>
      <w:r>
        <w:t>nominated senior police officer</w:t>
      </w:r>
      <w:r>
        <w:tab/>
        <w:t>24(2)</w:t>
      </w:r>
    </w:p>
    <w:p>
      <w:pPr>
        <w:pStyle w:val="DefinedTerms"/>
      </w:pPr>
      <w:r>
        <w:t>occurrence time information</w:t>
      </w:r>
      <w:r>
        <w:tab/>
        <w:t>15(5)</w:t>
      </w:r>
    </w:p>
    <w:p>
      <w:pPr>
        <w:pStyle w:val="DefinedTerms"/>
      </w:pPr>
      <w:r>
        <w:t>parent/guardian</w:t>
      </w:r>
      <w:r>
        <w:tab/>
        <w:t>46(4)</w:t>
      </w:r>
    </w:p>
    <w:p>
      <w:pPr>
        <w:pStyle w:val="DefinedTerms"/>
      </w:pPr>
      <w:r>
        <w:lastRenderedPageBreak/>
        <w:t>Parliamentary Commissioner</w:t>
      </w:r>
      <w:r>
        <w:tab/>
        <w:t>4(1)</w:t>
      </w:r>
    </w:p>
    <w:p>
      <w:pPr>
        <w:pStyle w:val="DefinedTerms"/>
      </w:pPr>
      <w:r>
        <w:t>PDO</w:t>
      </w:r>
      <w:r>
        <w:tab/>
        <w:t>38</w:t>
      </w:r>
    </w:p>
    <w:p>
      <w:pPr>
        <w:pStyle w:val="DefinedTerms"/>
      </w:pPr>
      <w:r>
        <w:t>permitted detention period</w:t>
      </w:r>
      <w:r>
        <w:tab/>
        <w:t>4(1), 13(2)</w:t>
      </w:r>
    </w:p>
    <w:p>
      <w:pPr>
        <w:pStyle w:val="DefinedTerms"/>
      </w:pPr>
      <w:r>
        <w:t>person to whom section 9 applies</w:t>
      </w:r>
      <w:r>
        <w:tab/>
        <w:t>9(1) and (3)</w:t>
      </w:r>
    </w:p>
    <w:p>
      <w:pPr>
        <w:pStyle w:val="DefinedTerms"/>
      </w:pPr>
      <w:r>
        <w:t>photograph</w:t>
      </w:r>
      <w:r>
        <w:tab/>
        <w:t>4(1)</w:t>
      </w:r>
    </w:p>
    <w:p>
      <w:pPr>
        <w:pStyle w:val="DefinedTerms"/>
      </w:pPr>
      <w:r>
        <w:t>place</w:t>
      </w:r>
      <w:r>
        <w:tab/>
        <w:t>4(1)</w:t>
      </w:r>
    </w:p>
    <w:p>
      <w:pPr>
        <w:pStyle w:val="DefinedTerms"/>
      </w:pPr>
      <w:r>
        <w:t>preservation order</w:t>
      </w:r>
      <w:r>
        <w:tab/>
        <w:t>15(1)</w:t>
      </w:r>
    </w:p>
    <w:p>
      <w:pPr>
        <w:pStyle w:val="DefinedTerms"/>
      </w:pPr>
      <w:r>
        <w:t>preventative detention order</w:t>
      </w:r>
      <w:r>
        <w:tab/>
        <w:t>4(1)</w:t>
      </w:r>
    </w:p>
    <w:p>
      <w:pPr>
        <w:pStyle w:val="DefinedTerms"/>
      </w:pPr>
      <w:r>
        <w:t>prevention order</w:t>
      </w:r>
      <w:r>
        <w:tab/>
        <w:t>15(1)</w:t>
      </w:r>
    </w:p>
    <w:p>
      <w:pPr>
        <w:pStyle w:val="DefinedTerms"/>
      </w:pPr>
      <w:r>
        <w:t>prison</w:t>
      </w:r>
      <w:r>
        <w:tab/>
        <w:t>4(1)</w:t>
      </w:r>
    </w:p>
    <w:p>
      <w:pPr>
        <w:pStyle w:val="DefinedTerms"/>
      </w:pPr>
      <w:r>
        <w:t>private parts</w:t>
      </w:r>
      <w:r>
        <w:tab/>
        <w:t>Sch. 2 cl. 1</w:t>
      </w:r>
    </w:p>
    <w:p>
      <w:pPr>
        <w:pStyle w:val="DefinedTerms"/>
      </w:pPr>
      <w:r>
        <w:t>prohibited contact order</w:t>
      </w:r>
      <w:r>
        <w:tab/>
        <w:t>4(1)</w:t>
      </w:r>
    </w:p>
    <w:p>
      <w:pPr>
        <w:pStyle w:val="DefinedTerms"/>
      </w:pPr>
      <w:r>
        <w:t>protected person</w:t>
      </w:r>
      <w:r>
        <w:tab/>
        <w:t>Sch. 2 cl. 8(1)</w:t>
      </w:r>
    </w:p>
    <w:p>
      <w:pPr>
        <w:pStyle w:val="DefinedTerms"/>
      </w:pPr>
      <w:r>
        <w:t>qualified person</w:t>
      </w:r>
      <w:r>
        <w:tab/>
        <w:t>48(1)</w:t>
      </w:r>
    </w:p>
    <w:p>
      <w:pPr>
        <w:pStyle w:val="DefinedTerms"/>
      </w:pPr>
      <w:r>
        <w:t>quarter</w:t>
      </w:r>
      <w:r>
        <w:tab/>
        <w:t>54(1)</w:t>
      </w:r>
    </w:p>
    <w:p>
      <w:pPr>
        <w:pStyle w:val="DefinedTerms"/>
      </w:pPr>
      <w:r>
        <w:t>reasonably suspects</w:t>
      </w:r>
      <w:r>
        <w:tab/>
        <w:t>4(1), 5</w:t>
      </w:r>
    </w:p>
    <w:p>
      <w:pPr>
        <w:pStyle w:val="DefinedTerms"/>
      </w:pPr>
      <w:r>
        <w:t>remote communication</w:t>
      </w:r>
      <w:r>
        <w:tab/>
        <w:t>12(1), 22(1)</w:t>
      </w:r>
    </w:p>
    <w:p>
      <w:pPr>
        <w:pStyle w:val="DefinedTerms"/>
      </w:pPr>
      <w:r>
        <w:t>responsible person</w:t>
      </w:r>
      <w:r>
        <w:tab/>
        <w:t>Sch. 2 cl. 8(1)</w:t>
      </w:r>
    </w:p>
    <w:p>
      <w:pPr>
        <w:pStyle w:val="DefinedTerms"/>
      </w:pPr>
      <w:r>
        <w:t>review proceedings</w:t>
      </w:r>
      <w:r>
        <w:tab/>
        <w:t>22(1)</w:t>
      </w:r>
    </w:p>
    <w:p>
      <w:pPr>
        <w:pStyle w:val="DefinedTerms"/>
      </w:pPr>
      <w:r>
        <w:t>searcher</w:t>
      </w:r>
      <w:r>
        <w:tab/>
        <w:t>Sch. 2 cl. 7(1)</w:t>
      </w:r>
    </w:p>
    <w:p>
      <w:pPr>
        <w:pStyle w:val="DefinedTerms"/>
      </w:pPr>
      <w:r>
        <w:t>seizable item</w:t>
      </w:r>
      <w:r>
        <w:tab/>
        <w:t>4(1)</w:t>
      </w:r>
    </w:p>
    <w:p>
      <w:pPr>
        <w:pStyle w:val="DefinedTerms"/>
      </w:pPr>
      <w:r>
        <w:t>senior police officer</w:t>
      </w:r>
      <w:r>
        <w:tab/>
        <w:t>4(1)</w:t>
      </w:r>
    </w:p>
    <w:p>
      <w:pPr>
        <w:pStyle w:val="DefinedTerms"/>
      </w:pPr>
      <w:r>
        <w:t>strip search</w:t>
      </w:r>
      <w:r>
        <w:tab/>
        <w:t>Sch. 2 cl. 1</w:t>
      </w:r>
    </w:p>
    <w:p>
      <w:pPr>
        <w:pStyle w:val="DefinedTerms"/>
      </w:pPr>
      <w:r>
        <w:t>subject</w:t>
      </w:r>
      <w:r>
        <w:tab/>
        <w:t>17(1), 18(1), 22(2)</w:t>
      </w:r>
    </w:p>
    <w:p>
      <w:pPr>
        <w:pStyle w:val="DefinedTerms"/>
      </w:pPr>
      <w:r>
        <w:t>terrorist act</w:t>
      </w:r>
      <w:r>
        <w:tab/>
        <w:t>4(1), 6(1)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2" w:name="DefinedTerms"/>
    <w:bookmarkEnd w:id="14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5536"/>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123140002" w:val="UpdateStyles"/>
    <w:docVar w:name="WAFER_20151123140002_GUID" w:val="4a7c6082-1d2d-4b0e-af3c-51c2f2291925"/>
    <w:docVar w:name="WAFER_20151123141922" w:val="UsedStyles"/>
    <w:docVar w:name="WAFER_20151123141922_GUID" w:val="74cf68e2-94f9-4960-aa2a-3d70b5c4d079"/>
    <w:docVar w:name="WAFER_20151201135248" w:val="RemoveTrackChanges"/>
    <w:docVar w:name="WAFER_20151201135248_GUID" w:val="262020f6-a36f-406c-b47a-ba5503190a0d"/>
    <w:docVar w:name="WAFER_20191009094821" w:val="RemoveTocBookmarks,RemoveUnusedBookmarks,RemoveLanguageTags,ResetPageSize,RunningHeaders,UpdateStyles,UsedStyles"/>
    <w:docVar w:name="WAFER_20191009094821_GUID" w:val="0bb3f4b2-98de-4224-bc20-e94231957f07"/>
    <w:docVar w:name="WAFER_202204080955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5536_GUID" w:val="79dbadca-0acc-4fee-9b0a-ad31fc6bed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15:docId w15:val="{8AE44E9C-2EFA-4B2D-A95C-E4AE2D43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18673</Words>
  <Characters>90939</Characters>
  <Application>Microsoft Office Word</Application>
  <DocSecurity>0</DocSecurity>
  <Lines>2457</Lines>
  <Paragraphs>1481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2006 - 00-j0-00</dc:title>
  <dc:subject/>
  <dc:creator/>
  <cp:keywords/>
  <dc:description/>
  <cp:lastModifiedBy>Master Repository Process</cp:lastModifiedBy>
  <cp:revision>4</cp:revision>
  <cp:lastPrinted>2006-09-22T07:51:00Z</cp:lastPrinted>
  <dcterms:created xsi:type="dcterms:W3CDTF">2022-06-30T07:14:00Z</dcterms:created>
  <dcterms:modified xsi:type="dcterms:W3CDTF">2022-06-30T07:14:00Z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OwlsUID">
    <vt:i4>146572</vt:i4>
  </property>
  <property fmtid="{D5CDD505-2E9C-101B-9397-08002B2CF9AE}" pid="4" name="DocumentType">
    <vt:lpwstr>Act</vt:lpwstr>
  </property>
  <property fmtid="{D5CDD505-2E9C-101B-9397-08002B2CF9AE}" pid="5" name="AsAtDate">
    <vt:lpwstr>01 Jul 2022</vt:lpwstr>
  </property>
  <property fmtid="{D5CDD505-2E9C-101B-9397-08002B2CF9AE}" pid="6" name="Suffix">
    <vt:lpwstr>00-j0-00</vt:lpwstr>
  </property>
  <property fmtid="{D5CDD505-2E9C-101B-9397-08002B2CF9AE}" pid="7" name="CommencementDate">
    <vt:lpwstr>20220701</vt:lpwstr>
  </property>
</Properties>
</file>