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_Toc107484658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_Toc107484659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_Toc107484660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_Toc107484661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_Toc107484662 \h </w:instrText>
      </w:r>
      <w:r>
        <w:fldChar w:fldCharType="separate"/>
      </w:r>
      <w:r>
        <w:t>5</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_Toc107484663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_Toc107484664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_Toc107484665 \h </w:instrText>
      </w:r>
      <w:r>
        <w:fldChar w:fldCharType="separate"/>
      </w:r>
      <w:r>
        <w:t>10</w:t>
      </w:r>
      <w:r>
        <w:fldChar w:fldCharType="end"/>
      </w:r>
    </w:p>
    <w:p>
      <w:pPr>
        <w:pStyle w:val="TOC8"/>
        <w:rPr>
          <w:rFonts w:asciiTheme="minorHAnsi" w:eastAsiaTheme="minorEastAsia" w:hAnsiTheme="minorHAnsi" w:cstheme="minorBidi"/>
          <w:szCs w:val="22"/>
        </w:rPr>
      </w:pPr>
      <w:r>
        <w:t>3EA.</w:t>
      </w:r>
      <w:r>
        <w:tab/>
        <w:t>Restrictions on damages if payments received under CISS</w:t>
      </w:r>
      <w:r>
        <w:tab/>
      </w:r>
      <w:r>
        <w:fldChar w:fldCharType="begin"/>
      </w:r>
      <w:r>
        <w:instrText xml:space="preserve"> PAGEREF _Toc107484666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_Toc107484667 \h </w:instrText>
      </w:r>
      <w:r>
        <w:fldChar w:fldCharType="separate"/>
      </w:r>
      <w:r>
        <w:t>12</w:t>
      </w:r>
      <w:r>
        <w:fldChar w:fldCharType="end"/>
      </w:r>
    </w:p>
    <w:p>
      <w:pPr>
        <w:pStyle w:val="TOC8"/>
        <w:rPr>
          <w:rFonts w:asciiTheme="minorHAnsi" w:eastAsiaTheme="minorEastAsia" w:hAnsiTheme="minorHAnsi" w:cstheme="minorBidi"/>
          <w:szCs w:val="22"/>
        </w:rPr>
      </w:pPr>
      <w:r>
        <w:t>3FA.</w:t>
      </w:r>
      <w:r>
        <w:tab/>
        <w:t>Restrictions on damages to be part of the substantive law</w:t>
      </w:r>
      <w:r>
        <w:tab/>
      </w:r>
      <w:r>
        <w:fldChar w:fldCharType="begin"/>
      </w:r>
      <w:r>
        <w:instrText xml:space="preserve"> PAGEREF _Toc107484668 \h </w:instrText>
      </w:r>
      <w:r>
        <w:fldChar w:fldCharType="separate"/>
      </w:r>
      <w:r>
        <w:t>13</w:t>
      </w:r>
      <w:r>
        <w:fldChar w:fldCharType="end"/>
      </w:r>
    </w:p>
    <w:p>
      <w:pPr>
        <w:pStyle w:val="TOC8"/>
        <w:rPr>
          <w:rFonts w:asciiTheme="minorHAnsi" w:eastAsiaTheme="minorEastAsia" w:hAnsiTheme="minorHAnsi" w:cstheme="minorBidi"/>
          <w:szCs w:val="22"/>
        </w:rPr>
      </w:pPr>
      <w:r>
        <w:t>3FB.</w:t>
      </w:r>
      <w:r>
        <w:tab/>
        <w:t>Damages for treatment, care and support needs: catastrophic injury</w:t>
      </w:r>
      <w:r>
        <w:tab/>
      </w:r>
      <w:r>
        <w:fldChar w:fldCharType="begin"/>
      </w:r>
      <w:r>
        <w:instrText xml:space="preserve"> PAGEREF _Toc107484669 \h </w:instrText>
      </w:r>
      <w:r>
        <w:fldChar w:fldCharType="separate"/>
      </w:r>
      <w:r>
        <w:t>14</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_Toc107484670 \h </w:instrText>
      </w:r>
      <w:r>
        <w:fldChar w:fldCharType="separate"/>
      </w:r>
      <w:r>
        <w:t>14</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_Toc107484671 \h </w:instrText>
      </w:r>
      <w:r>
        <w:fldChar w:fldCharType="separate"/>
      </w:r>
      <w:r>
        <w:t>15</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_Toc107484672 \h </w:instrText>
      </w:r>
      <w:r>
        <w:fldChar w:fldCharType="separate"/>
      </w:r>
      <w:r>
        <w:t>15</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_Toc107484673 \h </w:instrText>
      </w:r>
      <w:r>
        <w:fldChar w:fldCharType="separate"/>
      </w:r>
      <w:r>
        <w:t>16</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_Toc107484674 \h </w:instrText>
      </w:r>
      <w:r>
        <w:fldChar w:fldCharType="separate"/>
      </w:r>
      <w:r>
        <w:t>17</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_Toc107484675 \h </w:instrText>
      </w:r>
      <w:r>
        <w:fldChar w:fldCharType="separate"/>
      </w:r>
      <w:r>
        <w:t>18</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_Toc107484676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_Toc107484677 \h </w:instrText>
      </w:r>
      <w:r>
        <w:fldChar w:fldCharType="separate"/>
      </w:r>
      <w:r>
        <w:t>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_Toc107484678 \h </w:instrText>
      </w:r>
      <w:r>
        <w:fldChar w:fldCharType="separate"/>
      </w:r>
      <w:r>
        <w:t>22</w:t>
      </w:r>
      <w:r>
        <w:fldChar w:fldCharType="end"/>
      </w:r>
    </w:p>
    <w:p>
      <w:pPr>
        <w:pStyle w:val="TOC8"/>
        <w:rPr>
          <w:rFonts w:asciiTheme="minorHAnsi" w:eastAsiaTheme="minorEastAsia" w:hAnsiTheme="minorHAnsi" w:cstheme="minorBidi"/>
          <w:szCs w:val="22"/>
        </w:rPr>
      </w:pPr>
      <w:r>
        <w:lastRenderedPageBreak/>
        <w:t>6A.</w:t>
      </w:r>
      <w:r>
        <w:tab/>
        <w:t>Insurance relating to catastrophic injury</w:t>
      </w:r>
      <w:r>
        <w:tab/>
      </w:r>
      <w:r>
        <w:fldChar w:fldCharType="begin"/>
      </w:r>
      <w:r>
        <w:instrText xml:space="preserve"> PAGEREF _Toc107484679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_Toc107484680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_Toc107484681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_Toc107484682 \h </w:instrText>
      </w:r>
      <w:r>
        <w:fldChar w:fldCharType="separate"/>
      </w:r>
      <w:r>
        <w:t>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_Toc107484683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_Toc107484684 \h </w:instrText>
      </w:r>
      <w:r>
        <w:fldChar w:fldCharType="separate"/>
      </w:r>
      <w:r>
        <w:t>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_Toc107484685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_Toc107484686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_Toc107484687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_Toc107484688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_Toc107484689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_Toc107484690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_Toc107484691 \h </w:instrText>
      </w:r>
      <w:r>
        <w:fldChar w:fldCharType="separate"/>
      </w:r>
      <w:r>
        <w:t>38</w:t>
      </w:r>
      <w:r>
        <w:fldChar w:fldCharType="end"/>
      </w:r>
    </w:p>
    <w:p>
      <w:pPr>
        <w:pStyle w:val="TOC8"/>
        <w:rPr>
          <w:rFonts w:asciiTheme="minorHAnsi" w:eastAsiaTheme="minorEastAsia" w:hAnsiTheme="minorHAnsi" w:cstheme="minorBidi"/>
          <w:szCs w:val="22"/>
        </w:rPr>
      </w:pPr>
      <w:r>
        <w:t>21.</w:t>
      </w:r>
      <w:r>
        <w:tab/>
        <w:t>Term of policy of insurance extended in certain cases</w:t>
      </w:r>
      <w:r>
        <w:tab/>
      </w:r>
      <w:r>
        <w:fldChar w:fldCharType="begin"/>
      </w:r>
      <w:r>
        <w:instrText xml:space="preserve"> PAGEREF _Toc107484692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_Toc107484693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_Toc107484694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_Toc107484695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_Toc107484696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_Toc107484697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_Toc107484698 \h </w:instrText>
      </w:r>
      <w:r>
        <w:fldChar w:fldCharType="separate"/>
      </w:r>
      <w:r>
        <w:t>42</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_Toc107484699 \h </w:instrText>
      </w:r>
      <w:r>
        <w:fldChar w:fldCharType="separate"/>
      </w:r>
      <w:r>
        <w:t>43</w:t>
      </w:r>
      <w:r>
        <w:fldChar w:fldCharType="end"/>
      </w:r>
    </w:p>
    <w:p>
      <w:pPr>
        <w:pStyle w:val="TOC8"/>
        <w:rPr>
          <w:rFonts w:asciiTheme="minorHAnsi" w:eastAsiaTheme="minorEastAsia" w:hAnsiTheme="minorHAnsi" w:cstheme="minorBidi"/>
          <w:szCs w:val="22"/>
        </w:rPr>
      </w:pPr>
      <w:r>
        <w:t>27B.</w:t>
      </w:r>
      <w:r>
        <w:tab/>
        <w:t>False or misleading information</w:t>
      </w:r>
      <w:r>
        <w:tab/>
      </w:r>
      <w:r>
        <w:fldChar w:fldCharType="begin"/>
      </w:r>
      <w:r>
        <w:instrText xml:space="preserve"> PAGEREF _Toc107484700 \h </w:instrText>
      </w:r>
      <w:r>
        <w:fldChar w:fldCharType="separate"/>
      </w:r>
      <w:r>
        <w:t>43</w:t>
      </w:r>
      <w:r>
        <w:fldChar w:fldCharType="end"/>
      </w:r>
    </w:p>
    <w:p>
      <w:pPr>
        <w:pStyle w:val="TOC8"/>
        <w:rPr>
          <w:rFonts w:asciiTheme="minorHAnsi" w:eastAsiaTheme="minorEastAsia" w:hAnsiTheme="minorHAnsi" w:cstheme="minorBidi"/>
          <w:szCs w:val="22"/>
        </w:rPr>
      </w:pPr>
      <w:r>
        <w:t>27C.</w:t>
      </w:r>
      <w:r>
        <w:tab/>
        <w:t>Obstruction</w:t>
      </w:r>
      <w:r>
        <w:tab/>
      </w:r>
      <w:r>
        <w:fldChar w:fldCharType="begin"/>
      </w:r>
      <w:r>
        <w:instrText xml:space="preserve"> PAGEREF _Toc107484701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_Toc107484702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_Toc107484703 \h </w:instrText>
      </w:r>
      <w:r>
        <w:fldChar w:fldCharType="separate"/>
      </w:r>
      <w:r>
        <w:t>45</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_Toc107484704 \h </w:instrText>
      </w:r>
      <w:r>
        <w:fldChar w:fldCharType="separate"/>
      </w:r>
      <w:r>
        <w:t>47</w:t>
      </w:r>
      <w:r>
        <w:fldChar w:fldCharType="end"/>
      </w:r>
    </w:p>
    <w:p>
      <w:pPr>
        <w:pStyle w:val="TOC8"/>
        <w:rPr>
          <w:rFonts w:asciiTheme="minorHAnsi" w:eastAsiaTheme="minorEastAsia" w:hAnsiTheme="minorHAnsi" w:cstheme="minorBidi"/>
          <w:szCs w:val="22"/>
        </w:rPr>
      </w:pPr>
      <w:r>
        <w:t>30.</w:t>
      </w:r>
      <w:r>
        <w:tab/>
        <w:t>Examination of injured person by health professional</w:t>
      </w:r>
      <w:r>
        <w:tab/>
      </w:r>
      <w:r>
        <w:fldChar w:fldCharType="begin"/>
      </w:r>
      <w:r>
        <w:instrText xml:space="preserve"> PAGEREF _Toc107484705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_Toc107484706 \h </w:instrText>
      </w:r>
      <w:r>
        <w:fldChar w:fldCharType="separate"/>
      </w:r>
      <w:r>
        <w:t>49</w:t>
      </w:r>
      <w:r>
        <w:fldChar w:fldCharType="end"/>
      </w:r>
    </w:p>
    <w:p>
      <w:pPr>
        <w:pStyle w:val="TOC8"/>
        <w:rPr>
          <w:rFonts w:asciiTheme="minorHAnsi" w:eastAsiaTheme="minorEastAsia" w:hAnsiTheme="minorHAnsi" w:cstheme="minorBidi"/>
          <w:szCs w:val="22"/>
        </w:rPr>
      </w:pPr>
      <w:r>
        <w:t>34.</w:t>
      </w:r>
      <w:r>
        <w:tab/>
        <w:t xml:space="preserve">Transitional provision for </w:t>
      </w:r>
      <w:r>
        <w:rPr>
          <w:i/>
        </w:rPr>
        <w:t>Motor Vehicle (Catastrophic Injuries) Act 2016</w:t>
      </w:r>
      <w:r>
        <w:tab/>
      </w:r>
      <w:r>
        <w:fldChar w:fldCharType="begin"/>
      </w:r>
      <w:r>
        <w:instrText xml:space="preserve"> PAGEREF _Toc107484707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_Toc107484710 \h </w:instrText>
      </w:r>
      <w:r>
        <w:fldChar w:fldCharType="separate"/>
      </w:r>
      <w:r>
        <w:t>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_Toc107484711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3" w:name="_Toc107484658"/>
      <w:r>
        <w:rPr>
          <w:rStyle w:val="CharSectno"/>
        </w:rPr>
        <w:t>1</w:t>
      </w:r>
      <w:r>
        <w:rPr>
          <w:snapToGrid w:val="0"/>
        </w:rPr>
        <w:t>.</w:t>
      </w:r>
      <w:r>
        <w:rPr>
          <w:snapToGrid w:val="0"/>
        </w:rPr>
        <w:tab/>
        <w:t>Short title and commencement</w:t>
      </w:r>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4" w:name="_Toc107484659"/>
      <w:r>
        <w:rPr>
          <w:rStyle w:val="CharSectno"/>
        </w:rPr>
        <w:t>2</w:t>
      </w:r>
      <w:r>
        <w:rPr>
          <w:snapToGrid w:val="0"/>
        </w:rPr>
        <w:t>.</w:t>
      </w:r>
      <w:r>
        <w:rPr>
          <w:snapToGrid w:val="0"/>
        </w:rPr>
        <w:tab/>
        <w:t>This Act to be read with the Road Traffic (Vehicles) Act</w:t>
      </w:r>
      <w:bookmarkEnd w:id="4"/>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5" w:name="_Toc107484660"/>
      <w:r>
        <w:rPr>
          <w:rStyle w:val="CharSectno"/>
        </w:rPr>
        <w:t>3</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lastRenderedPageBreak/>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tab/>
      </w:r>
      <w:r>
        <w:rPr>
          <w:rStyle w:val="CharDefText"/>
        </w:rPr>
        <w:t>MV(CI) Act</w:t>
      </w:r>
      <w:r>
        <w:t xml:space="preserve"> means the </w:t>
      </w:r>
      <w:r>
        <w:rPr>
          <w:i/>
        </w:rPr>
        <w:t>Motor Vehicle (Catastrophic Injuries) Act 2016</w:t>
      </w:r>
      <w:r>
        <w:t>;</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lastRenderedPageBreak/>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w:t>
      </w:r>
      <w:r>
        <w:rPr>
          <w:snapToGrid w:val="0"/>
        </w:rPr>
        <w:lastRenderedPageBreak/>
        <w:t>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6" w:name="_Toc107484661"/>
      <w:r>
        <w:rPr>
          <w:rStyle w:val="CharSectno"/>
        </w:rPr>
        <w:t>3A</w:t>
      </w:r>
      <w:r>
        <w:rPr>
          <w:snapToGrid w:val="0"/>
        </w:rPr>
        <w:t xml:space="preserve">. </w:t>
      </w:r>
      <w:r>
        <w:rPr>
          <w:snapToGrid w:val="0"/>
        </w:rPr>
        <w:tab/>
        <w:t>Application of sections 3C and 3D</w:t>
      </w:r>
      <w:bookmarkEnd w:id="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7" w:name="_Toc107484662"/>
      <w:r>
        <w:rPr>
          <w:rStyle w:val="CharSectno"/>
        </w:rPr>
        <w:t>3B</w:t>
      </w:r>
      <w:r>
        <w:rPr>
          <w:snapToGrid w:val="0"/>
        </w:rPr>
        <w:t xml:space="preserve">. </w:t>
      </w:r>
      <w:r>
        <w:rPr>
          <w:snapToGrid w:val="0"/>
        </w:rPr>
        <w:tab/>
        <w:t>Limit on powers of courts</w:t>
      </w:r>
      <w:bookmarkEnd w:id="7"/>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8" w:name="_Toc107484663"/>
      <w:r>
        <w:rPr>
          <w:rStyle w:val="CharSectno"/>
        </w:rPr>
        <w:lastRenderedPageBreak/>
        <w:t>3C</w:t>
      </w:r>
      <w:r>
        <w:rPr>
          <w:snapToGrid w:val="0"/>
        </w:rPr>
        <w:t xml:space="preserve">. </w:t>
      </w:r>
      <w:r>
        <w:rPr>
          <w:snapToGrid w:val="0"/>
        </w:rPr>
        <w:tab/>
        <w:t>Restrictions on damages for non</w:t>
      </w:r>
      <w:r>
        <w:rPr>
          <w:snapToGrid w:val="0"/>
        </w:rPr>
        <w:noBreakHyphen/>
        <w:t>pecuniary loss</w:t>
      </w:r>
      <w:bookmarkEnd w:id="8"/>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lastRenderedPageBreak/>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1pt;height:36.5pt" o:ole="" fillcolor="window">
            <v:imagedata r:id="rId20" o:title=""/>
          </v:shape>
          <o:OLEObject Type="Embed" ProgID="Equation.3" ShapeID="_x0000_i1025" DrawAspect="Content" ObjectID="_1718109352" r:id="rId21"/>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lastRenderedPageBreak/>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9" w:name="_Toc107484664"/>
      <w:r>
        <w:rPr>
          <w:rStyle w:val="CharSectno"/>
        </w:rPr>
        <w:t>3D</w:t>
      </w:r>
      <w:r>
        <w:rPr>
          <w:snapToGrid w:val="0"/>
        </w:rPr>
        <w:t xml:space="preserve">. </w:t>
      </w:r>
      <w:r>
        <w:rPr>
          <w:snapToGrid w:val="0"/>
        </w:rPr>
        <w:tab/>
        <w:t>Restrictions on damages for provision of home care services</w:t>
      </w:r>
      <w:bookmarkEnd w:id="9"/>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lastRenderedPageBreak/>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lastRenderedPageBreak/>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10" w:name="_Toc107484665"/>
      <w:r>
        <w:rPr>
          <w:rStyle w:val="CharSectno"/>
        </w:rPr>
        <w:t>3E</w:t>
      </w:r>
      <w:r>
        <w:rPr>
          <w:snapToGrid w:val="0"/>
        </w:rPr>
        <w:t xml:space="preserve">. </w:t>
      </w:r>
      <w:r>
        <w:rPr>
          <w:snapToGrid w:val="0"/>
        </w:rPr>
        <w:tab/>
        <w:t>Causes of action to which restrictions on damages apply</w:t>
      </w:r>
      <w:bookmarkEnd w:id="10"/>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w:t>
      </w:r>
      <w:r>
        <w:rPr>
          <w:snapToGrid w:val="0"/>
        </w:rPr>
        <w:lastRenderedPageBreak/>
        <w:t>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1" w:name="_Toc107484666"/>
      <w:r>
        <w:rPr>
          <w:rStyle w:val="CharSectno"/>
        </w:rPr>
        <w:t>3EA</w:t>
      </w:r>
      <w:r>
        <w:t>.</w:t>
      </w:r>
      <w:r>
        <w:tab/>
        <w:t>Restrictions on damages if payments received under CISS</w:t>
      </w:r>
      <w:bookmarkEnd w:id="11"/>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keepNext/>
      </w:pPr>
      <w:r>
        <w:lastRenderedPageBreak/>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12" w:name="_Toc107484667"/>
      <w:r>
        <w:rPr>
          <w:rStyle w:val="CharSectno"/>
        </w:rPr>
        <w:t>3F</w:t>
      </w:r>
      <w:r>
        <w:t>.</w:t>
      </w:r>
      <w:r>
        <w:tab/>
        <w:t>Restriction on damages for loss relating to earning capacity</w:t>
      </w:r>
      <w:bookmarkEnd w:id="12"/>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lastRenderedPageBreak/>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13" w:name="_Toc107484668"/>
      <w:r>
        <w:rPr>
          <w:rStyle w:val="CharSectno"/>
        </w:rPr>
        <w:t>3FA</w:t>
      </w:r>
      <w:r>
        <w:t>.</w:t>
      </w:r>
      <w:r>
        <w:tab/>
        <w:t>Restrictions on damages to be part of the substantive law</w:t>
      </w:r>
      <w:bookmarkEnd w:id="13"/>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lastRenderedPageBreak/>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14" w:name="_Toc107484669"/>
      <w:r>
        <w:rPr>
          <w:rStyle w:val="CharSectno"/>
        </w:rPr>
        <w:t>3FB</w:t>
      </w:r>
      <w:r>
        <w:rPr>
          <w:szCs w:val="24"/>
        </w:rPr>
        <w:t>.</w:t>
      </w:r>
      <w:r>
        <w:rPr>
          <w:szCs w:val="24"/>
        </w:rPr>
        <w:tab/>
        <w:t>Damages for treatment, care and support needs: catastrophic injury</w:t>
      </w:r>
      <w:bookmarkEnd w:id="14"/>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15" w:name="_Toc107484670"/>
      <w:r>
        <w:rPr>
          <w:rStyle w:val="CharSectno"/>
        </w:rPr>
        <w:t>3G</w:t>
      </w:r>
      <w:r>
        <w:t>.</w:t>
      </w:r>
      <w:r>
        <w:tab/>
        <w:t>Liability of employers</w:t>
      </w:r>
      <w:bookmarkEnd w:id="15"/>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w:t>
      </w:r>
      <w:r>
        <w:lastRenderedPageBreak/>
        <w:t xml:space="preserve">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16" w:name="_Toc107484671"/>
      <w:r>
        <w:rPr>
          <w:rStyle w:val="CharSectno"/>
        </w:rPr>
        <w:t>3Q</w:t>
      </w:r>
      <w:r>
        <w:rPr>
          <w:snapToGrid w:val="0"/>
        </w:rPr>
        <w:t xml:space="preserve">. </w:t>
      </w:r>
      <w:r>
        <w:rPr>
          <w:snapToGrid w:val="0"/>
        </w:rPr>
        <w:tab/>
        <w:t>Director General’s functions</w:t>
      </w:r>
      <w:bookmarkEnd w:id="16"/>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17" w:name="_Toc107484672"/>
      <w:r>
        <w:rPr>
          <w:rStyle w:val="CharSectno"/>
        </w:rPr>
        <w:t>3QA</w:t>
      </w:r>
      <w:r>
        <w:t>.</w:t>
      </w:r>
      <w:r>
        <w:tab/>
        <w:t>Agreements for performance of functions</w:t>
      </w:r>
      <w:bookmarkEnd w:id="1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lastRenderedPageBreak/>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18" w:name="_Toc107484673"/>
      <w:r>
        <w:rPr>
          <w:rStyle w:val="CharSectno"/>
        </w:rPr>
        <w:t>3QB</w:t>
      </w:r>
      <w:r>
        <w:t>.</w:t>
      </w:r>
      <w:r>
        <w:tab/>
        <w:t>Delegation</w:t>
      </w:r>
      <w:bookmarkEnd w:id="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19" w:name="_Toc107484674"/>
      <w:r>
        <w:rPr>
          <w:rStyle w:val="CharSectno"/>
        </w:rPr>
        <w:t>3R</w:t>
      </w:r>
      <w:r>
        <w:rPr>
          <w:snapToGrid w:val="0"/>
        </w:rPr>
        <w:t xml:space="preserve">. </w:t>
      </w:r>
      <w:r>
        <w:rPr>
          <w:snapToGrid w:val="0"/>
        </w:rPr>
        <w:tab/>
        <w:t>Issue of policies of insurance</w:t>
      </w:r>
      <w:bookmarkEnd w:id="19"/>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w:t>
      </w:r>
      <w:r>
        <w:rPr>
          <w:spacing w:val="-2"/>
        </w:rPr>
        <w:lastRenderedPageBreak/>
        <w:t>1986 s. 46(2); No. 8 of 1988 s. 6; No. 6 of 1993 s. 11; No. 76 of 1996 s. 40; No. 77 of 2006 s. 4; No. 12 of 2008 Sch. 1 cl. 23(1); No. 19 of 2010 s. 51.]</w:t>
      </w:r>
    </w:p>
    <w:p>
      <w:pPr>
        <w:pStyle w:val="Heading5"/>
        <w:rPr>
          <w:snapToGrid w:val="0"/>
        </w:rPr>
      </w:pPr>
      <w:bookmarkStart w:id="20" w:name="_Toc107484675"/>
      <w:r>
        <w:rPr>
          <w:rStyle w:val="CharSectno"/>
        </w:rPr>
        <w:t>3S</w:t>
      </w:r>
      <w:r>
        <w:rPr>
          <w:snapToGrid w:val="0"/>
        </w:rPr>
        <w:t xml:space="preserve">. </w:t>
      </w:r>
      <w:r>
        <w:rPr>
          <w:snapToGrid w:val="0"/>
        </w:rPr>
        <w:tab/>
        <w:t>Further powers of the Commission</w:t>
      </w:r>
      <w:bookmarkEnd w:id="20"/>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21" w:name="_Toc107484676"/>
      <w:r>
        <w:rPr>
          <w:rStyle w:val="CharSectno"/>
        </w:rPr>
        <w:t>3T</w:t>
      </w:r>
      <w:r>
        <w:rPr>
          <w:snapToGrid w:val="0"/>
        </w:rPr>
        <w:t xml:space="preserve">. </w:t>
      </w:r>
      <w:r>
        <w:rPr>
          <w:snapToGrid w:val="0"/>
        </w:rPr>
        <w:tab/>
        <w:t>Premiums</w:t>
      </w:r>
      <w:bookmarkEnd w:id="21"/>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 xml:space="preserve">The Minister may approve or refuse to approve recommended scales of premiums submitted under subsection (3) or may </w:t>
      </w:r>
      <w:r>
        <w:rPr>
          <w:snapToGrid w:val="0"/>
        </w:rPr>
        <w:lastRenderedPageBreak/>
        <w:t>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22" w:name="_Toc107484677"/>
      <w:r>
        <w:rPr>
          <w:rStyle w:val="CharSectno"/>
        </w:rPr>
        <w:t>4</w:t>
      </w:r>
      <w:r>
        <w:rPr>
          <w:snapToGrid w:val="0"/>
        </w:rPr>
        <w:t>.</w:t>
      </w:r>
      <w:r>
        <w:rPr>
          <w:snapToGrid w:val="0"/>
        </w:rPr>
        <w:tab/>
        <w:t>Insurance against third party risks</w:t>
      </w:r>
      <w:bookmarkEnd w:id="22"/>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lastRenderedPageBreak/>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lastRenderedPageBreak/>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lastRenderedPageBreak/>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23" w:name="_Toc107484678"/>
      <w:r>
        <w:rPr>
          <w:rStyle w:val="CharSectno"/>
        </w:rPr>
        <w:t>6</w:t>
      </w:r>
      <w:r>
        <w:rPr>
          <w:snapToGrid w:val="0"/>
        </w:rPr>
        <w:t>.</w:t>
      </w:r>
      <w:r>
        <w:rPr>
          <w:snapToGrid w:val="0"/>
        </w:rPr>
        <w:tab/>
        <w:t>Requirements in respect of policies</w:t>
      </w:r>
      <w:bookmarkEnd w:id="23"/>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 xml:space="preserve">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w:t>
      </w:r>
      <w:r>
        <w:rPr>
          <w:snapToGrid w:val="0"/>
        </w:rPr>
        <w:lastRenderedPageBreak/>
        <w:t>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24" w:name="_Toc107484679"/>
      <w:r>
        <w:rPr>
          <w:rStyle w:val="CharSectno"/>
        </w:rPr>
        <w:t>6A</w:t>
      </w:r>
      <w:r>
        <w:t>.</w:t>
      </w:r>
      <w:r>
        <w:tab/>
        <w:t>Insurance relating to catastrophic injury</w:t>
      </w:r>
      <w:bookmarkEnd w:id="24"/>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25" w:name="_Toc107484680"/>
      <w:r>
        <w:rPr>
          <w:rStyle w:val="CharSectno"/>
        </w:rPr>
        <w:t>7</w:t>
      </w:r>
      <w:r>
        <w:rPr>
          <w:snapToGrid w:val="0"/>
        </w:rPr>
        <w:t>.</w:t>
      </w:r>
      <w:r>
        <w:rPr>
          <w:snapToGrid w:val="0"/>
        </w:rPr>
        <w:tab/>
        <w:t>Liability of the Commission</w:t>
      </w:r>
      <w:bookmarkEnd w:id="25"/>
    </w:p>
    <w:p>
      <w:pPr>
        <w:pStyle w:val="Subsection"/>
        <w:rPr>
          <w:snapToGrid w:val="0"/>
        </w:rPr>
      </w:pPr>
      <w:r>
        <w:rPr>
          <w:snapToGrid w:val="0"/>
        </w:rPr>
        <w:tab/>
        <w:t>(1)</w:t>
      </w:r>
      <w:r>
        <w:rPr>
          <w:snapToGrid w:val="0"/>
        </w:rPr>
        <w:tab/>
        <w:t xml:space="preserve">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w:t>
      </w:r>
      <w:r>
        <w:rPr>
          <w:snapToGrid w:val="0"/>
        </w:rPr>
        <w:lastRenderedPageBreak/>
        <w:t>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 xml:space="preserve">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w:t>
      </w:r>
      <w:r>
        <w:rPr>
          <w:snapToGrid w:val="0"/>
        </w:rPr>
        <w:lastRenderedPageBreak/>
        <w:t>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lastRenderedPageBreak/>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26" w:name="_Toc107484681"/>
      <w:r>
        <w:rPr>
          <w:rStyle w:val="CharSectno"/>
        </w:rPr>
        <w:t>8</w:t>
      </w:r>
      <w:r>
        <w:rPr>
          <w:snapToGrid w:val="0"/>
        </w:rPr>
        <w:t>.</w:t>
      </w:r>
      <w:r>
        <w:rPr>
          <w:snapToGrid w:val="0"/>
        </w:rPr>
        <w:tab/>
        <w:t>Special provisions in relation to uninsured motor vehicles</w:t>
      </w:r>
      <w:bookmarkEnd w:id="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judgment against the owner or driver of an uninsured motor vehicle has been entered in respect of the death of </w:t>
      </w:r>
      <w:r>
        <w:rPr>
          <w:snapToGrid w:val="0"/>
        </w:rPr>
        <w:lastRenderedPageBreak/>
        <w:t>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 xml:space="preserve">of the motor vehicle, and if they are both liable from them jointly and severally, such sum as the Commission has paid in </w:t>
      </w:r>
      <w:r>
        <w:rPr>
          <w:snapToGrid w:val="0"/>
        </w:rPr>
        <w:lastRenderedPageBreak/>
        <w:t>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 xml:space="preserve">such liability is one against which such owner or driver, had there been in force a contract of insurance under this </w:t>
      </w:r>
      <w:r>
        <w:rPr>
          <w:snapToGrid w:val="0"/>
        </w:rPr>
        <w:lastRenderedPageBreak/>
        <w:t>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27" w:name="_Toc107484682"/>
      <w:r>
        <w:rPr>
          <w:rStyle w:val="CharSectno"/>
        </w:rPr>
        <w:t>10</w:t>
      </w:r>
      <w:r>
        <w:rPr>
          <w:snapToGrid w:val="0"/>
        </w:rPr>
        <w:t>.</w:t>
      </w:r>
      <w:r>
        <w:rPr>
          <w:snapToGrid w:val="0"/>
        </w:rPr>
        <w:tab/>
        <w:t>Duties of owner or insured person</w:t>
      </w:r>
      <w:bookmarkEnd w:id="27"/>
    </w:p>
    <w:p>
      <w:pPr>
        <w:pStyle w:val="Subsection"/>
        <w:rPr>
          <w:snapToGrid w:val="0"/>
        </w:rPr>
      </w:pPr>
      <w:r>
        <w:rPr>
          <w:snapToGrid w:val="0"/>
        </w:rPr>
        <w:tab/>
        <w:t>(1)</w:t>
      </w:r>
      <w:r>
        <w:rPr>
          <w:snapToGrid w:val="0"/>
        </w:rPr>
        <w:tab/>
        <w:t xml:space="preserve">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t>
      </w:r>
      <w:r>
        <w:rPr>
          <w:snapToGrid w:val="0"/>
        </w:rPr>
        <w:lastRenderedPageBreak/>
        <w:t>(which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 xml:space="preserve">in respect of which the Commission is, or may become, liable under the provisions of this Act but this provision shall not </w:t>
      </w:r>
      <w:r>
        <w:rPr>
          <w:snapToGrid w:val="0"/>
        </w:rPr>
        <w:lastRenderedPageBreak/>
        <w:t>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28" w:name="_Toc107484683"/>
      <w:r>
        <w:rPr>
          <w:rStyle w:val="CharSectno"/>
        </w:rPr>
        <w:t>11</w:t>
      </w:r>
      <w:r>
        <w:rPr>
          <w:snapToGrid w:val="0"/>
        </w:rPr>
        <w:t>.</w:t>
      </w:r>
      <w:r>
        <w:rPr>
          <w:snapToGrid w:val="0"/>
        </w:rPr>
        <w:tab/>
        <w:t>Power of the Commission to deal with claims against insured persons</w:t>
      </w:r>
      <w:bookmarkEnd w:id="28"/>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 xml:space="preserve">The insured person and the owner and the driver of an uninsured vehicle shall sign and execute all such warrants, authorities and other documents as are necessary to give effect to this section, </w:t>
      </w:r>
      <w:r>
        <w:rPr>
          <w:snapToGrid w:val="0"/>
        </w:rPr>
        <w:lastRenderedPageBreak/>
        <w:t>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29" w:name="_Toc107484684"/>
      <w:r>
        <w:rPr>
          <w:rStyle w:val="CharSectno"/>
        </w:rPr>
        <w:t>12</w:t>
      </w:r>
      <w:r>
        <w:rPr>
          <w:snapToGrid w:val="0"/>
        </w:rPr>
        <w:t>.</w:t>
      </w:r>
      <w:r>
        <w:rPr>
          <w:snapToGrid w:val="0"/>
        </w:rPr>
        <w:tab/>
        <w:t>Emergency treatment</w:t>
      </w:r>
      <w:bookmarkEnd w:id="29"/>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lastRenderedPageBreak/>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30" w:name="_Toc107484685"/>
      <w:r>
        <w:rPr>
          <w:rStyle w:val="CharSectno"/>
        </w:rPr>
        <w:t>14</w:t>
      </w:r>
      <w:r>
        <w:rPr>
          <w:snapToGrid w:val="0"/>
        </w:rPr>
        <w:t>.</w:t>
      </w:r>
      <w:r>
        <w:rPr>
          <w:snapToGrid w:val="0"/>
        </w:rPr>
        <w:tab/>
        <w:t>Recovery of payment for emergency treatment</w:t>
      </w:r>
      <w:bookmarkEnd w:id="30"/>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31" w:name="_Toc107484686"/>
      <w:r>
        <w:rPr>
          <w:rStyle w:val="CharSectno"/>
        </w:rPr>
        <w:lastRenderedPageBreak/>
        <w:t>15</w:t>
      </w:r>
      <w:r>
        <w:rPr>
          <w:snapToGrid w:val="0"/>
        </w:rPr>
        <w:t>.</w:t>
      </w:r>
      <w:r>
        <w:rPr>
          <w:snapToGrid w:val="0"/>
        </w:rPr>
        <w:tab/>
        <w:t>Right of the Commission against unauthorised drivers</w:t>
      </w:r>
      <w:bookmarkEnd w:id="31"/>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32" w:name="_Toc107484687"/>
      <w:r>
        <w:rPr>
          <w:rStyle w:val="CharSectno"/>
        </w:rPr>
        <w:t>16</w:t>
      </w:r>
      <w:r>
        <w:rPr>
          <w:snapToGrid w:val="0"/>
        </w:rPr>
        <w:t>.</w:t>
      </w:r>
      <w:r>
        <w:rPr>
          <w:snapToGrid w:val="0"/>
        </w:rPr>
        <w:tab/>
        <w:t>Jurisdiction</w:t>
      </w:r>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w:t>
      </w:r>
      <w:r>
        <w:lastRenderedPageBreak/>
        <w:t>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lastRenderedPageBreak/>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33" w:name="_Toc107484688"/>
      <w:r>
        <w:rPr>
          <w:rStyle w:val="CharSectno"/>
        </w:rPr>
        <w:t>17</w:t>
      </w:r>
      <w:r>
        <w:rPr>
          <w:snapToGrid w:val="0"/>
        </w:rPr>
        <w:t>.</w:t>
      </w:r>
      <w:r>
        <w:rPr>
          <w:snapToGrid w:val="0"/>
        </w:rPr>
        <w:tab/>
        <w:t>Insurance by visiting motorists</w:t>
      </w:r>
      <w:bookmarkEnd w:id="33"/>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34" w:name="_Toc107484689"/>
      <w:r>
        <w:rPr>
          <w:rStyle w:val="CharSectno"/>
        </w:rPr>
        <w:t>18</w:t>
      </w:r>
      <w:r>
        <w:rPr>
          <w:snapToGrid w:val="0"/>
        </w:rPr>
        <w:t>.</w:t>
      </w:r>
      <w:r>
        <w:rPr>
          <w:snapToGrid w:val="0"/>
        </w:rPr>
        <w:tab/>
        <w:t>Power to suspend or cancel licences</w:t>
      </w:r>
      <w:bookmarkEnd w:id="34"/>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lastRenderedPageBreak/>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35" w:name="_Toc107484690"/>
      <w:r>
        <w:rPr>
          <w:rStyle w:val="CharSectno"/>
        </w:rPr>
        <w:t>19</w:t>
      </w:r>
      <w:r>
        <w:rPr>
          <w:snapToGrid w:val="0"/>
        </w:rPr>
        <w:t>.</w:t>
      </w:r>
      <w:r>
        <w:rPr>
          <w:snapToGrid w:val="0"/>
        </w:rPr>
        <w:tab/>
        <w:t>Commission not to terminate policy</w:t>
      </w:r>
      <w:bookmarkEnd w:id="35"/>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36" w:name="_Toc107484691"/>
      <w:r>
        <w:rPr>
          <w:rStyle w:val="CharSectno"/>
        </w:rPr>
        <w:t>20</w:t>
      </w:r>
      <w:r>
        <w:rPr>
          <w:snapToGrid w:val="0"/>
        </w:rPr>
        <w:t>.</w:t>
      </w:r>
      <w:r>
        <w:rPr>
          <w:snapToGrid w:val="0"/>
        </w:rPr>
        <w:tab/>
        <w:t>Policy of insurance to continue notwithstanding change of ownership of vehicle</w:t>
      </w:r>
      <w:bookmarkEnd w:id="3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 xml:space="preserve">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w:t>
      </w:r>
      <w:r>
        <w:rPr>
          <w:snapToGrid w:val="0"/>
        </w:rPr>
        <w:lastRenderedPageBreak/>
        <w:t>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37" w:name="_Toc107484692"/>
      <w:r>
        <w:rPr>
          <w:rStyle w:val="CharSectno"/>
        </w:rPr>
        <w:t>21</w:t>
      </w:r>
      <w:r>
        <w:t>.</w:t>
      </w:r>
      <w:r>
        <w:tab/>
        <w:t>Term of policy of insurance extended in certain cases</w:t>
      </w:r>
      <w:bookmarkEnd w:id="37"/>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38" w:name="_Toc107484693"/>
      <w:r>
        <w:rPr>
          <w:rStyle w:val="CharSectno"/>
        </w:rPr>
        <w:t>22</w:t>
      </w:r>
      <w:r>
        <w:rPr>
          <w:snapToGrid w:val="0"/>
        </w:rPr>
        <w:t>.</w:t>
      </w:r>
      <w:r>
        <w:rPr>
          <w:snapToGrid w:val="0"/>
        </w:rPr>
        <w:tab/>
        <w:t>Provision regarding motor vehicle of employee used by employee in employer’s business</w:t>
      </w:r>
      <w:bookmarkEnd w:id="38"/>
    </w:p>
    <w:p>
      <w:pPr>
        <w:pStyle w:val="Subsection"/>
        <w:rPr>
          <w:snapToGrid w:val="0"/>
        </w:rPr>
      </w:pPr>
      <w:r>
        <w:rPr>
          <w:snapToGrid w:val="0"/>
        </w:rPr>
        <w:tab/>
        <w:t>(1)</w:t>
      </w:r>
      <w:r>
        <w:rPr>
          <w:snapToGrid w:val="0"/>
        </w:rPr>
        <w:tab/>
        <w:t xml:space="preserve">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w:t>
      </w:r>
      <w:r>
        <w:rPr>
          <w:snapToGrid w:val="0"/>
        </w:rPr>
        <w:lastRenderedPageBreak/>
        <w:t>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39" w:name="_Toc107484694"/>
      <w:r>
        <w:rPr>
          <w:rStyle w:val="CharSectno"/>
        </w:rPr>
        <w:t>23</w:t>
      </w:r>
      <w:r>
        <w:rPr>
          <w:snapToGrid w:val="0"/>
        </w:rPr>
        <w:t>.</w:t>
      </w:r>
      <w:r>
        <w:rPr>
          <w:snapToGrid w:val="0"/>
        </w:rPr>
        <w:tab/>
        <w:t>Policies to give cover required by amending Acts</w:t>
      </w:r>
      <w:bookmarkEnd w:id="39"/>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lastRenderedPageBreak/>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40" w:name="_Toc107484695"/>
      <w:r>
        <w:rPr>
          <w:rStyle w:val="CharSectno"/>
        </w:rPr>
        <w:t>24</w:t>
      </w:r>
      <w:r>
        <w:rPr>
          <w:snapToGrid w:val="0"/>
        </w:rPr>
        <w:t>.</w:t>
      </w:r>
      <w:r>
        <w:rPr>
          <w:snapToGrid w:val="0"/>
        </w:rPr>
        <w:tab/>
        <w:t>Reference to issue of policy to extend to renewal of policy</w:t>
      </w:r>
      <w:bookmarkEnd w:id="40"/>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41" w:name="_Toc107484696"/>
      <w:r>
        <w:rPr>
          <w:rStyle w:val="CharSectno"/>
        </w:rPr>
        <w:t>25</w:t>
      </w:r>
      <w:r>
        <w:rPr>
          <w:snapToGrid w:val="0"/>
        </w:rPr>
        <w:t>.</w:t>
      </w:r>
      <w:r>
        <w:rPr>
          <w:snapToGrid w:val="0"/>
        </w:rPr>
        <w:tab/>
        <w:t>Information to be furnished by the Commission</w:t>
      </w:r>
      <w:bookmarkEnd w:id="41"/>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42" w:name="_Toc107484697"/>
      <w:r>
        <w:rPr>
          <w:rStyle w:val="CharSectno"/>
        </w:rPr>
        <w:t>26</w:t>
      </w:r>
      <w:r>
        <w:rPr>
          <w:snapToGrid w:val="0"/>
        </w:rPr>
        <w:t>.</w:t>
      </w:r>
      <w:r>
        <w:rPr>
          <w:snapToGrid w:val="0"/>
        </w:rPr>
        <w:tab/>
        <w:t>Contracting out of liability for negligence</w:t>
      </w:r>
      <w:bookmarkEnd w:id="42"/>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43" w:name="_Toc107484698"/>
      <w:r>
        <w:rPr>
          <w:rStyle w:val="CharSectno"/>
        </w:rPr>
        <w:lastRenderedPageBreak/>
        <w:t>27</w:t>
      </w:r>
      <w:r>
        <w:rPr>
          <w:snapToGrid w:val="0"/>
        </w:rPr>
        <w:t>.</w:t>
      </w:r>
      <w:r>
        <w:rPr>
          <w:snapToGrid w:val="0"/>
        </w:rPr>
        <w:tab/>
        <w:t>Soliciting instructions from persons claiming</w:t>
      </w:r>
      <w:bookmarkEnd w:id="43"/>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44" w:name="_Toc107484699"/>
      <w:r>
        <w:rPr>
          <w:rStyle w:val="CharSectno"/>
        </w:rPr>
        <w:lastRenderedPageBreak/>
        <w:t>27A</w:t>
      </w:r>
      <w:r>
        <w:rPr>
          <w:snapToGrid w:val="0"/>
        </w:rPr>
        <w:t xml:space="preserve">. </w:t>
      </w:r>
      <w:r>
        <w:rPr>
          <w:snapToGrid w:val="0"/>
        </w:rPr>
        <w:tab/>
        <w:t>Costs between solicitor and client</w:t>
      </w:r>
      <w:bookmarkEnd w:id="44"/>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made under the </w:t>
      </w:r>
      <w:r>
        <w:rPr>
          <w:i/>
        </w:rPr>
        <w:t>Legal Profession Uniform Law Application Act 2022</w:t>
      </w:r>
      <w:r>
        <w:t xml:space="preserve"> section 133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 No. 9 of 2022 s. 424.]</w:t>
      </w:r>
    </w:p>
    <w:p>
      <w:pPr>
        <w:pStyle w:val="Heading5"/>
      </w:pPr>
      <w:bookmarkStart w:id="45" w:name="_Toc107484700"/>
      <w:r>
        <w:rPr>
          <w:rStyle w:val="CharSectno"/>
        </w:rPr>
        <w:t>27B</w:t>
      </w:r>
      <w:r>
        <w:t>.</w:t>
      </w:r>
      <w:r>
        <w:tab/>
        <w:t>False or misleading information</w:t>
      </w:r>
      <w:bookmarkEnd w:id="45"/>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lastRenderedPageBreak/>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46" w:name="_Toc107484701"/>
      <w:r>
        <w:rPr>
          <w:rStyle w:val="CharSectno"/>
        </w:rPr>
        <w:t>27C</w:t>
      </w:r>
      <w:r>
        <w:t>.</w:t>
      </w:r>
      <w:r>
        <w:tab/>
        <w:t>Obstruction</w:t>
      </w:r>
      <w:bookmarkEnd w:id="46"/>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47" w:name="_Toc107484702"/>
      <w:r>
        <w:rPr>
          <w:rStyle w:val="CharSectno"/>
        </w:rPr>
        <w:lastRenderedPageBreak/>
        <w:t>28</w:t>
      </w:r>
      <w:r>
        <w:rPr>
          <w:snapToGrid w:val="0"/>
        </w:rPr>
        <w:t>.</w:t>
      </w:r>
      <w:r>
        <w:rPr>
          <w:snapToGrid w:val="0"/>
        </w:rPr>
        <w:tab/>
        <w:t>Offences: general penalty</w:t>
      </w:r>
      <w:bookmarkEnd w:id="47"/>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2</w:t>
      </w:r>
      <w:r>
        <w:t xml:space="preserve"> amended: No. 95 of 1966 s. 21; No. 44 of 1971 s. 5.]</w:t>
      </w:r>
    </w:p>
    <w:p>
      <w:pPr>
        <w:pStyle w:val="Heading5"/>
        <w:rPr>
          <w:snapToGrid w:val="0"/>
        </w:rPr>
      </w:pPr>
      <w:bookmarkStart w:id="48" w:name="_Toc107484703"/>
      <w:r>
        <w:rPr>
          <w:rStyle w:val="CharSectno"/>
        </w:rPr>
        <w:t>29</w:t>
      </w:r>
      <w:r>
        <w:rPr>
          <w:snapToGrid w:val="0"/>
        </w:rPr>
        <w:t>.</w:t>
      </w:r>
      <w:r>
        <w:rPr>
          <w:snapToGrid w:val="0"/>
        </w:rPr>
        <w:tab/>
        <w:t>Notice of claim</w:t>
      </w:r>
      <w:bookmarkEnd w:id="48"/>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xml:space="preserve">)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w:t>
      </w:r>
      <w:r>
        <w:rPr>
          <w:snapToGrid w:val="0"/>
        </w:rPr>
        <w:lastRenderedPageBreak/>
        <w:t>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lastRenderedPageBreak/>
        <w:tab/>
        <w:t>[Section 29 inserted: No. 21 of 1969 s. 5; amended: No. 42 of 1972 s. 8; No. 51 of 1986 s. 46(2); No. 107 of 1987 s. 14; No. 13 of 1994 s. 10.]</w:t>
      </w:r>
    </w:p>
    <w:p>
      <w:pPr>
        <w:pStyle w:val="Heading5"/>
        <w:rPr>
          <w:snapToGrid w:val="0"/>
        </w:rPr>
      </w:pPr>
      <w:bookmarkStart w:id="49" w:name="_Toc107484704"/>
      <w:r>
        <w:rPr>
          <w:rStyle w:val="CharSectno"/>
        </w:rPr>
        <w:t>29A</w:t>
      </w:r>
      <w:r>
        <w:rPr>
          <w:snapToGrid w:val="0"/>
        </w:rPr>
        <w:t xml:space="preserve">. </w:t>
      </w:r>
      <w:r>
        <w:rPr>
          <w:snapToGrid w:val="0"/>
        </w:rPr>
        <w:tab/>
        <w:t>Court may grant leave to proceed</w:t>
      </w:r>
      <w:bookmarkEnd w:id="4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50" w:name="_Toc107484705"/>
      <w:r>
        <w:rPr>
          <w:rStyle w:val="CharSectno"/>
        </w:rPr>
        <w:t>30</w:t>
      </w:r>
      <w:r>
        <w:t>.</w:t>
      </w:r>
      <w:r>
        <w:tab/>
        <w:t>Examination of injured person by health professional</w:t>
      </w:r>
      <w:bookmarkEnd w:id="50"/>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 xml:space="preserve">Health </w:t>
      </w:r>
      <w:r>
        <w:rPr>
          <w:i/>
        </w:rPr>
        <w:lastRenderedPageBreak/>
        <w:t>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51" w:name="_Toc107484706"/>
      <w:r>
        <w:rPr>
          <w:rStyle w:val="CharSectno"/>
        </w:rPr>
        <w:lastRenderedPageBreak/>
        <w:t>33</w:t>
      </w:r>
      <w:r>
        <w:rPr>
          <w:snapToGrid w:val="0"/>
        </w:rPr>
        <w:t>.</w:t>
      </w:r>
      <w:r>
        <w:rPr>
          <w:snapToGrid w:val="0"/>
        </w:rPr>
        <w:tab/>
        <w:t>Regulations</w:t>
      </w:r>
      <w:bookmarkEnd w:id="51"/>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52" w:name="_Toc107484707"/>
      <w:r>
        <w:rPr>
          <w:rStyle w:val="CharSectno"/>
        </w:rPr>
        <w:t>34</w:t>
      </w:r>
      <w:r>
        <w:t>.</w:t>
      </w:r>
      <w:r>
        <w:tab/>
        <w:t xml:space="preserve">Transitional provision for </w:t>
      </w:r>
      <w:r>
        <w:rPr>
          <w:i/>
        </w:rPr>
        <w:t>Motor Vehicle (Catastrophic Injuries) Act 2016</w:t>
      </w:r>
      <w:bookmarkEnd w:id="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lastRenderedPageBreak/>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3" w:name="_Toc107383949"/>
      <w:bookmarkStart w:id="54" w:name="_Toc107384260"/>
      <w:bookmarkStart w:id="55" w:name="_Toc107384384"/>
      <w:bookmarkStart w:id="56" w:name="_Toc107484708"/>
      <w:r>
        <w:rPr>
          <w:rStyle w:val="CharSchNo"/>
        </w:rPr>
        <w:lastRenderedPageBreak/>
        <w:t>Schedule</w:t>
      </w:r>
      <w:r>
        <w:rPr>
          <w:rStyle w:val="CharSDivNo"/>
        </w:rPr>
        <w:t> </w:t>
      </w:r>
      <w:r>
        <w:t>—</w:t>
      </w:r>
      <w:r>
        <w:rPr>
          <w:rStyle w:val="CharSDivText"/>
        </w:rPr>
        <w:t> </w:t>
      </w:r>
      <w:r>
        <w:rPr>
          <w:rStyle w:val="CharSchText"/>
        </w:rPr>
        <w:t>Form of insurance policy</w:t>
      </w:r>
      <w:bookmarkEnd w:id="53"/>
      <w:bookmarkEnd w:id="54"/>
      <w:bookmarkEnd w:id="55"/>
      <w:bookmarkEnd w:id="56"/>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lastRenderedPageBreak/>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rPr>
          <w:i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8" w:name="_Toc107383950"/>
      <w:bookmarkStart w:id="59" w:name="_Toc107384261"/>
      <w:bookmarkStart w:id="60" w:name="_Toc107384385"/>
      <w:bookmarkStart w:id="61" w:name="_Toc107484709"/>
      <w:r>
        <w:lastRenderedPageBreak/>
        <w:t>Notes</w:t>
      </w:r>
      <w:bookmarkEnd w:id="58"/>
      <w:bookmarkEnd w:id="59"/>
      <w:bookmarkEnd w:id="60"/>
      <w:bookmarkEnd w:id="61"/>
    </w:p>
    <w:p>
      <w:pPr>
        <w:pStyle w:val="nStatement"/>
      </w:pPr>
      <w:r>
        <w:t xml:space="preserve">This is a compilation of the </w:t>
      </w:r>
      <w:r>
        <w:rPr>
          <w:i/>
          <w:noProof/>
        </w:rPr>
        <w:t>Motor Vehicle (Third Party Insurance) Act 1943</w:t>
      </w:r>
      <w:r>
        <w:t xml:space="preserve"> and includes amendments made by other written laws. For provisions that have come into operation, and for information about any reprints, see the compilation table. </w:t>
      </w:r>
    </w:p>
    <w:p>
      <w:pPr>
        <w:pStyle w:val="nHeading3"/>
      </w:pPr>
      <w:bookmarkStart w:id="62" w:name="_Toc107484710"/>
      <w:r>
        <w:t>Compilation table</w:t>
      </w:r>
      <w:bookmarkEnd w:id="62"/>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lastRenderedPageBreak/>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lastRenderedPageBreak/>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lastRenderedPageBreak/>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lastRenderedPageBreak/>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Pr>
          <w:p>
            <w:pPr>
              <w:pStyle w:val="nTable"/>
              <w:spacing w:after="40"/>
              <w:rPr>
                <w:snapToGrid w:val="0"/>
              </w:rPr>
            </w:pPr>
            <w:r>
              <w:rPr>
                <w:snapToGrid w:val="0"/>
              </w:rPr>
              <w:t>8 of 2016</w:t>
            </w:r>
          </w:p>
        </w:tc>
        <w:tc>
          <w:tcPr>
            <w:tcW w:w="1161" w:type="dxa"/>
          </w:tcPr>
          <w:p>
            <w:pPr>
              <w:pStyle w:val="nTable"/>
              <w:spacing w:after="40"/>
            </w:pPr>
            <w:r>
              <w:t>14 Apr 2016</w:t>
            </w:r>
          </w:p>
        </w:tc>
        <w:tc>
          <w:tcPr>
            <w:tcW w:w="2613" w:type="dxa"/>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r>
        <w:trPr>
          <w:cantSplit/>
        </w:trPr>
        <w:tc>
          <w:tcPr>
            <w:tcW w:w="2323" w:type="dxa"/>
            <w:tcBorders>
              <w:bottom w:val="single" w:sz="4" w:space="0" w:color="auto"/>
            </w:tcBorders>
          </w:tcPr>
          <w:p>
            <w:pPr>
              <w:pStyle w:val="nTable"/>
              <w:spacing w:after="40"/>
              <w:ind w:right="113"/>
              <w:rPr>
                <w:i/>
                <w:snapToGrid w:val="0"/>
              </w:rPr>
            </w:pPr>
            <w:r>
              <w:rPr>
                <w:i/>
              </w:rPr>
              <w:t>Legal Profession Uniform Law Application Act 2022</w:t>
            </w:r>
            <w:r>
              <w:t xml:space="preserve"> s. 424</w:t>
            </w:r>
          </w:p>
        </w:tc>
        <w:tc>
          <w:tcPr>
            <w:tcW w:w="1161" w:type="dxa"/>
            <w:tcBorders>
              <w:bottom w:val="single" w:sz="4" w:space="0" w:color="auto"/>
            </w:tcBorders>
          </w:tcPr>
          <w:p>
            <w:pPr>
              <w:pStyle w:val="nTable"/>
              <w:spacing w:after="40"/>
              <w:rPr>
                <w:snapToGrid w:val="0"/>
              </w:rPr>
            </w:pPr>
            <w:r>
              <w:t>9 of 2022</w:t>
            </w:r>
          </w:p>
        </w:tc>
        <w:tc>
          <w:tcPr>
            <w:tcW w:w="1161" w:type="dxa"/>
            <w:tcBorders>
              <w:bottom w:val="single" w:sz="4" w:space="0" w:color="auto"/>
            </w:tcBorders>
          </w:tcPr>
          <w:p>
            <w:pPr>
              <w:pStyle w:val="nTable"/>
              <w:spacing w:after="40"/>
            </w:pPr>
            <w:r>
              <w:t>14 Apr 2022</w:t>
            </w:r>
          </w:p>
        </w:tc>
        <w:tc>
          <w:tcPr>
            <w:tcW w:w="2613"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63" w:name="_Toc107484711"/>
      <w:r>
        <w:t>Other notes</w:t>
      </w:r>
      <w:bookmarkEnd w:id="63"/>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lastRenderedPageBreak/>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spacing w:before="100"/>
        <w:rPr>
          <w:snapToGrid w:val="0"/>
        </w:rPr>
      </w:pPr>
      <w:r>
        <w:rPr>
          <w:snapToGrid w:val="0"/>
          <w:vertAlign w:val="superscript"/>
        </w:rPr>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lastRenderedPageBreak/>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lastRenderedPageBreak/>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lastRenderedPageBreak/>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5" w:name="_Toc107383954"/>
      <w:bookmarkStart w:id="66" w:name="_Toc107384264"/>
      <w:bookmarkStart w:id="67" w:name="_Toc107384388"/>
      <w:bookmarkStart w:id="68" w:name="_Toc107484712"/>
      <w:r>
        <w:rPr>
          <w:sz w:val="28"/>
        </w:rPr>
        <w:lastRenderedPageBreak/>
        <w:t>Defined terms</w:t>
      </w:r>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assessed treatment, care and support needs</w:t>
      </w:r>
      <w:r>
        <w:tab/>
        <w:t>3(1)</w:t>
      </w:r>
    </w:p>
    <w:p>
      <w:pPr>
        <w:pStyle w:val="DefinedTerms"/>
      </w:pPr>
      <w:r>
        <w:t>catastrophic injury</w:t>
      </w:r>
      <w:r>
        <w:tab/>
        <w:t>3(1)</w:t>
      </w:r>
    </w:p>
    <w:p>
      <w:pPr>
        <w:pStyle w:val="DefinedTerms"/>
      </w:pPr>
      <w:r>
        <w:t>CISS</w:t>
      </w:r>
      <w:r>
        <w:tab/>
        <w:t>3(1)</w:t>
      </w:r>
    </w:p>
    <w:p>
      <w:pPr>
        <w:pStyle w:val="DefinedTerms"/>
      </w:pPr>
      <w:r>
        <w:t>commencement day</w:t>
      </w:r>
      <w:r>
        <w:tab/>
        <w:t>34(1)</w:t>
      </w:r>
    </w:p>
    <w:p>
      <w:pPr>
        <w:pStyle w:val="DefinedTerms"/>
      </w:pPr>
      <w:r>
        <w:t>Commission</w:t>
      </w:r>
      <w:r>
        <w:tab/>
        <w:t>3(1)</w:t>
      </w:r>
    </w:p>
    <w:p>
      <w:pPr>
        <w:pStyle w:val="DefinedTerms"/>
      </w:pPr>
      <w:r>
        <w:t>Commission officer</w:t>
      </w:r>
      <w:r>
        <w:tab/>
        <w:t>27C(1)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health profession</w:t>
      </w:r>
      <w:r>
        <w:tab/>
        <w:t>30(1)</w:t>
      </w:r>
    </w:p>
    <w:p>
      <w:pPr>
        <w:pStyle w:val="DefinedTerms"/>
      </w:pPr>
      <w:r>
        <w:t>health professional</w:t>
      </w:r>
      <w:r>
        <w:tab/>
        <w:t>30(1)</w:t>
      </w:r>
    </w:p>
    <w:p>
      <w:pPr>
        <w:pStyle w:val="DefinedTerms"/>
      </w:pPr>
      <w:r>
        <w:t>injured person</w:t>
      </w:r>
      <w:r>
        <w:tab/>
        <w:t>6A(2), 30(2)</w:t>
      </w:r>
    </w:p>
    <w:p>
      <w:pPr>
        <w:pStyle w:val="DefinedTerms"/>
      </w:pPr>
      <w:r>
        <w:t>insured person</w:t>
      </w:r>
      <w:r>
        <w:tab/>
        <w:t>3(1)</w:t>
      </w:r>
    </w:p>
    <w:p>
      <w:pPr>
        <w:pStyle w:val="DefinedTerms"/>
      </w:pPr>
      <w:r>
        <w:t>interim participant</w:t>
      </w:r>
      <w:r>
        <w:tab/>
        <w:t>3EA(1)</w:t>
      </w:r>
    </w:p>
    <w:p>
      <w:pPr>
        <w:pStyle w:val="DefinedTerms"/>
      </w:pPr>
      <w:r>
        <w:t>issued</w:t>
      </w:r>
      <w:r>
        <w:tab/>
        <w:t>34(1)</w:t>
      </w:r>
    </w:p>
    <w:p>
      <w:pPr>
        <w:pStyle w:val="DefinedTerms"/>
      </w:pPr>
      <w:r>
        <w:t>lifetime participant</w:t>
      </w:r>
      <w:r>
        <w:tab/>
        <w:t>3EA(1)</w:t>
      </w:r>
    </w:p>
    <w:p>
      <w:pPr>
        <w:pStyle w:val="DefinedTerms"/>
      </w:pPr>
      <w:r>
        <w:t>Minister</w:t>
      </w:r>
      <w:r>
        <w:tab/>
        <w:t>3(1)</w:t>
      </w:r>
    </w:p>
    <w:p>
      <w:pPr>
        <w:pStyle w:val="DefinedTerms"/>
      </w:pPr>
      <w:r>
        <w:t>motor vehicle</w:t>
      </w:r>
      <w:r>
        <w:tab/>
        <w:t>3(1), 4(10)</w:t>
      </w:r>
    </w:p>
    <w:p>
      <w:pPr>
        <w:pStyle w:val="DefinedTerms"/>
      </w:pPr>
      <w:r>
        <w:t>motor vehicle accident</w:t>
      </w:r>
      <w:r>
        <w:tab/>
        <w:t>6A(1)</w:t>
      </w:r>
    </w:p>
    <w:p>
      <w:pPr>
        <w:pStyle w:val="DefinedTerms"/>
      </w:pPr>
      <w:r>
        <w:t>MV(CI) Act</w:t>
      </w:r>
      <w:r>
        <w:tab/>
        <w:t>3(1)</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relevant day</w:t>
      </w:r>
      <w:r>
        <w:tab/>
        <w:t>34(1)</w:t>
      </w:r>
    </w:p>
    <w:p>
      <w:pPr>
        <w:pStyle w:val="DefinedTerms"/>
      </w:pPr>
      <w:r>
        <w:t>repealed provision</w:t>
      </w:r>
      <w:r>
        <w:tab/>
        <w:t>34(1)</w:t>
      </w:r>
    </w:p>
    <w:p>
      <w:pPr>
        <w:pStyle w:val="DefinedTerms"/>
      </w:pPr>
      <w:r>
        <w:t>restrictive provisions</w:t>
      </w:r>
      <w:r>
        <w:tab/>
        <w:t>3FA(1)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lastRenderedPageBreak/>
        <w:t>the Tribunal</w:t>
      </w:r>
      <w:r>
        <w:tab/>
        <w:t>16(1)</w:t>
      </w:r>
    </w:p>
    <w:p>
      <w:pPr>
        <w:pStyle w:val="DefinedTerms"/>
      </w:pPr>
      <w:r>
        <w:t>treatment, care and support needs</w:t>
      </w:r>
      <w:r>
        <w:tab/>
        <w:t>3EA(1), 3FB(1)</w:t>
      </w:r>
    </w:p>
    <w:p>
      <w:pPr>
        <w:pStyle w:val="DefinedTerms"/>
      </w:pPr>
      <w:r>
        <w:t>uninsured motor vehicle</w:t>
      </w:r>
      <w:r>
        <w:tab/>
        <w:t>3(1)</w:t>
      </w:r>
    </w:p>
    <w:p>
      <w:pPr>
        <w:pStyle w:val="DefinedTerms"/>
      </w:pPr>
      <w:r>
        <w:t>Vehicles Act</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8300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 w:name="WAFER_2022062908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83007_GUID" w:val="6ddbe586-5d24-4ab5-9432-ae1746a360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19299</Words>
  <Characters>86850</Characters>
  <Application>Microsoft Office Word</Application>
  <DocSecurity>0</DocSecurity>
  <Lines>2554</Lines>
  <Paragraphs>1310</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1943 - 12-i0-00</dc:title>
  <dc:subject/>
  <dc:creator/>
  <cp:keywords/>
  <dc:description/>
  <cp:lastModifiedBy>Master Repository Process</cp:lastModifiedBy>
  <cp:revision>4</cp:revision>
  <cp:lastPrinted>2010-09-14T06:34:00Z</cp:lastPrinted>
  <dcterms:created xsi:type="dcterms:W3CDTF">2022-06-30T07:49:00Z</dcterms:created>
  <dcterms:modified xsi:type="dcterms:W3CDTF">2022-06-30T07:49:00Z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AsAtDate">
    <vt:lpwstr>01 Jul 2022</vt:lpwstr>
  </property>
  <property fmtid="{D5CDD505-2E9C-101B-9397-08002B2CF9AE}" pid="7" name="Suffix">
    <vt:lpwstr>12-i0-00</vt:lpwstr>
  </property>
  <property fmtid="{D5CDD505-2E9C-101B-9397-08002B2CF9AE}" pid="8" name="CommencementDate">
    <vt:lpwstr>20220701</vt:lpwstr>
  </property>
</Properties>
</file>