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Goods (Vienna Convention) Act 1986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Sale of Goods (Vienna Convention)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_Toc107494276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_Toc107494277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Convention</w:t>
      </w:r>
      <w:r>
        <w:tab/>
      </w:r>
      <w:r>
        <w:fldChar w:fldCharType="begin"/>
      </w:r>
      <w:r>
        <w:instrText xml:space="preserve"> PAGEREF _Toc107494278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_Toc107494279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Convention to have force of law</w:t>
      </w:r>
      <w:r>
        <w:tab/>
      </w:r>
      <w:r>
        <w:fldChar w:fldCharType="begin"/>
      </w:r>
      <w:r>
        <w:instrText xml:space="preserve"> PAGEREF _Toc107494280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Convention to prevail in event of inconsistency</w:t>
      </w:r>
      <w:r>
        <w:tab/>
      </w:r>
      <w:r>
        <w:fldChar w:fldCharType="begin"/>
      </w:r>
      <w:r>
        <w:instrText xml:space="preserve"> PAGEREF _Toc107494281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certain matters</w:t>
      </w:r>
      <w:r>
        <w:tab/>
      </w:r>
      <w:r>
        <w:fldChar w:fldCharType="begin"/>
      </w:r>
      <w:r>
        <w:instrText xml:space="preserve"> PAGEREF _Toc107494282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Vienna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_Toc107494285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 xml:space="preserve">An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10749427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Sale of Goods (Vienna Convention) Act 1986</w:t>
      </w:r>
      <w:r>
        <w:rPr>
          <w:snapToGrid w:val="0"/>
        </w:rPr>
        <w:t>.</w:t>
      </w:r>
    </w:p>
    <w:p>
      <w:pPr>
        <w:pStyle w:val="Heading5"/>
        <w:rPr>
          <w:snapToGrid w:val="0"/>
        </w:rPr>
      </w:pPr>
      <w:bookmarkStart w:id="4" w:name="_Toc107494277"/>
      <w:r>
        <w:rPr>
          <w:rStyle w:val="CharSectno"/>
        </w:rPr>
        <w:lastRenderedPageBreak/>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such day, not being earlier than the day on which the Convention enters into force in respect of Australia, as is fixed by proclamation.</w:t>
      </w:r>
    </w:p>
    <w:p>
      <w:pPr>
        <w:pStyle w:val="Heading5"/>
        <w:rPr>
          <w:snapToGrid w:val="0"/>
        </w:rPr>
      </w:pPr>
      <w:bookmarkStart w:id="5" w:name="_Toc107494278"/>
      <w:r>
        <w:rPr>
          <w:rStyle w:val="CharSectno"/>
        </w:rPr>
        <w:t>3</w:t>
      </w:r>
      <w:r>
        <w:rPr>
          <w:snapToGrid w:val="0"/>
        </w:rPr>
        <w:t>.</w:t>
      </w:r>
      <w:r>
        <w:rPr>
          <w:snapToGrid w:val="0"/>
        </w:rPr>
        <w:tab/>
        <w:t>Term used: Convention</w:t>
      </w:r>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6" w:name="_Toc107494279"/>
      <w:r>
        <w:rPr>
          <w:rStyle w:val="CharSectno"/>
        </w:rPr>
        <w:t>4</w:t>
      </w:r>
      <w:r>
        <w:rPr>
          <w:snapToGrid w:val="0"/>
        </w:rPr>
        <w:t>.</w:t>
      </w:r>
      <w:r>
        <w:rPr>
          <w:snapToGrid w:val="0"/>
        </w:rPr>
        <w:tab/>
        <w:t>Act binds Crown</w:t>
      </w:r>
      <w:bookmarkEnd w:id="6"/>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7" w:name="_Toc107494280"/>
      <w:r>
        <w:rPr>
          <w:rStyle w:val="CharSectno"/>
        </w:rPr>
        <w:t>5</w:t>
      </w:r>
      <w:r>
        <w:rPr>
          <w:snapToGrid w:val="0"/>
        </w:rPr>
        <w:t>.</w:t>
      </w:r>
      <w:r>
        <w:rPr>
          <w:snapToGrid w:val="0"/>
        </w:rPr>
        <w:tab/>
        <w:t>Convention to have force of law</w:t>
      </w:r>
      <w:bookmarkEnd w:id="7"/>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8" w:name="_Toc107494281"/>
      <w:r>
        <w:rPr>
          <w:rStyle w:val="CharSectno"/>
        </w:rPr>
        <w:t>6</w:t>
      </w:r>
      <w:r>
        <w:rPr>
          <w:snapToGrid w:val="0"/>
        </w:rPr>
        <w:t>.</w:t>
      </w:r>
      <w:r>
        <w:rPr>
          <w:snapToGrid w:val="0"/>
        </w:rPr>
        <w:tab/>
        <w:t>Convention to prevail in event of inconsistency</w:t>
      </w:r>
      <w:bookmarkEnd w:id="8"/>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9" w:name="_Toc107494282"/>
      <w:r>
        <w:rPr>
          <w:rStyle w:val="CharSectno"/>
        </w:rPr>
        <w:t>7</w:t>
      </w:r>
      <w:r>
        <w:rPr>
          <w:snapToGrid w:val="0"/>
        </w:rPr>
        <w:t>.</w:t>
      </w:r>
      <w:r>
        <w:rPr>
          <w:snapToGrid w:val="0"/>
        </w:rPr>
        <w:tab/>
        <w:t>Evidence of certain matters</w:t>
      </w:r>
      <w:bookmarkEnd w:id="9"/>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lastRenderedPageBreak/>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Ednotesubsection"/>
      </w:pPr>
      <w:r>
        <w:tab/>
        <w:t>[(2)</w:t>
      </w:r>
      <w:r>
        <w:tab/>
        <w:t>deleted]</w:t>
      </w:r>
    </w:p>
    <w:p>
      <w:pPr>
        <w:pStyle w:val="Footnotesection"/>
      </w:pPr>
      <w:r>
        <w:tab/>
        <w:t>[Section 7 amended: No. 21 of 2008 s. 701; No. 9 of 2022 s. 424.]</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0" w:name="_Toc100316463"/>
      <w:bookmarkStart w:id="11" w:name="_Toc100318015"/>
      <w:bookmarkStart w:id="12" w:name="_Toc100567058"/>
      <w:bookmarkStart w:id="13" w:name="_Toc107325305"/>
      <w:bookmarkStart w:id="14" w:name="_Toc107494283"/>
      <w:r>
        <w:rPr>
          <w:rStyle w:val="CharSchNo"/>
        </w:rPr>
        <w:lastRenderedPageBreak/>
        <w:t>Schedule 1</w:t>
      </w:r>
      <w:r>
        <w:t> — </w:t>
      </w:r>
      <w:r>
        <w:rPr>
          <w:rStyle w:val="CharSchText"/>
        </w:rPr>
        <w:t>Vienna Convention</w:t>
      </w:r>
      <w:bookmarkEnd w:id="10"/>
      <w:bookmarkEnd w:id="11"/>
      <w:bookmarkEnd w:id="12"/>
      <w:bookmarkEnd w:id="13"/>
      <w:bookmarkEnd w:id="14"/>
    </w:p>
    <w:p>
      <w:pPr>
        <w:pStyle w:val="yShoulderClause"/>
        <w:rPr>
          <w:snapToGrid w:val="0"/>
        </w:rPr>
      </w:pPr>
      <w:r>
        <w:rPr>
          <w:snapToGrid w:val="0"/>
        </w:rPr>
        <w:t>[s. 3]</w:t>
      </w:r>
    </w:p>
    <w:p>
      <w:pPr>
        <w:pStyle w:val="yFootnoteheading"/>
        <w:rPr>
          <w:b/>
          <w:snapToGrid w:val="0"/>
        </w:rPr>
      </w:pPr>
      <w:r>
        <w:tab/>
        <w:t>[Heading amended: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lastRenderedPageBreak/>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 xml:space="preserve">This Convention governs only the formation of the contract of sale and the rights and obligations of the seller and the buyer arising from such a contract. In </w:t>
      </w:r>
      <w:r>
        <w:rPr>
          <w:spacing w:val="-2"/>
        </w:rPr>
        <w:lastRenderedPageBreak/>
        <w:t>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If the preceding paragraph is not applicable, statements made by and other conduct of a party are to be interpreted according to the understanding that a </w:t>
      </w:r>
      <w:r>
        <w:rPr>
          <w:spacing w:val="-2"/>
        </w:rPr>
        <w:lastRenderedPageBreak/>
        <w:t>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lastRenderedPageBreak/>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lastRenderedPageBreak/>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However, a reply to an offer which purports to be an acceptance but contains additional or different terms which do not materially alter the terms of the offer constitutes an acceptance, unless the offeror, without undue delay, </w:t>
      </w:r>
      <w:r>
        <w:rPr>
          <w:spacing w:val="-2"/>
        </w:rPr>
        <w:lastRenderedPageBreak/>
        <w:t>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lastRenderedPageBreak/>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lastRenderedPageBreak/>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 xml:space="preserve">if, in cases not within the preceding subparagraph, the contract relates to specific goods, or unidentified goods to be drawn from a specific stock or to be manufactured or produced, and at the time of the conclusion of the contract the parties knew that the goods were </w:t>
      </w:r>
      <w:r>
        <w:rPr>
          <w:spacing w:val="-2"/>
        </w:rPr>
        <w:lastRenderedPageBreak/>
        <w:t>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lastRenderedPageBreak/>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lastRenderedPageBreak/>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lastRenderedPageBreak/>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lastRenderedPageBreak/>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lastRenderedPageBreak/>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lastRenderedPageBreak/>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lastRenderedPageBreak/>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lastRenderedPageBreak/>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lastRenderedPageBreak/>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lastRenderedPageBreak/>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lastRenderedPageBreak/>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 party is not liable for a failure to perform any of his obligations if he proves that the failure was due to an impediment beyond his control and that he could not reasonably be expected to have taken the impediment into account at </w:t>
      </w:r>
      <w:r>
        <w:rPr>
          <w:spacing w:val="-2"/>
        </w:rPr>
        <w:lastRenderedPageBreak/>
        <w:t>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lastRenderedPageBreak/>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lastRenderedPageBreak/>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lastRenderedPageBreak/>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 xml:space="preserve">Contracting States </w:t>
      </w:r>
      <w:r>
        <w:rPr>
          <w:spacing w:val="-2"/>
        </w:rPr>
        <w:lastRenderedPageBreak/>
        <w:t>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 xml:space="preserve">A State party to the 1964 Hague Sales Convention which ratifies, accepts, approves or accedes to the present Convention and declares or has </w:t>
      </w:r>
      <w:r>
        <w:rPr>
          <w:spacing w:val="-2"/>
        </w:rPr>
        <w:lastRenderedPageBreak/>
        <w:t>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The denunciation takes effect on the first day of the month following the expiration of twelve months after the notification is received by the depositary.  Where a longer period for the denunciation to take effect is specified </w:t>
      </w:r>
      <w:r>
        <w:rPr>
          <w:spacing w:val="-2"/>
        </w:rPr>
        <w:lastRenderedPageBreak/>
        <w:t>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6" w:name="_Toc100318016"/>
      <w:bookmarkStart w:id="17" w:name="_Toc100567059"/>
      <w:bookmarkStart w:id="18" w:name="_Toc107325306"/>
      <w:bookmarkStart w:id="19" w:name="_Toc107494284"/>
      <w:bookmarkStart w:id="20" w:name="_Toc100316466"/>
      <w:r>
        <w:lastRenderedPageBreak/>
        <w:t>Notes</w:t>
      </w:r>
      <w:bookmarkEnd w:id="16"/>
      <w:bookmarkEnd w:id="17"/>
      <w:bookmarkEnd w:id="18"/>
      <w:bookmarkEnd w:id="19"/>
    </w:p>
    <w:p>
      <w:pPr>
        <w:pStyle w:val="nStatement"/>
      </w:pPr>
      <w:r>
        <w:t xml:space="preserve">This is a compilation of the </w:t>
      </w:r>
      <w:r>
        <w:rPr>
          <w:i/>
          <w:noProof/>
        </w:rPr>
        <w:t>Sale of Goods (Vienna Convention) Act 1986</w:t>
      </w:r>
      <w:r>
        <w:t xml:space="preserve"> and includes amendments made by other written laws. For provisions that have come into operation, and for information about any reprints, see the compilation table. </w:t>
      </w:r>
    </w:p>
    <w:p>
      <w:pPr>
        <w:pStyle w:val="nHeading3"/>
      </w:pPr>
      <w:bookmarkStart w:id="21" w:name="_Toc107494285"/>
      <w:r>
        <w:t>Compilation table</w:t>
      </w:r>
      <w:bookmarkEnd w:id="21"/>
    </w:p>
    <w:tbl>
      <w:tblPr>
        <w:tblW w:w="709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8"/>
        <w:gridCol w:w="26"/>
        <w:gridCol w:w="1106"/>
        <w:gridCol w:w="28"/>
        <w:gridCol w:w="2533"/>
      </w:tblGrid>
      <w:tr>
        <w:trPr>
          <w:gridBefore w:val="1"/>
          <w:wBefore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3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gridSpan w:val="2"/>
            <w:tcBorders>
              <w:top w:val="single" w:sz="8" w:space="0" w:color="auto"/>
            </w:tcBorders>
          </w:tcPr>
          <w:p>
            <w:pPr>
              <w:pStyle w:val="nTable"/>
              <w:spacing w:after="40"/>
              <w:ind w:right="113"/>
              <w:rPr>
                <w:b/>
              </w:rPr>
            </w:pPr>
            <w:r>
              <w:rPr>
                <w:i/>
              </w:rPr>
              <w:t>Sale of Goods (Vienna Convention) Act 1986</w:t>
            </w:r>
          </w:p>
        </w:tc>
        <w:tc>
          <w:tcPr>
            <w:tcW w:w="1136" w:type="dxa"/>
            <w:gridSpan w:val="2"/>
            <w:tcBorders>
              <w:top w:val="single" w:sz="8" w:space="0" w:color="auto"/>
            </w:tcBorders>
          </w:tcPr>
          <w:p>
            <w:pPr>
              <w:pStyle w:val="nTable"/>
              <w:spacing w:after="40"/>
            </w:pPr>
            <w:r>
              <w:t>88 of 1986</w:t>
            </w:r>
          </w:p>
        </w:tc>
        <w:tc>
          <w:tcPr>
            <w:tcW w:w="1132" w:type="dxa"/>
            <w:gridSpan w:val="2"/>
            <w:tcBorders>
              <w:top w:val="single" w:sz="8" w:space="0" w:color="auto"/>
            </w:tcBorders>
          </w:tcPr>
          <w:p>
            <w:pPr>
              <w:pStyle w:val="nTable"/>
              <w:spacing w:after="40"/>
            </w:pPr>
            <w:r>
              <w:t>10 Dec 1986</w:t>
            </w:r>
          </w:p>
        </w:tc>
        <w:tc>
          <w:tcPr>
            <w:tcW w:w="2561" w:type="dxa"/>
            <w:gridSpan w:val="2"/>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blHeader/>
        </w:trPr>
        <w:tc>
          <w:tcPr>
            <w:tcW w:w="7097" w:type="dxa"/>
            <w:gridSpan w:val="8"/>
          </w:tcPr>
          <w:p>
            <w:pPr>
              <w:pStyle w:val="nTable"/>
              <w:spacing w:after="40"/>
            </w:pPr>
            <w:r>
              <w:rPr>
                <w:b/>
              </w:rPr>
              <w:t xml:space="preserve">Reprint of the </w:t>
            </w:r>
            <w:r>
              <w:rPr>
                <w:b/>
                <w:i/>
              </w:rPr>
              <w:t xml:space="preserve">Sale of Goods (Vienna Convention) Act 1986 </w:t>
            </w:r>
            <w:r>
              <w:rPr>
                <w:b/>
              </w:rPr>
              <w:t>as at 2 Aug 2002</w:t>
            </w:r>
          </w:p>
        </w:tc>
      </w:tr>
      <w:tr>
        <w:tblPrEx>
          <w:tblBorders>
            <w:top w:val="none" w:sz="0" w:space="0" w:color="auto"/>
            <w:bottom w:val="none" w:sz="0" w:space="0" w:color="auto"/>
            <w:insideH w:val="none" w:sz="0" w:space="0" w:color="auto"/>
          </w:tblBorders>
        </w:tblPrEx>
        <w:trPr>
          <w:cantSplit/>
          <w:tblHeader/>
        </w:trPr>
        <w:tc>
          <w:tcPr>
            <w:tcW w:w="2268" w:type="dxa"/>
            <w:gridSpan w:val="2"/>
          </w:tcPr>
          <w:p>
            <w:pPr>
              <w:pStyle w:val="nTable"/>
              <w:spacing w:after="40"/>
              <w:ind w:right="113"/>
              <w:rPr>
                <w:bCs/>
              </w:rPr>
            </w:pPr>
            <w:r>
              <w:rPr>
                <w:bCs/>
                <w:i/>
                <w:iCs/>
                <w:snapToGrid w:val="0"/>
              </w:rPr>
              <w:t>Legal Profession Act 2008</w:t>
            </w:r>
            <w:r>
              <w:rPr>
                <w:bCs/>
                <w:snapToGrid w:val="0"/>
              </w:rPr>
              <w:t xml:space="preserve"> s. 701</w:t>
            </w:r>
          </w:p>
        </w:tc>
        <w:tc>
          <w:tcPr>
            <w:tcW w:w="1136" w:type="dxa"/>
            <w:gridSpan w:val="2"/>
          </w:tcPr>
          <w:p>
            <w:pPr>
              <w:pStyle w:val="nTable"/>
              <w:spacing w:after="40"/>
              <w:rPr>
                <w:bCs/>
              </w:rPr>
            </w:pPr>
            <w:r>
              <w:rPr>
                <w:bCs/>
              </w:rPr>
              <w:t>21 of 2008</w:t>
            </w:r>
          </w:p>
        </w:tc>
        <w:tc>
          <w:tcPr>
            <w:tcW w:w="1132" w:type="dxa"/>
            <w:gridSpan w:val="2"/>
          </w:tcPr>
          <w:p>
            <w:pPr>
              <w:pStyle w:val="nTable"/>
              <w:spacing w:after="40"/>
              <w:rPr>
                <w:bCs/>
              </w:rPr>
            </w:pPr>
            <w:r>
              <w:rPr>
                <w:bCs/>
              </w:rPr>
              <w:t>27 May 2008</w:t>
            </w:r>
          </w:p>
        </w:tc>
        <w:tc>
          <w:tcPr>
            <w:tcW w:w="2561" w:type="dxa"/>
            <w:gridSpan w:val="2"/>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gridSpan w:val="2"/>
            <w:shd w:val="clear" w:color="auto" w:fill="auto"/>
          </w:tcPr>
          <w:p>
            <w:pPr>
              <w:pStyle w:val="nTable"/>
              <w:spacing w:after="40"/>
              <w:rPr>
                <w:snapToGrid w:val="0"/>
              </w:rPr>
            </w:pPr>
            <w:r>
              <w:rPr>
                <w:snapToGrid w:val="0"/>
              </w:rPr>
              <w:t>19 of 2010</w:t>
            </w:r>
          </w:p>
        </w:tc>
        <w:tc>
          <w:tcPr>
            <w:tcW w:w="1132" w:type="dxa"/>
            <w:gridSpan w:val="2"/>
            <w:shd w:val="clear" w:color="auto" w:fill="auto"/>
          </w:tcPr>
          <w:p>
            <w:pPr>
              <w:pStyle w:val="nTable"/>
              <w:spacing w:after="40"/>
              <w:rPr>
                <w:snapToGrid w:val="0"/>
              </w:rPr>
            </w:pPr>
            <w:r>
              <w:rPr>
                <w:snapToGrid w:val="0"/>
              </w:rPr>
              <w:t>28 Jun 2010</w:t>
            </w:r>
          </w:p>
        </w:tc>
        <w:tc>
          <w:tcPr>
            <w:tcW w:w="256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097" w:type="dxa"/>
            <w:gridSpan w:val="8"/>
            <w:tcBorders>
              <w:top w:val="nil"/>
              <w:bottom w:val="nil"/>
            </w:tcBorders>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r>
        <w:trPr>
          <w:cantSplit/>
        </w:trPr>
        <w:tc>
          <w:tcPr>
            <w:tcW w:w="2268" w:type="dxa"/>
            <w:gridSpan w:val="2"/>
            <w:tcBorders>
              <w:top w:val="nil"/>
              <w:bottom w:val="single" w:sz="4" w:space="0" w:color="auto"/>
            </w:tcBorders>
            <w:shd w:val="clear" w:color="auto" w:fill="auto"/>
          </w:tcPr>
          <w:p>
            <w:pPr>
              <w:pStyle w:val="nTable"/>
              <w:spacing w:after="40"/>
              <w:ind w:right="113"/>
              <w:rPr>
                <w:iCs/>
                <w:snapToGrid w:val="0"/>
                <w:u w:val="words"/>
              </w:rPr>
            </w:pPr>
            <w:r>
              <w:rPr>
                <w:i/>
              </w:rPr>
              <w:t>Legal Profession Uniform Law Application Act 2022</w:t>
            </w:r>
            <w:r>
              <w:t xml:space="preserve"> Pt. 17 Div. 18</w:t>
            </w:r>
          </w:p>
        </w:tc>
        <w:tc>
          <w:tcPr>
            <w:tcW w:w="1136" w:type="dxa"/>
            <w:gridSpan w:val="2"/>
            <w:tcBorders>
              <w:top w:val="nil"/>
              <w:bottom w:val="single" w:sz="4" w:space="0" w:color="auto"/>
            </w:tcBorders>
            <w:shd w:val="clear" w:color="auto" w:fill="auto"/>
          </w:tcPr>
          <w:p>
            <w:pPr>
              <w:pStyle w:val="nTable"/>
              <w:spacing w:after="40"/>
              <w:rPr>
                <w:snapToGrid w:val="0"/>
              </w:rPr>
            </w:pPr>
            <w:r>
              <w:t>9 of 2022</w:t>
            </w:r>
          </w:p>
        </w:tc>
        <w:tc>
          <w:tcPr>
            <w:tcW w:w="1132" w:type="dxa"/>
            <w:gridSpan w:val="2"/>
            <w:tcBorders>
              <w:top w:val="nil"/>
              <w:bottom w:val="single" w:sz="4" w:space="0" w:color="auto"/>
            </w:tcBorders>
            <w:shd w:val="clear" w:color="auto" w:fill="auto"/>
          </w:tcPr>
          <w:p>
            <w:pPr>
              <w:pStyle w:val="nTable"/>
              <w:spacing w:after="40"/>
              <w:rPr>
                <w:snapToGrid w:val="0"/>
              </w:rPr>
            </w:pPr>
            <w:r>
              <w:t>14 Apr 2022</w:t>
            </w:r>
          </w:p>
        </w:tc>
        <w:tc>
          <w:tcPr>
            <w:tcW w:w="2561" w:type="dxa"/>
            <w:gridSpan w:val="2"/>
            <w:tcBorders>
              <w:top w:val="nil"/>
              <w:bottom w:val="single" w:sz="4" w:space="0" w:color="auto"/>
            </w:tcBorders>
            <w:shd w:val="clear" w:color="auto" w:fill="auto"/>
          </w:tcPr>
          <w:p>
            <w:pPr>
              <w:pStyle w:val="nTable"/>
              <w:spacing w:after="40"/>
              <w:rPr>
                <w:snapToGrid w:val="0"/>
              </w:rPr>
            </w:pPr>
            <w:r>
              <w:rPr>
                <w:snapToGrid w:val="0"/>
              </w:rPr>
              <w:t>1 Jul 2022 (see s. 2(c) and SL 2022/113 cl.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3" w:name="_Toc107494286"/>
      <w:bookmarkEnd w:id="20"/>
      <w:r>
        <w:rPr>
          <w:sz w:val="28"/>
        </w:rPr>
        <w:lastRenderedPageBreak/>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Convention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31540"/>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 w:name="WAFER_20220408131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1509_GUID" w:val="a4227a43-d205-4732-a1f6-e6793ec11d8e"/>
    <w:docVar w:name="WAFER_202204081315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31540_GUID" w:val="2261679d-e460-453e-b987-5e07ef2561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11162</Words>
  <Characters>52578</Characters>
  <Application>Microsoft Office Word</Application>
  <DocSecurity>0</DocSecurity>
  <Lines>1143</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1986 - 02-c0-00</dc:title>
  <dc:subject/>
  <dc:creator/>
  <cp:keywords/>
  <dc:description/>
  <cp:lastModifiedBy>Master Repository Process</cp:lastModifiedBy>
  <cp:revision>4</cp:revision>
  <cp:lastPrinted>2015-04-28T02:25:00Z</cp:lastPrinted>
  <dcterms:created xsi:type="dcterms:W3CDTF">2022-06-30T07:52:00Z</dcterms:created>
  <dcterms:modified xsi:type="dcterms:W3CDTF">2022-06-30T07:52:00Z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DocumentType">
    <vt:lpwstr>Act</vt:lpwstr>
  </property>
  <property fmtid="{D5CDD505-2E9C-101B-9397-08002B2CF9AE}" pid="4" name="OwlsUID">
    <vt:i4>727</vt:i4>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02-c0-00</vt:lpwstr>
  </property>
  <property fmtid="{D5CDD505-2E9C-101B-9397-08002B2CF9AE}" pid="9" name="CommencementDate">
    <vt:lpwstr>20220701</vt:lpwstr>
  </property>
</Properties>
</file>