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Settlement Agents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Settlement Agents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_Toc107495921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_Toc107495922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_Toc107495923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settlement agent</w:t>
      </w:r>
      <w:r>
        <w:tab/>
      </w:r>
      <w:r>
        <w:fldChar w:fldCharType="begin"/>
      </w:r>
      <w:r>
        <w:instrText xml:space="preserve"> PAGEREF _Toc107495924 \h </w:instrText>
      </w:r>
      <w:r>
        <w:fldChar w:fldCharType="separate"/>
      </w:r>
      <w:r>
        <w:t>6</w:t>
      </w:r>
      <w:r>
        <w:fldChar w:fldCharType="end"/>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_Toc107495925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_Toc107495926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_Toc107495928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Settlement agents must be licensed</w:t>
      </w:r>
      <w:r>
        <w:tab/>
      </w:r>
      <w:r>
        <w:fldChar w:fldCharType="begin"/>
      </w:r>
      <w:r>
        <w:instrText xml:space="preserve"> PAGEREF _Toc107495929 \h </w:instrText>
      </w:r>
      <w:r>
        <w:fldChar w:fldCharType="separate"/>
      </w:r>
      <w:r>
        <w:t>10</w:t>
      </w:r>
      <w:r>
        <w:fldChar w:fldCharType="end"/>
      </w:r>
    </w:p>
    <w:p>
      <w:pPr>
        <w:pStyle w:val="TOC8"/>
        <w:rPr>
          <w:rFonts w:asciiTheme="minorHAnsi" w:eastAsiaTheme="minorEastAsia" w:hAnsiTheme="minorHAnsi" w:cstheme="minorBidi"/>
          <w:szCs w:val="22"/>
        </w:rPr>
      </w:pPr>
      <w:r>
        <w:t>26A</w:t>
      </w:r>
      <w:r>
        <w:rPr>
          <w:snapToGrid w:val="0"/>
        </w:rPr>
        <w:t xml:space="preserve">. </w:t>
      </w:r>
      <w:r>
        <w:rPr>
          <w:snapToGrid w:val="0"/>
        </w:rPr>
        <w:tab/>
        <w:t>Licensed real estate agent may be exempted for certain settlements</w:t>
      </w:r>
      <w:r>
        <w:tab/>
      </w:r>
      <w:r>
        <w:fldChar w:fldCharType="begin"/>
      </w:r>
      <w:r>
        <w:instrText xml:space="preserve"> PAGEREF _Toc107495930 \h </w:instrText>
      </w:r>
      <w:r>
        <w:fldChar w:fldCharType="separate"/>
      </w:r>
      <w:r>
        <w:t>11</w:t>
      </w:r>
      <w:r>
        <w:fldChar w:fldCharType="end"/>
      </w:r>
    </w:p>
    <w:p>
      <w:pPr>
        <w:pStyle w:val="TOC8"/>
        <w:rPr>
          <w:rFonts w:asciiTheme="minorHAnsi" w:eastAsiaTheme="minorEastAsia" w:hAnsiTheme="minorHAnsi" w:cstheme="minorBidi"/>
          <w:szCs w:val="22"/>
        </w:rPr>
      </w:pPr>
      <w:r>
        <w:t>26B</w:t>
      </w:r>
      <w:r>
        <w:rPr>
          <w:snapToGrid w:val="0"/>
        </w:rPr>
        <w:t xml:space="preserve">. </w:t>
      </w:r>
      <w:r>
        <w:rPr>
          <w:snapToGrid w:val="0"/>
        </w:rPr>
        <w:tab/>
        <w:t>Licensed business agent may be exempted for certain settlements</w:t>
      </w:r>
      <w:r>
        <w:tab/>
      </w:r>
      <w:r>
        <w:fldChar w:fldCharType="begin"/>
      </w:r>
      <w:r>
        <w:instrText xml:space="preserve"> PAGEREF _Toc107495931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individuals</w:t>
      </w:r>
      <w:r>
        <w:tab/>
      </w:r>
      <w:r>
        <w:fldChar w:fldCharType="begin"/>
      </w:r>
      <w:r>
        <w:instrText xml:space="preserve"> PAGEREF _Toc107495932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_Toc107495933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_Toc107495934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_Toc107495935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Licensee’s triennial certificate: grant and renewal</w:t>
      </w:r>
      <w:r>
        <w:tab/>
      </w:r>
      <w:r>
        <w:fldChar w:fldCharType="begin"/>
      </w:r>
      <w:r>
        <w:instrText xml:space="preserve"> PAGEREF _Toc107495936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Licensee’s triennial certificate: late renewal</w:t>
      </w:r>
      <w:r>
        <w:tab/>
      </w:r>
      <w:r>
        <w:fldChar w:fldCharType="begin"/>
      </w:r>
      <w:r>
        <w:instrText xml:space="preserve"> PAGEREF _Toc107495937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Licensee’s triennial certificate: late renewal after 12 months</w:t>
      </w:r>
      <w:r>
        <w:tab/>
      </w:r>
      <w:r>
        <w:fldChar w:fldCharType="begin"/>
      </w:r>
      <w:r>
        <w:instrText xml:space="preserve"> PAGEREF _Toc107495938 \h </w:instrText>
      </w:r>
      <w:r>
        <w:fldChar w:fldCharType="separate"/>
      </w:r>
      <w:r>
        <w:t>21</w:t>
      </w:r>
      <w:r>
        <w:fldChar w:fldCharType="end"/>
      </w:r>
    </w:p>
    <w:p>
      <w:pPr>
        <w:pStyle w:val="TOC8"/>
        <w:rPr>
          <w:rFonts w:asciiTheme="minorHAnsi" w:eastAsiaTheme="minorEastAsia" w:hAnsiTheme="minorHAnsi" w:cstheme="minorBidi"/>
          <w:szCs w:val="22"/>
        </w:rPr>
      </w:pPr>
      <w:r>
        <w:t>34.</w:t>
      </w:r>
      <w:r>
        <w:tab/>
        <w:t>Conditions on licences and triennial certificates</w:t>
      </w:r>
      <w:r>
        <w:tab/>
      </w:r>
      <w:r>
        <w:fldChar w:fldCharType="begin"/>
      </w:r>
      <w:r>
        <w:instrText xml:space="preserve"> PAGEREF _Toc107495939 \h </w:instrText>
      </w:r>
      <w:r>
        <w:fldChar w:fldCharType="separate"/>
      </w:r>
      <w:r>
        <w:t>21</w:t>
      </w:r>
      <w:r>
        <w:fldChar w:fldCharType="end"/>
      </w:r>
    </w:p>
    <w:p>
      <w:pPr>
        <w:pStyle w:val="TOC8"/>
        <w:rPr>
          <w:rFonts w:asciiTheme="minorHAnsi" w:eastAsiaTheme="minorEastAsia" w:hAnsiTheme="minorHAnsi" w:cstheme="minorBidi"/>
          <w:szCs w:val="22"/>
        </w:rPr>
      </w:pPr>
      <w:r>
        <w:t>34AA.</w:t>
      </w:r>
      <w:r>
        <w:tab/>
        <w:t>Imposing special conditions on licences or triennial certificates</w:t>
      </w:r>
      <w:r>
        <w:tab/>
      </w:r>
      <w:r>
        <w:fldChar w:fldCharType="begin"/>
      </w:r>
      <w:r>
        <w:instrText xml:space="preserve"> PAGEREF _Toc107495940 \h </w:instrText>
      </w:r>
      <w:r>
        <w:fldChar w:fldCharType="separate"/>
      </w:r>
      <w:r>
        <w:t>22</w:t>
      </w:r>
      <w:r>
        <w:fldChar w:fldCharType="end"/>
      </w:r>
    </w:p>
    <w:p>
      <w:pPr>
        <w:pStyle w:val="TOC8"/>
        <w:rPr>
          <w:rFonts w:asciiTheme="minorHAnsi" w:eastAsiaTheme="minorEastAsia" w:hAnsiTheme="minorHAnsi" w:cstheme="minorBidi"/>
          <w:szCs w:val="22"/>
        </w:rPr>
      </w:pPr>
      <w:r>
        <w:t>34AB.</w:t>
      </w:r>
      <w:r>
        <w:tab/>
        <w:t>Removing special conditions on licences or triennial certificates</w:t>
      </w:r>
      <w:r>
        <w:tab/>
      </w:r>
      <w:r>
        <w:fldChar w:fldCharType="begin"/>
      </w:r>
      <w:r>
        <w:instrText xml:space="preserve"> PAGEREF _Toc107495941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34A</w:t>
      </w:r>
      <w:r>
        <w:rPr>
          <w:snapToGrid w:val="0"/>
        </w:rPr>
        <w:t>.</w:t>
      </w:r>
      <w:r>
        <w:tab/>
        <w:t>Commissioner may grant licence or triennial certificate without notice to applicant</w:t>
      </w:r>
      <w:r>
        <w:tab/>
      </w:r>
      <w:r>
        <w:fldChar w:fldCharType="begin"/>
      </w:r>
      <w:r>
        <w:instrText xml:space="preserve"> PAGEREF _Toc107495942 \h </w:instrText>
      </w:r>
      <w:r>
        <w:fldChar w:fldCharType="separate"/>
      </w:r>
      <w:r>
        <w:t>24</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_Toc107495943 \h </w:instrText>
      </w:r>
      <w:r>
        <w:fldChar w:fldCharType="separate"/>
      </w:r>
      <w:r>
        <w:t>24</w:t>
      </w:r>
      <w:r>
        <w:fldChar w:fldCharType="end"/>
      </w:r>
    </w:p>
    <w:p>
      <w:pPr>
        <w:pStyle w:val="TOC8"/>
        <w:rPr>
          <w:rFonts w:asciiTheme="minorHAnsi" w:eastAsiaTheme="minorEastAsia" w:hAnsiTheme="minorHAnsi" w:cstheme="minorBidi"/>
          <w:szCs w:val="22"/>
        </w:rPr>
      </w:pPr>
      <w:r>
        <w:t>34C.</w:t>
      </w:r>
      <w:r>
        <w:tab/>
        <w:t>Licensee may surrender licence and triennial certificate</w:t>
      </w:r>
      <w:r>
        <w:tab/>
      </w:r>
      <w:r>
        <w:fldChar w:fldCharType="begin"/>
      </w:r>
      <w:r>
        <w:instrText xml:space="preserve"> PAGEREF _Toc107495944 \h </w:instrText>
      </w:r>
      <w:r>
        <w:fldChar w:fldCharType="separate"/>
      </w:r>
      <w:r>
        <w:t>25</w:t>
      </w:r>
      <w:r>
        <w:fldChar w:fldCharType="end"/>
      </w:r>
    </w:p>
    <w:p>
      <w:pPr>
        <w:pStyle w:val="TOC8"/>
        <w:rPr>
          <w:rFonts w:asciiTheme="minorHAnsi" w:eastAsiaTheme="minorEastAsia" w:hAnsiTheme="minorHAnsi" w:cstheme="minorBidi"/>
          <w:szCs w:val="22"/>
        </w:rPr>
      </w:pPr>
      <w:r>
        <w:t>34D.</w:t>
      </w:r>
      <w:r>
        <w:tab/>
        <w:t>Firm or body corporate must surrender licence and triennial certificate in certain circumstances</w:t>
      </w:r>
      <w:r>
        <w:tab/>
      </w:r>
      <w:r>
        <w:fldChar w:fldCharType="begin"/>
      </w:r>
      <w:r>
        <w:instrText xml:space="preserve"> PAGEREF _Toc107495945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Fidelity insurance and professional indemnity insurance for licensees</w:t>
      </w:r>
      <w:r>
        <w:tab/>
      </w:r>
      <w:r>
        <w:fldChar w:fldCharType="begin"/>
      </w:r>
      <w:r>
        <w:instrText xml:space="preserve"> PAGEREF _Toc107495946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Licensees to notify Commissioner of certain changes</w:t>
      </w:r>
      <w:r>
        <w:tab/>
      </w:r>
      <w:r>
        <w:fldChar w:fldCharType="begin"/>
      </w:r>
      <w:r>
        <w:instrText xml:space="preserve"> PAGEREF _Toc107495947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Registered office of licensee</w:t>
      </w:r>
      <w:r>
        <w:tab/>
      </w:r>
      <w:r>
        <w:fldChar w:fldCharType="begin"/>
      </w:r>
      <w:r>
        <w:instrText xml:space="preserve"> PAGEREF _Toc107495948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Branch office of licensee</w:t>
      </w:r>
      <w:r>
        <w:tab/>
      </w:r>
      <w:r>
        <w:fldChar w:fldCharType="begin"/>
      </w:r>
      <w:r>
        <w:instrText xml:space="preserve"> PAGEREF _Toc107495949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Triennial certificates, contents of</w:t>
      </w:r>
      <w:r>
        <w:tab/>
      </w:r>
      <w:r>
        <w:fldChar w:fldCharType="begin"/>
      </w:r>
      <w:r>
        <w:instrText xml:space="preserve"> PAGEREF _Toc107495950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Licence and triennial certificate not transferable etc.</w:t>
      </w:r>
      <w:r>
        <w:tab/>
      </w:r>
      <w:r>
        <w:fldChar w:fldCharType="begin"/>
      </w:r>
      <w:r>
        <w:instrText xml:space="preserve"> PAGEREF _Toc107495951 \h </w:instrText>
      </w:r>
      <w:r>
        <w:fldChar w:fldCharType="separate"/>
      </w:r>
      <w:r>
        <w:t>30</w:t>
      </w:r>
      <w:r>
        <w:fldChar w:fldCharType="end"/>
      </w:r>
    </w:p>
    <w:p>
      <w:pPr>
        <w:pStyle w:val="TOC8"/>
        <w:rPr>
          <w:rFonts w:asciiTheme="minorHAnsi" w:eastAsiaTheme="minorEastAsia" w:hAnsiTheme="minorHAnsi" w:cstheme="minorBidi"/>
          <w:szCs w:val="22"/>
        </w:rPr>
      </w:pPr>
      <w:r>
        <w:t>41A.</w:t>
      </w:r>
      <w:r>
        <w:tab/>
        <w:t>Duplicate licence or triennial certificate</w:t>
      </w:r>
      <w:r>
        <w:tab/>
      </w:r>
      <w:r>
        <w:fldChar w:fldCharType="begin"/>
      </w:r>
      <w:r>
        <w:instrText xml:space="preserve"> PAGEREF _Toc107495952 \h </w:instrText>
      </w:r>
      <w:r>
        <w:fldChar w:fldCharType="separate"/>
      </w:r>
      <w:r>
        <w:t>30</w:t>
      </w:r>
      <w:r>
        <w:fldChar w:fldCharType="end"/>
      </w:r>
    </w:p>
    <w:p>
      <w:pPr>
        <w:pStyle w:val="TOC8"/>
        <w:rPr>
          <w:rFonts w:asciiTheme="minorHAnsi" w:eastAsiaTheme="minorEastAsia" w:hAnsiTheme="minorHAnsi" w:cstheme="minorBidi"/>
          <w:szCs w:val="22"/>
        </w:rPr>
      </w:pPr>
      <w:r>
        <w:t>41B.</w:t>
      </w:r>
      <w:r>
        <w:tab/>
        <w:t>Licensee to comply with prescribed educational requirements</w:t>
      </w:r>
      <w:r>
        <w:tab/>
      </w:r>
      <w:r>
        <w:fldChar w:fldCharType="begin"/>
      </w:r>
      <w:r>
        <w:instrText xml:space="preserve"> PAGEREF _Toc107495953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Use of business names by licensees</w:t>
      </w:r>
      <w:r>
        <w:tab/>
      </w:r>
      <w:r>
        <w:fldChar w:fldCharType="begin"/>
      </w:r>
      <w:r>
        <w:instrText xml:space="preserve"> PAGEREF _Toc107495954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Notices to be exhibited at offices; particulars to appear on documents</w:t>
      </w:r>
      <w:r>
        <w:tab/>
      </w:r>
      <w:r>
        <w:fldChar w:fldCharType="begin"/>
      </w:r>
      <w:r>
        <w:instrText xml:space="preserve"> PAGEREF _Toc107495955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Controls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43</w:t>
      </w:r>
      <w:r>
        <w:rPr>
          <w:snapToGrid w:val="0"/>
        </w:rPr>
        <w:t>.</w:t>
      </w:r>
      <w:r>
        <w:rPr>
          <w:snapToGrid w:val="0"/>
        </w:rPr>
        <w:tab/>
        <w:t>Remuneration of settlement agents</w:t>
      </w:r>
      <w:r>
        <w:tab/>
      </w:r>
      <w:r>
        <w:fldChar w:fldCharType="begin"/>
      </w:r>
      <w:r>
        <w:instrText xml:space="preserve"> PAGEREF _Toc107495958 \h </w:instrText>
      </w:r>
      <w:r>
        <w:fldChar w:fldCharType="separate"/>
      </w:r>
      <w:r>
        <w:t>33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remuneration, disputes over remuneration etc.</w:t>
      </w:r>
      <w:r>
        <w:tab/>
      </w:r>
      <w:r>
        <w:fldChar w:fldCharType="begin"/>
      </w:r>
      <w:r>
        <w:instrText xml:space="preserve"> PAGEREF _Toc107495959 \h </w:instrText>
      </w:r>
      <w:r>
        <w:fldChar w:fldCharType="separate"/>
      </w:r>
      <w:r>
        <w:t>35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Records and premises, licensees’ duties as to</w:t>
      </w:r>
      <w:r>
        <w:tab/>
      </w:r>
      <w:r>
        <w:fldChar w:fldCharType="begin"/>
      </w:r>
      <w:r>
        <w:instrText xml:space="preserve"> PAGEREF _Toc107495960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Real estate settlement agents, functions of</w:t>
      </w:r>
      <w:r>
        <w:tab/>
      </w:r>
      <w:r>
        <w:fldChar w:fldCharType="begin"/>
      </w:r>
      <w:r>
        <w:instrText xml:space="preserve"> PAGEREF _Toc107495961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Business settlement agents, functions of</w:t>
      </w:r>
      <w:r>
        <w:tab/>
      </w:r>
      <w:r>
        <w:fldChar w:fldCharType="begin"/>
      </w:r>
      <w:r>
        <w:instrText xml:space="preserve"> PAGEREF _Toc107495962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Trust accounts</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_Toc107495964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Trust accounts etc. of licensees</w:t>
      </w:r>
      <w:r>
        <w:tab/>
      </w:r>
      <w:r>
        <w:fldChar w:fldCharType="begin"/>
      </w:r>
      <w:r>
        <w:instrText xml:space="preserve"> PAGEREF _Toc107495965 \h </w:instrText>
      </w:r>
      <w:r>
        <w:fldChar w:fldCharType="separate"/>
      </w:r>
      <w:r>
        <w:t>41</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Client may ask settlement agent for separate trust account</w:t>
      </w:r>
      <w:r>
        <w:tab/>
      </w:r>
      <w:r>
        <w:fldChar w:fldCharType="begin"/>
      </w:r>
      <w:r>
        <w:instrText xml:space="preserve"> PAGEREF _Toc107495966 \h </w:instrText>
      </w:r>
      <w:r>
        <w:fldChar w:fldCharType="separate"/>
      </w:r>
      <w:r>
        <w:t>43</w:t>
      </w:r>
      <w:r>
        <w:fldChar w:fldCharType="end"/>
      </w:r>
    </w:p>
    <w:p>
      <w:pPr>
        <w:pStyle w:val="TOC8"/>
        <w:rPr>
          <w:rFonts w:asciiTheme="minorHAnsi" w:eastAsiaTheme="minorEastAsia" w:hAnsiTheme="minorHAnsi" w:cstheme="minorBidi"/>
          <w:szCs w:val="22"/>
        </w:rPr>
      </w:pPr>
      <w:r>
        <w:t>49B</w:t>
      </w:r>
      <w:r>
        <w:rPr>
          <w:snapToGrid w:val="0"/>
        </w:rPr>
        <w:t xml:space="preserve">. </w:t>
      </w:r>
      <w:r>
        <w:rPr>
          <w:snapToGrid w:val="0"/>
        </w:rPr>
        <w:tab/>
        <w:t>Interest on trust accounts</w:t>
      </w:r>
      <w:r>
        <w:tab/>
      </w:r>
      <w:r>
        <w:fldChar w:fldCharType="begin"/>
      </w:r>
      <w:r>
        <w:instrText xml:space="preserve"> PAGEREF _Toc107495967 \h </w:instrText>
      </w:r>
      <w:r>
        <w:fldChar w:fldCharType="separate"/>
      </w:r>
      <w:r>
        <w:t>44</w:t>
      </w:r>
      <w:r>
        <w:fldChar w:fldCharType="end"/>
      </w:r>
    </w:p>
    <w:p>
      <w:pPr>
        <w:pStyle w:val="TOC8"/>
        <w:rPr>
          <w:rFonts w:asciiTheme="minorHAnsi" w:eastAsiaTheme="minorEastAsia" w:hAnsiTheme="minorHAnsi" w:cstheme="minorBidi"/>
          <w:szCs w:val="22"/>
        </w:rPr>
      </w:pPr>
      <w:r>
        <w:t>49C</w:t>
      </w:r>
      <w:r>
        <w:rPr>
          <w:snapToGrid w:val="0"/>
        </w:rPr>
        <w:t xml:space="preserve">. </w:t>
      </w:r>
      <w:r>
        <w:rPr>
          <w:snapToGrid w:val="0"/>
        </w:rPr>
        <w:tab/>
        <w:t>Settlement agents to give Commissioner information about trust accounts</w:t>
      </w:r>
      <w:r>
        <w:tab/>
      </w:r>
      <w:r>
        <w:fldChar w:fldCharType="begin"/>
      </w:r>
      <w:r>
        <w:instrText xml:space="preserve"> PAGEREF _Toc107495968 \h </w:instrText>
      </w:r>
      <w:r>
        <w:fldChar w:fldCharType="separate"/>
      </w:r>
      <w:r>
        <w:t>45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Receipts, accounts etc. by settlement agents</w:t>
      </w:r>
      <w:r>
        <w:tab/>
      </w:r>
      <w:r>
        <w:fldChar w:fldCharType="begin"/>
      </w:r>
      <w:r>
        <w:instrText xml:space="preserve"> PAGEREF _Toc107495969 \h </w:instrText>
      </w:r>
      <w:r>
        <w:fldChar w:fldCharType="separate"/>
      </w:r>
      <w:r>
        <w:t>46</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Audits of trust accounts</w:t>
      </w:r>
      <w:r>
        <w:tab/>
      </w:r>
      <w:r>
        <w:fldChar w:fldCharType="begin"/>
      </w:r>
      <w:r>
        <w:instrText xml:space="preserve"> PAGEREF _Toc107495970 \h </w:instrText>
      </w:r>
      <w:r>
        <w:fldChar w:fldCharType="separate"/>
      </w:r>
      <w:r>
        <w:t>46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Date of audit, Commissioner may change</w:t>
      </w:r>
      <w:r>
        <w:tab/>
      </w:r>
      <w:r>
        <w:fldChar w:fldCharType="begin"/>
      </w:r>
      <w:r>
        <w:instrText xml:space="preserve"> PAGEREF _Toc107495971 \h </w:instrText>
      </w:r>
      <w:r>
        <w:fldChar w:fldCharType="separate"/>
      </w:r>
      <w:r>
        <w:t>48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Auditors, qualification and approval of</w:t>
      </w:r>
      <w:r>
        <w:tab/>
      </w:r>
      <w:r>
        <w:fldChar w:fldCharType="begin"/>
      </w:r>
      <w:r>
        <w:instrText xml:space="preserve"> PAGEREF _Toc107495972 \h </w:instrText>
      </w:r>
      <w:r>
        <w:fldChar w:fldCharType="separate"/>
      </w:r>
      <w:r>
        <w:t>49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Auditors, appointment of</w:t>
      </w:r>
      <w:r>
        <w:tab/>
      </w:r>
      <w:r>
        <w:fldChar w:fldCharType="begin"/>
      </w:r>
      <w:r>
        <w:instrText xml:space="preserve"> PAGEREF _Toc107495973 \h </w:instrText>
      </w:r>
      <w:r>
        <w:fldChar w:fldCharType="separate"/>
      </w:r>
      <w:r>
        <w:t>50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Audit of business carried on at more than one place, directions as to</w:t>
      </w:r>
      <w:r>
        <w:tab/>
      </w:r>
      <w:r>
        <w:fldChar w:fldCharType="begin"/>
      </w:r>
      <w:r>
        <w:instrText xml:space="preserve"> PAGEREF _Toc107495974 \h </w:instrText>
      </w:r>
      <w:r>
        <w:fldChar w:fldCharType="separate"/>
      </w:r>
      <w:r>
        <w:t>50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Approvals etc. under this Division, Commissioner’s power to cancel etc.</w:t>
      </w:r>
      <w:r>
        <w:tab/>
      </w:r>
      <w:r>
        <w:fldChar w:fldCharType="begin"/>
      </w:r>
      <w:r>
        <w:instrText xml:space="preserve"> PAGEREF _Toc107495975 \h </w:instrText>
      </w:r>
      <w:r>
        <w:fldChar w:fldCharType="separate"/>
      </w:r>
      <w:r>
        <w:t>51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Audits, settlement agents’ duties and auditors’ powers as to</w:t>
      </w:r>
      <w:r>
        <w:tab/>
      </w:r>
      <w:r>
        <w:fldChar w:fldCharType="begin"/>
      </w:r>
      <w:r>
        <w:instrText xml:space="preserve"> PAGEREF _Toc107495976 \h </w:instrText>
      </w:r>
      <w:r>
        <w:fldChar w:fldCharType="separate"/>
      </w:r>
      <w:r>
        <w:t>51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Audits, bankers’ duties as to</w:t>
      </w:r>
      <w:r>
        <w:tab/>
      </w:r>
      <w:r>
        <w:fldChar w:fldCharType="begin"/>
      </w:r>
      <w:r>
        <w:instrText xml:space="preserve"> PAGEREF _Toc107495977 \h </w:instrText>
      </w:r>
      <w:r>
        <w:fldChar w:fldCharType="separate"/>
      </w:r>
      <w:r>
        <w:t>51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Auditors’ reports, content of</w:t>
      </w:r>
      <w:r>
        <w:tab/>
      </w:r>
      <w:r>
        <w:fldChar w:fldCharType="begin"/>
      </w:r>
      <w:r>
        <w:instrText xml:space="preserve"> PAGEREF _Toc107495978 \h </w:instrText>
      </w:r>
      <w:r>
        <w:fldChar w:fldCharType="separate"/>
      </w:r>
      <w:r>
        <w:t>52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Moneys etc. held on trust, statement of by settlement agents</w:t>
      </w:r>
      <w:r>
        <w:tab/>
      </w:r>
      <w:r>
        <w:fldChar w:fldCharType="begin"/>
      </w:r>
      <w:r>
        <w:instrText xml:space="preserve"> PAGEREF _Toc107495979 \h </w:instrText>
      </w:r>
      <w:r>
        <w:fldChar w:fldCharType="separate"/>
      </w:r>
      <w:r>
        <w:t>52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Auditor’s report to report breaches of law etc.</w:t>
      </w:r>
      <w:r>
        <w:tab/>
      </w:r>
      <w:r>
        <w:fldChar w:fldCharType="begin"/>
      </w:r>
      <w:r>
        <w:instrText xml:space="preserve"> PAGEREF _Toc107495980 \h </w:instrText>
      </w:r>
      <w:r>
        <w:fldChar w:fldCharType="separate"/>
      </w:r>
      <w:r>
        <w:t>53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Auditors’ duty of confidentiality</w:t>
      </w:r>
      <w:r>
        <w:tab/>
      </w:r>
      <w:r>
        <w:fldChar w:fldCharType="begin"/>
      </w:r>
      <w:r>
        <w:instrText xml:space="preserve"> PAGEREF _Toc107495981 \h </w:instrText>
      </w:r>
      <w:r>
        <w:fldChar w:fldCharType="separate"/>
      </w:r>
      <w:r>
        <w:t>54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Right of some persons to information in auditors’ reports</w:t>
      </w:r>
      <w:r>
        <w:tab/>
      </w:r>
      <w:r>
        <w:fldChar w:fldCharType="begin"/>
      </w:r>
      <w:r>
        <w:instrText xml:space="preserve"> PAGEREF _Toc107495982 \h </w:instrText>
      </w:r>
      <w:r>
        <w:fldChar w:fldCharType="separate"/>
      </w:r>
      <w:r>
        <w:t>54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Offences under this Division</w:t>
      </w:r>
      <w:r>
        <w:tab/>
      </w:r>
      <w:r>
        <w:fldChar w:fldCharType="begin"/>
      </w:r>
      <w:r>
        <w:instrText xml:space="preserve"> PAGEREF _Toc107495983 \h </w:instrText>
      </w:r>
      <w:r>
        <w:fldChar w:fldCharType="separate"/>
      </w:r>
      <w:r>
        <w:t>55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Auditors’ remuneration</w:t>
      </w:r>
      <w:r>
        <w:tab/>
      </w:r>
      <w:r>
        <w:fldChar w:fldCharType="begin"/>
      </w:r>
      <w:r>
        <w:instrText xml:space="preserve"> PAGEREF _Toc107495984 \h </w:instrText>
      </w:r>
      <w:r>
        <w:fldChar w:fldCharType="separate"/>
      </w:r>
      <w:r>
        <w:t>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Settlement agents with no accounts to audit</w:t>
      </w:r>
      <w:r>
        <w:tab/>
      </w:r>
      <w:r>
        <w:fldChar w:fldCharType="begin"/>
      </w:r>
      <w:r>
        <w:instrText xml:space="preserve"> PAGEREF _Toc107495985 \h </w:instrText>
      </w:r>
      <w:r>
        <w:fldChar w:fldCharType="separate"/>
      </w:r>
      <w:r>
        <w:t>55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Accounts of firm or body corporate or settlement agent with branch office, effect of audits as to</w:t>
      </w:r>
      <w:r>
        <w:tab/>
      </w:r>
      <w:r>
        <w:fldChar w:fldCharType="begin"/>
      </w:r>
      <w:r>
        <w:instrText xml:space="preserve"> PAGEREF _Toc107495986 \h </w:instrText>
      </w:r>
      <w:r>
        <w:fldChar w:fldCharType="separate"/>
      </w:r>
      <w:r>
        <w:t>56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Audit of trust account, Commissioner may do</w:t>
      </w:r>
      <w:r>
        <w:tab/>
      </w:r>
      <w:r>
        <w:fldChar w:fldCharType="begin"/>
      </w:r>
      <w:r>
        <w:instrText xml:space="preserve"> PAGEREF _Toc107495987 \h </w:instrText>
      </w:r>
      <w:r>
        <w:fldChar w:fldCharType="separate"/>
      </w:r>
      <w:r>
        <w:t>56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Settlement agent to allow Commissioner’s auditor etc. to inspect accounts etc.</w:t>
      </w:r>
      <w:r>
        <w:tab/>
      </w:r>
      <w:r>
        <w:fldChar w:fldCharType="begin"/>
      </w:r>
      <w:r>
        <w:instrText xml:space="preserve"> PAGEREF _Toc107495988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Cost of audit done under s. 69</w:t>
      </w:r>
      <w:r>
        <w:tab/>
      </w:r>
      <w:r>
        <w:fldChar w:fldCharType="begin"/>
      </w:r>
      <w:r>
        <w:instrText xml:space="preserve"> PAGEREF _Toc107495989 \h </w:instrText>
      </w:r>
      <w:r>
        <w:fldChar w:fldCharType="separate"/>
      </w:r>
      <w:r>
        <w:t>57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of s. 63 to certain persons</w:t>
      </w:r>
      <w:r>
        <w:tab/>
      </w:r>
      <w:r>
        <w:fldChar w:fldCharType="begin"/>
      </w:r>
      <w:r>
        <w:instrText xml:space="preserve"> PAGEREF _Toc107495990 \h </w:instrText>
      </w:r>
      <w:r>
        <w:fldChar w:fldCharType="separate"/>
      </w:r>
      <w:r>
        <w:t>57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Restraining bank etc. from dealing with settlement agent’s account, SAT’s powers as to</w:t>
      </w:r>
      <w:r>
        <w:tab/>
      </w:r>
      <w:r>
        <w:fldChar w:fldCharType="begin"/>
      </w:r>
      <w:r>
        <w:instrText xml:space="preserve"> PAGEREF _Toc107495991 \h </w:instrText>
      </w:r>
      <w:r>
        <w:fldChar w:fldCharType="separate"/>
      </w:r>
      <w:r>
        <w:t>58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Suspension of settlement agents, appointment of supervisors etc., SAT’s powers as to</w:t>
      </w:r>
      <w:r>
        <w:tab/>
      </w:r>
      <w:r>
        <w:fldChar w:fldCharType="begin"/>
      </w:r>
      <w:r>
        <w:instrText xml:space="preserve"> PAGEREF _Toc107495992 \h </w:instrText>
      </w:r>
      <w:r>
        <w:fldChar w:fldCharType="separate"/>
      </w:r>
      <w:r>
        <w:t>59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 74 orders appointing supervisor</w:t>
      </w:r>
      <w:r>
        <w:tab/>
      </w:r>
      <w:r>
        <w:fldChar w:fldCharType="begin"/>
      </w:r>
      <w:r>
        <w:instrText xml:space="preserve"> PAGEREF _Toc107495993 \h </w:instrText>
      </w:r>
      <w:r>
        <w:fldChar w:fldCharType="separate"/>
      </w:r>
      <w:r>
        <w:t>61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Supervisors’ duties</w:t>
      </w:r>
      <w:r>
        <w:tab/>
      </w:r>
      <w:r>
        <w:fldChar w:fldCharType="begin"/>
      </w:r>
      <w:r>
        <w:instrText xml:space="preserve"> PAGEREF _Toc107495994 \h </w:instrText>
      </w:r>
      <w:r>
        <w:fldChar w:fldCharType="separate"/>
      </w:r>
      <w:r>
        <w:t>62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Hindering etc. supervisors, offence</w:t>
      </w:r>
      <w:r>
        <w:tab/>
      </w:r>
      <w:r>
        <w:fldChar w:fldCharType="begin"/>
      </w:r>
      <w:r>
        <w:instrText xml:space="preserve"> PAGEREF _Toc107495995 \h </w:instrText>
      </w:r>
      <w:r>
        <w:fldChar w:fldCharType="separate"/>
      </w:r>
      <w:r>
        <w:t>63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Discharge or variation of s. 73 or 74 order</w:t>
      </w:r>
      <w:r>
        <w:tab/>
      </w:r>
      <w:r>
        <w:fldChar w:fldCharType="begin"/>
      </w:r>
      <w:r>
        <w:instrText xml:space="preserve"> PAGEREF _Toc107495996 \h </w:instrText>
      </w:r>
      <w:r>
        <w:fldChar w:fldCharType="separate"/>
      </w:r>
      <w:r>
        <w:t>64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SAT’s additional powers as to s. 73, 74 or 78 orders</w:t>
      </w:r>
      <w:r>
        <w:tab/>
      </w:r>
      <w:r>
        <w:fldChar w:fldCharType="begin"/>
      </w:r>
      <w:r>
        <w:instrText xml:space="preserve"> PAGEREF _Toc107495997 \h </w:instrText>
      </w:r>
      <w:r>
        <w:fldChar w:fldCharType="separate"/>
      </w:r>
      <w:r>
        <w:t>64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Service of s. 73, 74, 78 and 79 orders; penalty for breach of</w:t>
      </w:r>
      <w:r>
        <w:tab/>
      </w:r>
      <w:r>
        <w:fldChar w:fldCharType="begin"/>
      </w:r>
      <w:r>
        <w:instrText xml:space="preserve"> PAGEREF _Toc107495998 \h </w:instrText>
      </w:r>
      <w:r>
        <w:fldChar w:fldCharType="separate"/>
      </w:r>
      <w:r>
        <w:t>65</w:t>
      </w:r>
      <w:r>
        <w:fldChar w:fldCharType="end"/>
      </w:r>
    </w:p>
    <w:p>
      <w:pPr>
        <w:pStyle w:val="TOC8"/>
        <w:rPr>
          <w:rFonts w:asciiTheme="minorHAnsi" w:eastAsiaTheme="minorEastAsia" w:hAnsiTheme="minorHAnsi" w:cstheme="minorBidi"/>
          <w:szCs w:val="22"/>
        </w:rPr>
      </w:pPr>
      <w:r>
        <w:lastRenderedPageBreak/>
        <w:t>81.</w:t>
      </w:r>
      <w:r>
        <w:tab/>
        <w:t>Banks etc., duty to disclose certain accounts etc. if required to by authorised person</w:t>
      </w:r>
      <w:r>
        <w:tab/>
      </w:r>
      <w:r>
        <w:fldChar w:fldCharType="begin"/>
      </w:r>
      <w:r>
        <w:instrText xml:space="preserve"> PAGEREF _Toc107495999 \h </w:instrText>
      </w:r>
      <w:r>
        <w:fldChar w:fldCharType="separate"/>
      </w:r>
      <w:r>
        <w:t>67</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 xml:space="preserve">Information </w:t>
      </w:r>
      <w:r>
        <w:t>about</w:t>
      </w:r>
      <w:r>
        <w:rPr>
          <w:snapToGrid w:val="0"/>
        </w:rPr>
        <w:t xml:space="preserve"> trust accounts, Commissioner’s power to obtain</w:t>
      </w:r>
      <w:r>
        <w:tab/>
      </w:r>
      <w:r>
        <w:fldChar w:fldCharType="begin"/>
      </w:r>
      <w:r>
        <w:instrText xml:space="preserve"> PAGEREF _Toc107496000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Discipline</w:t>
      </w:r>
    </w:p>
    <w:p>
      <w:pPr>
        <w:pStyle w:val="TOC8"/>
        <w:rPr>
          <w:rFonts w:asciiTheme="minorHAnsi" w:eastAsiaTheme="minorEastAsia" w:hAnsiTheme="minorHAnsi" w:cstheme="minorBidi"/>
          <w:szCs w:val="22"/>
        </w:rPr>
      </w:pPr>
      <w:r>
        <w:t>82</w:t>
      </w:r>
      <w:r>
        <w:rPr>
          <w:snapToGrid w:val="0"/>
        </w:rPr>
        <w:t>.</w:t>
      </w:r>
      <w:r>
        <w:rPr>
          <w:snapToGrid w:val="0"/>
        </w:rPr>
        <w:tab/>
        <w:t>Code of conduct for settlement agents</w:t>
      </w:r>
      <w:r>
        <w:tab/>
      </w:r>
      <w:r>
        <w:fldChar w:fldCharType="begin"/>
      </w:r>
      <w:r>
        <w:instrText xml:space="preserve"> PAGEREF _Toc107496002 \h </w:instrText>
      </w:r>
      <w:r>
        <w:fldChar w:fldCharType="separate"/>
      </w:r>
      <w:r>
        <w:t>69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Disciplinary action by SAT, alleging cause for</w:t>
      </w:r>
      <w:r>
        <w:tab/>
      </w:r>
      <w:r>
        <w:fldChar w:fldCharType="begin"/>
      </w:r>
      <w:r>
        <w:instrText xml:space="preserve"> PAGEREF _Toc107496003 \h </w:instrText>
      </w:r>
      <w:r>
        <w:fldChar w:fldCharType="separate"/>
      </w:r>
      <w:r>
        <w:t>69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Disciplinary action, SAT’s powers as to</w:t>
      </w:r>
      <w:r>
        <w:tab/>
      </w:r>
      <w:r>
        <w:fldChar w:fldCharType="begin"/>
      </w:r>
      <w:r>
        <w:instrText xml:space="preserve"> PAGEREF _Toc107496004 \h </w:instrText>
      </w:r>
      <w:r>
        <w:fldChar w:fldCharType="separate"/>
      </w:r>
      <w:r>
        <w:t>70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Offences that cause licence and triennial certificate to be cancelled</w:t>
      </w:r>
      <w:r>
        <w:tab/>
      </w:r>
      <w:r>
        <w:fldChar w:fldCharType="begin"/>
      </w:r>
      <w:r>
        <w:instrText xml:space="preserve"> PAGEREF _Toc107496005 \h </w:instrText>
      </w:r>
      <w:r>
        <w:fldChar w:fldCharType="separate"/>
      </w:r>
      <w:r>
        <w:t>72</w:t>
      </w:r>
      <w:r>
        <w:fldChar w:fldCharType="end"/>
      </w:r>
    </w:p>
    <w:p>
      <w:pPr>
        <w:pStyle w:val="TOC8"/>
        <w:rPr>
          <w:rFonts w:asciiTheme="minorHAnsi" w:eastAsiaTheme="minorEastAsia" w:hAnsiTheme="minorHAnsi" w:cstheme="minorBidi"/>
          <w:szCs w:val="22"/>
        </w:rPr>
      </w:pPr>
      <w:r>
        <w:t>85A.</w:t>
      </w:r>
      <w:r>
        <w:tab/>
        <w:t>Cancellation of licence due to insufficient resources or cessation of business</w:t>
      </w:r>
      <w:r>
        <w:tab/>
      </w:r>
      <w:r>
        <w:fldChar w:fldCharType="begin"/>
      </w:r>
      <w:r>
        <w:instrText xml:space="preserve"> PAGEREF _Toc107496006 \h </w:instrText>
      </w:r>
      <w:r>
        <w:fldChar w:fldCharType="separate"/>
      </w:r>
      <w:r>
        <w:t>72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Persons with cancelled licences etc., offences by and in respect of</w:t>
      </w:r>
      <w:r>
        <w:tab/>
      </w:r>
      <w:r>
        <w:fldChar w:fldCharType="begin"/>
      </w:r>
      <w:r>
        <w:instrText xml:space="preserve"> PAGEREF _Toc107496007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V — Fidelity Guarantee Account</w:t>
      </w:r>
    </w:p>
    <w:p>
      <w:pPr>
        <w:pStyle w:val="TOC8"/>
        <w:rPr>
          <w:rFonts w:asciiTheme="minorHAnsi" w:eastAsiaTheme="minorEastAsia" w:hAnsiTheme="minorHAnsi" w:cstheme="minorBidi"/>
          <w:szCs w:val="22"/>
        </w:rPr>
      </w:pPr>
      <w:r>
        <w:t>87.</w:t>
      </w:r>
      <w:r>
        <w:tab/>
        <w:t>Account established; administration of Account</w:t>
      </w:r>
      <w:r>
        <w:tab/>
      </w:r>
      <w:r>
        <w:fldChar w:fldCharType="begin"/>
      </w:r>
      <w:r>
        <w:instrText xml:space="preserve"> PAGEREF _Toc107496009 \h </w:instrText>
      </w:r>
      <w:r>
        <w:fldChar w:fldCharType="separate"/>
      </w:r>
      <w:r>
        <w:t>74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 xml:space="preserve">Moneys to be credited to </w:t>
      </w:r>
      <w:r>
        <w:t>Account</w:t>
      </w:r>
      <w:r>
        <w:tab/>
      </w:r>
      <w:r>
        <w:fldChar w:fldCharType="begin"/>
      </w:r>
      <w:r>
        <w:instrText xml:space="preserve"> PAGEREF _Toc107496010 \h </w:instrText>
      </w:r>
      <w:r>
        <w:fldChar w:fldCharType="separate"/>
      </w:r>
      <w:r>
        <w:t>74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 xml:space="preserve">Investment of moneys in </w:t>
      </w:r>
      <w:r>
        <w:t>Account</w:t>
      </w:r>
      <w:r>
        <w:tab/>
      </w:r>
      <w:r>
        <w:fldChar w:fldCharType="begin"/>
      </w:r>
      <w:r>
        <w:instrText xml:space="preserve"> PAGEREF _Toc107496011 \h </w:instrText>
      </w:r>
      <w:r>
        <w:fldChar w:fldCharType="separate"/>
      </w:r>
      <w:r>
        <w:t>75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 xml:space="preserve">Expenditure from </w:t>
      </w:r>
      <w:r>
        <w:t>Account</w:t>
      </w:r>
      <w:r>
        <w:tab/>
      </w:r>
      <w:r>
        <w:fldChar w:fldCharType="begin"/>
      </w:r>
      <w:r>
        <w:instrText xml:space="preserve"> PAGEREF _Toc107496012 \h </w:instrText>
      </w:r>
      <w:r>
        <w:fldChar w:fldCharType="separate"/>
      </w:r>
      <w:r>
        <w:t>75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 xml:space="preserve">Payments to </w:t>
      </w:r>
      <w:r>
        <w:t>Account by applicants for licences etc.</w:t>
      </w:r>
      <w:r>
        <w:tab/>
      </w:r>
      <w:r>
        <w:fldChar w:fldCharType="begin"/>
      </w:r>
      <w:r>
        <w:instrText xml:space="preserve"> PAGEREF _Toc107496013 \h </w:instrText>
      </w:r>
      <w:r>
        <w:fldChar w:fldCharType="separate"/>
      </w:r>
      <w:r>
        <w:t>76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 xml:space="preserve">Purpose of </w:t>
      </w:r>
      <w:r>
        <w:t>Account; making claims against Account</w:t>
      </w:r>
      <w:r>
        <w:tab/>
      </w:r>
      <w:r>
        <w:fldChar w:fldCharType="begin"/>
      </w:r>
      <w:r>
        <w:instrText xml:space="preserve"> PAGEREF _Toc107496014 \h </w:instrText>
      </w:r>
      <w:r>
        <w:fldChar w:fldCharType="separate"/>
      </w:r>
      <w:r>
        <w:t>76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Levies for Account against certificate holders</w:t>
      </w:r>
      <w:r>
        <w:tab/>
      </w:r>
      <w:r>
        <w:fldChar w:fldCharType="begin"/>
      </w:r>
      <w:r>
        <w:instrText xml:space="preserve"> PAGEREF _Toc107496015 \h </w:instrText>
      </w:r>
      <w:r>
        <w:fldChar w:fldCharType="separate"/>
      </w:r>
      <w:r>
        <w:t>77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 xml:space="preserve">Claims against </w:t>
      </w:r>
      <w:r>
        <w:t>Account; recovery from Account</w:t>
      </w:r>
      <w:r>
        <w:tab/>
      </w:r>
      <w:r>
        <w:fldChar w:fldCharType="begin"/>
      </w:r>
      <w:r>
        <w:instrText xml:space="preserve"> PAGEREF _Toc107496016 \h </w:instrText>
      </w:r>
      <w:r>
        <w:fldChar w:fldCharType="separate"/>
      </w:r>
      <w:r>
        <w:t>78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 xml:space="preserve">Defences to claims against </w:t>
      </w:r>
      <w:r>
        <w:t>Account</w:t>
      </w:r>
      <w:r>
        <w:tab/>
      </w:r>
      <w:r>
        <w:fldChar w:fldCharType="begin"/>
      </w:r>
      <w:r>
        <w:instrText xml:space="preserve"> PAGEREF _Toc107496017 \h </w:instrText>
      </w:r>
      <w:r>
        <w:fldChar w:fldCharType="separate"/>
      </w:r>
      <w:r>
        <w:t>79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Subrogation of rights of claimant against Account</w:t>
      </w:r>
      <w:r>
        <w:tab/>
      </w:r>
      <w:r>
        <w:fldChar w:fldCharType="begin"/>
      </w:r>
      <w:r>
        <w:instrText xml:space="preserve"> PAGEREF _Toc107496018 \h </w:instrText>
      </w:r>
      <w:r>
        <w:fldChar w:fldCharType="separate"/>
      </w:r>
      <w:r>
        <w:t>79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 xml:space="preserve">Insufficiency in </w:t>
      </w:r>
      <w:r>
        <w:t>Account</w:t>
      </w:r>
      <w:r>
        <w:tab/>
      </w:r>
      <w:r>
        <w:fldChar w:fldCharType="begin"/>
      </w:r>
      <w:r>
        <w:instrText xml:space="preserve"> PAGEREF _Toc107496019 \h </w:instrText>
      </w:r>
      <w:r>
        <w:fldChar w:fldCharType="separate"/>
      </w:r>
      <w:r>
        <w:t>79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State may insure against claims</w:t>
      </w:r>
      <w:r>
        <w:tab/>
      </w:r>
      <w:r>
        <w:fldChar w:fldCharType="begin"/>
      </w:r>
      <w:r>
        <w:instrText xml:space="preserve"> PAGEREF _Toc107496020 \h </w:instrText>
      </w:r>
      <w:r>
        <w:fldChar w:fldCharType="separate"/>
      </w:r>
      <w:r>
        <w:t>80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Application of insurance money</w:t>
      </w:r>
      <w:r>
        <w:tab/>
      </w:r>
      <w:r>
        <w:fldChar w:fldCharType="begin"/>
      </w:r>
      <w:r>
        <w:instrText xml:space="preserve"> PAGEREF _Toc107496021 \h </w:instrText>
      </w:r>
      <w:r>
        <w:fldChar w:fldCharType="separate"/>
      </w:r>
      <w:r>
        <w:t>81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Advertising for claims in relation to defaulting licensee</w:t>
      </w:r>
      <w:r>
        <w:tab/>
      </w:r>
      <w:r>
        <w:fldChar w:fldCharType="begin"/>
      </w:r>
      <w:r>
        <w:instrText xml:space="preserve"> PAGEREF _Toc107496022 \h </w:instrText>
      </w:r>
      <w:r>
        <w:fldChar w:fldCharType="separate"/>
      </w:r>
      <w:r>
        <w:t>82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Documents etc. to support claims, CEO may require</w:t>
      </w:r>
      <w:r>
        <w:tab/>
      </w:r>
      <w:r>
        <w:fldChar w:fldCharType="begin"/>
      </w:r>
      <w:r>
        <w:instrText xml:space="preserve"> PAGEREF _Toc107496023 \h </w:instrText>
      </w:r>
      <w:r>
        <w:fldChar w:fldCharType="separate"/>
      </w:r>
      <w:r>
        <w:t>82</w:t>
      </w:r>
      <w:r>
        <w:fldChar w:fldCharType="end"/>
      </w:r>
    </w:p>
    <w:p>
      <w:pPr>
        <w:pStyle w:val="TOC8"/>
        <w:rPr>
          <w:rFonts w:asciiTheme="minorHAnsi" w:eastAsiaTheme="minorEastAsia" w:hAnsiTheme="minorHAnsi" w:cstheme="minorBidi"/>
          <w:szCs w:val="22"/>
        </w:rPr>
      </w:pPr>
      <w:r>
        <w:t>102AA.</w:t>
      </w:r>
      <w:r>
        <w:tab/>
        <w:t>Commissioner may investigate claims against Fidelity Account</w:t>
      </w:r>
      <w:r>
        <w:tab/>
      </w:r>
      <w:r>
        <w:fldChar w:fldCharType="begin"/>
      </w:r>
      <w:r>
        <w:instrText xml:space="preserve"> PAGEREF _Toc107496024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VA — Education and General Purpose Account</w:t>
      </w:r>
    </w:p>
    <w:p>
      <w:pPr>
        <w:pStyle w:val="TOC8"/>
        <w:rPr>
          <w:rFonts w:asciiTheme="minorHAnsi" w:eastAsiaTheme="minorEastAsia" w:hAnsiTheme="minorHAnsi" w:cstheme="minorBidi"/>
          <w:szCs w:val="22"/>
        </w:rPr>
      </w:pPr>
      <w:r>
        <w:t>102A</w:t>
      </w:r>
      <w:r>
        <w:rPr>
          <w:snapToGrid w:val="0"/>
        </w:rPr>
        <w:t xml:space="preserve">. </w:t>
      </w:r>
      <w:r>
        <w:rPr>
          <w:snapToGrid w:val="0"/>
        </w:rPr>
        <w:tab/>
        <w:t>Account established; administration of account</w:t>
      </w:r>
      <w:r>
        <w:tab/>
      </w:r>
      <w:r>
        <w:fldChar w:fldCharType="begin"/>
      </w:r>
      <w:r>
        <w:instrText xml:space="preserve"> PAGEREF _Toc107496026 \h </w:instrText>
      </w:r>
      <w:r>
        <w:fldChar w:fldCharType="separate"/>
      </w:r>
      <w:r>
        <w:t>84</w:t>
      </w:r>
      <w:r>
        <w:fldChar w:fldCharType="end"/>
      </w:r>
    </w:p>
    <w:p>
      <w:pPr>
        <w:pStyle w:val="TOC8"/>
        <w:rPr>
          <w:rFonts w:asciiTheme="minorHAnsi" w:eastAsiaTheme="minorEastAsia" w:hAnsiTheme="minorHAnsi" w:cstheme="minorBidi"/>
          <w:szCs w:val="22"/>
        </w:rPr>
      </w:pPr>
      <w:r>
        <w:t>102B</w:t>
      </w:r>
      <w:r>
        <w:rPr>
          <w:snapToGrid w:val="0"/>
        </w:rPr>
        <w:t xml:space="preserve">. </w:t>
      </w:r>
      <w:r>
        <w:rPr>
          <w:snapToGrid w:val="0"/>
        </w:rPr>
        <w:tab/>
        <w:t>Moneys to be credited to a</w:t>
      </w:r>
      <w:r>
        <w:t>ccount</w:t>
      </w:r>
      <w:r>
        <w:tab/>
      </w:r>
      <w:r>
        <w:fldChar w:fldCharType="begin"/>
      </w:r>
      <w:r>
        <w:instrText xml:space="preserve"> PAGEREF _Toc107496027 \h </w:instrText>
      </w:r>
      <w:r>
        <w:fldChar w:fldCharType="separate"/>
      </w:r>
      <w:r>
        <w:t>84</w:t>
      </w:r>
      <w:r>
        <w:fldChar w:fldCharType="end"/>
      </w:r>
    </w:p>
    <w:p>
      <w:pPr>
        <w:pStyle w:val="TOC8"/>
        <w:rPr>
          <w:rFonts w:asciiTheme="minorHAnsi" w:eastAsiaTheme="minorEastAsia" w:hAnsiTheme="minorHAnsi" w:cstheme="minorBidi"/>
          <w:szCs w:val="22"/>
        </w:rPr>
      </w:pPr>
      <w:r>
        <w:t>102C</w:t>
      </w:r>
      <w:r>
        <w:rPr>
          <w:snapToGrid w:val="0"/>
        </w:rPr>
        <w:t xml:space="preserve">. </w:t>
      </w:r>
      <w:r>
        <w:rPr>
          <w:snapToGrid w:val="0"/>
        </w:rPr>
        <w:tab/>
        <w:t>Expenditure from a</w:t>
      </w:r>
      <w:r>
        <w:t>ccount</w:t>
      </w:r>
      <w:r>
        <w:tab/>
      </w:r>
      <w:r>
        <w:fldChar w:fldCharType="begin"/>
      </w:r>
      <w:r>
        <w:instrText xml:space="preserve"> PAGEREF _Toc107496028 \h </w:instrText>
      </w:r>
      <w:r>
        <w:fldChar w:fldCharType="separate"/>
      </w:r>
      <w:r>
        <w:t>85</w:t>
      </w:r>
      <w:r>
        <w:fldChar w:fldCharType="end"/>
      </w:r>
    </w:p>
    <w:p>
      <w:pPr>
        <w:pStyle w:val="TOC8"/>
        <w:rPr>
          <w:rFonts w:asciiTheme="minorHAnsi" w:eastAsiaTheme="minorEastAsia" w:hAnsiTheme="minorHAnsi" w:cstheme="minorBidi"/>
          <w:szCs w:val="22"/>
        </w:rPr>
      </w:pPr>
      <w:r>
        <w:t>102D</w:t>
      </w:r>
      <w:r>
        <w:rPr>
          <w:snapToGrid w:val="0"/>
        </w:rPr>
        <w:t xml:space="preserve">. </w:t>
      </w:r>
      <w:r>
        <w:rPr>
          <w:snapToGrid w:val="0"/>
        </w:rPr>
        <w:tab/>
        <w:t>Investment of moneys in a</w:t>
      </w:r>
      <w:r>
        <w:t>ccount</w:t>
      </w:r>
      <w:r>
        <w:tab/>
      </w:r>
      <w:r>
        <w:fldChar w:fldCharType="begin"/>
      </w:r>
      <w:r>
        <w:instrText xml:space="preserve"> PAGEREF _Toc107496029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VI — Settlement Agents Interest Account</w:t>
      </w:r>
    </w:p>
    <w:p>
      <w:pPr>
        <w:pStyle w:val="TOC8"/>
        <w:rPr>
          <w:rFonts w:asciiTheme="minorHAnsi" w:eastAsiaTheme="minorEastAsia" w:hAnsiTheme="minorHAnsi" w:cstheme="minorBidi"/>
          <w:szCs w:val="22"/>
        </w:rPr>
      </w:pPr>
      <w:r>
        <w:t>103</w:t>
      </w:r>
      <w:r>
        <w:rPr>
          <w:snapToGrid w:val="0"/>
        </w:rPr>
        <w:t>.</w:t>
      </w:r>
      <w:r>
        <w:rPr>
          <w:snapToGrid w:val="0"/>
        </w:rPr>
        <w:tab/>
        <w:t>Account established; administration of account</w:t>
      </w:r>
      <w:r>
        <w:tab/>
      </w:r>
      <w:r>
        <w:fldChar w:fldCharType="begin"/>
      </w:r>
      <w:r>
        <w:instrText xml:space="preserve"> PAGEREF _Toc107496031 \h </w:instrText>
      </w:r>
      <w:r>
        <w:fldChar w:fldCharType="separate"/>
      </w:r>
      <w:r>
        <w:t>87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Moneys to be credited to a</w:t>
      </w:r>
      <w:r>
        <w:t>ccount</w:t>
      </w:r>
      <w:r>
        <w:tab/>
      </w:r>
      <w:r>
        <w:fldChar w:fldCharType="begin"/>
      </w:r>
      <w:r>
        <w:instrText xml:space="preserve"> PAGEREF _Toc107496032 \h </w:instrText>
      </w:r>
      <w:r>
        <w:fldChar w:fldCharType="separate"/>
      </w:r>
      <w:r>
        <w:t>87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Expenditure from a</w:t>
      </w:r>
      <w:r>
        <w:t>ccount</w:t>
      </w:r>
      <w:r>
        <w:tab/>
      </w:r>
      <w:r>
        <w:fldChar w:fldCharType="begin"/>
      </w:r>
      <w:r>
        <w:instrText xml:space="preserve"> PAGEREF _Toc107496033 \h </w:instrText>
      </w:r>
      <w:r>
        <w:fldChar w:fldCharType="separate"/>
      </w:r>
      <w:r>
        <w:t>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Investment of moneys in a</w:t>
      </w:r>
      <w:r>
        <w:t>ccount</w:t>
      </w:r>
      <w:r>
        <w:tab/>
      </w:r>
      <w:r>
        <w:fldChar w:fldCharType="begin"/>
      </w:r>
      <w:r>
        <w:instrText xml:space="preserve"> PAGEREF _Toc107496034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110</w:t>
      </w:r>
      <w:r>
        <w:rPr>
          <w:snapToGrid w:val="0"/>
        </w:rPr>
        <w:t>.</w:t>
      </w:r>
      <w:r>
        <w:rPr>
          <w:snapToGrid w:val="0"/>
        </w:rPr>
        <w:tab/>
        <w:t>Registers of licensees etc., Commissioner to keep etc.</w:t>
      </w:r>
      <w:r>
        <w:tab/>
      </w:r>
      <w:r>
        <w:fldChar w:fldCharType="begin"/>
      </w:r>
      <w:r>
        <w:instrText xml:space="preserve"> PAGEREF _Toc107496036 \h </w:instrText>
      </w:r>
      <w:r>
        <w:fldChar w:fldCharType="separate"/>
      </w:r>
      <w:r>
        <w:t>89</w:t>
      </w:r>
      <w:r>
        <w:fldChar w:fldCharType="end"/>
      </w:r>
    </w:p>
    <w:p>
      <w:pPr>
        <w:pStyle w:val="TOC8"/>
        <w:rPr>
          <w:rFonts w:asciiTheme="minorHAnsi" w:eastAsiaTheme="minorEastAsia" w:hAnsiTheme="minorHAnsi" w:cstheme="minorBidi"/>
          <w:szCs w:val="22"/>
        </w:rPr>
      </w:pPr>
      <w:r>
        <w:t>111A.</w:t>
      </w:r>
      <w:r>
        <w:tab/>
        <w:t>Offence to give false or misleading information</w:t>
      </w:r>
      <w:r>
        <w:tab/>
      </w:r>
      <w:r>
        <w:fldChar w:fldCharType="begin"/>
      </w:r>
      <w:r>
        <w:instrText xml:space="preserve"> PAGEREF _Toc107496037 \h </w:instrText>
      </w:r>
      <w:r>
        <w:fldChar w:fldCharType="separate"/>
      </w:r>
      <w:r>
        <w:t>89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Commissioner’s certificate</w:t>
      </w:r>
      <w:r>
        <w:tab/>
      </w:r>
      <w:r>
        <w:fldChar w:fldCharType="begin"/>
      </w:r>
      <w:r>
        <w:instrText xml:space="preserve"> PAGEREF _Toc107496038 \h </w:instrText>
      </w:r>
      <w:r>
        <w:fldChar w:fldCharType="separate"/>
      </w:r>
      <w:r>
        <w:t>90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Annual report by department</w:t>
      </w:r>
      <w:r>
        <w:tab/>
      </w:r>
      <w:r>
        <w:fldChar w:fldCharType="begin"/>
      </w:r>
      <w:r>
        <w:instrText xml:space="preserve"> PAGEREF _Toc107496039 \h </w:instrText>
      </w:r>
      <w:r>
        <w:fldChar w:fldCharType="separate"/>
      </w:r>
      <w:r>
        <w:t>90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Reports by Commissioner to Minister</w:t>
      </w:r>
      <w:r>
        <w:tab/>
      </w:r>
      <w:r>
        <w:fldChar w:fldCharType="begin"/>
      </w:r>
      <w:r>
        <w:instrText xml:space="preserve"> PAGEREF _Toc107496040 \h </w:instrText>
      </w:r>
      <w:r>
        <w:fldChar w:fldCharType="separate"/>
      </w:r>
      <w:r>
        <w:t>91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Refunds of fees, Commissioner’s powers as to</w:t>
      </w:r>
      <w:r>
        <w:tab/>
      </w:r>
      <w:r>
        <w:fldChar w:fldCharType="begin"/>
      </w:r>
      <w:r>
        <w:instrText xml:space="preserve"> PAGEREF _Toc107496041 \h </w:instrText>
      </w:r>
      <w:r>
        <w:fldChar w:fldCharType="separate"/>
      </w:r>
      <w:r>
        <w:t>91</w:t>
      </w:r>
      <w:r>
        <w:fldChar w:fldCharType="end"/>
      </w:r>
    </w:p>
    <w:p>
      <w:pPr>
        <w:pStyle w:val="TOC8"/>
        <w:rPr>
          <w:rFonts w:asciiTheme="minorHAnsi" w:eastAsiaTheme="minorEastAsia" w:hAnsiTheme="minorHAnsi" w:cstheme="minorBidi"/>
          <w:szCs w:val="22"/>
        </w:rPr>
      </w:pPr>
      <w:r>
        <w:t>115.</w:t>
      </w:r>
      <w:r>
        <w:tab/>
        <w:t>Protection from personal liability</w:t>
      </w:r>
      <w:r>
        <w:tab/>
      </w:r>
      <w:r>
        <w:fldChar w:fldCharType="begin"/>
      </w:r>
      <w:r>
        <w:instrText xml:space="preserve"> PAGEREF _Toc107496042 \h </w:instrText>
      </w:r>
      <w:r>
        <w:fldChar w:fldCharType="separate"/>
      </w:r>
      <w:r>
        <w:t>92</w:t>
      </w:r>
      <w:r>
        <w:fldChar w:fldCharType="end"/>
      </w:r>
    </w:p>
    <w:p>
      <w:pPr>
        <w:pStyle w:val="TOC8"/>
        <w:rPr>
          <w:rFonts w:asciiTheme="minorHAnsi" w:eastAsiaTheme="minorEastAsia" w:hAnsiTheme="minorHAnsi" w:cstheme="minorBidi"/>
          <w:szCs w:val="22"/>
        </w:rPr>
      </w:pPr>
      <w:r>
        <w:t>116.</w:t>
      </w:r>
      <w:r>
        <w:tab/>
        <w:t>Confidentiality of information officially obtained</w:t>
      </w:r>
      <w:r>
        <w:tab/>
      </w:r>
      <w:r>
        <w:fldChar w:fldCharType="begin"/>
      </w:r>
      <w:r>
        <w:instrText xml:space="preserve"> PAGEREF _Toc107496043 \h </w:instrText>
      </w:r>
      <w:r>
        <w:fldChar w:fldCharType="separate"/>
      </w:r>
      <w:r>
        <w:t>92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Liability of directors of body corporate for defalcations</w:t>
      </w:r>
      <w:r>
        <w:tab/>
      </w:r>
      <w:r>
        <w:fldChar w:fldCharType="begin"/>
      </w:r>
      <w:r>
        <w:instrText xml:space="preserve"> PAGEREF _Toc107496044 \h </w:instrText>
      </w:r>
      <w:r>
        <w:fldChar w:fldCharType="separate"/>
      </w:r>
      <w:r>
        <w:t>92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Other rights and remedies not affected by this Act</w:t>
      </w:r>
      <w:r>
        <w:tab/>
      </w:r>
      <w:r>
        <w:fldChar w:fldCharType="begin"/>
      </w:r>
      <w:r>
        <w:instrText xml:space="preserve"> PAGEREF _Toc107496045 \h </w:instrText>
      </w:r>
      <w:r>
        <w:fldChar w:fldCharType="separate"/>
      </w:r>
      <w:r>
        <w:t>92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Rights conferred by Act cannot be waived</w:t>
      </w:r>
      <w:r>
        <w:tab/>
      </w:r>
      <w:r>
        <w:fldChar w:fldCharType="begin"/>
      </w:r>
      <w:r>
        <w:instrText xml:space="preserve"> PAGEREF _Toc107496046 \h </w:instrText>
      </w:r>
      <w:r>
        <w:fldChar w:fldCharType="separate"/>
      </w:r>
      <w:r>
        <w:t>92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General penalty for offences</w:t>
      </w:r>
      <w:r>
        <w:tab/>
      </w:r>
      <w:r>
        <w:fldChar w:fldCharType="begin"/>
      </w:r>
      <w:r>
        <w:instrText xml:space="preserve"> PAGEREF _Toc107496047 \h </w:instrText>
      </w:r>
      <w:r>
        <w:fldChar w:fldCharType="separate"/>
      </w:r>
      <w:r>
        <w:t>92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Proceedings for offences</w:t>
      </w:r>
      <w:r>
        <w:tab/>
      </w:r>
      <w:r>
        <w:fldChar w:fldCharType="begin"/>
      </w:r>
      <w:r>
        <w:instrText xml:space="preserve"> PAGEREF _Toc107496048 \h </w:instrText>
      </w:r>
      <w:r>
        <w:fldChar w:fldCharType="separate"/>
      </w:r>
      <w:r>
        <w:t>93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Forms</w:t>
      </w:r>
      <w:r>
        <w:tab/>
      </w:r>
      <w:r>
        <w:fldChar w:fldCharType="begin"/>
      </w:r>
      <w:r>
        <w:instrText xml:space="preserve"> PAGEREF _Toc107496049 \h </w:instrText>
      </w:r>
      <w:r>
        <w:fldChar w:fldCharType="separate"/>
      </w:r>
      <w:r>
        <w:t>93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_Toc107496050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VIII — Savings and transitional</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_Toc107496052 \h </w:instrText>
      </w:r>
      <w:r>
        <w:fldChar w:fldCharType="separate"/>
      </w:r>
      <w:r>
        <w:t>96</w:t>
      </w:r>
      <w:r>
        <w:fldChar w:fldCharType="end"/>
      </w:r>
    </w:p>
    <w:p>
      <w:pPr>
        <w:pStyle w:val="TOC8"/>
        <w:rPr>
          <w:rFonts w:asciiTheme="minorHAnsi" w:eastAsiaTheme="minorEastAsia" w:hAnsiTheme="minorHAnsi" w:cstheme="minorBidi"/>
          <w:szCs w:val="22"/>
        </w:rPr>
      </w:pPr>
      <w:r>
        <w:t>125.</w:t>
      </w:r>
      <w:r>
        <w:tab/>
        <w:t>Former Board abolished</w:t>
      </w:r>
      <w:r>
        <w:tab/>
      </w:r>
      <w:r>
        <w:fldChar w:fldCharType="begin"/>
      </w:r>
      <w:r>
        <w:instrText xml:space="preserve"> PAGEREF _Toc107496053 \h </w:instrText>
      </w:r>
      <w:r>
        <w:fldChar w:fldCharType="separate"/>
      </w:r>
      <w:r>
        <w:t>96</w:t>
      </w:r>
      <w:r>
        <w:fldChar w:fldCharType="end"/>
      </w:r>
    </w:p>
    <w:p>
      <w:pPr>
        <w:pStyle w:val="TOC8"/>
        <w:rPr>
          <w:rFonts w:asciiTheme="minorHAnsi" w:eastAsiaTheme="minorEastAsia" w:hAnsiTheme="minorHAnsi" w:cstheme="minorBidi"/>
          <w:szCs w:val="22"/>
        </w:rPr>
      </w:pPr>
      <w:r>
        <w:t>126.</w:t>
      </w:r>
      <w:r>
        <w:tab/>
        <w:t>References to former Board</w:t>
      </w:r>
      <w:r>
        <w:tab/>
      </w:r>
      <w:r>
        <w:fldChar w:fldCharType="begin"/>
      </w:r>
      <w:r>
        <w:instrText xml:space="preserve"> PAGEREF _Toc107496054 \h </w:instrText>
      </w:r>
      <w:r>
        <w:fldChar w:fldCharType="separate"/>
      </w:r>
      <w:r>
        <w:t>96</w:t>
      </w:r>
      <w:r>
        <w:fldChar w:fldCharType="end"/>
      </w:r>
    </w:p>
    <w:p>
      <w:pPr>
        <w:pStyle w:val="TOC8"/>
        <w:rPr>
          <w:rFonts w:asciiTheme="minorHAnsi" w:eastAsiaTheme="minorEastAsia" w:hAnsiTheme="minorHAnsi" w:cstheme="minorBidi"/>
          <w:szCs w:val="22"/>
        </w:rPr>
      </w:pPr>
      <w:r>
        <w:t>127.</w:t>
      </w:r>
      <w:r>
        <w:tab/>
        <w:t>Immunity continues</w:t>
      </w:r>
      <w:r>
        <w:tab/>
      </w:r>
      <w:r>
        <w:fldChar w:fldCharType="begin"/>
      </w:r>
      <w:r>
        <w:instrText xml:space="preserve"> PAGEREF _Toc107496055 \h </w:instrText>
      </w:r>
      <w:r>
        <w:fldChar w:fldCharType="separate"/>
      </w:r>
      <w:r>
        <w:t>97</w:t>
      </w:r>
      <w:r>
        <w:fldChar w:fldCharType="end"/>
      </w:r>
    </w:p>
    <w:p>
      <w:pPr>
        <w:pStyle w:val="TOC8"/>
        <w:rPr>
          <w:rFonts w:asciiTheme="minorHAnsi" w:eastAsiaTheme="minorEastAsia" w:hAnsiTheme="minorHAnsi" w:cstheme="minorBidi"/>
          <w:szCs w:val="22"/>
        </w:rPr>
      </w:pPr>
      <w:r>
        <w:t>128.</w:t>
      </w:r>
      <w:r>
        <w:tab/>
        <w:t>Notices and rules made by former Board</w:t>
      </w:r>
      <w:r>
        <w:tab/>
      </w:r>
      <w:r>
        <w:fldChar w:fldCharType="begin"/>
      </w:r>
      <w:r>
        <w:instrText xml:space="preserve"> PAGEREF _Toc107496056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129.</w:t>
      </w:r>
      <w:r>
        <w:tab/>
        <w:t>References to former Registrar</w:t>
      </w:r>
      <w:r>
        <w:tab/>
      </w:r>
      <w:r>
        <w:fldChar w:fldCharType="begin"/>
      </w:r>
      <w:r>
        <w:instrText xml:space="preserve"> PAGEREF _Toc107496057 \h </w:instrText>
      </w:r>
      <w:r>
        <w:fldChar w:fldCharType="separate"/>
      </w:r>
      <w:r>
        <w:t>97</w:t>
      </w:r>
      <w:r>
        <w:fldChar w:fldCharType="end"/>
      </w:r>
    </w:p>
    <w:p>
      <w:pPr>
        <w:pStyle w:val="TOC8"/>
        <w:rPr>
          <w:rFonts w:asciiTheme="minorHAnsi" w:eastAsiaTheme="minorEastAsia" w:hAnsiTheme="minorHAnsi" w:cstheme="minorBidi"/>
          <w:szCs w:val="22"/>
        </w:rPr>
      </w:pPr>
      <w:r>
        <w:t>130.</w:t>
      </w:r>
      <w:r>
        <w:tab/>
        <w:t>Unfinished investigations by former Board</w:t>
      </w:r>
      <w:r>
        <w:tab/>
      </w:r>
      <w:r>
        <w:fldChar w:fldCharType="begin"/>
      </w:r>
      <w:r>
        <w:instrText xml:space="preserve"> PAGEREF _Toc107496058 \h </w:instrText>
      </w:r>
      <w:r>
        <w:fldChar w:fldCharType="separate"/>
      </w:r>
      <w:r>
        <w:t>98</w:t>
      </w:r>
      <w:r>
        <w:fldChar w:fldCharType="end"/>
      </w:r>
    </w:p>
    <w:p>
      <w:pPr>
        <w:pStyle w:val="TOC8"/>
        <w:rPr>
          <w:rFonts w:asciiTheme="minorHAnsi" w:eastAsiaTheme="minorEastAsia" w:hAnsiTheme="minorHAnsi" w:cstheme="minorBidi"/>
          <w:szCs w:val="22"/>
        </w:rPr>
      </w:pPr>
      <w:r>
        <w:t>131.</w:t>
      </w:r>
      <w:r>
        <w:tab/>
        <w:t>Unfinished proceedings by former Board</w:t>
      </w:r>
      <w:r>
        <w:tab/>
      </w:r>
      <w:r>
        <w:fldChar w:fldCharType="begin"/>
      </w:r>
      <w:r>
        <w:instrText xml:space="preserve"> PAGEREF _Toc107496059 \h </w:instrText>
      </w:r>
      <w:r>
        <w:fldChar w:fldCharType="separate"/>
      </w:r>
      <w:r>
        <w:t>98</w:t>
      </w:r>
      <w:r>
        <w:fldChar w:fldCharType="end"/>
      </w:r>
    </w:p>
    <w:p>
      <w:pPr>
        <w:pStyle w:val="TOC8"/>
        <w:rPr>
          <w:rFonts w:asciiTheme="minorHAnsi" w:eastAsiaTheme="minorEastAsia" w:hAnsiTheme="minorHAnsi" w:cstheme="minorBidi"/>
          <w:szCs w:val="22"/>
        </w:rPr>
      </w:pPr>
      <w:r>
        <w:t>132.</w:t>
      </w:r>
      <w:r>
        <w:tab/>
        <w:t>Winding</w:t>
      </w:r>
      <w:r>
        <w:noBreakHyphen/>
        <w:t>up former Board</w:t>
      </w:r>
      <w:r>
        <w:tab/>
      </w:r>
      <w:r>
        <w:fldChar w:fldCharType="begin"/>
      </w:r>
      <w:r>
        <w:instrText xml:space="preserve"> PAGEREF _Toc107496060 \h </w:instrText>
      </w:r>
      <w:r>
        <w:fldChar w:fldCharType="separate"/>
      </w:r>
      <w:r>
        <w:t>98</w:t>
      </w:r>
      <w:r>
        <w:fldChar w:fldCharType="end"/>
      </w:r>
    </w:p>
    <w:p>
      <w:pPr>
        <w:pStyle w:val="TOC8"/>
        <w:rPr>
          <w:rFonts w:asciiTheme="minorHAnsi" w:eastAsiaTheme="minorEastAsia" w:hAnsiTheme="minorHAnsi" w:cstheme="minorBidi"/>
          <w:szCs w:val="22"/>
        </w:rPr>
      </w:pPr>
      <w:r>
        <w:t>133.</w:t>
      </w:r>
      <w:r>
        <w:tab/>
        <w:t>Final report by former Board</w:t>
      </w:r>
      <w:r>
        <w:tab/>
      </w:r>
      <w:r>
        <w:fldChar w:fldCharType="begin"/>
      </w:r>
      <w:r>
        <w:instrText xml:space="preserve"> PAGEREF _Toc107496061 \h </w:instrText>
      </w:r>
      <w:r>
        <w:fldChar w:fldCharType="separate"/>
      </w:r>
      <w:r>
        <w:t>100</w:t>
      </w:r>
      <w:r>
        <w:fldChar w:fldCharType="end"/>
      </w:r>
    </w:p>
    <w:p>
      <w:pPr>
        <w:pStyle w:val="TOC8"/>
        <w:rPr>
          <w:rFonts w:asciiTheme="minorHAnsi" w:eastAsiaTheme="minorEastAsia" w:hAnsiTheme="minorHAnsi" w:cstheme="minorBidi"/>
          <w:szCs w:val="22"/>
        </w:rPr>
      </w:pPr>
      <w:r>
        <w:t>134.</w:t>
      </w:r>
      <w:r>
        <w:tab/>
        <w:t>Staff of former Board</w:t>
      </w:r>
      <w:r>
        <w:tab/>
      </w:r>
      <w:r>
        <w:fldChar w:fldCharType="begin"/>
      </w:r>
      <w:r>
        <w:instrText xml:space="preserve"> PAGEREF _Toc107496062 \h </w:instrText>
      </w:r>
      <w:r>
        <w:fldChar w:fldCharType="separate"/>
      </w:r>
      <w:r>
        <w:t>100</w:t>
      </w:r>
      <w:r>
        <w:fldChar w:fldCharType="end"/>
      </w:r>
    </w:p>
    <w:p>
      <w:pPr>
        <w:pStyle w:val="TOC8"/>
        <w:rPr>
          <w:rFonts w:asciiTheme="minorHAnsi" w:eastAsiaTheme="minorEastAsia" w:hAnsiTheme="minorHAnsi" w:cstheme="minorBidi"/>
          <w:szCs w:val="22"/>
        </w:rPr>
      </w:pPr>
      <w:r>
        <w:t>135.</w:t>
      </w:r>
      <w:r>
        <w:tab/>
        <w:t>Transitional regulations</w:t>
      </w:r>
      <w:r>
        <w:tab/>
      </w:r>
      <w:r>
        <w:fldChar w:fldCharType="begin"/>
      </w:r>
      <w:r>
        <w:instrText xml:space="preserve"> PAGEREF _Toc107496063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Grant of licence</w:t>
      </w:r>
    </w:p>
    <w:p>
      <w:pPr>
        <w:pStyle w:val="TOC4"/>
        <w:tabs>
          <w:tab w:val="right" w:leader="dot" w:pos="7077"/>
        </w:tabs>
        <w:rPr>
          <w:rFonts w:asciiTheme="minorHAnsi" w:eastAsiaTheme="minorEastAsia" w:hAnsiTheme="minorHAnsi" w:cstheme="minorBidi"/>
          <w:b w:val="0"/>
          <w:szCs w:val="22"/>
        </w:rPr>
      </w:pPr>
      <w:r>
        <w:rPr>
          <w:rFonts w:eastAsia="MS Mincho"/>
        </w:rPr>
        <w:t>Division 1</w:t>
      </w:r>
      <w:r>
        <w:rPr>
          <w:rFonts w:eastAsia="MS Mincho"/>
          <w:b w:val="0"/>
        </w:rPr>
        <w:t> — </w:t>
      </w:r>
      <w:r>
        <w:rPr>
          <w:rFonts w:eastAsia="MS Mincho"/>
        </w:rPr>
        <w:t>Qualifications</w:t>
      </w:r>
    </w:p>
    <w:p>
      <w:pPr>
        <w:pStyle w:val="TOC8"/>
        <w:rPr>
          <w:rFonts w:asciiTheme="minorHAnsi" w:eastAsiaTheme="minorEastAsia" w:hAnsiTheme="minorHAnsi" w:cstheme="minorBidi"/>
          <w:szCs w:val="22"/>
        </w:rPr>
      </w:pPr>
      <w:r>
        <w:t>1.</w:t>
      </w:r>
      <w:r>
        <w:tab/>
        <w:t>Real estate settlement agent</w:t>
      </w:r>
      <w:r>
        <w:tab/>
      </w:r>
      <w:r>
        <w:fldChar w:fldCharType="begin"/>
      </w:r>
      <w:r>
        <w:instrText xml:space="preserve"> PAGEREF _Toc107496066 \h </w:instrText>
      </w:r>
      <w:r>
        <w:fldChar w:fldCharType="separate"/>
      </w:r>
      <w:r>
        <w:t>102</w:t>
      </w:r>
      <w:r>
        <w:fldChar w:fldCharType="end"/>
      </w:r>
    </w:p>
    <w:p>
      <w:pPr>
        <w:pStyle w:val="TOC8"/>
        <w:rPr>
          <w:rFonts w:asciiTheme="minorHAnsi" w:eastAsiaTheme="minorEastAsia" w:hAnsiTheme="minorHAnsi" w:cstheme="minorBidi"/>
          <w:szCs w:val="22"/>
        </w:rPr>
      </w:pPr>
      <w:r>
        <w:t xml:space="preserve">2. </w:t>
      </w:r>
      <w:r>
        <w:tab/>
        <w:t>Business settlement agent</w:t>
      </w:r>
      <w:r>
        <w:tab/>
      </w:r>
      <w:r>
        <w:fldChar w:fldCharType="begin"/>
      </w:r>
      <w:r>
        <w:instrText xml:space="preserve"> PAGEREF _Toc107496067 \h </w:instrText>
      </w:r>
      <w:r>
        <w:fldChar w:fldCharType="separate"/>
      </w:r>
      <w:r>
        <w:t>103</w:t>
      </w:r>
      <w:r>
        <w:fldChar w:fldCharType="end"/>
      </w:r>
    </w:p>
    <w:p>
      <w:pPr>
        <w:pStyle w:val="TOC8"/>
        <w:rPr>
          <w:rFonts w:asciiTheme="minorHAnsi" w:eastAsiaTheme="minorEastAsia" w:hAnsiTheme="minorHAnsi" w:cstheme="minorBidi"/>
          <w:szCs w:val="22"/>
        </w:rPr>
      </w:pPr>
      <w:r>
        <w:t xml:space="preserve">3. </w:t>
      </w:r>
      <w:r>
        <w:tab/>
        <w:t>Licence by reason of qualification under cl. 1(1)(c) and 2(1)(c)</w:t>
      </w:r>
      <w:r>
        <w:tab/>
      </w:r>
      <w:r>
        <w:fldChar w:fldCharType="begin"/>
      </w:r>
      <w:r>
        <w:instrText xml:space="preserve"> PAGEREF _Toc107496068 \h </w:instrText>
      </w:r>
      <w:r>
        <w:fldChar w:fldCharType="separate"/>
      </w:r>
      <w:r>
        <w:t>104</w:t>
      </w:r>
      <w:r>
        <w:fldChar w:fldCharType="end"/>
      </w:r>
    </w:p>
    <w:p>
      <w:pPr>
        <w:pStyle w:val="TOC8"/>
        <w:rPr>
          <w:rFonts w:asciiTheme="minorHAnsi" w:eastAsiaTheme="minorEastAsia" w:hAnsiTheme="minorHAnsi" w:cstheme="minorBidi"/>
          <w:szCs w:val="22"/>
        </w:rPr>
      </w:pPr>
      <w:r>
        <w:t>4.</w:t>
      </w:r>
      <w:r>
        <w:tab/>
        <w:t>Licence by reason of qualification under cl. 1(1)(d) and 2(1)(d)</w:t>
      </w:r>
      <w:r>
        <w:tab/>
      </w:r>
      <w:r>
        <w:fldChar w:fldCharType="begin"/>
      </w:r>
      <w:r>
        <w:instrText xml:space="preserve"> PAGEREF _Toc107496069 \h </w:instrText>
      </w:r>
      <w:r>
        <w:fldChar w:fldCharType="separate"/>
      </w:r>
      <w:r>
        <w:t>104</w:t>
      </w:r>
      <w:r>
        <w:fldChar w:fldCharType="end"/>
      </w:r>
    </w:p>
    <w:p>
      <w:pPr>
        <w:pStyle w:val="TOC8"/>
        <w:rPr>
          <w:rFonts w:asciiTheme="minorHAnsi" w:eastAsiaTheme="minorEastAsia" w:hAnsiTheme="minorHAnsi" w:cstheme="minorBidi"/>
          <w:szCs w:val="22"/>
        </w:rPr>
      </w:pPr>
      <w:r>
        <w:t xml:space="preserve">5. </w:t>
      </w:r>
      <w:r>
        <w:tab/>
        <w:t>Dead or incapacitated licensee, conduct of business of</w:t>
      </w:r>
      <w:r>
        <w:tab/>
      </w:r>
      <w:r>
        <w:fldChar w:fldCharType="begin"/>
      </w:r>
      <w:r>
        <w:instrText xml:space="preserve"> PAGEREF _Toc107496070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rPr>
          <w:rFonts w:eastAsia="MS Mincho"/>
        </w:rPr>
        <w:t>Division 2</w:t>
      </w:r>
      <w:r>
        <w:rPr>
          <w:rFonts w:eastAsia="MS Mincho"/>
          <w:b w:val="0"/>
        </w:rPr>
        <w:t> — </w:t>
      </w:r>
      <w:r>
        <w:rPr>
          <w:rFonts w:eastAsia="MS Mincho"/>
        </w:rPr>
        <w:t>Disqualification</w:t>
      </w:r>
    </w:p>
    <w:p>
      <w:pPr>
        <w:pStyle w:val="TOC8"/>
        <w:rPr>
          <w:rFonts w:asciiTheme="minorHAnsi" w:eastAsiaTheme="minorEastAsia" w:hAnsiTheme="minorHAnsi" w:cstheme="minorBidi"/>
          <w:szCs w:val="22"/>
        </w:rPr>
      </w:pPr>
      <w:r>
        <w:t>6.</w:t>
      </w:r>
      <w:r>
        <w:tab/>
        <w:t>Term used: business licence</w:t>
      </w:r>
      <w:r>
        <w:tab/>
      </w:r>
      <w:r>
        <w:fldChar w:fldCharType="begin"/>
      </w:r>
      <w:r>
        <w:instrText xml:space="preserve"> PAGEREF _Toc107496072 \h </w:instrText>
      </w:r>
      <w:r>
        <w:fldChar w:fldCharType="separate"/>
      </w:r>
      <w:r>
        <w:t>105</w:t>
      </w:r>
      <w:r>
        <w:fldChar w:fldCharType="end"/>
      </w:r>
    </w:p>
    <w:p>
      <w:pPr>
        <w:pStyle w:val="TOC8"/>
        <w:rPr>
          <w:rFonts w:asciiTheme="minorHAnsi" w:eastAsiaTheme="minorEastAsia" w:hAnsiTheme="minorHAnsi" w:cstheme="minorBidi"/>
          <w:szCs w:val="22"/>
        </w:rPr>
      </w:pPr>
      <w:r>
        <w:t>7.</w:t>
      </w:r>
      <w:r>
        <w:tab/>
        <w:t>Natural persons, disqualification of</w:t>
      </w:r>
      <w:r>
        <w:tab/>
      </w:r>
      <w:r>
        <w:fldChar w:fldCharType="begin"/>
      </w:r>
      <w:r>
        <w:instrText xml:space="preserve"> PAGEREF _Toc107496073 \h </w:instrText>
      </w:r>
      <w:r>
        <w:fldChar w:fldCharType="separate"/>
      </w:r>
      <w:r>
        <w:t>105</w:t>
      </w:r>
      <w:r>
        <w:fldChar w:fldCharType="end"/>
      </w:r>
    </w:p>
    <w:p>
      <w:pPr>
        <w:pStyle w:val="TOC8"/>
        <w:rPr>
          <w:rFonts w:asciiTheme="minorHAnsi" w:eastAsiaTheme="minorEastAsia" w:hAnsiTheme="minorHAnsi" w:cstheme="minorBidi"/>
          <w:szCs w:val="22"/>
        </w:rPr>
      </w:pPr>
      <w:r>
        <w:t xml:space="preserve">8. </w:t>
      </w:r>
      <w:r>
        <w:tab/>
        <w:t>Bodies corporate, disqualification of</w:t>
      </w:r>
      <w:r>
        <w:tab/>
      </w:r>
      <w:r>
        <w:fldChar w:fldCharType="begin"/>
      </w:r>
      <w:r>
        <w:instrText xml:space="preserve"> PAGEREF _Toc107496074 \h </w:instrText>
      </w:r>
      <w:r>
        <w:fldChar w:fldCharType="separate"/>
      </w:r>
      <w:r>
        <w:t>106</w:t>
      </w:r>
      <w:r>
        <w:fldChar w:fldCharType="end"/>
      </w:r>
    </w:p>
    <w:p>
      <w:pPr>
        <w:pStyle w:val="TOC8"/>
        <w:rPr>
          <w:rFonts w:asciiTheme="minorHAnsi" w:eastAsiaTheme="minorEastAsia" w:hAnsiTheme="minorHAnsi" w:cstheme="minorBidi"/>
          <w:szCs w:val="22"/>
        </w:rPr>
      </w:pPr>
      <w:r>
        <w:t xml:space="preserve">9. </w:t>
      </w:r>
      <w:r>
        <w:tab/>
        <w:t>Firms, disqualification of</w:t>
      </w:r>
      <w:r>
        <w:tab/>
      </w:r>
      <w:r>
        <w:fldChar w:fldCharType="begin"/>
      </w:r>
      <w:r>
        <w:instrText xml:space="preserve"> PAGEREF _Toc107496075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Temporary arrangements</w:t>
      </w:r>
    </w:p>
    <w:p>
      <w:pPr>
        <w:pStyle w:val="TOC8"/>
        <w:rPr>
          <w:rFonts w:asciiTheme="minorHAnsi" w:eastAsiaTheme="minorEastAsia" w:hAnsiTheme="minorHAnsi" w:cstheme="minorBidi"/>
          <w:szCs w:val="22"/>
        </w:rPr>
      </w:pPr>
      <w:r>
        <w:t xml:space="preserve">10. </w:t>
      </w:r>
      <w:r>
        <w:tab/>
        <w:t>Death or withdrawal of partner in firm or director of body corporate, Commissioner to be notified etc.</w:t>
      </w:r>
      <w:r>
        <w:tab/>
      </w:r>
      <w:r>
        <w:fldChar w:fldCharType="begin"/>
      </w:r>
      <w:r>
        <w:instrText xml:space="preserve"> PAGEREF _Toc107496077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a settlement agent</w:t>
      </w:r>
    </w:p>
    <w:p>
      <w:pPr>
        <w:pStyle w:val="TOC8"/>
        <w:rPr>
          <w:rFonts w:asciiTheme="minorHAnsi" w:eastAsiaTheme="minorEastAsia" w:hAnsiTheme="minorHAnsi" w:cstheme="minorBidi"/>
          <w:szCs w:val="22"/>
        </w:rPr>
      </w:pPr>
      <w:r>
        <w:t>1.</w:t>
      </w:r>
      <w:r>
        <w:tab/>
        <w:t>Real estate settlement agent</w:t>
      </w:r>
      <w:r>
        <w:tab/>
      </w:r>
      <w:r>
        <w:fldChar w:fldCharType="begin"/>
      </w:r>
      <w:r>
        <w:instrText xml:space="preserve"> PAGEREF _Toc107496079 \h </w:instrText>
      </w:r>
      <w:r>
        <w:fldChar w:fldCharType="separate"/>
      </w:r>
      <w:r>
        <w:t>108</w:t>
      </w:r>
      <w:r>
        <w:fldChar w:fldCharType="end"/>
      </w:r>
    </w:p>
    <w:p>
      <w:pPr>
        <w:pStyle w:val="TOC8"/>
        <w:rPr>
          <w:rFonts w:asciiTheme="minorHAnsi" w:eastAsiaTheme="minorEastAsia" w:hAnsiTheme="minorHAnsi" w:cstheme="minorBidi"/>
          <w:szCs w:val="22"/>
        </w:rPr>
      </w:pPr>
      <w:r>
        <w:t xml:space="preserve">2. </w:t>
      </w:r>
      <w:r>
        <w:tab/>
        <w:t>Business settlement agent</w:t>
      </w:r>
      <w:r>
        <w:tab/>
      </w:r>
      <w:r>
        <w:fldChar w:fldCharType="begin"/>
      </w:r>
      <w:r>
        <w:instrText xml:space="preserve"> PAGEREF _Toc107496080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_Toc107496082 \h </w:instrText>
      </w:r>
      <w:r>
        <w:fldChar w:fldCharType="separate"/>
      </w:r>
      <w:r>
        <w:t>112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_Toc107496083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pPr>
      <w:r>
        <w:t>Settlement Agents Act 1981</w:t>
      </w:r>
    </w:p>
    <w:p>
      <w:pPr>
        <w:pStyle w:val="LongTitle"/>
        <w:spacing w:before="1040"/>
        <w:rPr>
          <w:snapToGrid w:val="0"/>
        </w:rPr>
      </w:pPr>
      <w:r>
        <w:rPr>
          <w:snapToGrid w:val="0"/>
        </w:rPr>
        <w:t>An Act to make provision with respect to the licensing, regulation, and supervision of settlement agents, and for related purposes.</w:t>
      </w:r>
    </w:p>
    <w:p>
      <w:pPr>
        <w:pStyle w:val="Heading2"/>
      </w:pPr>
      <w:bookmarkStart w:id="3" w:name="_Toc107315818"/>
      <w:bookmarkStart w:id="4" w:name="_Toc107316208"/>
      <w:bookmarkStart w:id="5" w:name="_Toc10749592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49592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Settlement Agents Act 1981</w:t>
      </w:r>
      <w:r>
        <w:rPr>
          <w:snapToGrid w:val="0"/>
        </w:rPr>
        <w:t>.</w:t>
      </w:r>
    </w:p>
    <w:p>
      <w:pPr>
        <w:pStyle w:val="Heading5"/>
        <w:rPr>
          <w:snapToGrid w:val="0"/>
        </w:rPr>
      </w:pPr>
      <w:bookmarkStart w:id="7" w:name="_Toc10749592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8" w:name="_Toc107495923"/>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appointed day</w:t>
      </w:r>
      <w:r>
        <w:rPr>
          <w:vertAlign w:val="superscript"/>
        </w:rPr>
        <w:t> 1</w:t>
      </w:r>
      <w:r>
        <w:t xml:space="preserve"> means the day fixed by the Minister pursuant to section 26(2);</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auditor</w:t>
      </w:r>
      <w:r>
        <w:t xml:space="preserve"> means a person appointed under this Act to audit the trust accounts of a settlement agent;</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rStyle w:val="CharDefText"/>
        </w:rPr>
        <w:t>business</w:t>
      </w:r>
      <w:r>
        <w:t xml:space="preserve"> means —</w:t>
      </w:r>
    </w:p>
    <w:p>
      <w:pPr>
        <w:pStyle w:val="Defpara"/>
      </w:pPr>
      <w:r>
        <w:tab/>
        <w:t>(a)</w:t>
      </w:r>
      <w:r>
        <w:tab/>
        <w:t>subject to paragraph (b), the business of a settlement agent; and</w:t>
      </w:r>
    </w:p>
    <w:p>
      <w:pPr>
        <w:pStyle w:val="Defpara"/>
      </w:pPr>
      <w:r>
        <w:tab/>
        <w:t>(b)</w:t>
      </w:r>
      <w:r>
        <w:tab/>
        <w:t xml:space="preserve">in the definition of </w:t>
      </w:r>
      <w:r>
        <w:rPr>
          <w:b/>
          <w:bCs/>
          <w:i/>
          <w:iCs/>
        </w:rPr>
        <w:t>business transaction</w:t>
      </w:r>
      <w:r>
        <w:t xml:space="preserve"> and in section 45(a), any commercial undertaking or enterprise in respect of any profession, trade, employment, vocation or calling within the State;</w:t>
      </w:r>
    </w:p>
    <w:p>
      <w:pPr>
        <w:pStyle w:val="Defstart"/>
      </w:pPr>
      <w:r>
        <w:rPr>
          <w:b/>
        </w:rPr>
        <w:tab/>
      </w:r>
      <w:r>
        <w:rPr>
          <w:rStyle w:val="CharDefText"/>
        </w:rPr>
        <w:t>business settlement agent</w:t>
      </w:r>
      <w:r>
        <w:t xml:space="preserve"> means any person who arranges or effects a settlement of a business transaction for reward or who, whether for reward or otherwise, carries on business arranging or effecting settlements of business transactions and whether or </w:t>
      </w:r>
      <w:r>
        <w:lastRenderedPageBreak/>
        <w:t>not that business is carried on in conjunction with or as part of or associated with any other profession, trade, occupation or employment, but does not include the exceptions specified in section 4(1);</w:t>
      </w:r>
    </w:p>
    <w:p>
      <w:pPr>
        <w:pStyle w:val="Defstart"/>
      </w:pPr>
      <w:r>
        <w:rPr>
          <w:b/>
        </w:rPr>
        <w:tab/>
      </w:r>
      <w:r>
        <w:rPr>
          <w:rStyle w:val="CharDefText"/>
        </w:rPr>
        <w:t>business transaction</w:t>
      </w:r>
      <w:r>
        <w:t> —</w:t>
      </w:r>
    </w:p>
    <w:p>
      <w:pPr>
        <w:pStyle w:val="Defpara"/>
      </w:pPr>
      <w:r>
        <w:tab/>
        <w:t>(a)</w:t>
      </w:r>
      <w:r>
        <w:tab/>
        <w:t>means the disposal by sale or exchange, and the acquisition by purchase or exchange of a business and any share or interest in a business or the goodwill thereof within the State; and</w:t>
      </w:r>
    </w:p>
    <w:p>
      <w:pPr>
        <w:pStyle w:val="Defpara"/>
      </w:pPr>
      <w:r>
        <w:tab/>
        <w:t>(b)</w:t>
      </w:r>
      <w:r>
        <w:tab/>
        <w:t>includes any disposal by sale or exchange, and any acquisition by purchase or exchange of goods, chattels, or other property within the State relating to a business transaction of the kind specified in paragraph (a),</w:t>
      </w:r>
    </w:p>
    <w:p>
      <w:pPr>
        <w:pStyle w:val="Defstart"/>
      </w:pPr>
      <w:r>
        <w:tab/>
        <w:t>but does not include —</w:t>
      </w:r>
    </w:p>
    <w:p>
      <w:pPr>
        <w:pStyle w:val="Defpara"/>
      </w:pPr>
      <w:r>
        <w:tab/>
        <w:t>(c)</w:t>
      </w:r>
      <w:r>
        <w:tab/>
        <w:t>the sale, exchange, or other disposal or a purchase, exchange, or other acquisition of a share in the capital of a body corporate or an option in respect thereof;</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Fidelity Guarantee Account</w:t>
      </w:r>
      <w:r>
        <w:t xml:space="preserve"> or </w:t>
      </w:r>
      <w:r>
        <w:rPr>
          <w:rStyle w:val="CharDefText"/>
        </w:rPr>
        <w:t>Account</w:t>
      </w:r>
      <w:r>
        <w:t xml:space="preserve"> means the account established under section 87;</w:t>
      </w:r>
    </w:p>
    <w:p>
      <w:pPr>
        <w:pStyle w:val="Defstart"/>
      </w:pPr>
      <w:r>
        <w:rPr>
          <w:b/>
        </w:rPr>
        <w:tab/>
      </w:r>
      <w:r>
        <w:rPr>
          <w:rStyle w:val="CharDefText"/>
        </w:rPr>
        <w:t>fidelity guarantee fee</w:t>
      </w:r>
      <w:r>
        <w:t xml:space="preserve"> means the fee prescribed pursuant to section 92(1);</w:t>
      </w:r>
    </w:p>
    <w:p>
      <w:pPr>
        <w:pStyle w:val="Defstart"/>
      </w:pPr>
      <w:r>
        <w:rPr>
          <w:b/>
        </w:rPr>
        <w:tab/>
      </w:r>
      <w:r>
        <w:rPr>
          <w:rStyle w:val="CharDefText"/>
        </w:rPr>
        <w:t>General Purpose Account</w:t>
      </w:r>
      <w:r>
        <w:t xml:space="preserve"> means the Education and General Purpose Account established under section 102A;</w:t>
      </w:r>
    </w:p>
    <w:p>
      <w:pPr>
        <w:pStyle w:val="Defstart"/>
      </w:pPr>
      <w:r>
        <w:rPr>
          <w:b/>
        </w:rPr>
        <w:tab/>
      </w:r>
      <w:r>
        <w:rPr>
          <w:rStyle w:val="CharDefText"/>
        </w:rPr>
        <w:t>Interest Account</w:t>
      </w:r>
      <w:r>
        <w:t xml:space="preserve"> means the Settlement Agents Interest Account established under section 103(1);</w:t>
      </w:r>
    </w:p>
    <w:p>
      <w:pPr>
        <w:pStyle w:val="Defstart"/>
      </w:pPr>
      <w:r>
        <w:rPr>
          <w:b/>
        </w:rPr>
        <w:tab/>
      </w:r>
      <w:r>
        <w:rPr>
          <w:rStyle w:val="CharDefText"/>
        </w:rPr>
        <w:t>licence</w:t>
      </w:r>
      <w:r>
        <w:t xml:space="preserve"> means the licence of a real estate settlement agent or of a business settlement agent under this Act;</w:t>
      </w:r>
    </w:p>
    <w:p>
      <w:pPr>
        <w:pStyle w:val="Defstart"/>
      </w:pPr>
      <w:r>
        <w:rPr>
          <w:b/>
        </w:rPr>
        <w:tab/>
      </w:r>
      <w:r>
        <w:rPr>
          <w:rStyle w:val="CharDefText"/>
        </w:rPr>
        <w:t>licensed</w:t>
      </w:r>
      <w:r>
        <w:t xml:space="preserve"> means licensed as a settlement agent under this Act;</w:t>
      </w:r>
    </w:p>
    <w:p>
      <w:pPr>
        <w:pStyle w:val="Defstart"/>
      </w:pPr>
      <w:r>
        <w:rPr>
          <w:b/>
        </w:rPr>
        <w:tab/>
      </w:r>
      <w:r>
        <w:rPr>
          <w:rStyle w:val="CharDefText"/>
        </w:rPr>
        <w:t>licensee</w:t>
      </w:r>
      <w:r>
        <w:t xml:space="preserve"> means a person licensed under this Act;</w:t>
      </w:r>
    </w:p>
    <w:p>
      <w:pPr>
        <w:pStyle w:val="Defstart"/>
      </w:pPr>
      <w:r>
        <w:rPr>
          <w:b/>
        </w:rPr>
        <w:tab/>
      </w:r>
      <w:r>
        <w:rPr>
          <w:rStyle w:val="CharDefText"/>
        </w:rPr>
        <w:t>real estate</w:t>
      </w:r>
      <w:r>
        <w:t xml:space="preserve"> or </w:t>
      </w:r>
      <w:r>
        <w:rPr>
          <w:rStyle w:val="CharDefText"/>
        </w:rPr>
        <w:t>land</w:t>
      </w:r>
      <w:r>
        <w:t xml:space="preserve"> means land within the State and includes buildings or parts of buildings within the State;</w:t>
      </w:r>
    </w:p>
    <w:p>
      <w:pPr>
        <w:pStyle w:val="Defstart"/>
      </w:pPr>
      <w:r>
        <w:rPr>
          <w:b/>
        </w:rPr>
        <w:tab/>
      </w:r>
      <w:r>
        <w:rPr>
          <w:rStyle w:val="CharDefText"/>
        </w:rPr>
        <w:t>real estate settlement agent</w:t>
      </w:r>
      <w:r>
        <w:t xml:space="preserve"> means any person who arranges or effects the settlement of a real estate transaction for reward or who, whether for reward or otherwise, carries on business arranging or effecting settlements of real estate transactions and whether or not that business is carried on in conjunction with or as part of or associated with any other profession, trade, occupation or employment, but does not include the exceptions specified in section 4(1);</w:t>
      </w:r>
    </w:p>
    <w:p>
      <w:pPr>
        <w:pStyle w:val="Defstart"/>
        <w:keepNext/>
      </w:pPr>
      <w:r>
        <w:rPr>
          <w:b/>
        </w:rPr>
        <w:tab/>
      </w:r>
      <w:r>
        <w:rPr>
          <w:rStyle w:val="CharDefText"/>
        </w:rPr>
        <w:t>real estate transaction</w:t>
      </w:r>
      <w:r>
        <w:t> —</w:t>
      </w:r>
    </w:p>
    <w:p>
      <w:pPr>
        <w:pStyle w:val="Defpara"/>
      </w:pPr>
      <w:r>
        <w:tab/>
        <w:t>(a)</w:t>
      </w:r>
      <w:r>
        <w:tab/>
        <w:t>means the disposal by sale or exchange, and the acquisition by purchase or exchange of real estate; and</w:t>
      </w:r>
    </w:p>
    <w:p>
      <w:pPr>
        <w:pStyle w:val="Defpara"/>
        <w:keepNext/>
        <w:keepLines/>
      </w:pPr>
      <w:r>
        <w:tab/>
        <w:t>(b)</w:t>
      </w:r>
      <w:r>
        <w:tab/>
        <w:t>includes any disposal by sale or exchange, or any acquisition by purchase or exchange of goods, chattels or other property relating to a real estate transaction of a kind specified in paragraph (a);</w:t>
      </w:r>
    </w:p>
    <w:p>
      <w:pPr>
        <w:pStyle w:val="Defstart"/>
      </w:pPr>
      <w:r>
        <w:rPr>
          <w:b/>
        </w:rPr>
        <w:tab/>
      </w:r>
      <w:r>
        <w:rPr>
          <w:rStyle w:val="CharDefText"/>
        </w:rPr>
        <w:t>renewal</w:t>
      </w:r>
      <w:r>
        <w:t xml:space="preserve"> means renewal of a triennial certificate;</w:t>
      </w:r>
    </w:p>
    <w:p>
      <w:pPr>
        <w:pStyle w:val="Defstart"/>
      </w:pPr>
      <w:r>
        <w:rPr>
          <w:b/>
        </w:rPr>
        <w:lastRenderedPageBreak/>
        <w:tab/>
      </w:r>
      <w:r>
        <w:rPr>
          <w:rStyle w:val="CharDefText"/>
        </w:rPr>
        <w:t>reward</w:t>
      </w:r>
      <w:r>
        <w:t xml:space="preserve"> means any valuable consideration in money or moneys worth paid or received as commission or remuneration —</w:t>
      </w:r>
    </w:p>
    <w:p>
      <w:pPr>
        <w:pStyle w:val="Defpara"/>
      </w:pPr>
      <w:r>
        <w:tab/>
        <w:t>(a)</w:t>
      </w:r>
      <w:r>
        <w:tab/>
        <w:t>whether payable in cash or kind; and</w:t>
      </w:r>
    </w:p>
    <w:p>
      <w:pPr>
        <w:pStyle w:val="Defpara"/>
      </w:pPr>
      <w:r>
        <w:tab/>
        <w:t>(b)</w:t>
      </w:r>
      <w:r>
        <w:tab/>
        <w:t>whether paid or received directly or indirectly; and</w:t>
      </w:r>
    </w:p>
    <w:p>
      <w:pPr>
        <w:pStyle w:val="Defpara"/>
      </w:pPr>
      <w:r>
        <w:tab/>
        <w:t>(c)</w:t>
      </w:r>
      <w:r>
        <w:tab/>
        <w:t>whether paid or received separately or as a component of a composite price or fee paid or received in respect of any transaction or service;</w:t>
      </w:r>
    </w:p>
    <w:p>
      <w:pPr>
        <w:pStyle w:val="Defstart"/>
      </w:pPr>
      <w:r>
        <w:rPr>
          <w:b/>
        </w:rPr>
        <w:tab/>
      </w:r>
      <w:r>
        <w:rPr>
          <w:rStyle w:val="CharDefText"/>
        </w:rPr>
        <w:t>settlement</w:t>
      </w:r>
      <w:r>
        <w:t xml:space="preserve"> means the completion of a real estate transaction or a business transaction (as the case may be) by payment of the balance of purchase price in respect to such real estate transaction or business transaction;</w:t>
      </w:r>
    </w:p>
    <w:p>
      <w:pPr>
        <w:pStyle w:val="Defstart"/>
      </w:pPr>
      <w:r>
        <w:rPr>
          <w:b/>
        </w:rPr>
        <w:tab/>
      </w:r>
      <w:r>
        <w:rPr>
          <w:rStyle w:val="CharDefText"/>
        </w:rPr>
        <w:t>settlement agent</w:t>
      </w:r>
      <w:r>
        <w:t xml:space="preserve"> means a person who is a real estate settlement agent or a business settlement agent or both a real estate settlement agent and a business settlement agent but does not include the exceptions specified in section 4(1);</w:t>
      </w:r>
    </w:p>
    <w:p>
      <w:pPr>
        <w:pStyle w:val="Defstart"/>
      </w:pPr>
      <w:r>
        <w:rPr>
          <w:b/>
        </w:rPr>
        <w:tab/>
      </w:r>
      <w:r>
        <w:rPr>
          <w:rStyle w:val="CharDefText"/>
        </w:rPr>
        <w:t>settlement agents’ code of conduct</w:t>
      </w:r>
      <w:r>
        <w:t xml:space="preserve"> or </w:t>
      </w:r>
      <w:r>
        <w:rPr>
          <w:rStyle w:val="CharDefText"/>
        </w:rPr>
        <w:t>code of conduct</w:t>
      </w:r>
      <w:r>
        <w:t xml:space="preserve"> means the code prescribed under section 82;</w:t>
      </w:r>
    </w:p>
    <w:p>
      <w:pPr>
        <w:pStyle w:val="Defstart"/>
      </w:pPr>
      <w:r>
        <w:rPr>
          <w:b/>
        </w:rPr>
        <w:tab/>
      </w:r>
      <w:r>
        <w:rPr>
          <w:rStyle w:val="CharDefText"/>
        </w:rPr>
        <w:t>supervisor</w:t>
      </w:r>
      <w:r>
        <w:t xml:space="preserve"> means a person appointed by the Commissioner as supervisor of the business of a settlement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 settlement agent;</w:t>
      </w:r>
    </w:p>
    <w:p>
      <w:pPr>
        <w:pStyle w:val="Defstart"/>
      </w:pPr>
      <w:r>
        <w:rPr>
          <w:b/>
        </w:rPr>
        <w:tab/>
      </w:r>
      <w:r>
        <w:rPr>
          <w:rStyle w:val="CharDefText"/>
        </w:rPr>
        <w:t>trustee company</w:t>
      </w:r>
      <w:r>
        <w:t xml:space="preserve"> means a body corporate authorised by the law of any State or Territory of the Commonwealth to apply for and obtain, in its own name, a grant of probate or of letters of administration of the estate of a deceased person.</w:t>
      </w:r>
    </w:p>
    <w:p>
      <w:pPr>
        <w:pStyle w:val="Subsection"/>
        <w:rPr>
          <w:snapToGrid w:val="0"/>
        </w:rPr>
      </w:pPr>
      <w:r>
        <w:rPr>
          <w:snapToGrid w:val="0"/>
        </w:rPr>
        <w:tab/>
        <w:t>(2)</w:t>
      </w:r>
      <w:r>
        <w:rPr>
          <w:snapToGrid w:val="0"/>
        </w:rPr>
        <w:tab/>
        <w:t xml:space="preserve">Where a reward is paid or received by a person by reason of, or in contemplation of, some other person arranging or effecting a settlement that reward shall, for the purposes of this Act, be </w:t>
      </w:r>
      <w:r>
        <w:rPr>
          <w:snapToGrid w:val="0"/>
        </w:rPr>
        <w:lastRenderedPageBreak/>
        <w:t>deemed to be paid to or received by the person arranging or effecting the settlement.</w:t>
      </w:r>
    </w:p>
    <w:p>
      <w:pPr>
        <w:pStyle w:val="Subsection"/>
        <w:rPr>
          <w:snapToGrid w:val="0"/>
        </w:rPr>
      </w:pPr>
      <w:r>
        <w:rPr>
          <w:snapToGrid w:val="0"/>
        </w:rPr>
        <w:tab/>
        <w:t>(3)</w:t>
      </w:r>
      <w:r>
        <w:rPr>
          <w:snapToGrid w:val="0"/>
        </w:rPr>
        <w:tab/>
        <w:t>Where 2 or more persons do acts which together constitute a settlement then each of those persons shall be deemed to have effected a settlement notwithstanding that the acts performed by any one of those persons do not constitute a settlement.</w:t>
      </w:r>
    </w:p>
    <w:p>
      <w:pPr>
        <w:pStyle w:val="Subsection"/>
        <w:rPr>
          <w:snapToGrid w:val="0"/>
        </w:rPr>
      </w:pPr>
      <w:r>
        <w:rPr>
          <w:snapToGrid w:val="0"/>
        </w:rPr>
        <w:tab/>
        <w:t>(4)</w:t>
      </w:r>
      <w:r>
        <w:rPr>
          <w:snapToGrid w:val="0"/>
        </w:rPr>
        <w:tab/>
        <w:t>The fact that a payment, or a component of a price or fee, was not expressed, or was not acknowledged, to have been paid or received as commission or remuneration for any particular service, or was neither so expressed nor so acknowledged, shall not prevent that payment, or component of a price or fee, from being construed for the purposes of this Act as having been paid or received in respect of that service.</w:t>
      </w:r>
    </w:p>
    <w:p>
      <w:pPr>
        <w:pStyle w:val="Footnotesection"/>
      </w:pPr>
      <w:r>
        <w:tab/>
        <w:t>[Section 3 amended: No. 98 of 1985 s. 3; No. 59 of 1995 s. 58; No. 26 of 1999 s. 102(2); No. 65 of 2003 s. 66(2); No. 55 of 2004 s. 1081; No. 77 of 2006 Sch. 1 cl. 156(1); No. 21 of 2008 s. 704(2); No. 8 of 2009 s. 117; No. 46 of 2009 s. 15(2); No. 58 of 2010 s. 136 and 176; No. 9 of 2022 s. 424.]</w:t>
      </w:r>
    </w:p>
    <w:p>
      <w:pPr>
        <w:pStyle w:val="Heading5"/>
        <w:rPr>
          <w:snapToGrid w:val="0"/>
        </w:rPr>
      </w:pPr>
      <w:bookmarkStart w:id="9" w:name="_Toc107495924"/>
      <w:r>
        <w:rPr>
          <w:rStyle w:val="CharSectno"/>
        </w:rPr>
        <w:t>4</w:t>
      </w:r>
      <w:r>
        <w:rPr>
          <w:snapToGrid w:val="0"/>
        </w:rPr>
        <w:t>.</w:t>
      </w:r>
      <w:r>
        <w:rPr>
          <w:snapToGrid w:val="0"/>
        </w:rPr>
        <w:tab/>
        <w:t>Term used: settlement agent</w:t>
      </w:r>
      <w:bookmarkEnd w:id="9"/>
    </w:p>
    <w:p>
      <w:pPr>
        <w:pStyle w:val="Subsection"/>
        <w:keepNext/>
        <w:rPr>
          <w:snapToGrid w:val="0"/>
        </w:rPr>
      </w:pPr>
      <w:r>
        <w:rPr>
          <w:snapToGrid w:val="0"/>
        </w:rPr>
        <w:tab/>
        <w:t>(1)</w:t>
      </w:r>
      <w:r>
        <w:rPr>
          <w:snapToGrid w:val="0"/>
        </w:rPr>
        <w:tab/>
        <w:t xml:space="preserve">Exceptions to the meaning of </w:t>
      </w:r>
      <w:r>
        <w:rPr>
          <w:rStyle w:val="CharDefText"/>
        </w:rPr>
        <w:t>settlement agent</w:t>
      </w:r>
      <w:r>
        <w:rPr>
          <w:snapToGrid w:val="0"/>
        </w:rPr>
        <w:t xml:space="preserve"> in and for the purposes of this Act are as follows —</w:t>
      </w:r>
    </w:p>
    <w:p>
      <w:pPr>
        <w:pStyle w:val="Indenta"/>
        <w:rPr>
          <w:snapToGrid w:val="0"/>
        </w:rPr>
      </w:pPr>
      <w:r>
        <w:rPr>
          <w:snapToGrid w:val="0"/>
        </w:rPr>
        <w:tab/>
        <w:t>(a)</w:t>
      </w:r>
      <w:r>
        <w:rPr>
          <w:snapToGrid w:val="0"/>
        </w:rPr>
        <w:tab/>
        <w:t>legal practitioners, when acting in the course of the practice of their profession as such; and</w:t>
      </w:r>
    </w:p>
    <w:p>
      <w:pPr>
        <w:pStyle w:val="Indenta"/>
        <w:rPr>
          <w:snapToGrid w:val="0"/>
        </w:rPr>
      </w:pPr>
      <w:r>
        <w:rPr>
          <w:snapToGrid w:val="0"/>
        </w:rPr>
        <w:tab/>
        <w:t>(aa)</w:t>
      </w:r>
      <w:r>
        <w:rPr>
          <w:snapToGrid w:val="0"/>
        </w:rPr>
        <w:tab/>
        <w:t xml:space="preserve">real estate agents and business agents, as defined in the </w:t>
      </w:r>
      <w:r>
        <w:rPr>
          <w:i/>
          <w:snapToGrid w:val="0"/>
        </w:rPr>
        <w:t>Real Estate and Business Agents Act 1978</w:t>
      </w:r>
      <w:r>
        <w:rPr>
          <w:snapToGrid w:val="0"/>
        </w:rPr>
        <w:t>, who are currently carrying on business as such in accordance with that Act, when arranging or effecting settlements to which a current exemption under section 26A or 26B, as the case may be, applies; and</w:t>
      </w:r>
    </w:p>
    <w:p>
      <w:pPr>
        <w:pStyle w:val="Indenta"/>
      </w:pPr>
      <w:r>
        <w:tab/>
        <w:t>(b)</w:t>
      </w:r>
      <w:r>
        <w:tab/>
        <w:t xml:space="preserve">financial services licensees (within the meaning of the </w:t>
      </w:r>
      <w:r>
        <w:rPr>
          <w:i/>
        </w:rPr>
        <w:t>Corporations Act 2001</w:t>
      </w:r>
      <w:r>
        <w:t xml:space="preserve"> of the Commonwealth), when dealing in securities (within the meaning of section 92 of </w:t>
      </w:r>
      <w:r>
        <w:lastRenderedPageBreak/>
        <w:t>that Act) that he or she is authorised to deal in by that licence; and</w:t>
      </w:r>
    </w:p>
    <w:p>
      <w:pPr>
        <w:pStyle w:val="Indenta"/>
      </w:pPr>
      <w:r>
        <w:tab/>
        <w:t>(c)</w:t>
      </w:r>
      <w:r>
        <w:tab/>
        <w:t xml:space="preserve">regulated principals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Subsection"/>
        <w:keepNext/>
        <w:rPr>
          <w:snapToGrid w:val="0"/>
        </w:rPr>
      </w:pPr>
      <w:r>
        <w:rPr>
          <w:snapToGrid w:val="0"/>
        </w:rPr>
        <w:tab/>
        <w:t>(2)</w:t>
      </w:r>
      <w:r>
        <w:rPr>
          <w:snapToGrid w:val="0"/>
        </w:rPr>
        <w:tab/>
        <w:t xml:space="preserve">The provisions of section 29(1)(c), </w:t>
      </w:r>
      <w:r>
        <w:t>section 34AA(3),</w:t>
      </w:r>
      <w:r>
        <w:rPr>
          <w:snapToGrid w:val="0"/>
        </w:rPr>
        <w:t xml:space="preserve"> section 35, Division 2 of Part IV, and Part V shall not </w:t>
      </w:r>
      <w:r>
        <w:t>apply to a bank in its capacity as a settlement agent, or to a trustee company.</w:t>
      </w:r>
    </w:p>
    <w:p>
      <w:pPr>
        <w:pStyle w:val="Footnotesection"/>
      </w:pPr>
      <w:r>
        <w:tab/>
        <w:t>[Section 4 amended: No. 10 of 1982 s. 28; No. 64 of 1982 s. 2; No. 59 of 1995 s. 59; No. 26 of 1999 s. 102(3); No. 10 of 2001 s. 222; No. 21 of 2003 s. 22; No. 25 of 2019 s. 73.]</w:t>
      </w:r>
    </w:p>
    <w:p>
      <w:pPr>
        <w:pStyle w:val="Footnoteheading"/>
      </w:pPr>
      <w:r>
        <w:tab/>
        <w:t>[Part II heading deleted: No. 58 of 2010 s. 137(1).]</w:t>
      </w:r>
    </w:p>
    <w:p>
      <w:pPr>
        <w:pStyle w:val="Ednotedivision"/>
      </w:pPr>
      <w:r>
        <w:t>[Division 1 (s. 5</w:t>
      </w:r>
      <w:r>
        <w:noBreakHyphen/>
        <w:t>12C) deleted: No. 58 of 2010 s. 137(2).]</w:t>
      </w:r>
    </w:p>
    <w:p>
      <w:pPr>
        <w:pStyle w:val="Ednotedivision"/>
      </w:pPr>
      <w:r>
        <w:t>[Division 1A (s. 12D and 12E) deleted: No. 58 of 2010 s. 137(2).]</w:t>
      </w:r>
    </w:p>
    <w:p>
      <w:pPr>
        <w:pStyle w:val="Ednotedivision"/>
      </w:pPr>
      <w:r>
        <w:t>[Division 2 (s. 13</w:t>
      </w:r>
      <w:r>
        <w:noBreakHyphen/>
        <w:t>18) deleted: No. 58 of 2010 s. 137(2).]</w:t>
      </w:r>
    </w:p>
    <w:p>
      <w:pPr>
        <w:pStyle w:val="Footnoteheading"/>
      </w:pPr>
      <w:r>
        <w:tab/>
        <w:t>[Division 3 heading deleted: No. 58 of 2010 s. 137(3).]</w:t>
      </w:r>
    </w:p>
    <w:p>
      <w:pPr>
        <w:pStyle w:val="Ednotesection"/>
      </w:pPr>
      <w:r>
        <w:t>[</w:t>
      </w:r>
      <w:r>
        <w:rPr>
          <w:b/>
        </w:rPr>
        <w:t>19</w:t>
      </w:r>
      <w:r>
        <w:rPr>
          <w:b/>
        </w:rPr>
        <w:noBreakHyphen/>
        <w:t>21.</w:t>
      </w:r>
      <w:r>
        <w:tab/>
        <w:t>Deleted: No. 58 of 2010 s. 138.]</w:t>
      </w:r>
    </w:p>
    <w:p>
      <w:pPr>
        <w:pStyle w:val="Heading5"/>
      </w:pPr>
      <w:bookmarkStart w:id="10" w:name="_Toc107495925"/>
      <w:r>
        <w:rPr>
          <w:rStyle w:val="CharSectno"/>
        </w:rPr>
        <w:t>22</w:t>
      </w:r>
      <w:r>
        <w:t>.</w:t>
      </w:r>
      <w:r>
        <w:tab/>
        <w:t>Powers of investigation</w:t>
      </w:r>
      <w:bookmarkEnd w:id="1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139.]</w:t>
      </w:r>
    </w:p>
    <w:p>
      <w:pPr>
        <w:pStyle w:val="Heading5"/>
        <w:rPr>
          <w:snapToGrid w:val="0"/>
        </w:rPr>
      </w:pPr>
      <w:bookmarkStart w:id="11" w:name="_Toc107495926"/>
      <w:r>
        <w:rPr>
          <w:rStyle w:val="CharSectno"/>
        </w:rPr>
        <w:t>23</w:t>
      </w:r>
      <w:r>
        <w:rPr>
          <w:snapToGrid w:val="0"/>
        </w:rPr>
        <w:t>.</w:t>
      </w:r>
      <w:r>
        <w:rPr>
          <w:snapToGrid w:val="0"/>
        </w:rPr>
        <w:tab/>
        <w:t>Application for review by SAT</w:t>
      </w:r>
      <w:bookmarkEnd w:id="11"/>
    </w:p>
    <w:p>
      <w:pPr>
        <w:pStyle w:val="Subsection"/>
        <w:rPr>
          <w:snapToGrid w:val="0"/>
        </w:rPr>
      </w:pPr>
      <w:r>
        <w:rPr>
          <w:snapToGrid w:val="0"/>
        </w:rPr>
        <w:tab/>
        <w:t>(1)</w:t>
      </w:r>
      <w:r>
        <w:rPr>
          <w:snapToGrid w:val="0"/>
        </w:rPr>
        <w:tab/>
        <w:t>Any person aggrieved by a reviewable decision may apply to the State Administrative Tribunal for a review of the decision.</w:t>
      </w:r>
    </w:p>
    <w:p>
      <w:pPr>
        <w:pStyle w:val="Subsection"/>
        <w:keepNext/>
      </w:pPr>
      <w:r>
        <w:lastRenderedPageBreak/>
        <w:tab/>
        <w:t>(2)</w:t>
      </w:r>
      <w:r>
        <w:tab/>
        <w:t>In subsection (1) —</w:t>
      </w:r>
    </w:p>
    <w:p>
      <w:pPr>
        <w:pStyle w:val="Defstart"/>
        <w:keepNext/>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affected by a decision of the Commissioner under Part IV Division 2;</w:t>
      </w:r>
    </w:p>
    <w:p>
      <w:pPr>
        <w:pStyle w:val="Defpara"/>
      </w:pPr>
      <w:r>
        <w:tab/>
        <w:t>(c)</w:t>
      </w:r>
      <w:r>
        <w:tab/>
        <w:t>a person claiming against, or seeking the leave of the chief executive officer to commence an action in relation to, the Fidelity Guarantee Account;</w:t>
      </w:r>
    </w:p>
    <w:p>
      <w:pPr>
        <w:pStyle w:val="Defstart"/>
      </w:pPr>
      <w:r>
        <w:tab/>
      </w:r>
      <w:r>
        <w:rPr>
          <w:rStyle w:val="CharDefText"/>
        </w:rPr>
        <w:t>reviewable decision</w:t>
      </w:r>
      <w:r>
        <w:t xml:space="preserve"> means —</w:t>
      </w:r>
    </w:p>
    <w:p>
      <w:pPr>
        <w:pStyle w:val="Defpara"/>
      </w:pPr>
      <w:r>
        <w:tab/>
        <w:t>(a)</w:t>
      </w:r>
      <w:r>
        <w:tab/>
        <w:t>a decision of the Commissioner under Part III other than —</w:t>
      </w:r>
    </w:p>
    <w:p>
      <w:pPr>
        <w:pStyle w:val="Defsubpara"/>
      </w:pPr>
      <w:r>
        <w:tab/>
        <w:t>(i)</w:t>
      </w:r>
      <w:r>
        <w:tab/>
        <w:t>a decision under section 35; or</w:t>
      </w:r>
    </w:p>
    <w:p>
      <w:pPr>
        <w:pStyle w:val="Defsubpara"/>
      </w:pPr>
      <w:r>
        <w:tab/>
        <w:t>(ii)</w:t>
      </w:r>
      <w:r>
        <w:tab/>
        <w:t>a determination of the form in which an application is made;</w:t>
      </w:r>
    </w:p>
    <w:p>
      <w:pPr>
        <w:pStyle w:val="Defpara"/>
      </w:pPr>
      <w:r>
        <w:tab/>
        <w:t>(b)</w:t>
      </w:r>
      <w:r>
        <w:tab/>
        <w:t>a decision of the Commissioner under Part IV Division 2;</w:t>
      </w:r>
    </w:p>
    <w:p>
      <w:pPr>
        <w:pStyle w:val="Defpara"/>
      </w:pPr>
      <w:r>
        <w:tab/>
        <w:t>(c)</w:t>
      </w:r>
      <w:r>
        <w:tab/>
        <w:t>a decision of the chief executive officer under section 93 or 95.</w:t>
      </w:r>
    </w:p>
    <w:p>
      <w:pPr>
        <w:pStyle w:val="Subsection"/>
      </w:pPr>
      <w:r>
        <w:tab/>
        <w:t>(3)</w:t>
      </w:r>
      <w:r>
        <w:tab/>
        <w:t xml:space="preserve">If a decision under section 93 or 95 has not been made before the commencement of the </w:t>
      </w:r>
      <w:r>
        <w:rPr>
          <w:i/>
          <w:snapToGrid w:val="0"/>
        </w:rPr>
        <w:t>Consumer Protection Legislation Amendment Act 2014</w:t>
      </w:r>
      <w:r>
        <w:rPr>
          <w:snapToGrid w:val="0"/>
        </w:rPr>
        <w:t xml:space="preserve"> section </w:t>
      </w:r>
      <w:r>
        <w:t xml:space="preserve">98 in respect of a claim made before 1 July 2011, the decision — </w:t>
      </w:r>
    </w:p>
    <w:p>
      <w:pPr>
        <w:pStyle w:val="Indenta"/>
      </w:pPr>
      <w:r>
        <w:tab/>
        <w:t>(a)</w:t>
      </w:r>
      <w:r>
        <w:tab/>
        <w:t>may be made on or after that commencement by the Commissioner; and</w:t>
      </w:r>
    </w:p>
    <w:p>
      <w:pPr>
        <w:pStyle w:val="Indenta"/>
      </w:pPr>
      <w:r>
        <w:tab/>
        <w:t>(b)</w:t>
      </w:r>
      <w:r>
        <w:tab/>
        <w:t>is taken to be a reviewable decision for the purposes of this section.</w:t>
      </w:r>
    </w:p>
    <w:p>
      <w:pPr>
        <w:pStyle w:val="Subsection"/>
      </w:pPr>
      <w:r>
        <w:tab/>
        <w:t>(4)</w:t>
      </w:r>
      <w:r>
        <w:tab/>
        <w:t xml:space="preserve">A decision under section 93 or 95 made by the chief executive officer before the commencement of the </w:t>
      </w:r>
      <w:r>
        <w:rPr>
          <w:i/>
        </w:rPr>
        <w:t>Consumer Protection Legislation Amendment Act 2014</w:t>
      </w:r>
      <w:r>
        <w:t xml:space="preserve"> section 98 is taken to be a </w:t>
      </w:r>
      <w:r>
        <w:lastRenderedPageBreak/>
        <w:t>reviewable decision made immediately after that commencement for the purposes of this section.</w:t>
      </w:r>
    </w:p>
    <w:p>
      <w:pPr>
        <w:pStyle w:val="Subsection"/>
      </w:pPr>
      <w:r>
        <w:tab/>
        <w:t>(5)</w:t>
      </w:r>
      <w:r>
        <w:tab/>
        <w:t xml:space="preserve">The amendments made to this section by the </w:t>
      </w:r>
      <w:r>
        <w:rPr>
          <w:i/>
          <w:snapToGrid w:val="0"/>
        </w:rPr>
        <w:t>Consumer Protection Legislation Amendment Act 2014</w:t>
      </w:r>
      <w:r>
        <w:rPr>
          <w:snapToGrid w:val="0"/>
        </w:rPr>
        <w:t xml:space="preserve"> section </w:t>
      </w:r>
      <w:r>
        <w:t>98</w:t>
      </w:r>
      <w:r>
        <w:rPr>
          <w:snapToGrid w:val="0"/>
        </w:rPr>
        <w:t xml:space="preserve"> do not affect the review of a reviewable decision by the State Administrative Tribunal that began, but was not completed, before the commencement of that section.</w:t>
      </w:r>
    </w:p>
    <w:p>
      <w:pPr>
        <w:pStyle w:val="Footnotesection"/>
      </w:pPr>
      <w:r>
        <w:tab/>
        <w:t>[Section 23 inserted: No. 55 of 2004 s. 1084; amended: No. 77 of 2006 Sch. 1 cl. 156(2); No. 58 of 2010 s. 140 and 176; No. 23 of 2014 s. 98.]</w:t>
      </w:r>
    </w:p>
    <w:p>
      <w:pPr>
        <w:pStyle w:val="Heading2"/>
      </w:pPr>
      <w:bookmarkStart w:id="12" w:name="_Toc107315825"/>
      <w:bookmarkStart w:id="13" w:name="_Toc107316215"/>
      <w:bookmarkStart w:id="14" w:name="_Toc107495927"/>
      <w:r>
        <w:rPr>
          <w:rStyle w:val="CharPartNo"/>
        </w:rPr>
        <w:lastRenderedPageBreak/>
        <w:t>Part III</w:t>
      </w:r>
      <w:r>
        <w:rPr>
          <w:rStyle w:val="CharDivNo"/>
        </w:rPr>
        <w:t> </w:t>
      </w:r>
      <w:r>
        <w:t>—</w:t>
      </w:r>
      <w:r>
        <w:rPr>
          <w:rStyle w:val="CharDivText"/>
        </w:rPr>
        <w:t> </w:t>
      </w:r>
      <w:r>
        <w:rPr>
          <w:rStyle w:val="CharPartText"/>
        </w:rPr>
        <w:t>Licensing</w:t>
      </w:r>
      <w:bookmarkEnd w:id="12"/>
      <w:bookmarkEnd w:id="13"/>
      <w:bookmarkEnd w:id="14"/>
    </w:p>
    <w:p>
      <w:pPr>
        <w:pStyle w:val="Heading5"/>
        <w:spacing w:before="180"/>
        <w:rPr>
          <w:snapToGrid w:val="0"/>
        </w:rPr>
      </w:pPr>
      <w:bookmarkStart w:id="15" w:name="_Toc107495928"/>
      <w:r>
        <w:rPr>
          <w:rStyle w:val="CharSectno"/>
        </w:rPr>
        <w:t>24</w:t>
      </w:r>
      <w:r>
        <w:rPr>
          <w:snapToGrid w:val="0"/>
        </w:rPr>
        <w:t>.</w:t>
      </w:r>
      <w:r>
        <w:rPr>
          <w:snapToGrid w:val="0"/>
        </w:rPr>
        <w:tab/>
        <w:t>Applications for licences</w:t>
      </w:r>
      <w:bookmarkEnd w:id="15"/>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24 amended: No. 58 of 2010 s. 141 and 176; No. 23 of 2014 s. 99; No. 44 of 2016 s. 37.]</w:t>
      </w:r>
    </w:p>
    <w:p>
      <w:pPr>
        <w:pStyle w:val="Ednotesection"/>
      </w:pPr>
      <w:r>
        <w:t>[</w:t>
      </w:r>
      <w:r>
        <w:rPr>
          <w:b/>
        </w:rPr>
        <w:t>25.</w:t>
      </w:r>
      <w:r>
        <w:tab/>
        <w:t>Deleted: No. 23 of 2014 s. 100.]</w:t>
      </w:r>
    </w:p>
    <w:p>
      <w:pPr>
        <w:pStyle w:val="Heading5"/>
        <w:rPr>
          <w:snapToGrid w:val="0"/>
        </w:rPr>
      </w:pPr>
      <w:bookmarkStart w:id="16" w:name="_Toc107495929"/>
      <w:r>
        <w:rPr>
          <w:rStyle w:val="CharSectno"/>
        </w:rPr>
        <w:t>26</w:t>
      </w:r>
      <w:r>
        <w:rPr>
          <w:snapToGrid w:val="0"/>
        </w:rPr>
        <w:t>.</w:t>
      </w:r>
      <w:r>
        <w:rPr>
          <w:snapToGrid w:val="0"/>
        </w:rPr>
        <w:tab/>
        <w:t>Settlement agents must be licensed</w:t>
      </w:r>
      <w:bookmarkEnd w:id="16"/>
    </w:p>
    <w:p>
      <w:pPr>
        <w:pStyle w:val="Subsection"/>
        <w:rPr>
          <w:snapToGrid w:val="0"/>
        </w:rPr>
      </w:pPr>
      <w:r>
        <w:rPr>
          <w:snapToGrid w:val="0"/>
        </w:rPr>
        <w:tab/>
        <w:t>(1)</w:t>
      </w:r>
      <w:r>
        <w:rPr>
          <w:snapToGrid w:val="0"/>
        </w:rPr>
        <w:tab/>
        <w:t>On and after the appointed day a person shall not carry on business, or by any means hold himself or itself out, as a real estate settlement agent, or a business settlement agent, or both a real estate settlement agent and a business settlement agent, unless he or it is licensed as such under this Act and holds a current triennial certificate in respect of the licence.</w:t>
      </w:r>
    </w:p>
    <w:p>
      <w:pPr>
        <w:pStyle w:val="Penstart"/>
        <w:rPr>
          <w:snapToGrid w:val="0"/>
        </w:rPr>
      </w:pPr>
      <w:r>
        <w:rPr>
          <w:snapToGrid w:val="0"/>
        </w:rPr>
        <w:tab/>
      </w:r>
      <w:r>
        <w:rPr>
          <w:szCs w:val="24"/>
        </w:rPr>
        <w:t xml:space="preserve">Penalty for this subsection: a fine of </w:t>
      </w:r>
      <w:r>
        <w:rPr>
          <w:snapToGrid w:val="0"/>
          <w:szCs w:val="24"/>
        </w:rPr>
        <w:t>$100 000.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Subsection"/>
        <w:keepNext/>
        <w:keepLines/>
      </w:pPr>
      <w:r>
        <w:lastRenderedPageBreak/>
        <w:tab/>
        <w:t>(3)</w:t>
      </w:r>
      <w:r>
        <w:tab/>
        <w:t>For subsection (1), a person is taken not to be licensed or holding a current triennial certificate in respect of the licence if the person is required to surrender a licence and triennial certificate under section 34D(2) and (3).</w:t>
      </w:r>
    </w:p>
    <w:p>
      <w:pPr>
        <w:pStyle w:val="Footnotesection"/>
        <w:spacing w:before="140"/>
      </w:pPr>
      <w:r>
        <w:tab/>
        <w:t>[Section 26 amended: No. 59 of 1995 s. 85; No. 25 of 2019 s. 74 and 88.]</w:t>
      </w:r>
    </w:p>
    <w:p>
      <w:pPr>
        <w:pStyle w:val="Heading5"/>
        <w:spacing w:before="260"/>
        <w:rPr>
          <w:snapToGrid w:val="0"/>
        </w:rPr>
      </w:pPr>
      <w:bookmarkStart w:id="17" w:name="_Toc107495930"/>
      <w:r>
        <w:rPr>
          <w:rStyle w:val="CharSectno"/>
        </w:rPr>
        <w:t>26A</w:t>
      </w:r>
      <w:r>
        <w:rPr>
          <w:snapToGrid w:val="0"/>
        </w:rPr>
        <w:t xml:space="preserve">. </w:t>
      </w:r>
      <w:r>
        <w:rPr>
          <w:snapToGrid w:val="0"/>
        </w:rPr>
        <w:tab/>
        <w:t>Licensed real estate agent may be exempted for certain settlements</w:t>
      </w:r>
      <w:bookmarkEnd w:id="17"/>
    </w:p>
    <w:p>
      <w:pPr>
        <w:pStyle w:val="Subsection"/>
        <w:spacing w:before="180"/>
        <w:rPr>
          <w:snapToGrid w:val="0"/>
        </w:rPr>
      </w:pPr>
      <w:r>
        <w:rPr>
          <w:snapToGrid w:val="0"/>
        </w:rPr>
        <w:tab/>
        <w:t>(1)</w:t>
      </w:r>
      <w:r>
        <w:rPr>
          <w:snapToGrid w:val="0"/>
        </w:rPr>
        <w:tab/>
        <w:t xml:space="preserve">Application may be made by a real estate agent licensed and carrying on business as such under the </w:t>
      </w:r>
      <w:r>
        <w:rPr>
          <w:i/>
          <w:snapToGrid w:val="0"/>
        </w:rPr>
        <w:t>Real Estate and Business Agents Act 1978</w:t>
      </w:r>
      <w:r>
        <w:rPr>
          <w:snapToGrid w:val="0"/>
        </w:rPr>
        <w:t xml:space="preserve"> for an exemption under this section.</w:t>
      </w:r>
    </w:p>
    <w:p>
      <w:pPr>
        <w:pStyle w:val="Subsection"/>
        <w:spacing w:before="180"/>
        <w:rPr>
          <w:snapToGrid w:val="0"/>
        </w:rPr>
      </w:pPr>
      <w:r>
        <w:rPr>
          <w:snapToGrid w:val="0"/>
        </w:rPr>
        <w:tab/>
        <w:t>(2)</w:t>
      </w:r>
      <w:r>
        <w:rPr>
          <w:snapToGrid w:val="0"/>
        </w:rPr>
        <w:tab/>
        <w:t xml:space="preserve">An application under subsection (1)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spacing w:before="18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80"/>
        <w:rPr>
          <w:snapToGrid w:val="0"/>
        </w:rPr>
      </w:pPr>
      <w:r>
        <w:rPr>
          <w:snapToGrid w:val="0"/>
        </w:rPr>
        <w:tab/>
        <w:t>(5)</w:t>
      </w:r>
      <w:r>
        <w:rPr>
          <w:snapToGrid w:val="0"/>
        </w:rPr>
        <w:tab/>
        <w:t xml:space="preserve">Subject to subsection (6), the </w:t>
      </w:r>
      <w:r>
        <w:t>Commissioner</w:t>
      </w:r>
      <w:r>
        <w:rPr>
          <w:snapToGrid w:val="0"/>
        </w:rPr>
        <w:t xml:space="preserve"> may grant an application under subsection (1) if —</w:t>
      </w:r>
    </w:p>
    <w:p>
      <w:pPr>
        <w:pStyle w:val="Indenta"/>
        <w:spacing w:before="100"/>
        <w:rPr>
          <w:snapToGrid w:val="0"/>
        </w:rPr>
      </w:pPr>
      <w:r>
        <w:rPr>
          <w:snapToGrid w:val="0"/>
        </w:rPr>
        <w:tab/>
        <w:t>(a)</w:t>
      </w:r>
      <w:r>
        <w:rPr>
          <w:snapToGrid w:val="0"/>
        </w:rPr>
        <w:tab/>
        <w:t xml:space="preserve">where the applicant is a person not being a body corporate, the </w:t>
      </w:r>
      <w:r>
        <w:t>Commissioner</w:t>
      </w:r>
      <w:r>
        <w:rPr>
          <w:snapToGrid w:val="0"/>
        </w:rPr>
        <w:t xml:space="preserve"> is satisfied that, if the application were for a real estate settlement agent’s licence, the requirements of section 27(1)(a), (b), and (d) would be fulfilled; or</w:t>
      </w:r>
    </w:p>
    <w:p>
      <w:pPr>
        <w:pStyle w:val="Indenta"/>
        <w:keepNext/>
        <w:rPr>
          <w:snapToGrid w:val="0"/>
        </w:rPr>
      </w:pPr>
      <w:r>
        <w:rPr>
          <w:snapToGrid w:val="0"/>
        </w:rPr>
        <w:tab/>
        <w:t>(b)</w:t>
      </w:r>
      <w:r>
        <w:rPr>
          <w:snapToGrid w:val="0"/>
        </w:rPr>
        <w:tab/>
        <w:t xml:space="preserve">where the applicants constitute a firm, the </w:t>
      </w:r>
      <w:r>
        <w:t>Commissioner</w:t>
      </w:r>
      <w:r>
        <w:rPr>
          <w:snapToGrid w:val="0"/>
        </w:rPr>
        <w:t xml:space="preserve"> is satisfied that —</w:t>
      </w:r>
    </w:p>
    <w:p>
      <w:pPr>
        <w:pStyle w:val="Indenti"/>
        <w:rPr>
          <w:snapToGrid w:val="0"/>
        </w:rPr>
      </w:pPr>
      <w:r>
        <w:rPr>
          <w:snapToGrid w:val="0"/>
        </w:rPr>
        <w:tab/>
        <w:t>(i)</w:t>
      </w:r>
      <w:r>
        <w:rPr>
          <w:snapToGrid w:val="0"/>
        </w:rPr>
        <w:tab/>
        <w:t>if the application were for a real estate settlement agent’s licence, the requirements of section 28(1)(a) would be fulfilled; and</w:t>
      </w:r>
    </w:p>
    <w:p>
      <w:pPr>
        <w:pStyle w:val="Indenti"/>
        <w:rPr>
          <w:snapToGrid w:val="0"/>
        </w:rPr>
      </w:pPr>
      <w:r>
        <w:rPr>
          <w:snapToGrid w:val="0"/>
        </w:rPr>
        <w:lastRenderedPageBreak/>
        <w:tab/>
        <w:t>(ii)</w:t>
      </w:r>
      <w:r>
        <w:rPr>
          <w:snapToGrid w:val="0"/>
        </w:rPr>
        <w:tab/>
        <w:t>where the firm is constituted by not more than 3 persons at least one of them is currently exempted under this section or where the firm is constituted by more than 3 persons at least 2 of them are currently exempted under this section; and</w:t>
      </w:r>
    </w:p>
    <w:p>
      <w:pPr>
        <w:pStyle w:val="Indenti"/>
        <w:rPr>
          <w:snapToGrid w:val="0"/>
        </w:rPr>
      </w:pPr>
      <w:r>
        <w:rPr>
          <w:snapToGrid w:val="0"/>
        </w:rPr>
        <w:tab/>
        <w:t>(iii)</w:t>
      </w:r>
      <w:r>
        <w:rPr>
          <w:snapToGrid w:val="0"/>
        </w:rPr>
        <w:tab/>
        <w:t>the person in bona fide control of the business is ordinarily resident in the State and is currently exempted under this section;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applicant is a body corporate, the </w:t>
      </w:r>
      <w:r>
        <w:t>Commissioner</w:t>
      </w:r>
      <w:r>
        <w:rPr>
          <w:snapToGrid w:val="0"/>
        </w:rPr>
        <w:t xml:space="preserve"> is satisfied that —</w:t>
      </w:r>
    </w:p>
    <w:p>
      <w:pPr>
        <w:pStyle w:val="Indenti"/>
        <w:rPr>
          <w:snapToGrid w:val="0"/>
        </w:rPr>
      </w:pPr>
      <w:r>
        <w:rPr>
          <w:snapToGrid w:val="0"/>
        </w:rPr>
        <w:tab/>
        <w:t>(i)</w:t>
      </w:r>
      <w:r>
        <w:rPr>
          <w:snapToGrid w:val="0"/>
        </w:rPr>
        <w:tab/>
        <w:t>if the application were for a real estate settlement agent’s licence, the requirements of section 29(1)(a) would be fulfilled; and</w:t>
      </w:r>
    </w:p>
    <w:p>
      <w:pPr>
        <w:pStyle w:val="Indenti"/>
        <w:rPr>
          <w:snapToGrid w:val="0"/>
        </w:rPr>
      </w:pPr>
      <w:r>
        <w:rPr>
          <w:snapToGrid w:val="0"/>
        </w:rPr>
        <w:tab/>
        <w:t>(ii)</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currently exempted under this section or where there are more than 3 directors of the body corporate at least 2 of them are currently exempted under this section; and</w:t>
      </w:r>
    </w:p>
    <w:p>
      <w:pPr>
        <w:pStyle w:val="Indenti"/>
        <w:rPr>
          <w:snapToGrid w:val="0"/>
        </w:rPr>
      </w:pPr>
      <w:r>
        <w:rPr>
          <w:snapToGrid w:val="0"/>
        </w:rPr>
        <w:tab/>
        <w:t>(iii)</w:t>
      </w:r>
      <w:r>
        <w:rPr>
          <w:snapToGrid w:val="0"/>
        </w:rPr>
        <w:tab/>
        <w:t>the person in bona fide control of the business is ordinarily resident in the State and is currently exempted under this section.</w:t>
      </w:r>
    </w:p>
    <w:p>
      <w:pPr>
        <w:pStyle w:val="Subsection"/>
        <w:rPr>
          <w:snapToGrid w:val="0"/>
        </w:rPr>
      </w:pPr>
      <w:r>
        <w:rPr>
          <w:snapToGrid w:val="0"/>
        </w:rPr>
        <w:tab/>
        <w:t>(6)</w:t>
      </w:r>
      <w:r>
        <w:rPr>
          <w:snapToGrid w:val="0"/>
        </w:rPr>
        <w:tab/>
        <w:t>A person shall not at the same time be currently exempted under this section and licensed as a real estate settlement agent.</w:t>
      </w:r>
    </w:p>
    <w:p>
      <w:pPr>
        <w:pStyle w:val="Subsection"/>
        <w:rPr>
          <w:snapToGrid w:val="0"/>
        </w:rPr>
      </w:pPr>
      <w:r>
        <w:rPr>
          <w:snapToGrid w:val="0"/>
        </w:rPr>
        <w:tab/>
        <w:t>(7)</w:t>
      </w:r>
      <w:r>
        <w:rPr>
          <w:snapToGrid w:val="0"/>
        </w:rPr>
        <w:tab/>
        <w:t>A current exemption under this section applies to a settlement arranged or effected by the person to whom the exemption was granted, but only if —</w:t>
      </w:r>
    </w:p>
    <w:p>
      <w:pPr>
        <w:pStyle w:val="Indenta"/>
        <w:spacing w:before="120"/>
        <w:rPr>
          <w:snapToGrid w:val="0"/>
        </w:rPr>
      </w:pPr>
      <w:r>
        <w:rPr>
          <w:snapToGrid w:val="0"/>
        </w:rPr>
        <w:tab/>
        <w:t>(a)</w:t>
      </w:r>
      <w:r>
        <w:rPr>
          <w:snapToGrid w:val="0"/>
        </w:rPr>
        <w:tab/>
        <w:t>the settlement is of a real estate transaction in respect of which the person acted in the course of business as a real estate agent; and</w:t>
      </w:r>
    </w:p>
    <w:p>
      <w:pPr>
        <w:pStyle w:val="Indenta"/>
        <w:spacing w:before="120"/>
        <w:rPr>
          <w:snapToGrid w:val="0"/>
        </w:rPr>
      </w:pPr>
      <w:r>
        <w:rPr>
          <w:snapToGrid w:val="0"/>
        </w:rPr>
        <w:lastRenderedPageBreak/>
        <w:tab/>
        <w:t>(b)</w:t>
      </w:r>
      <w:r>
        <w:rPr>
          <w:snapToGrid w:val="0"/>
        </w:rPr>
        <w:tab/>
        <w:t>the settlement is not arranged or effected for reward; and</w:t>
      </w:r>
    </w:p>
    <w:p>
      <w:pPr>
        <w:pStyle w:val="Indenta"/>
        <w:spacing w:before="120"/>
        <w:rPr>
          <w:snapToGrid w:val="0"/>
        </w:rPr>
      </w:pPr>
      <w:r>
        <w:rPr>
          <w:snapToGrid w:val="0"/>
        </w:rPr>
        <w:tab/>
        <w:t>(c)</w:t>
      </w:r>
      <w:r>
        <w:rPr>
          <w:snapToGrid w:val="0"/>
        </w:rPr>
        <w:tab/>
        <w:t>before arranging or effecting the settlement the person gives to the person or, if there be more than one, to each person, for whom the settlement is to be arranged or effected, a notice in the prescribed form warning that, if settlement is so arranged or effected, no protection will be afforded by this Act.</w:t>
      </w:r>
    </w:p>
    <w:p>
      <w:pPr>
        <w:pStyle w:val="Subsection"/>
        <w:rPr>
          <w:snapToGrid w:val="0"/>
        </w:rPr>
      </w:pPr>
      <w:r>
        <w:rPr>
          <w:snapToGrid w:val="0"/>
        </w:rPr>
        <w:tab/>
        <w:t>(8)</w:t>
      </w:r>
      <w:r>
        <w:rPr>
          <w:snapToGrid w:val="0"/>
        </w:rPr>
        <w:tab/>
        <w:t>An exemption under this section is current until —</w:t>
      </w:r>
    </w:p>
    <w:p>
      <w:pPr>
        <w:pStyle w:val="Indenta"/>
        <w:rPr>
          <w:snapToGrid w:val="0"/>
        </w:rPr>
      </w:pPr>
      <w:r>
        <w:rPr>
          <w:snapToGrid w:val="0"/>
        </w:rPr>
        <w:tab/>
        <w:t>(a)</w:t>
      </w:r>
      <w:r>
        <w:rPr>
          <w:snapToGrid w:val="0"/>
        </w:rPr>
        <w:tab/>
        <w:t xml:space="preserve">by notice in writing given to the </w:t>
      </w:r>
      <w:r>
        <w:t>Commissioner</w:t>
      </w:r>
      <w:r>
        <w:rPr>
          <w:snapToGrid w:val="0"/>
        </w:rPr>
        <w:t>, it is surrendered by the person to whom it was granted; or</w:t>
      </w:r>
    </w:p>
    <w:p>
      <w:pPr>
        <w:pStyle w:val="Indenta"/>
        <w:rPr>
          <w:snapToGrid w:val="0"/>
        </w:rPr>
      </w:pPr>
      <w:r>
        <w:rPr>
          <w:snapToGrid w:val="0"/>
        </w:rPr>
        <w:tab/>
        <w:t>(b)</w:t>
      </w:r>
      <w:r>
        <w:rPr>
          <w:snapToGrid w:val="0"/>
        </w:rPr>
        <w:tab/>
        <w:t xml:space="preserve">by notice in writing given to the person to whom it was granted, it is revoked by the </w:t>
      </w:r>
      <w:r>
        <w:t>Commissioner</w:t>
      </w:r>
      <w:r>
        <w:rPr>
          <w:snapToGrid w:val="0"/>
        </w:rPr>
        <w:t>.</w:t>
      </w:r>
    </w:p>
    <w:p>
      <w:pPr>
        <w:pStyle w:val="Footnotesection"/>
      </w:pPr>
      <w:r>
        <w:tab/>
        <w:t>[Section 26A inserted: No. 64 of 1982 s. 3; amended: No. 58 of 2010 s. 176; No. 44 of 2016 s. 38.]</w:t>
      </w:r>
    </w:p>
    <w:p>
      <w:pPr>
        <w:pStyle w:val="Heading5"/>
        <w:rPr>
          <w:snapToGrid w:val="0"/>
        </w:rPr>
      </w:pPr>
      <w:bookmarkStart w:id="18" w:name="_Toc107495931"/>
      <w:r>
        <w:rPr>
          <w:rStyle w:val="CharSectno"/>
        </w:rPr>
        <w:t>26B</w:t>
      </w:r>
      <w:r>
        <w:rPr>
          <w:snapToGrid w:val="0"/>
        </w:rPr>
        <w:t xml:space="preserve">. </w:t>
      </w:r>
      <w:r>
        <w:rPr>
          <w:snapToGrid w:val="0"/>
        </w:rPr>
        <w:tab/>
        <w:t>Licensed business agent may be exempted for certain settlements</w:t>
      </w:r>
      <w:bookmarkEnd w:id="18"/>
    </w:p>
    <w:p>
      <w:pPr>
        <w:pStyle w:val="Subsection"/>
        <w:rPr>
          <w:snapToGrid w:val="0"/>
        </w:rPr>
      </w:pPr>
      <w:r>
        <w:rPr>
          <w:snapToGrid w:val="0"/>
        </w:rPr>
        <w:tab/>
        <w:t>(1)</w:t>
      </w:r>
      <w:r>
        <w:rPr>
          <w:snapToGrid w:val="0"/>
        </w:rPr>
        <w:tab/>
        <w:t xml:space="preserve">Application may be made by a business agent licensed and carrying on business as such under the </w:t>
      </w:r>
      <w:r>
        <w:rPr>
          <w:i/>
          <w:snapToGrid w:val="0"/>
        </w:rPr>
        <w:t>Real Estate and Business Agents Act 1978</w:t>
      </w:r>
      <w:r>
        <w:rPr>
          <w:snapToGrid w:val="0"/>
        </w:rPr>
        <w:t xml:space="preserve"> for an exemption under this section.</w:t>
      </w:r>
    </w:p>
    <w:p>
      <w:pPr>
        <w:pStyle w:val="Subsection"/>
        <w:rPr>
          <w:snapToGrid w:val="0"/>
        </w:rPr>
      </w:pPr>
      <w:r>
        <w:rPr>
          <w:snapToGrid w:val="0"/>
        </w:rPr>
        <w:tab/>
        <w:t>(2)</w:t>
      </w:r>
      <w:r>
        <w:rPr>
          <w:snapToGrid w:val="0"/>
        </w:rPr>
        <w:tab/>
        <w:t xml:space="preserve">An application under subsection (1)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keepNext/>
        <w:rPr>
          <w:snapToGrid w:val="0"/>
        </w:rPr>
      </w:pPr>
      <w:r>
        <w:rPr>
          <w:snapToGrid w:val="0"/>
        </w:rPr>
        <w:lastRenderedPageBreak/>
        <w:tab/>
        <w:t>(5)</w:t>
      </w:r>
      <w:r>
        <w:rPr>
          <w:snapToGrid w:val="0"/>
        </w:rPr>
        <w:tab/>
        <w:t xml:space="preserve">Subject to subsection (6), the </w:t>
      </w:r>
      <w:r>
        <w:t>Commissioner</w:t>
      </w:r>
      <w:r>
        <w:rPr>
          <w:snapToGrid w:val="0"/>
        </w:rPr>
        <w:t xml:space="preserve"> may grant an application under subsection (1) if —</w:t>
      </w:r>
    </w:p>
    <w:p>
      <w:pPr>
        <w:pStyle w:val="Indenta"/>
        <w:rPr>
          <w:snapToGrid w:val="0"/>
        </w:rPr>
      </w:pPr>
      <w:r>
        <w:rPr>
          <w:snapToGrid w:val="0"/>
        </w:rPr>
        <w:tab/>
        <w:t>(a)</w:t>
      </w:r>
      <w:r>
        <w:rPr>
          <w:snapToGrid w:val="0"/>
        </w:rPr>
        <w:tab/>
        <w:t xml:space="preserve">where the applicant is a person not being a body corporate, the </w:t>
      </w:r>
      <w:r>
        <w:t>Commissioner</w:t>
      </w:r>
      <w:r>
        <w:rPr>
          <w:snapToGrid w:val="0"/>
        </w:rPr>
        <w:t xml:space="preserve"> is satisfied that, if the application were for a business settlement agent’s licence, the requirements of section 27(1)(a), (b), and (d) would be fulfilled; or</w:t>
      </w:r>
    </w:p>
    <w:p>
      <w:pPr>
        <w:pStyle w:val="Indenta"/>
        <w:rPr>
          <w:snapToGrid w:val="0"/>
        </w:rPr>
      </w:pPr>
      <w:r>
        <w:rPr>
          <w:snapToGrid w:val="0"/>
        </w:rPr>
        <w:tab/>
        <w:t>(b)</w:t>
      </w:r>
      <w:r>
        <w:rPr>
          <w:snapToGrid w:val="0"/>
        </w:rPr>
        <w:tab/>
        <w:t xml:space="preserve">where the applicants constitute a firm, the </w:t>
      </w:r>
      <w:r>
        <w:t>Commissioner</w:t>
      </w:r>
      <w:r>
        <w:rPr>
          <w:snapToGrid w:val="0"/>
        </w:rPr>
        <w:t xml:space="preserve"> is satisfied that —</w:t>
      </w:r>
    </w:p>
    <w:p>
      <w:pPr>
        <w:pStyle w:val="Indenti"/>
        <w:rPr>
          <w:snapToGrid w:val="0"/>
        </w:rPr>
      </w:pPr>
      <w:r>
        <w:rPr>
          <w:snapToGrid w:val="0"/>
        </w:rPr>
        <w:tab/>
        <w:t>(i)</w:t>
      </w:r>
      <w:r>
        <w:rPr>
          <w:snapToGrid w:val="0"/>
        </w:rPr>
        <w:tab/>
        <w:t>if the application were for a business settlement agent’s licence, the requirements of section 28(1)(a) would be fulfilled; and</w:t>
      </w:r>
    </w:p>
    <w:p>
      <w:pPr>
        <w:pStyle w:val="Indenti"/>
        <w:rPr>
          <w:snapToGrid w:val="0"/>
        </w:rPr>
      </w:pPr>
      <w:r>
        <w:rPr>
          <w:snapToGrid w:val="0"/>
        </w:rPr>
        <w:tab/>
        <w:t>(ii)</w:t>
      </w:r>
      <w:r>
        <w:rPr>
          <w:snapToGrid w:val="0"/>
        </w:rPr>
        <w:tab/>
        <w:t>where the firm is constituted by not more than 3 persons at least one of them is currently exempted under this section or where the firm is constituted by more than 3 persons at least 2 of them are currently exempted under this section; and</w:t>
      </w:r>
    </w:p>
    <w:p>
      <w:pPr>
        <w:pStyle w:val="Indenti"/>
        <w:rPr>
          <w:snapToGrid w:val="0"/>
        </w:rPr>
      </w:pPr>
      <w:r>
        <w:rPr>
          <w:snapToGrid w:val="0"/>
        </w:rPr>
        <w:tab/>
        <w:t>(iii)</w:t>
      </w:r>
      <w:r>
        <w:rPr>
          <w:snapToGrid w:val="0"/>
        </w:rPr>
        <w:tab/>
        <w:t>the person in bona fide control of the business is ordinarily resident in the State and is currently exempted under this section;</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applicant is a body corporate, the </w:t>
      </w:r>
      <w:r>
        <w:t>Commissioner</w:t>
      </w:r>
      <w:r>
        <w:rPr>
          <w:snapToGrid w:val="0"/>
        </w:rPr>
        <w:t xml:space="preserve"> is satisfied that —</w:t>
      </w:r>
    </w:p>
    <w:p>
      <w:pPr>
        <w:pStyle w:val="Indenti"/>
        <w:rPr>
          <w:snapToGrid w:val="0"/>
        </w:rPr>
      </w:pPr>
      <w:r>
        <w:rPr>
          <w:snapToGrid w:val="0"/>
        </w:rPr>
        <w:tab/>
        <w:t>(i)</w:t>
      </w:r>
      <w:r>
        <w:rPr>
          <w:snapToGrid w:val="0"/>
        </w:rPr>
        <w:tab/>
        <w:t>if the application were for a business settlement agent’s licence, the requirements of section 29(1)(a) would be fulfilled; and</w:t>
      </w:r>
    </w:p>
    <w:p>
      <w:pPr>
        <w:pStyle w:val="Indenti"/>
        <w:keepNext/>
        <w:rPr>
          <w:snapToGrid w:val="0"/>
        </w:rPr>
      </w:pPr>
      <w:r>
        <w:rPr>
          <w:snapToGrid w:val="0"/>
        </w:rPr>
        <w:tab/>
        <w:t>(ii)</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currently exempted under this section or where there are more than 3 directors of the body corporate at </w:t>
      </w:r>
      <w:r>
        <w:rPr>
          <w:snapToGrid w:val="0"/>
        </w:rPr>
        <w:lastRenderedPageBreak/>
        <w:t>least 2 of them are currently exempted under this section; and</w:t>
      </w:r>
    </w:p>
    <w:p>
      <w:pPr>
        <w:pStyle w:val="Indenti"/>
        <w:rPr>
          <w:snapToGrid w:val="0"/>
        </w:rPr>
      </w:pPr>
      <w:r>
        <w:rPr>
          <w:snapToGrid w:val="0"/>
        </w:rPr>
        <w:tab/>
        <w:t>(iii)</w:t>
      </w:r>
      <w:r>
        <w:rPr>
          <w:snapToGrid w:val="0"/>
        </w:rPr>
        <w:tab/>
        <w:t>the person in bona fide control of the business is ordinarily resident in the State and is currently exempted under this section.</w:t>
      </w:r>
    </w:p>
    <w:p>
      <w:pPr>
        <w:pStyle w:val="Subsection"/>
        <w:rPr>
          <w:snapToGrid w:val="0"/>
        </w:rPr>
      </w:pPr>
      <w:r>
        <w:rPr>
          <w:snapToGrid w:val="0"/>
        </w:rPr>
        <w:tab/>
        <w:t>(6)</w:t>
      </w:r>
      <w:r>
        <w:rPr>
          <w:snapToGrid w:val="0"/>
        </w:rPr>
        <w:tab/>
        <w:t>A person shall not at the same time be currently exempted under this section and licensed as a business settlement agent.</w:t>
      </w:r>
    </w:p>
    <w:p>
      <w:pPr>
        <w:pStyle w:val="Subsection"/>
        <w:rPr>
          <w:snapToGrid w:val="0"/>
        </w:rPr>
      </w:pPr>
      <w:r>
        <w:rPr>
          <w:snapToGrid w:val="0"/>
        </w:rPr>
        <w:tab/>
        <w:t>(7)</w:t>
      </w:r>
      <w:r>
        <w:rPr>
          <w:snapToGrid w:val="0"/>
        </w:rPr>
        <w:tab/>
        <w:t>A current exemption under this section applies to a settlement arranged or effected by the person to whom the exemption was granted, but only if —</w:t>
      </w:r>
    </w:p>
    <w:p>
      <w:pPr>
        <w:pStyle w:val="Indenta"/>
        <w:rPr>
          <w:snapToGrid w:val="0"/>
        </w:rPr>
      </w:pPr>
      <w:r>
        <w:rPr>
          <w:snapToGrid w:val="0"/>
        </w:rPr>
        <w:tab/>
        <w:t>(a)</w:t>
      </w:r>
      <w:r>
        <w:rPr>
          <w:snapToGrid w:val="0"/>
        </w:rPr>
        <w:tab/>
        <w:t>the settlement is of a business transaction in respect of which the person acted in the course of business as a business agent; and</w:t>
      </w:r>
    </w:p>
    <w:p>
      <w:pPr>
        <w:pStyle w:val="Indenta"/>
        <w:rPr>
          <w:snapToGrid w:val="0"/>
        </w:rPr>
      </w:pPr>
      <w:r>
        <w:rPr>
          <w:snapToGrid w:val="0"/>
        </w:rPr>
        <w:tab/>
        <w:t>(b)</w:t>
      </w:r>
      <w:r>
        <w:rPr>
          <w:snapToGrid w:val="0"/>
        </w:rPr>
        <w:tab/>
        <w:t>the settlement is not arranged or effected for reward; and</w:t>
      </w:r>
    </w:p>
    <w:p>
      <w:pPr>
        <w:pStyle w:val="Indenta"/>
        <w:rPr>
          <w:snapToGrid w:val="0"/>
        </w:rPr>
      </w:pPr>
      <w:r>
        <w:rPr>
          <w:snapToGrid w:val="0"/>
        </w:rPr>
        <w:tab/>
        <w:t>(c)</w:t>
      </w:r>
      <w:r>
        <w:rPr>
          <w:snapToGrid w:val="0"/>
        </w:rPr>
        <w:tab/>
        <w:t>before arranging or effecting the settlement the person gives to the person or, if there be more than one, to each person, for whom the settlement is to be arranged or effected, a notice in the prescribed form warning that, if settlement is so arranged or effected, no protection will be afforded by this Act.</w:t>
      </w:r>
    </w:p>
    <w:p>
      <w:pPr>
        <w:pStyle w:val="Subsection"/>
        <w:keepNext/>
        <w:rPr>
          <w:snapToGrid w:val="0"/>
        </w:rPr>
      </w:pPr>
      <w:r>
        <w:rPr>
          <w:snapToGrid w:val="0"/>
        </w:rPr>
        <w:tab/>
        <w:t>(8)</w:t>
      </w:r>
      <w:r>
        <w:rPr>
          <w:snapToGrid w:val="0"/>
        </w:rPr>
        <w:tab/>
        <w:t>An exemption under this section is current until —</w:t>
      </w:r>
    </w:p>
    <w:p>
      <w:pPr>
        <w:pStyle w:val="Indenta"/>
        <w:rPr>
          <w:snapToGrid w:val="0"/>
        </w:rPr>
      </w:pPr>
      <w:r>
        <w:rPr>
          <w:snapToGrid w:val="0"/>
        </w:rPr>
        <w:tab/>
        <w:t>(a)</w:t>
      </w:r>
      <w:r>
        <w:rPr>
          <w:snapToGrid w:val="0"/>
        </w:rPr>
        <w:tab/>
        <w:t xml:space="preserve">by notice in writing given to the </w:t>
      </w:r>
      <w:r>
        <w:t>Commissioner</w:t>
      </w:r>
      <w:r>
        <w:rPr>
          <w:snapToGrid w:val="0"/>
        </w:rPr>
        <w:t>, it is surrendered by the person to whom it was granted; or</w:t>
      </w:r>
    </w:p>
    <w:p>
      <w:pPr>
        <w:pStyle w:val="Indenta"/>
        <w:rPr>
          <w:snapToGrid w:val="0"/>
        </w:rPr>
      </w:pPr>
      <w:r>
        <w:rPr>
          <w:snapToGrid w:val="0"/>
        </w:rPr>
        <w:tab/>
        <w:t>(b)</w:t>
      </w:r>
      <w:r>
        <w:rPr>
          <w:snapToGrid w:val="0"/>
        </w:rPr>
        <w:tab/>
        <w:t xml:space="preserve">by notice in writing given to the person to whom it was granted, it is revoked by the </w:t>
      </w:r>
      <w:r>
        <w:t>Commissioner</w:t>
      </w:r>
      <w:r>
        <w:rPr>
          <w:snapToGrid w:val="0"/>
        </w:rPr>
        <w:t>.</w:t>
      </w:r>
    </w:p>
    <w:p>
      <w:pPr>
        <w:pStyle w:val="Footnotesection"/>
      </w:pPr>
      <w:r>
        <w:tab/>
        <w:t>[Section 26B inserted: No. 64 of 1982 s. 3; amended: No. 58 of 2010 s. 176; No. 44 of 2016 s. 39.]</w:t>
      </w:r>
    </w:p>
    <w:p>
      <w:pPr>
        <w:pStyle w:val="Heading5"/>
        <w:rPr>
          <w:snapToGrid w:val="0"/>
        </w:rPr>
      </w:pPr>
      <w:bookmarkStart w:id="19" w:name="_Toc107495932"/>
      <w:r>
        <w:rPr>
          <w:rStyle w:val="CharSectno"/>
        </w:rPr>
        <w:t>27</w:t>
      </w:r>
      <w:r>
        <w:rPr>
          <w:snapToGrid w:val="0"/>
        </w:rPr>
        <w:t>.</w:t>
      </w:r>
      <w:r>
        <w:rPr>
          <w:snapToGrid w:val="0"/>
        </w:rPr>
        <w:tab/>
        <w:t>Licensing of individuals</w:t>
      </w:r>
      <w:bookmarkEnd w:id="19"/>
    </w:p>
    <w:p>
      <w:pPr>
        <w:pStyle w:val="Subsection"/>
        <w:keepNext/>
        <w:spacing w:before="130"/>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real estate settlement agent’s licence or a business settlement agent’s licence, or both, and pays to the </w:t>
      </w:r>
      <w:r>
        <w:t>Commissioner</w:t>
      </w:r>
      <w:r>
        <w:rPr>
          <w:snapToGrid w:val="0"/>
        </w:rPr>
        <w:t xml:space="preserve"> the prescribed fee for the licence shall be granted </w:t>
      </w:r>
      <w:r>
        <w:rPr>
          <w:snapToGrid w:val="0"/>
        </w:rPr>
        <w:lastRenderedPageBreak/>
        <w:t xml:space="preserve">and may hold a licence if the </w:t>
      </w:r>
      <w:r>
        <w:t>Commissioner</w:t>
      </w:r>
      <w:r>
        <w:rPr>
          <w:snapToGrid w:val="0"/>
        </w:rPr>
        <w:t xml:space="preserve"> is satisfied </w:t>
      </w:r>
      <w:r>
        <w:t>that the individual —</w:t>
      </w:r>
    </w:p>
    <w:p>
      <w:pPr>
        <w:pStyle w:val="Indenta"/>
        <w:spacing w:before="60"/>
        <w:rPr>
          <w:snapToGrid w:val="0"/>
        </w:rPr>
      </w:pPr>
      <w:r>
        <w:rPr>
          <w:snapToGrid w:val="0"/>
        </w:rPr>
        <w:tab/>
        <w:t>(a)</w:t>
      </w:r>
      <w:r>
        <w:rPr>
          <w:snapToGrid w:val="0"/>
        </w:rPr>
        <w:tab/>
        <w:t>is of or over the age of 18 years; and</w:t>
      </w:r>
    </w:p>
    <w:p>
      <w:pPr>
        <w:pStyle w:val="Indenta"/>
        <w:spacing w:before="60"/>
        <w:rPr>
          <w:snapToGrid w:val="0"/>
        </w:rPr>
      </w:pPr>
      <w:r>
        <w:rPr>
          <w:snapToGrid w:val="0"/>
        </w:rPr>
        <w:tab/>
        <w:t>(b)</w:t>
      </w:r>
      <w:r>
        <w:rPr>
          <w:snapToGrid w:val="0"/>
        </w:rPr>
        <w:tab/>
        <w:t>is a person of good character and repute and a fit and proper person to hold a licence; and</w:t>
      </w:r>
    </w:p>
    <w:p>
      <w:pPr>
        <w:pStyle w:val="Indenta"/>
        <w:spacing w:before="60"/>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pPr>
        <w:pStyle w:val="Indenta"/>
        <w:spacing w:before="60"/>
        <w:rPr>
          <w:snapToGrid w:val="0"/>
        </w:rPr>
      </w:pPr>
      <w:r>
        <w:rPr>
          <w:snapToGrid w:val="0"/>
        </w:rPr>
        <w:tab/>
        <w:t>(d)</w:t>
      </w:r>
      <w:r>
        <w:rPr>
          <w:snapToGrid w:val="0"/>
        </w:rPr>
        <w:tab/>
        <w:t>is ordinarily resident in the State; and</w:t>
      </w:r>
    </w:p>
    <w:p>
      <w:pPr>
        <w:pStyle w:val="Indenta"/>
        <w:spacing w:before="60"/>
        <w:rPr>
          <w:snapToGrid w:val="0"/>
        </w:rPr>
      </w:pPr>
      <w:r>
        <w:rPr>
          <w:snapToGrid w:val="0"/>
        </w:rPr>
        <w:tab/>
        <w:t>(e)</w:t>
      </w:r>
      <w:r>
        <w:rPr>
          <w:snapToGrid w:val="0"/>
        </w:rPr>
        <w:tab/>
        <w:t>understands fully the duties and obligations imposed by this Act on settlement agents.</w:t>
      </w:r>
    </w:p>
    <w:p>
      <w:pPr>
        <w:pStyle w:val="Subsection"/>
        <w:spacing w:before="130"/>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Schedule 1 subject to the savings and exceptions provided therein and elsewhere in this Act, but nothing in that Schedule shall derogate from the discretion conferred on the </w:t>
      </w:r>
      <w:r>
        <w:t>Commissioner</w:t>
      </w:r>
      <w:r>
        <w:rPr>
          <w:snapToGrid w:val="0"/>
        </w:rPr>
        <w:t xml:space="preserve"> by subsection (1) in the granting of a licence.</w:t>
      </w:r>
    </w:p>
    <w:p>
      <w:pPr>
        <w:pStyle w:val="Footnotesection"/>
        <w:spacing w:before="80"/>
      </w:pPr>
      <w:r>
        <w:tab/>
        <w:t>[Section 27 amended: No. 58 of 2010 s. 176; No. 25 of 2019 s. 75.]</w:t>
      </w:r>
    </w:p>
    <w:p>
      <w:pPr>
        <w:pStyle w:val="Heading5"/>
        <w:spacing w:before="200"/>
        <w:rPr>
          <w:snapToGrid w:val="0"/>
        </w:rPr>
      </w:pPr>
      <w:bookmarkStart w:id="20" w:name="_Toc107495933"/>
      <w:r>
        <w:rPr>
          <w:rStyle w:val="CharSectno"/>
        </w:rPr>
        <w:t>28</w:t>
      </w:r>
      <w:r>
        <w:rPr>
          <w:snapToGrid w:val="0"/>
        </w:rPr>
        <w:t>.</w:t>
      </w:r>
      <w:r>
        <w:rPr>
          <w:snapToGrid w:val="0"/>
        </w:rPr>
        <w:tab/>
        <w:t>Firms, licensing of</w:t>
      </w:r>
      <w:bookmarkEnd w:id="20"/>
    </w:p>
    <w:p>
      <w:pPr>
        <w:pStyle w:val="Subsection"/>
        <w:spacing w:before="120"/>
        <w:rPr>
          <w:snapToGrid w:val="0"/>
        </w:rPr>
      </w:pPr>
      <w:r>
        <w:rPr>
          <w:snapToGrid w:val="0"/>
        </w:rPr>
        <w:tab/>
        <w:t>(1)</w:t>
      </w:r>
      <w:r>
        <w:rPr>
          <w:snapToGrid w:val="0"/>
        </w:rPr>
        <w:tab/>
        <w:t xml:space="preserve">Subject to this Act, 2 or more persons constituting a firm who apply to the </w:t>
      </w:r>
      <w:r>
        <w:t>Commissioner</w:t>
      </w:r>
      <w:r>
        <w:rPr>
          <w:snapToGrid w:val="0"/>
        </w:rPr>
        <w:t xml:space="preserve"> for a real estate settlement agent’s licence or a business settlement agent’s licence, or both,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spacing w:before="60"/>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 settlement agent’s business; and</w:t>
      </w:r>
    </w:p>
    <w:p>
      <w:pPr>
        <w:pStyle w:val="Indenta"/>
        <w:rPr>
          <w:snapToGrid w:val="0"/>
        </w:rPr>
      </w:pPr>
      <w:r>
        <w:rPr>
          <w:snapToGrid w:val="0"/>
        </w:rPr>
        <w:lastRenderedPageBreak/>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keepNext/>
        <w:rPr>
          <w:snapToGrid w:val="0"/>
        </w:rPr>
      </w:pPr>
      <w:r>
        <w:rPr>
          <w:snapToGrid w:val="0"/>
        </w:rPr>
        <w:tab/>
        <w:t>(d)</w:t>
      </w:r>
      <w:r>
        <w:rPr>
          <w:snapToGrid w:val="0"/>
        </w:rPr>
        <w:tab/>
        <w:t>the person in bona fide control of the business operated under the licence is —</w:t>
      </w:r>
    </w:p>
    <w:p>
      <w:pPr>
        <w:pStyle w:val="Indenti"/>
        <w:rPr>
          <w:snapToGrid w:val="0"/>
        </w:rPr>
      </w:pPr>
      <w:r>
        <w:rPr>
          <w:snapToGrid w:val="0"/>
        </w:rPr>
        <w:tab/>
        <w:t>(i)</w:t>
      </w:r>
      <w:r>
        <w:rPr>
          <w:snapToGrid w:val="0"/>
        </w:rPr>
        <w:tab/>
        <w:t>in the case of an application for a real estate settlement agent’s licence, licensed as a real estate settlement agent and holds a current triennial certificate; and</w:t>
      </w:r>
    </w:p>
    <w:p>
      <w:pPr>
        <w:pStyle w:val="Indenti"/>
        <w:rPr>
          <w:snapToGrid w:val="0"/>
        </w:rPr>
      </w:pPr>
      <w:r>
        <w:rPr>
          <w:snapToGrid w:val="0"/>
        </w:rPr>
        <w:tab/>
        <w:t>(ii)</w:t>
      </w:r>
      <w:r>
        <w:rPr>
          <w:snapToGrid w:val="0"/>
        </w:rPr>
        <w:tab/>
        <w:t>in the case of an application for a business settlement agent’s licence, licensed as a business settlement agent and holds a current triennial certificate; and</w:t>
      </w:r>
    </w:p>
    <w:p>
      <w:pPr>
        <w:pStyle w:val="Indenti"/>
        <w:rPr>
          <w:snapToGrid w:val="0"/>
        </w:rPr>
      </w:pPr>
      <w:r>
        <w:rPr>
          <w:snapToGrid w:val="0"/>
        </w:rPr>
        <w:tab/>
        <w:t>(iii)</w:t>
      </w:r>
      <w:r>
        <w:rPr>
          <w:snapToGrid w:val="0"/>
        </w:rPr>
        <w:tab/>
        <w:t>ordinarily resident in the State.</w:t>
      </w:r>
    </w:p>
    <w:p>
      <w:pPr>
        <w:pStyle w:val="Subsection"/>
        <w:rPr>
          <w:snapToGrid w:val="0"/>
        </w:rPr>
      </w:pPr>
      <w:r>
        <w:rPr>
          <w:snapToGrid w:val="0"/>
        </w:rPr>
        <w:tab/>
        <w:t>(2)</w:t>
      </w:r>
      <w:r>
        <w:rPr>
          <w:snapToGrid w:val="0"/>
        </w:rPr>
        <w:tab/>
        <w:t>The provisions of clause 10 of Schedule 1 apply to a licence granted under this section.</w:t>
      </w:r>
    </w:p>
    <w:p>
      <w:pPr>
        <w:pStyle w:val="Footnotesection"/>
      </w:pPr>
      <w:r>
        <w:tab/>
        <w:t>[Section 28 amended: No. 58 of 2010 s. 176.]</w:t>
      </w:r>
    </w:p>
    <w:p>
      <w:pPr>
        <w:pStyle w:val="Heading5"/>
        <w:rPr>
          <w:snapToGrid w:val="0"/>
        </w:rPr>
      </w:pPr>
      <w:bookmarkStart w:id="21" w:name="_Toc107495934"/>
      <w:r>
        <w:rPr>
          <w:rStyle w:val="CharSectno"/>
        </w:rPr>
        <w:t>29</w:t>
      </w:r>
      <w:r>
        <w:rPr>
          <w:snapToGrid w:val="0"/>
        </w:rPr>
        <w:t>.</w:t>
      </w:r>
      <w:r>
        <w:rPr>
          <w:snapToGrid w:val="0"/>
        </w:rPr>
        <w:tab/>
        <w:t>Bodies corporate, licensing of</w:t>
      </w:r>
      <w:bookmarkEnd w:id="21"/>
    </w:p>
    <w:p>
      <w:pPr>
        <w:pStyle w:val="Subsection"/>
        <w:keepNext/>
        <w:rPr>
          <w:snapToGrid w:val="0"/>
        </w:rPr>
      </w:pPr>
      <w:r>
        <w:rPr>
          <w:snapToGrid w:val="0"/>
        </w:rPr>
        <w:tab/>
        <w:t>(1)</w:t>
      </w:r>
      <w:r>
        <w:rPr>
          <w:snapToGrid w:val="0"/>
        </w:rPr>
        <w:tab/>
        <w:t xml:space="preserve">Subject to this Act, a body corporate which applies to the </w:t>
      </w:r>
      <w:r>
        <w:t>Commissioner</w:t>
      </w:r>
      <w:r>
        <w:rPr>
          <w:snapToGrid w:val="0"/>
        </w:rPr>
        <w:t xml:space="preserve"> for a real estate settlement agent’s licence or a business settlement agent’s licence, or both,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 xml:space="preserve">all of the directors of the body corporate, and all of the persons concerned in the management or conduct of the body corporate, are persons of good character and repute and are persons fit to be concerned as directors of, or in </w:t>
      </w:r>
      <w:r>
        <w:rPr>
          <w:snapToGrid w:val="0"/>
        </w:rPr>
        <w:lastRenderedPageBreak/>
        <w:t>the management and control of, a settlement agent’s business; and</w:t>
      </w:r>
    </w:p>
    <w:p>
      <w:pPr>
        <w:pStyle w:val="Indenta"/>
        <w:rPr>
          <w:snapToGrid w:val="0"/>
        </w:rPr>
      </w:pPr>
      <w:r>
        <w:rPr>
          <w:snapToGrid w:val="0"/>
        </w:rPr>
        <w:tab/>
        <w:t>(b)</w:t>
      </w:r>
      <w:r>
        <w:rPr>
          <w:snapToGrid w:val="0"/>
        </w:rPr>
        <w:tab/>
        <w:t>it has sufficient material and financial resources available to it to comply with the requirements of this Act; and</w:t>
      </w:r>
    </w:p>
    <w:p>
      <w:pPr>
        <w:pStyle w:val="Indenta"/>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where there are more than 3 directors of the body corporate at least 2 of them are licensed; and</w:t>
      </w:r>
    </w:p>
    <w:p>
      <w:pPr>
        <w:pStyle w:val="Indenta"/>
        <w:rPr>
          <w:snapToGrid w:val="0"/>
        </w:rPr>
      </w:pPr>
      <w:r>
        <w:rPr>
          <w:snapToGrid w:val="0"/>
        </w:rPr>
        <w:tab/>
        <w:t>(d)</w:t>
      </w:r>
      <w:r>
        <w:rPr>
          <w:snapToGrid w:val="0"/>
        </w:rPr>
        <w:tab/>
        <w:t>the person in bona fide control of the business operated under the licence is —</w:t>
      </w:r>
    </w:p>
    <w:p>
      <w:pPr>
        <w:pStyle w:val="Indenti"/>
        <w:rPr>
          <w:snapToGrid w:val="0"/>
        </w:rPr>
      </w:pPr>
      <w:r>
        <w:rPr>
          <w:snapToGrid w:val="0"/>
        </w:rPr>
        <w:tab/>
        <w:t>(i)</w:t>
      </w:r>
      <w:r>
        <w:rPr>
          <w:snapToGrid w:val="0"/>
        </w:rPr>
        <w:tab/>
        <w:t>in the case of an application for a real estate settlement agent’s licence, licensed as a real estate settlement agent and holds a current triennial certificate; and</w:t>
      </w:r>
    </w:p>
    <w:p>
      <w:pPr>
        <w:pStyle w:val="Indenti"/>
        <w:rPr>
          <w:snapToGrid w:val="0"/>
        </w:rPr>
      </w:pPr>
      <w:r>
        <w:rPr>
          <w:snapToGrid w:val="0"/>
        </w:rPr>
        <w:tab/>
        <w:t>(ii)</w:t>
      </w:r>
      <w:r>
        <w:rPr>
          <w:snapToGrid w:val="0"/>
        </w:rPr>
        <w:tab/>
        <w:t>in the case of an application for a business settlement agent’s licence, licensed as a business settlement agent and holds a current triennial certificate; and</w:t>
      </w:r>
    </w:p>
    <w:p>
      <w:pPr>
        <w:pStyle w:val="Indenti"/>
        <w:rPr>
          <w:snapToGrid w:val="0"/>
        </w:rPr>
      </w:pPr>
      <w:r>
        <w:rPr>
          <w:snapToGrid w:val="0"/>
        </w:rPr>
        <w:tab/>
        <w:t>(iii)</w:t>
      </w:r>
      <w:r>
        <w:rPr>
          <w:snapToGrid w:val="0"/>
        </w:rPr>
        <w:tab/>
        <w:t>ordinarily resident in the State.</w:t>
      </w:r>
    </w:p>
    <w:p>
      <w:pPr>
        <w:pStyle w:val="Subsection"/>
        <w:rPr>
          <w:snapToGrid w:val="0"/>
        </w:rPr>
      </w:pPr>
      <w:r>
        <w:rPr>
          <w:snapToGrid w:val="0"/>
        </w:rPr>
        <w:tab/>
        <w:t>(2)</w:t>
      </w:r>
      <w:r>
        <w:rPr>
          <w:snapToGrid w:val="0"/>
        </w:rPr>
        <w:tab/>
        <w:t>The provisions of clause 10 of Schedule 1 apply to a licence granted under this section.</w:t>
      </w:r>
    </w:p>
    <w:p>
      <w:pPr>
        <w:pStyle w:val="Footnotesection"/>
      </w:pPr>
      <w:r>
        <w:tab/>
        <w:t>[Section 29 amended: No. 58 of 2010 s. 176.]</w:t>
      </w:r>
    </w:p>
    <w:p>
      <w:pPr>
        <w:pStyle w:val="Heading5"/>
        <w:rPr>
          <w:snapToGrid w:val="0"/>
        </w:rPr>
      </w:pPr>
      <w:bookmarkStart w:id="22" w:name="_Toc107495935"/>
      <w:r>
        <w:rPr>
          <w:rStyle w:val="CharSectno"/>
        </w:rPr>
        <w:t>30</w:t>
      </w:r>
      <w:r>
        <w:rPr>
          <w:snapToGrid w:val="0"/>
        </w:rPr>
        <w:t>.</w:t>
      </w:r>
      <w:r>
        <w:rPr>
          <w:snapToGrid w:val="0"/>
        </w:rPr>
        <w:tab/>
        <w:t>Licence, effect of</w:t>
      </w:r>
      <w:bookmarkEnd w:id="22"/>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as a real estate settlement agent does not confer on a licensee the right to carry on business as a real estate settlement agent unless he holds a current triennial certificate in respect of the licence.</w:t>
      </w:r>
    </w:p>
    <w:p>
      <w:pPr>
        <w:pStyle w:val="Subsection"/>
        <w:keepLines/>
        <w:rPr>
          <w:snapToGrid w:val="0"/>
        </w:rPr>
      </w:pPr>
      <w:r>
        <w:rPr>
          <w:snapToGrid w:val="0"/>
        </w:rPr>
        <w:lastRenderedPageBreak/>
        <w:tab/>
        <w:t>(3)</w:t>
      </w:r>
      <w:r>
        <w:rPr>
          <w:snapToGrid w:val="0"/>
        </w:rPr>
        <w:tab/>
        <w:t>A licence as a business settlement agent does not confer on the licensee the right to carry on business as a business settlement agent unless he holds a current triennial certificate in respect of the licence.</w:t>
      </w:r>
    </w:p>
    <w:p>
      <w:pPr>
        <w:pStyle w:val="Subsection"/>
        <w:rPr>
          <w:snapToGrid w:val="0"/>
        </w:rPr>
      </w:pPr>
      <w:r>
        <w:rPr>
          <w:snapToGrid w:val="0"/>
        </w:rPr>
        <w:tab/>
        <w:t>(3a)</w:t>
      </w:r>
      <w:r>
        <w:rPr>
          <w:snapToGrid w:val="0"/>
        </w:rPr>
        <w:tab/>
        <w:t>A licensee ceases to be licensed if the licensee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Ednotesubsection"/>
      </w:pPr>
      <w:r>
        <w:tab/>
        <w:t>[(4),(5)</w:t>
      </w:r>
      <w:r>
        <w:tab/>
        <w:t>deleted]</w:t>
      </w:r>
    </w:p>
    <w:p>
      <w:pPr>
        <w:pStyle w:val="Footnotesection"/>
        <w:spacing w:before="80"/>
        <w:ind w:left="890" w:hanging="890"/>
      </w:pPr>
      <w:r>
        <w:tab/>
        <w:t>[Section 30 amended: No. 56 of 1995 s. 50; No. 55 of 2004 s. 1085; No. 58 of 2010 s. 176; No. 25 of 2019 s. 76.]</w:t>
      </w:r>
    </w:p>
    <w:p>
      <w:pPr>
        <w:pStyle w:val="Heading5"/>
        <w:rPr>
          <w:snapToGrid w:val="0"/>
        </w:rPr>
      </w:pPr>
      <w:bookmarkStart w:id="23" w:name="_Toc107495936"/>
      <w:r>
        <w:rPr>
          <w:rStyle w:val="CharSectno"/>
        </w:rPr>
        <w:t>31</w:t>
      </w:r>
      <w:r>
        <w:rPr>
          <w:snapToGrid w:val="0"/>
        </w:rPr>
        <w:t>.</w:t>
      </w:r>
      <w:r>
        <w:rPr>
          <w:snapToGrid w:val="0"/>
        </w:rPr>
        <w:tab/>
        <w:t>Licensee’s triennial certificate: grant and renewal</w:t>
      </w:r>
      <w:bookmarkEnd w:id="23"/>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w:t>
      </w:r>
    </w:p>
    <w:p>
      <w:pPr>
        <w:pStyle w:val="Indenta"/>
        <w:rPr>
          <w:snapToGrid w:val="0"/>
        </w:rPr>
      </w:pPr>
      <w:r>
        <w:rPr>
          <w:snapToGrid w:val="0"/>
        </w:rPr>
        <w:tab/>
        <w:t>(a)</w:t>
      </w:r>
      <w:r>
        <w:rPr>
          <w:snapToGrid w:val="0"/>
        </w:rPr>
        <w:tab/>
        <w:t>a real estate settlement agent’s licence, grant the licensee a certificate which confers on the licensee the right to carry on business as a real estate settlement agent; or</w:t>
      </w:r>
    </w:p>
    <w:p>
      <w:pPr>
        <w:pStyle w:val="Indenta"/>
        <w:keepNext/>
        <w:rPr>
          <w:snapToGrid w:val="0"/>
        </w:rPr>
      </w:pPr>
      <w:r>
        <w:rPr>
          <w:snapToGrid w:val="0"/>
        </w:rPr>
        <w:tab/>
        <w:t>(b)</w:t>
      </w:r>
      <w:r>
        <w:rPr>
          <w:snapToGrid w:val="0"/>
        </w:rPr>
        <w:tab/>
        <w:t>a business settlement agent’s licence, grant the licensee a certificate which confers on the licensee the right to carry on business as a business settlement agent,</w:t>
      </w:r>
    </w:p>
    <w:p>
      <w:pPr>
        <w:pStyle w:val="Subsection"/>
        <w:spacing w:before="120"/>
        <w:rPr>
          <w:snapToGrid w:val="0"/>
        </w:rPr>
      </w:pPr>
      <w:r>
        <w:rPr>
          <w:snapToGrid w:val="0"/>
        </w:rPr>
        <w:tab/>
      </w:r>
      <w:r>
        <w:rPr>
          <w:snapToGrid w:val="0"/>
        </w:rPr>
        <w:tab/>
        <w:t>for the period of 3 years commencing on the date on which it is granted.</w:t>
      </w:r>
    </w:p>
    <w:p>
      <w:pPr>
        <w:pStyle w:val="Subsection"/>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r>
        <w:t>an individual; or</w:t>
      </w:r>
    </w:p>
    <w:p>
      <w:pPr>
        <w:pStyle w:val="Indenta"/>
        <w:rPr>
          <w:snapToGrid w:val="0"/>
        </w:rPr>
      </w:pPr>
      <w:r>
        <w:rPr>
          <w:snapToGrid w:val="0"/>
        </w:rPr>
        <w:tab/>
        <w:t>(b)</w:t>
      </w:r>
      <w:r>
        <w:rPr>
          <w:snapToGrid w:val="0"/>
        </w:rPr>
        <w:tab/>
        <w:t>by the person in bona fide control of the business of the licensee, if the licensee is a firm or body corporate.</w:t>
      </w:r>
    </w:p>
    <w:p>
      <w:pPr>
        <w:pStyle w:val="Subsection"/>
      </w:pPr>
      <w:r>
        <w:lastRenderedPageBreak/>
        <w:tab/>
        <w:t>(2A)</w:t>
      </w:r>
      <w:r>
        <w:tab/>
        <w:t xml:space="preserve">The Commissioner must not renew a licensee’s triennial certificate unless the Commissioner is satisfied of the matters in — </w:t>
      </w:r>
    </w:p>
    <w:p>
      <w:pPr>
        <w:pStyle w:val="Indenta"/>
      </w:pPr>
      <w:r>
        <w:tab/>
        <w:t>(a)</w:t>
      </w:r>
      <w:r>
        <w:tab/>
        <w:t>for an individual — section 27(1)(b), (c), (d) and (e); or</w:t>
      </w:r>
    </w:p>
    <w:p>
      <w:pPr>
        <w:pStyle w:val="Indenta"/>
      </w:pPr>
      <w:r>
        <w:tab/>
        <w:t>(b)</w:t>
      </w:r>
      <w:r>
        <w:tab/>
        <w:t xml:space="preserve">for a firm — section 28(1)(a), (b), (c) and (d); or </w:t>
      </w:r>
    </w:p>
    <w:p>
      <w:pPr>
        <w:pStyle w:val="Indenta"/>
      </w:pPr>
      <w:r>
        <w:tab/>
        <w:t>(c)</w:t>
      </w:r>
      <w:r>
        <w:tab/>
        <w:t xml:space="preserve">for a body corporate — section 29(1)(a), (b), (c) and (d). </w:t>
      </w:r>
    </w:p>
    <w:p>
      <w:pPr>
        <w:pStyle w:val="Subsection"/>
        <w:rPr>
          <w:snapToGrid w:val="0"/>
        </w:rPr>
      </w:pPr>
      <w:r>
        <w:rPr>
          <w:snapToGrid w:val="0"/>
        </w:rPr>
        <w:tab/>
        <w:t>(3)</w:t>
      </w:r>
      <w:r>
        <w:rPr>
          <w:snapToGrid w:val="0"/>
        </w:rPr>
        <w:tab/>
        <w:t>At all times during the currency of the triennial certificate —</w:t>
      </w:r>
    </w:p>
    <w:p>
      <w:pPr>
        <w:pStyle w:val="Indenta"/>
      </w:pPr>
      <w:r>
        <w:tab/>
        <w:t>(a)</w:t>
      </w:r>
      <w:r>
        <w:tab/>
        <w:t>if the licensee is an individual, the individual; or</w:t>
      </w:r>
    </w:p>
    <w:p>
      <w:pPr>
        <w:pStyle w:val="Indenta"/>
        <w:rPr>
          <w:snapToGrid w:val="0"/>
        </w:rPr>
      </w:pPr>
      <w:r>
        <w:rPr>
          <w:snapToGrid w:val="0"/>
        </w:rPr>
        <w:tab/>
        <w:t>(b)</w:t>
      </w:r>
      <w:r>
        <w:rPr>
          <w:snapToGrid w:val="0"/>
        </w:rPr>
        <w:tab/>
        <w:t>if the licensee is a firm or body corporate, the person in bona fide control of the business of the licensee,</w:t>
      </w:r>
    </w:p>
    <w:p>
      <w:pPr>
        <w:pStyle w:val="Subsection"/>
        <w:spacing w:before="120"/>
        <w:rPr>
          <w:snapToGrid w:val="0"/>
        </w:rPr>
      </w:pPr>
      <w:r>
        <w:rPr>
          <w:snapToGrid w:val="0"/>
        </w:rPr>
        <w:tab/>
      </w:r>
      <w:r>
        <w:rPr>
          <w:snapToGrid w:val="0"/>
        </w:rPr>
        <w:tab/>
        <w:t>shall remain ordinarily resident in the State.</w:t>
      </w:r>
    </w:p>
    <w:p>
      <w:pPr>
        <w:pStyle w:val="Footnotesection"/>
        <w:ind w:left="890" w:hanging="890"/>
      </w:pPr>
      <w:r>
        <w:tab/>
        <w:t>[Section 31 amended: No. 62 of 1996 s. 4; No. 58 of 2010 s. 176; No. 23 of 2014 s. 101; No. 25 of 2019 s. 77.]</w:t>
      </w:r>
    </w:p>
    <w:p>
      <w:pPr>
        <w:pStyle w:val="Heading5"/>
        <w:rPr>
          <w:snapToGrid w:val="0"/>
        </w:rPr>
      </w:pPr>
      <w:bookmarkStart w:id="24" w:name="_Toc107495937"/>
      <w:r>
        <w:rPr>
          <w:rStyle w:val="CharSectno"/>
        </w:rPr>
        <w:t>32</w:t>
      </w:r>
      <w:r>
        <w:rPr>
          <w:snapToGrid w:val="0"/>
        </w:rPr>
        <w:t>.</w:t>
      </w:r>
      <w:r>
        <w:rPr>
          <w:snapToGrid w:val="0"/>
        </w:rPr>
        <w:tab/>
        <w:t>Licensee’s triennial certificate: late renewal</w:t>
      </w:r>
      <w:bookmarkEnd w:id="24"/>
    </w:p>
    <w:p>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pPr>
        <w:pStyle w:val="Subsection"/>
        <w:keepNext/>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w:t>
      </w:r>
      <w:r>
        <w:t>or was surrendered</w:t>
      </w:r>
      <w:r>
        <w:rPr>
          <w:snapToGrid w:val="0"/>
        </w:rPr>
        <w:t xml:space="preserve">, the renewal takes effect — </w:t>
      </w:r>
    </w:p>
    <w:p>
      <w:pPr>
        <w:pStyle w:val="Indenta"/>
      </w:pPr>
      <w:r>
        <w:tab/>
        <w:t>(a)</w:t>
      </w:r>
      <w:r>
        <w:tab/>
        <w:t>if the Commissioner is satisfied that there is reasonable cause for the renewal to take effect on and from the day after the day on which the triennial certificate expired or was surrendered — on that day; or</w:t>
      </w:r>
    </w:p>
    <w:p>
      <w:pPr>
        <w:pStyle w:val="Indenta"/>
      </w:pPr>
      <w:r>
        <w:tab/>
        <w:t>(b)</w:t>
      </w:r>
      <w:r>
        <w:tab/>
        <w:t>otherwise — on the day the renewal is granted.</w:t>
      </w:r>
    </w:p>
    <w:p>
      <w:pPr>
        <w:pStyle w:val="Footnotesection"/>
      </w:pPr>
      <w:r>
        <w:tab/>
        <w:t>[Section 32 amended: No. 58 of 2010 s. 176; No. 25 of 2019 s. 78.]</w:t>
      </w:r>
    </w:p>
    <w:p>
      <w:pPr>
        <w:pStyle w:val="Heading5"/>
        <w:rPr>
          <w:snapToGrid w:val="0"/>
        </w:rPr>
      </w:pPr>
      <w:bookmarkStart w:id="25" w:name="_Toc107495938"/>
      <w:r>
        <w:rPr>
          <w:rStyle w:val="CharSectno"/>
        </w:rPr>
        <w:lastRenderedPageBreak/>
        <w:t>33</w:t>
      </w:r>
      <w:r>
        <w:rPr>
          <w:snapToGrid w:val="0"/>
        </w:rPr>
        <w:t>.</w:t>
      </w:r>
      <w:r>
        <w:rPr>
          <w:snapToGrid w:val="0"/>
        </w:rPr>
        <w:tab/>
        <w:t>Licensee’s triennial certificate: late renewal after 12 months</w:t>
      </w:r>
      <w:bookmarkEnd w:id="25"/>
    </w:p>
    <w:p>
      <w:pPr>
        <w:pStyle w:val="Subsection"/>
      </w:pPr>
      <w:r>
        <w:tab/>
        <w:t>(1)</w:t>
      </w:r>
      <w:r>
        <w:tab/>
        <w:t xml:space="preserve">This section applies if — </w:t>
      </w:r>
    </w:p>
    <w:p>
      <w:pPr>
        <w:pStyle w:val="Indenta"/>
      </w:pPr>
      <w:r>
        <w:tab/>
        <w:t>(a)</w:t>
      </w:r>
      <w:r>
        <w:tab/>
        <w:t xml:space="preserve">a licensee’s triennial certificate expires or was surrendered; and </w:t>
      </w:r>
    </w:p>
    <w:p>
      <w:pPr>
        <w:pStyle w:val="Indenta"/>
      </w:pPr>
      <w:r>
        <w:tab/>
        <w:t>(b)</w:t>
      </w:r>
      <w:r>
        <w:tab/>
        <w:t xml:space="preserve">the licensee applies to renew the certificate more than 12 months after the day </w:t>
      </w:r>
      <w:r>
        <w:rPr>
          <w:snapToGrid w:val="0"/>
        </w:rPr>
        <w:t xml:space="preserve">on which the triennial certificate expired </w:t>
      </w:r>
      <w:r>
        <w:t>or was surrendered.</w:t>
      </w:r>
    </w:p>
    <w:p>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pPr>
        <w:pStyle w:val="Subsection"/>
        <w:rPr>
          <w:snapToGrid w:val="0"/>
        </w:rPr>
      </w:pPr>
      <w:r>
        <w:tab/>
        <w:t>(6)</w:t>
      </w:r>
      <w:r>
        <w:tab/>
        <w:t>If the triennial certificate is renewed</w:t>
      </w:r>
      <w:r>
        <w:rPr>
          <w:snapToGrid w:val="0"/>
        </w:rPr>
        <w:t>, the renewal takes effect </w:t>
      </w:r>
      <w:r>
        <w:t>on the day the renewal is granted.</w:t>
      </w:r>
    </w:p>
    <w:p>
      <w:pPr>
        <w:pStyle w:val="Footnotesection"/>
      </w:pPr>
      <w:r>
        <w:tab/>
        <w:t>[Section 33 amended: No. 58 of 2010 s. 143 and 176; No. 44 of 2016 s. 40; No. 25 of 2019 s. 79.]</w:t>
      </w:r>
    </w:p>
    <w:p>
      <w:pPr>
        <w:pStyle w:val="Heading5"/>
      </w:pPr>
      <w:bookmarkStart w:id="26" w:name="_Toc107495939"/>
      <w:r>
        <w:rPr>
          <w:rStyle w:val="CharSectno"/>
        </w:rPr>
        <w:t>34</w:t>
      </w:r>
      <w:r>
        <w:t>.</w:t>
      </w:r>
      <w:r>
        <w:tab/>
        <w:t>Conditions on licences and triennial certificates</w:t>
      </w:r>
      <w:bookmarkEnd w:id="26"/>
    </w:p>
    <w:p>
      <w:pPr>
        <w:pStyle w:val="Subsection"/>
      </w:pPr>
      <w:r>
        <w:tab/>
        <w:t>(1)</w:t>
      </w:r>
      <w:r>
        <w:tab/>
        <w:t xml:space="preserve">It is a condition of every licence that the licensee must comply with the provisions of this Act and the settlement agents’ code of conduct. </w:t>
      </w:r>
    </w:p>
    <w:p>
      <w:pPr>
        <w:pStyle w:val="Subsection"/>
        <w:keepNext/>
      </w:pPr>
      <w:r>
        <w:lastRenderedPageBreak/>
        <w:tab/>
        <w:t>(2)</w:t>
      </w:r>
      <w:r>
        <w:tab/>
        <w:t>It is a condition of every licence that the licensee must comply with any special condition to which the licensee’s licence or triennial certificate is subject under section 34AA.</w:t>
      </w:r>
    </w:p>
    <w:p>
      <w:pPr>
        <w:pStyle w:val="Footnotesection"/>
      </w:pPr>
      <w:r>
        <w:tab/>
        <w:t>[Section 34 inserted: No. 25 of 2019 s. 80.]</w:t>
      </w:r>
    </w:p>
    <w:p>
      <w:pPr>
        <w:pStyle w:val="Heading5"/>
      </w:pPr>
      <w:bookmarkStart w:id="27" w:name="_Toc107495940"/>
      <w:r>
        <w:rPr>
          <w:rStyle w:val="CharSectno"/>
        </w:rPr>
        <w:t>34AA</w:t>
      </w:r>
      <w:r>
        <w:t>.</w:t>
      </w:r>
      <w:r>
        <w:tab/>
        <w:t>Imposing special conditions on licences or triennial certificates</w:t>
      </w:r>
      <w:bookmarkEnd w:id="27"/>
    </w:p>
    <w:p>
      <w:pPr>
        <w:pStyle w:val="Subsection"/>
        <w:keepNext/>
      </w:pPr>
      <w:r>
        <w:tab/>
        <w:t>(1)</w:t>
      </w:r>
      <w:r>
        <w:tab/>
        <w:t xml:space="preserve">In this section — </w:t>
      </w:r>
    </w:p>
    <w:p>
      <w:pPr>
        <w:pStyle w:val="Defstart"/>
      </w:pPr>
      <w:r>
        <w:tab/>
      </w:r>
      <w:r>
        <w:rPr>
          <w:rStyle w:val="CharDefText"/>
        </w:rPr>
        <w:t>licensee</w:t>
      </w:r>
      <w:r>
        <w:t xml:space="preserve"> includes an applicant for a licence.</w:t>
      </w:r>
    </w:p>
    <w:p>
      <w:pPr>
        <w:pStyle w:val="Subsection"/>
      </w:pPr>
      <w:r>
        <w:tab/>
        <w:t>(2)</w:t>
      </w:r>
      <w:r>
        <w:tab/>
        <w:t xml:space="preserve">The Commissioner may, at any time, impose a special condition on a licence or triennial certificate. </w:t>
      </w:r>
    </w:p>
    <w:p>
      <w:pPr>
        <w:pStyle w:val="Subsection"/>
      </w:pPr>
      <w:r>
        <w:tab/>
        <w:t>(3)</w:t>
      </w:r>
      <w:r>
        <w:tab/>
        <w:t>Without limiting subsection (2), the Commissioner may impose a condition that relates to the payment of fees under this Act, or to contributions to the Account, and may vary the prescribed fees or contributions.</w:t>
      </w:r>
    </w:p>
    <w:p>
      <w:pPr>
        <w:pStyle w:val="Subsection"/>
      </w:pPr>
      <w:r>
        <w:tab/>
        <w:t>(4)</w:t>
      </w:r>
      <w:r>
        <w:tab/>
        <w:t xml:space="preserve">Before imposing a special condition on a licence or triennial certificate, the Commissioner must — </w:t>
      </w:r>
    </w:p>
    <w:p>
      <w:pPr>
        <w:pStyle w:val="Indenta"/>
      </w:pPr>
      <w:r>
        <w:tab/>
        <w:t>(a)</w:t>
      </w:r>
      <w:r>
        <w:tab/>
        <w:t xml:space="preserve">give a licensee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(5)</w:t>
      </w:r>
      <w:r>
        <w:tab/>
        <w:t xml:space="preserve">After making a decision under subsection (2), the Commissioner must — </w:t>
      </w:r>
    </w:p>
    <w:p>
      <w:pPr>
        <w:pStyle w:val="Indenta"/>
      </w:pPr>
      <w:r>
        <w:tab/>
        <w:t>(a)</w:t>
      </w:r>
      <w:r>
        <w:tab/>
        <w:t>notify the licensee of the Commissioner’s decision; and</w:t>
      </w:r>
    </w:p>
    <w:p>
      <w:pPr>
        <w:pStyle w:val="Indenta"/>
      </w:pPr>
      <w:r>
        <w:lastRenderedPageBreak/>
        <w:tab/>
        <w:t>(b)</w:t>
      </w:r>
      <w:r>
        <w:tab/>
        <w:t xml:space="preserve">if the decision is to impose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34AA inserted: No. 25 of 2019 s. 80; amended: No. 7 of 2022 s. 49.]</w:t>
      </w:r>
    </w:p>
    <w:p>
      <w:pPr>
        <w:pStyle w:val="Heading5"/>
      </w:pPr>
      <w:bookmarkStart w:id="28" w:name="_Toc107495941"/>
      <w:r>
        <w:rPr>
          <w:rStyle w:val="CharSectno"/>
        </w:rPr>
        <w:t>34AB</w:t>
      </w:r>
      <w:r>
        <w:t>.</w:t>
      </w:r>
      <w:r>
        <w:tab/>
        <w:t>Removing special conditions on licences or triennial certificates</w:t>
      </w:r>
      <w:bookmarkEnd w:id="28"/>
    </w:p>
    <w:p>
      <w:pPr>
        <w:pStyle w:val="Subsection"/>
      </w:pPr>
      <w:r>
        <w:tab/>
        <w:t>(1)</w:t>
      </w:r>
      <w:r>
        <w:tab/>
        <w:t xml:space="preserve">The Commissioner may remove a special condition imposed on a licensee’s licence or triennial certificate — </w:t>
      </w:r>
    </w:p>
    <w:p>
      <w:pPr>
        <w:pStyle w:val="Indenta"/>
      </w:pPr>
      <w:r>
        <w:tab/>
        <w:t>(a)</w:t>
      </w:r>
      <w:r>
        <w:tab/>
        <w:t>at any time; or</w:t>
      </w:r>
    </w:p>
    <w:p>
      <w:pPr>
        <w:pStyle w:val="Indenta"/>
      </w:pPr>
      <w:r>
        <w:tab/>
        <w:t>(b)</w:t>
      </w:r>
      <w:r>
        <w:tab/>
        <w:t>on application by the licensee.</w:t>
      </w:r>
    </w:p>
    <w:p>
      <w:pPr>
        <w:pStyle w:val="Subsection"/>
      </w:pPr>
      <w:r>
        <w:tab/>
        <w:t>(2)</w:t>
      </w:r>
      <w:r>
        <w:tab/>
        <w:t xml:space="preserve">If the licensee applies under subsection (1)(b), the Commissioner must, before deciding not to remove the special condition on the licensee’s licence or triennial certificate — </w:t>
      </w:r>
    </w:p>
    <w:p>
      <w:pPr>
        <w:pStyle w:val="Indenta"/>
      </w:pPr>
      <w:r>
        <w:tab/>
        <w:t>(a)</w:t>
      </w:r>
      <w:r>
        <w:tab/>
        <w:t xml:space="preserve">give the licensee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 xml:space="preserve">After making a decision on an application by a licensee, the Commissioner must — </w:t>
      </w:r>
    </w:p>
    <w:p>
      <w:pPr>
        <w:pStyle w:val="Indenta"/>
      </w:pPr>
      <w:r>
        <w:tab/>
        <w:t>(a)</w:t>
      </w:r>
      <w:r>
        <w:tab/>
        <w:t>notify the licensee of the Commissioner’s decision; and</w:t>
      </w:r>
    </w:p>
    <w:p>
      <w:pPr>
        <w:pStyle w:val="Indenta"/>
      </w:pPr>
      <w:r>
        <w:lastRenderedPageBreak/>
        <w:tab/>
        <w:t>(b)</w:t>
      </w:r>
      <w:r>
        <w:tab/>
        <w:t xml:space="preserve">if the decision is to not remove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34AB inserted: No. 25 of 2019 s. 80.]</w:t>
      </w:r>
    </w:p>
    <w:p>
      <w:pPr>
        <w:pStyle w:val="Heading5"/>
      </w:pPr>
      <w:bookmarkStart w:id="29" w:name="_Toc107495942"/>
      <w:r>
        <w:rPr>
          <w:rStyle w:val="CharSectno"/>
        </w:rPr>
        <w:t>34A</w:t>
      </w:r>
      <w:r>
        <w:rPr>
          <w:snapToGrid w:val="0"/>
        </w:rPr>
        <w:t>.</w:t>
      </w:r>
      <w:r>
        <w:tab/>
        <w:t>Commissioner may grant licence or triennial certificate without notice to applicant</w:t>
      </w:r>
      <w:bookmarkEnd w:id="29"/>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ind w:left="890" w:hanging="890"/>
      </w:pPr>
      <w:r>
        <w:tab/>
        <w:t>[Section 34A inserted: No. 55 of 2004 s. 1087; amended: No. 58 of 2010 s. 144 and 176; No. 23 of 2014 s. 102.]</w:t>
      </w:r>
    </w:p>
    <w:p>
      <w:pPr>
        <w:pStyle w:val="Heading5"/>
      </w:pPr>
      <w:bookmarkStart w:id="30" w:name="_Toc107495943"/>
      <w:r>
        <w:rPr>
          <w:rStyle w:val="CharSectno"/>
        </w:rPr>
        <w:t>34B</w:t>
      </w:r>
      <w:r>
        <w:t>.</w:t>
      </w:r>
      <w:r>
        <w:tab/>
        <w:t>SAT may suspend licence in some cases</w:t>
      </w:r>
      <w:bookmarkEnd w:id="30"/>
    </w:p>
    <w:p>
      <w:pPr>
        <w:pStyle w:val="Subsection"/>
        <w:rPr>
          <w:snapToGrid w:val="0"/>
        </w:rPr>
      </w:pPr>
      <w:r>
        <w:rPr>
          <w:snapToGrid w:val="0"/>
        </w:rPr>
        <w:tab/>
        <w:t>(1)</w:t>
      </w:r>
      <w:r>
        <w:rPr>
          <w:snapToGrid w:val="0"/>
        </w:rP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IV Division 3 or by the </w:t>
      </w:r>
      <w:r>
        <w:rPr>
          <w:i/>
          <w:snapToGrid w:val="0"/>
        </w:rPr>
        <w:t>State Administrative Tribunal Act 2004</w:t>
      </w:r>
      <w:r>
        <w:rPr>
          <w:snapToGrid w:val="0"/>
        </w:rPr>
        <w:t>.</w:t>
      </w:r>
    </w:p>
    <w:p>
      <w:pPr>
        <w:pStyle w:val="Footnotesection"/>
        <w:spacing w:before="80"/>
        <w:ind w:left="890" w:hanging="890"/>
      </w:pPr>
      <w:r>
        <w:tab/>
        <w:t>[Section 34B inserted: No. 55 of 2004 s. 1087.]</w:t>
      </w:r>
    </w:p>
    <w:p>
      <w:pPr>
        <w:pStyle w:val="Heading5"/>
      </w:pPr>
      <w:bookmarkStart w:id="31" w:name="_Toc107495944"/>
      <w:r>
        <w:rPr>
          <w:rStyle w:val="CharSectno"/>
        </w:rPr>
        <w:lastRenderedPageBreak/>
        <w:t>34C</w:t>
      </w:r>
      <w:r>
        <w:t>.</w:t>
      </w:r>
      <w:r>
        <w:tab/>
        <w:t>Licensee may surrender licence and triennial certificate</w:t>
      </w:r>
      <w:bookmarkEnd w:id="31"/>
    </w:p>
    <w:p>
      <w:pPr>
        <w:pStyle w:val="Subsection"/>
      </w:pPr>
      <w:r>
        <w:tab/>
      </w:r>
      <w:r>
        <w:tab/>
        <w:t>A licensee may surrender the licensee’s triennial certificate, or licence and triennial certificate held in respect of the licence, at any time.</w:t>
      </w:r>
    </w:p>
    <w:p>
      <w:pPr>
        <w:pStyle w:val="Footnotesection"/>
      </w:pPr>
      <w:r>
        <w:tab/>
        <w:t>[Section 34C inserted: No. 25 of 2019 s. 81.]</w:t>
      </w:r>
    </w:p>
    <w:p>
      <w:pPr>
        <w:pStyle w:val="Heading5"/>
      </w:pPr>
      <w:bookmarkStart w:id="32" w:name="_Toc107495945"/>
      <w:r>
        <w:rPr>
          <w:rStyle w:val="CharSectno"/>
        </w:rPr>
        <w:t>34D</w:t>
      </w:r>
      <w:r>
        <w:t>.</w:t>
      </w:r>
      <w:r>
        <w:tab/>
        <w:t>Firm or body corporate must surrender licence and triennial certificate in certain circumstances</w:t>
      </w:r>
      <w:bookmarkEnd w:id="32"/>
    </w:p>
    <w:p>
      <w:pPr>
        <w:pStyle w:val="Subsection"/>
      </w:pPr>
      <w:r>
        <w:tab/>
        <w:t>(1)</w:t>
      </w:r>
      <w:r>
        <w:tab/>
        <w:t>This section applies to a licensee that is a firm or body corporate if paragraph (c) or (d) of section 28(1) or 29(1) (as is relevant) ceases to apply in relation to the licensee.</w:t>
      </w:r>
    </w:p>
    <w:p>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10.</w:t>
      </w:r>
    </w:p>
    <w:p>
      <w:pPr>
        <w:pStyle w:val="Subsection"/>
        <w:keepNext/>
      </w:pPr>
      <w:r>
        <w:tab/>
        <w:t>(3)</w:t>
      </w:r>
      <w:r>
        <w:tab/>
        <w:t>If a licensee carries on business under Schedule 1 clause 10 then, at the end of the period referred to in that clause, the licensee must immediately surrender the licensee’s licence and triennial certificate unless the licensee satisfies section 28(1)(c) and (d) or section 29(1)(c) and (d) (as is relevant).</w:t>
      </w:r>
    </w:p>
    <w:p>
      <w:pPr>
        <w:pStyle w:val="Footnotesection"/>
      </w:pPr>
      <w:r>
        <w:tab/>
        <w:t>[Section 34D inserted: No. 25 of 2019 s. 81.]</w:t>
      </w:r>
    </w:p>
    <w:p>
      <w:pPr>
        <w:pStyle w:val="Heading5"/>
        <w:spacing w:before="200"/>
        <w:rPr>
          <w:snapToGrid w:val="0"/>
        </w:rPr>
      </w:pPr>
      <w:bookmarkStart w:id="33" w:name="_Toc107495946"/>
      <w:r>
        <w:rPr>
          <w:rStyle w:val="CharSectno"/>
        </w:rPr>
        <w:t>35</w:t>
      </w:r>
      <w:r>
        <w:rPr>
          <w:snapToGrid w:val="0"/>
        </w:rPr>
        <w:t>.</w:t>
      </w:r>
      <w:r>
        <w:rPr>
          <w:snapToGrid w:val="0"/>
        </w:rPr>
        <w:tab/>
        <w:t>Fidelity insurance and professional indemnity insurance for licensees</w:t>
      </w:r>
      <w:bookmarkEnd w:id="33"/>
    </w:p>
    <w:p>
      <w:pPr>
        <w:pStyle w:val="Subsection"/>
        <w:spacing w:before="120"/>
        <w:rPr>
          <w:snapToGrid w:val="0"/>
        </w:rPr>
      </w:pPr>
      <w:r>
        <w:rPr>
          <w:snapToGrid w:val="0"/>
        </w:rPr>
        <w:tab/>
        <w:t>(1)</w:t>
      </w:r>
      <w:r>
        <w:rPr>
          <w:snapToGrid w:val="0"/>
        </w:rPr>
        <w:tab/>
        <w:t xml:space="preserve">The </w:t>
      </w:r>
      <w:r>
        <w:t>Commissioner</w:t>
      </w:r>
      <w:r>
        <w:rPr>
          <w:snapToGrid w:val="0"/>
        </w:rPr>
        <w:t xml:space="preserve"> may, from time to time, make arrangements for or in respect of the provision to licensees of fidelity insurance and professional indemnity insurance on such terms and conditions as the </w:t>
      </w:r>
      <w:r>
        <w:t>Commissioner</w:t>
      </w:r>
      <w:r>
        <w:rPr>
          <w:snapToGrid w:val="0"/>
        </w:rPr>
        <w:t xml:space="preserve"> thinks fit and, for that purpose, may, from time to time, enter into a Master Policy Agreement with an insurer appointed by the </w:t>
      </w:r>
      <w:r>
        <w:t>Commissioner</w:t>
      </w:r>
      <w:r>
        <w:rPr>
          <w:snapToGrid w:val="0"/>
        </w:rPr>
        <w:t xml:space="preserve"> and do all such acts or things that the </w:t>
      </w:r>
      <w:r>
        <w:t>Commissioner</w:t>
      </w:r>
      <w:r>
        <w:rPr>
          <w:snapToGrid w:val="0"/>
        </w:rPr>
        <w:t xml:space="preserve"> deems necessary or expedient for giving effect thereto.</w:t>
      </w:r>
    </w:p>
    <w:p>
      <w:pPr>
        <w:pStyle w:val="Subsection"/>
        <w:spacing w:before="120"/>
        <w:rPr>
          <w:snapToGrid w:val="0"/>
        </w:rPr>
      </w:pPr>
      <w:r>
        <w:rPr>
          <w:snapToGrid w:val="0"/>
        </w:rPr>
        <w:lastRenderedPageBreak/>
        <w:tab/>
        <w:t>(2)</w:t>
      </w:r>
      <w:r>
        <w:rPr>
          <w:snapToGrid w:val="0"/>
        </w:rPr>
        <w:tab/>
        <w:t>An arrangement in terms of subsection (1) may include provision with respect to any one or more of the following matters —</w:t>
      </w:r>
    </w:p>
    <w:p>
      <w:pPr>
        <w:pStyle w:val="Indenta"/>
        <w:spacing w:before="60"/>
        <w:rPr>
          <w:snapToGrid w:val="0"/>
        </w:rPr>
      </w:pPr>
      <w:r>
        <w:rPr>
          <w:snapToGrid w:val="0"/>
        </w:rPr>
        <w:tab/>
        <w:t>(a)</w:t>
      </w:r>
      <w:r>
        <w:rPr>
          <w:snapToGrid w:val="0"/>
        </w:rPr>
        <w:tab/>
        <w:t>the terms and conditions of the fidelity insurance and professional indemnity insurance; and</w:t>
      </w:r>
    </w:p>
    <w:p>
      <w:pPr>
        <w:pStyle w:val="Indenta"/>
        <w:spacing w:before="60"/>
        <w:rPr>
          <w:snapToGrid w:val="0"/>
        </w:rPr>
      </w:pPr>
      <w:r>
        <w:rPr>
          <w:snapToGrid w:val="0"/>
        </w:rPr>
        <w:tab/>
        <w:t>(b)</w:t>
      </w:r>
      <w:r>
        <w:rPr>
          <w:snapToGrid w:val="0"/>
        </w:rPr>
        <w:tab/>
        <w:t>subject to subsection (3), the amount or amounts of insurance cover to be provided; and</w:t>
      </w:r>
    </w:p>
    <w:p>
      <w:pPr>
        <w:pStyle w:val="Indenta"/>
        <w:spacing w:before="60"/>
        <w:rPr>
          <w:snapToGrid w:val="0"/>
        </w:rPr>
      </w:pPr>
      <w:r>
        <w:rPr>
          <w:snapToGrid w:val="0"/>
        </w:rPr>
        <w:tab/>
        <w:t>(c)</w:t>
      </w:r>
      <w:r>
        <w:rPr>
          <w:snapToGrid w:val="0"/>
        </w:rPr>
        <w:tab/>
        <w:t>the amount or amounts payable by way of premiums; and</w:t>
      </w:r>
    </w:p>
    <w:p>
      <w:pPr>
        <w:pStyle w:val="Indenta"/>
        <w:spacing w:before="60"/>
        <w:rPr>
          <w:snapToGrid w:val="0"/>
        </w:rPr>
      </w:pPr>
      <w:r>
        <w:rPr>
          <w:snapToGrid w:val="0"/>
        </w:rPr>
        <w:tab/>
        <w:t>(d)</w:t>
      </w:r>
      <w:r>
        <w:rPr>
          <w:snapToGrid w:val="0"/>
        </w:rPr>
        <w:tab/>
        <w:t>the period during which the insurance is to be provided; and</w:t>
      </w:r>
    </w:p>
    <w:p>
      <w:pPr>
        <w:pStyle w:val="Indenta"/>
        <w:spacing w:before="60"/>
        <w:rPr>
          <w:snapToGrid w:val="0"/>
        </w:rPr>
      </w:pPr>
      <w:r>
        <w:rPr>
          <w:snapToGrid w:val="0"/>
        </w:rPr>
        <w:tab/>
        <w:t>(e)</w:t>
      </w:r>
      <w:r>
        <w:rPr>
          <w:snapToGrid w:val="0"/>
        </w:rPr>
        <w:tab/>
        <w:t>the issue of certificates of insurance to licensees and the form of those certificates; and</w:t>
      </w:r>
    </w:p>
    <w:p>
      <w:pPr>
        <w:pStyle w:val="Indenta"/>
        <w:spacing w:before="60"/>
        <w:rPr>
          <w:snapToGrid w:val="0"/>
        </w:rPr>
      </w:pPr>
      <w:r>
        <w:rPr>
          <w:snapToGrid w:val="0"/>
        </w:rPr>
        <w:tab/>
        <w:t>(f)</w:t>
      </w:r>
      <w:r>
        <w:rPr>
          <w:snapToGrid w:val="0"/>
        </w:rPr>
        <w:tab/>
        <w:t>any other matters in connection with the fidelity insurance and professional indemnity insurance.</w:t>
      </w:r>
    </w:p>
    <w:p>
      <w:pPr>
        <w:pStyle w:val="Subsection"/>
        <w:keepLines/>
        <w:rPr>
          <w:snapToGrid w:val="0"/>
        </w:rPr>
      </w:pPr>
      <w:r>
        <w:rPr>
          <w:snapToGrid w:val="0"/>
        </w:rPr>
        <w:tab/>
        <w:t>(3)</w:t>
      </w:r>
      <w:r>
        <w:rPr>
          <w:snapToGrid w:val="0"/>
        </w:rPr>
        <w:tab/>
        <w:t>The minimum insurance cover for each agent under a policy effected in accordance with subsection (1) for fidelity insurance and professional indemnity insurance shall be the sum of $250 000 for each claim.</w:t>
      </w:r>
    </w:p>
    <w:p>
      <w:pPr>
        <w:pStyle w:val="Subsection"/>
        <w:rPr>
          <w:snapToGrid w:val="0"/>
        </w:rPr>
      </w:pPr>
      <w:r>
        <w:rPr>
          <w:snapToGrid w:val="0"/>
        </w:rPr>
        <w:tab/>
        <w:t>(4)</w:t>
      </w:r>
      <w:r>
        <w:rPr>
          <w:snapToGrid w:val="0"/>
        </w:rPr>
        <w:tab/>
        <w:t xml:space="preserve">The </w:t>
      </w:r>
      <w:r>
        <w:t>Commissioner</w:t>
      </w:r>
      <w:r>
        <w:rPr>
          <w:snapToGrid w:val="0"/>
        </w:rPr>
        <w:t xml:space="preserve"> may, from time to time, negotiate such rescission or variation of the arrangement referred to in subsection (1) as the </w:t>
      </w:r>
      <w:r>
        <w:t>Commissioner</w:t>
      </w:r>
      <w:r>
        <w:rPr>
          <w:snapToGrid w:val="0"/>
        </w:rPr>
        <w:t xml:space="preserve"> considers necessary or expedient.</w:t>
      </w:r>
    </w:p>
    <w:p>
      <w:pPr>
        <w:pStyle w:val="Subsection"/>
        <w:rPr>
          <w:snapToGrid w:val="0"/>
        </w:rPr>
      </w:pPr>
      <w:r>
        <w:rPr>
          <w:snapToGrid w:val="0"/>
        </w:rPr>
        <w:tab/>
        <w:t>(5)</w:t>
      </w:r>
      <w:r>
        <w:rPr>
          <w:snapToGrid w:val="0"/>
        </w:rPr>
        <w:tab/>
        <w:t xml:space="preserve">Where the </w:t>
      </w:r>
      <w:r>
        <w:t>Commissioner</w:t>
      </w:r>
      <w:r>
        <w:rPr>
          <w:snapToGrid w:val="0"/>
        </w:rPr>
        <w:t xml:space="preserve"> has entered into a Master Policy Agreement in accordance with subsection (1) the </w:t>
      </w:r>
      <w:r>
        <w:t>Commissioner</w:t>
      </w:r>
      <w:r>
        <w:rPr>
          <w:snapToGrid w:val="0"/>
        </w:rPr>
        <w:t xml:space="preserve"> shall, by notice published in the </w:t>
      </w:r>
      <w:r>
        <w:rPr>
          <w:i/>
          <w:snapToGrid w:val="0"/>
        </w:rPr>
        <w:t>Government Gazette</w:t>
      </w:r>
      <w:r>
        <w:rPr>
          <w:snapToGrid w:val="0"/>
        </w:rPr>
        <w:t>, advertise the fact that a policy has been effected under this section and of the details of the policy and thereupon the provisions of this section apply for so long as that Agreement remains in force.</w:t>
      </w:r>
    </w:p>
    <w:p>
      <w:pPr>
        <w:pStyle w:val="Subsection"/>
      </w:pPr>
      <w:r>
        <w:tab/>
        <w:t>(6)</w:t>
      </w:r>
      <w:r>
        <w:tab/>
        <w:t xml:space="preserve">If the provisions of this section apply, a licensee who is the holder of a triennial certificate must — </w:t>
      </w:r>
    </w:p>
    <w:p>
      <w:pPr>
        <w:pStyle w:val="Indenta"/>
      </w:pPr>
      <w:r>
        <w:tab/>
        <w:t>(a)</w:t>
      </w:r>
      <w:r>
        <w:tab/>
        <w:t>remain insured under the Master Policy Agreement during the currency of the triennial certificate; and</w:t>
      </w:r>
    </w:p>
    <w:p>
      <w:pPr>
        <w:pStyle w:val="Indenta"/>
        <w:rPr>
          <w:snapToGrid w:val="0"/>
        </w:rPr>
      </w:pPr>
      <w:r>
        <w:lastRenderedPageBreak/>
        <w:tab/>
        <w:t>(b)</w:t>
      </w:r>
      <w:r>
        <w:tab/>
      </w:r>
      <w:r>
        <w:rPr>
          <w:snapToGrid w:val="0"/>
        </w:rPr>
        <w:t>hold a current certificate of insurance; and</w:t>
      </w:r>
    </w:p>
    <w:p>
      <w:pPr>
        <w:pStyle w:val="Indenta"/>
      </w:pPr>
      <w:r>
        <w:tab/>
        <w:t>(c)</w:t>
      </w:r>
      <w:r>
        <w:tab/>
        <w:t xml:space="preserve">produce to the Commissioner — </w:t>
      </w:r>
    </w:p>
    <w:p>
      <w:pPr>
        <w:pStyle w:val="Indenti"/>
      </w:pPr>
      <w:r>
        <w:tab/>
        <w:t>(i)</w:t>
      </w:r>
      <w:r>
        <w:tab/>
        <w:t>the first certificate of insurance held by the licensee; and</w:t>
      </w:r>
    </w:p>
    <w:p>
      <w:pPr>
        <w:pStyle w:val="Indenti"/>
      </w:pPr>
      <w:r>
        <w:tab/>
        <w:t>(ii)</w:t>
      </w:r>
      <w:r>
        <w:tab/>
        <w:t>if a certificate of insurance held by the licensee ceases to be of full force and effect — a replacement certificate of insurance;</w:t>
      </w:r>
    </w:p>
    <w:p>
      <w:pPr>
        <w:pStyle w:val="Indenta"/>
      </w:pPr>
      <w:r>
        <w:tab/>
      </w:r>
      <w:r>
        <w:tab/>
        <w:t>and</w:t>
      </w:r>
    </w:p>
    <w:p>
      <w:pPr>
        <w:pStyle w:val="Indenta"/>
        <w:rPr>
          <w:snapToGrid w:val="0"/>
        </w:rPr>
      </w:pPr>
      <w:r>
        <w:tab/>
        <w:t>(d)</w:t>
      </w:r>
      <w:r>
        <w:tab/>
      </w:r>
      <w:r>
        <w:rPr>
          <w:snapToGrid w:val="0"/>
        </w:rPr>
        <w:t>pay all premiums payable by the licensee under the Master Policy Agreement and certificate of insurance; and</w:t>
      </w:r>
    </w:p>
    <w:p>
      <w:pPr>
        <w:pStyle w:val="Indenta"/>
        <w:rPr>
          <w:snapToGrid w:val="0"/>
        </w:rPr>
      </w:pPr>
      <w:r>
        <w:tab/>
        <w:t>(e)</w:t>
      </w:r>
      <w:r>
        <w:tab/>
      </w:r>
      <w:r>
        <w:rPr>
          <w:snapToGrid w:val="0"/>
        </w:rPr>
        <w:t xml:space="preserve">comply with the provisions of the Master Policy Agreement and certificate of insurance that apply to the licensee. </w:t>
      </w:r>
    </w:p>
    <w:p>
      <w:pPr>
        <w:pStyle w:val="Subsection"/>
      </w:pPr>
      <w:r>
        <w:tab/>
        <w:t>(7)</w:t>
      </w:r>
      <w:r>
        <w:tab/>
        <w:t>A licensee who does not comply with an obligation under subsection (6)(b) or (c) is taken not to be the holder of a triennial certificate until the licensee complies with the obligation.</w:t>
      </w:r>
    </w:p>
    <w:p>
      <w:pPr>
        <w:pStyle w:val="Ednotesubsection"/>
      </w:pPr>
      <w:r>
        <w:tab/>
        <w:t>[(8)</w:t>
      </w:r>
      <w:r>
        <w:tab/>
        <w:t>deleted]</w:t>
      </w:r>
    </w:p>
    <w:p>
      <w:pPr>
        <w:pStyle w:val="Subsection"/>
        <w:rPr>
          <w:snapToGrid w:val="0"/>
        </w:rPr>
      </w:pPr>
      <w:r>
        <w:rPr>
          <w:snapToGrid w:val="0"/>
        </w:rPr>
        <w:tab/>
        <w:t>(9)</w:t>
      </w:r>
      <w:r>
        <w:rPr>
          <w:snapToGrid w:val="0"/>
        </w:rPr>
        <w:tab/>
        <w:t>Nothing in this section affects the right of a settlement agent to take out additional fidelity insurance or professional indemnity insurance.</w:t>
      </w:r>
    </w:p>
    <w:p>
      <w:pPr>
        <w:pStyle w:val="Footnotesection"/>
      </w:pPr>
      <w:r>
        <w:tab/>
        <w:t>[Section 35 amended: No. 51 of 1986 s. 46; No. 58 of 2010 s. 176; No. 7 of 2022 s. 50.]</w:t>
      </w:r>
    </w:p>
    <w:p>
      <w:pPr>
        <w:pStyle w:val="Heading5"/>
        <w:rPr>
          <w:snapToGrid w:val="0"/>
        </w:rPr>
      </w:pPr>
      <w:bookmarkStart w:id="34" w:name="_Toc107495947"/>
      <w:r>
        <w:rPr>
          <w:rStyle w:val="CharSectno"/>
        </w:rPr>
        <w:t>36</w:t>
      </w:r>
      <w:r>
        <w:rPr>
          <w:snapToGrid w:val="0"/>
        </w:rPr>
        <w:t>.</w:t>
      </w:r>
      <w:r>
        <w:rPr>
          <w:snapToGrid w:val="0"/>
        </w:rPr>
        <w:tab/>
        <w:t>Licensees to notify Commissioner of certain changes</w:t>
      </w:r>
      <w:bookmarkEnd w:id="34"/>
    </w:p>
    <w:p>
      <w:pPr>
        <w:pStyle w:val="Subsection"/>
        <w:rPr>
          <w:snapToGrid w:val="0"/>
        </w:rPr>
      </w:pPr>
      <w:r>
        <w:rPr>
          <w:snapToGrid w:val="0"/>
        </w:rPr>
        <w:tab/>
        <w:t>(1)</w:t>
      </w:r>
      <w:r>
        <w:rPr>
          <w:snapToGrid w:val="0"/>
        </w:rPr>
        <w:tab/>
        <w:t xml:space="preserve">A licensee shall, within 14 days after commencing or ceasing to carry on business as a settlement agent, give to the </w:t>
      </w:r>
      <w:r>
        <w:t>Commissioner</w:t>
      </w:r>
      <w:r>
        <w:rPr>
          <w:snapToGrid w:val="0"/>
        </w:rPr>
        <w:t xml:space="preserve"> notice in writing of that fact.</w:t>
      </w:r>
    </w:p>
    <w:p>
      <w:pPr>
        <w:pStyle w:val="Subsection"/>
        <w:keepNext/>
        <w:rPr>
          <w:snapToGrid w:val="0"/>
        </w:rPr>
      </w:pPr>
      <w:r>
        <w:rPr>
          <w:snapToGrid w:val="0"/>
        </w:rPr>
        <w:tab/>
        <w:t>(2)</w:t>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or shareholding of the body corporate;</w:t>
      </w:r>
    </w:p>
    <w:p>
      <w:pPr>
        <w:pStyle w:val="Indenta"/>
      </w:pPr>
      <w:r>
        <w:lastRenderedPageBreak/>
        <w:tab/>
        <w:t>(ba)</w:t>
      </w:r>
      <w:r>
        <w:tab/>
        <w:t>where the licensee is a firm, of any change in the persons by whom or by which it is constituted;</w:t>
      </w:r>
    </w:p>
    <w:p>
      <w:pPr>
        <w:pStyle w:val="Indenta"/>
        <w:keepLines/>
        <w:rPr>
          <w:snapToGrid w:val="0"/>
        </w:rPr>
      </w:pPr>
      <w:r>
        <w:rPr>
          <w:snapToGrid w:val="0"/>
        </w:rPr>
        <w:tab/>
        <w:t>(b)</w:t>
      </w:r>
      <w:r>
        <w:rPr>
          <w:snapToGrid w:val="0"/>
        </w:rPr>
        <w:tab/>
      </w:r>
      <w:r>
        <w:t>where</w:t>
      </w:r>
      <w:r>
        <w:rPr>
          <w:snapToGrid w:val="0"/>
        </w:rPr>
        <w:t xml:space="preserve"> the licensee is a firm and any of the persons by whom or by which it is constituted is a body corporate, of any change in the directors or shareholding of any such body corporate;</w:t>
      </w:r>
    </w:p>
    <w:p>
      <w:pPr>
        <w:pStyle w:val="Indenta"/>
        <w:rPr>
          <w:snapToGrid w:val="0"/>
        </w:rPr>
      </w:pPr>
      <w:r>
        <w:rPr>
          <w:snapToGrid w:val="0"/>
        </w:rPr>
        <w:tab/>
        <w:t>(c)</w:t>
      </w:r>
      <w:r>
        <w:rPr>
          <w:snapToGrid w:val="0"/>
        </w:rPr>
        <w:tab/>
        <w:t>where the licensee is a firm or body corporate, of any change in the person in bona fide control of the business operated under the licence held by the licensee,</w:t>
      </w:r>
    </w:p>
    <w:p>
      <w:pPr>
        <w:pStyle w:val="Subsection"/>
        <w:rPr>
          <w:snapToGrid w:val="0"/>
        </w:rPr>
      </w:pPr>
      <w:r>
        <w:rPr>
          <w:snapToGrid w:val="0"/>
        </w:rPr>
        <w:tab/>
      </w:r>
      <w:r>
        <w:rPr>
          <w:snapToGrid w:val="0"/>
        </w:rPr>
        <w:tab/>
        <w:t>within 14 days of the change.</w:t>
      </w:r>
    </w:p>
    <w:p>
      <w:pPr>
        <w:pStyle w:val="Subsection"/>
        <w:rPr>
          <w:snapToGrid w:val="0"/>
        </w:rPr>
      </w:pPr>
      <w:r>
        <w:rPr>
          <w:snapToGrid w:val="0"/>
        </w:rPr>
        <w:tab/>
        <w:t>(3)</w:t>
      </w:r>
      <w:r>
        <w:rPr>
          <w:snapToGrid w:val="0"/>
        </w:rPr>
        <w:tab/>
        <w:t xml:space="preserve">In subsection (2)(a) and (b) </w:t>
      </w:r>
      <w:r>
        <w:rPr>
          <w:rStyle w:val="CharDefText"/>
        </w:rPr>
        <w:t>body corporate</w:t>
      </w:r>
      <w:r>
        <w:rPr>
          <w:snapToGrid w:val="0"/>
        </w:rPr>
        <w:t xml:space="preserve"> does not include —</w:t>
      </w:r>
    </w:p>
    <w:p>
      <w:pPr>
        <w:pStyle w:val="Indenta"/>
        <w:rPr>
          <w:snapToGrid w:val="0"/>
        </w:rPr>
      </w:pPr>
      <w:r>
        <w:rPr>
          <w:snapToGrid w:val="0"/>
        </w:rPr>
        <w:tab/>
        <w:t>(a)</w:t>
      </w:r>
      <w:r>
        <w:rPr>
          <w:snapToGrid w:val="0"/>
        </w:rPr>
        <w:tab/>
        <w:t xml:space="preserve">a corporation, shares in which are </w:t>
      </w:r>
      <w:r>
        <w:t>quoted on a prescribed financial market</w:t>
      </w:r>
      <w:r>
        <w:rPr>
          <w:snapToGrid w:val="0"/>
        </w:rPr>
        <w:t xml:space="preserve"> in Australia; or</w:t>
      </w:r>
    </w:p>
    <w:p>
      <w:pPr>
        <w:pStyle w:val="Indenta"/>
        <w:rPr>
          <w:snapToGrid w:val="0"/>
        </w:rPr>
      </w:pPr>
      <w:r>
        <w:rPr>
          <w:snapToGrid w:val="0"/>
        </w:rPr>
        <w:tab/>
        <w:t>(b)</w:t>
      </w:r>
      <w:r>
        <w:rPr>
          <w:snapToGrid w:val="0"/>
        </w:rPr>
        <w:tab/>
        <w:t>a bank;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trustee company.</w:t>
      </w:r>
    </w:p>
    <w:p>
      <w:pPr>
        <w:pStyle w:val="Subsection"/>
        <w:keepNext/>
      </w:pPr>
      <w:r>
        <w:tab/>
        <w:t>(4)</w:t>
      </w:r>
      <w:r>
        <w:tab/>
        <w:t>In this section —</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pPr>
      <w:r>
        <w:tab/>
        <w:t>[Section 36 amended: No. 26 of 1999 s. 102(4); No. 21 of 2003 s. 23; No. 58 of 2010 s. 176; No. 23 of 2014 s. 103.]</w:t>
      </w:r>
    </w:p>
    <w:p>
      <w:pPr>
        <w:pStyle w:val="Heading5"/>
        <w:rPr>
          <w:snapToGrid w:val="0"/>
        </w:rPr>
      </w:pPr>
      <w:bookmarkStart w:id="35" w:name="_Toc107495948"/>
      <w:r>
        <w:rPr>
          <w:rStyle w:val="CharSectno"/>
        </w:rPr>
        <w:t>37</w:t>
      </w:r>
      <w:r>
        <w:rPr>
          <w:snapToGrid w:val="0"/>
        </w:rPr>
        <w:t>.</w:t>
      </w:r>
      <w:r>
        <w:rPr>
          <w:snapToGrid w:val="0"/>
        </w:rPr>
        <w:tab/>
        <w:t>Registered office of licensee</w:t>
      </w:r>
      <w:bookmarkEnd w:id="35"/>
    </w:p>
    <w:p>
      <w:pPr>
        <w:pStyle w:val="Subsection"/>
        <w:rPr>
          <w:snapToGrid w:val="0"/>
        </w:rPr>
      </w:pPr>
      <w:r>
        <w:rPr>
          <w:snapToGrid w:val="0"/>
        </w:rPr>
        <w:tab/>
        <w:t>(1)</w:t>
      </w:r>
      <w:r>
        <w:rPr>
          <w:snapToGrid w:val="0"/>
        </w:rPr>
        <w:tab/>
        <w:t>A licensee shall, on and after the day on which he commences to carry on business as a settlement agent, and for so long as he carries on that business, have a registered office in the State which shall be the place of business of the licensee in the State, or if he has more than one, then the principal place of business of the licensee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Any summons, notice, order, or other document to be served on a licensee pursuant to this Act, may be served by leaving it at </w:t>
      </w:r>
      <w:r>
        <w:rPr>
          <w:snapToGrid w:val="0"/>
        </w:rPr>
        <w:lastRenderedPageBreak/>
        <w:t>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 </w:t>
      </w:r>
      <w:r>
        <w:t>Commissioner</w:t>
      </w:r>
      <w:r>
        <w:rPr>
          <w:snapToGrid w:val="0"/>
        </w:rPr>
        <w:t>.</w:t>
      </w:r>
    </w:p>
    <w:p>
      <w:pPr>
        <w:pStyle w:val="Footnotesection"/>
      </w:pPr>
      <w:r>
        <w:tab/>
        <w:t>[Section 37 amended: No. 59 of 1995 s. 85; No. 58 of 2010 s. 176.]</w:t>
      </w:r>
    </w:p>
    <w:p>
      <w:pPr>
        <w:pStyle w:val="Heading5"/>
        <w:rPr>
          <w:snapToGrid w:val="0"/>
        </w:rPr>
      </w:pPr>
      <w:bookmarkStart w:id="36" w:name="_Toc107495949"/>
      <w:r>
        <w:rPr>
          <w:rStyle w:val="CharSectno"/>
        </w:rPr>
        <w:t>38</w:t>
      </w:r>
      <w:r>
        <w:rPr>
          <w:snapToGrid w:val="0"/>
        </w:rPr>
        <w:t>.</w:t>
      </w:r>
      <w:r>
        <w:rPr>
          <w:snapToGrid w:val="0"/>
        </w:rPr>
        <w:tab/>
        <w:t>Branch office of licensee</w:t>
      </w:r>
      <w:bookmarkEnd w:id="36"/>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settlement agent on his own account.</w:t>
      </w:r>
    </w:p>
    <w:p>
      <w:pPr>
        <w:pStyle w:val="Footnotesection"/>
      </w:pPr>
      <w:r>
        <w:tab/>
        <w:t>[Section 38 amended: No. 59 of 1995 s. 85; No. 58 of 2010 s. 176.]</w:t>
      </w:r>
    </w:p>
    <w:p>
      <w:pPr>
        <w:pStyle w:val="Heading5"/>
        <w:rPr>
          <w:snapToGrid w:val="0"/>
        </w:rPr>
      </w:pPr>
      <w:bookmarkStart w:id="37" w:name="_Toc107495950"/>
      <w:r>
        <w:rPr>
          <w:rStyle w:val="CharSectno"/>
        </w:rPr>
        <w:t>39</w:t>
      </w:r>
      <w:r>
        <w:rPr>
          <w:snapToGrid w:val="0"/>
        </w:rPr>
        <w:t>.</w:t>
      </w:r>
      <w:r>
        <w:rPr>
          <w:snapToGrid w:val="0"/>
        </w:rPr>
        <w:tab/>
        <w:t>Triennial certificates, contents of</w:t>
      </w:r>
      <w:bookmarkEnd w:id="37"/>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keepNext w:val="0"/>
        <w:rPr>
          <w:snapToGrid w:val="0"/>
        </w:rPr>
      </w:pPr>
      <w:bookmarkStart w:id="38" w:name="_Toc107495951"/>
      <w:r>
        <w:rPr>
          <w:rStyle w:val="CharSectno"/>
        </w:rPr>
        <w:lastRenderedPageBreak/>
        <w:t>40</w:t>
      </w:r>
      <w:r>
        <w:rPr>
          <w:snapToGrid w:val="0"/>
        </w:rPr>
        <w:t>.</w:t>
      </w:r>
      <w:r>
        <w:rPr>
          <w:snapToGrid w:val="0"/>
        </w:rPr>
        <w:tab/>
        <w:t>Licence and triennial certificate not transferable etc.</w:t>
      </w:r>
      <w:bookmarkEnd w:id="38"/>
    </w:p>
    <w:p>
      <w:pPr>
        <w:pStyle w:val="Subsection"/>
        <w:rPr>
          <w:snapToGrid w:val="0"/>
        </w:rPr>
      </w:pPr>
      <w:r>
        <w:rPr>
          <w:snapToGrid w:val="0"/>
        </w:rPr>
        <w:tab/>
        <w:t>(1)</w:t>
      </w:r>
      <w:r>
        <w:rPr>
          <w:snapToGrid w:val="0"/>
        </w:rPr>
        <w:tab/>
        <w:t>A person shall not —</w:t>
      </w:r>
    </w:p>
    <w:p>
      <w:pPr>
        <w:pStyle w:val="Indenta"/>
        <w:spacing w:before="60"/>
        <w:rPr>
          <w:snapToGrid w:val="0"/>
        </w:rPr>
      </w:pPr>
      <w:r>
        <w:rPr>
          <w:snapToGrid w:val="0"/>
        </w:rPr>
        <w:tab/>
        <w:t>(a)</w:t>
      </w:r>
      <w:r>
        <w:rPr>
          <w:snapToGrid w:val="0"/>
        </w:rPr>
        <w:tab/>
        <w:t>hold more than one real estate settlement agent’s licence or more than one triennial certificate relating thereto and shall not carry on more than one business as a real estate settlement agent under that certificate; or</w:t>
      </w:r>
    </w:p>
    <w:p>
      <w:pPr>
        <w:pStyle w:val="Indenta"/>
        <w:spacing w:before="60"/>
        <w:rPr>
          <w:snapToGrid w:val="0"/>
        </w:rPr>
      </w:pPr>
      <w:r>
        <w:rPr>
          <w:snapToGrid w:val="0"/>
        </w:rPr>
        <w:tab/>
        <w:t>(b)</w:t>
      </w:r>
      <w:r>
        <w:rPr>
          <w:snapToGrid w:val="0"/>
        </w:rPr>
        <w:tab/>
        <w:t>hold more than one business settlement agent’s licence or more than one triennial certificate relating thereto and shall not carry on more than one business as a business settlement agent under that certificate.</w:t>
      </w:r>
    </w:p>
    <w:p>
      <w:pPr>
        <w:pStyle w:val="Subsection"/>
        <w:rPr>
          <w:snapToGrid w:val="0"/>
        </w:rPr>
      </w:pPr>
      <w:r>
        <w:rPr>
          <w:snapToGrid w:val="0"/>
        </w:rPr>
        <w:tab/>
        <w:t>(2)</w:t>
      </w:r>
      <w:r>
        <w:rPr>
          <w:snapToGrid w:val="0"/>
        </w:rPr>
        <w:tab/>
        <w:t>A licence or a triennial certificate is not transferable.</w:t>
      </w:r>
    </w:p>
    <w:p>
      <w:pPr>
        <w:pStyle w:val="Subsection"/>
        <w:keepNext/>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keepNext/>
        <w:rPr>
          <w:snapToGrid w:val="0"/>
        </w:rPr>
      </w:pPr>
      <w:r>
        <w:rPr>
          <w:snapToGrid w:val="0"/>
        </w:rPr>
        <w:tab/>
      </w:r>
      <w:r>
        <w:rPr>
          <w:szCs w:val="24"/>
        </w:rPr>
        <w:t xml:space="preserve">Penalty for this subsection: a fine of </w:t>
      </w:r>
      <w:r>
        <w:rPr>
          <w:snapToGrid w:val="0"/>
          <w:szCs w:val="24"/>
        </w:rPr>
        <w:t>$100 000.</w:t>
      </w:r>
    </w:p>
    <w:p>
      <w:pPr>
        <w:pStyle w:val="Footnotesection"/>
        <w:spacing w:before="80"/>
        <w:ind w:left="890" w:hanging="890"/>
      </w:pPr>
      <w:r>
        <w:tab/>
        <w:t>[Section 40 amended: No. 59 of 1995 s. 85; No. 25 of 2019 s. 88.]</w:t>
      </w:r>
    </w:p>
    <w:p>
      <w:pPr>
        <w:pStyle w:val="Heading5"/>
      </w:pPr>
      <w:bookmarkStart w:id="39" w:name="_Toc107495952"/>
      <w:r>
        <w:rPr>
          <w:rStyle w:val="CharSectno"/>
        </w:rPr>
        <w:t>41A</w:t>
      </w:r>
      <w:r>
        <w:t>.</w:t>
      </w:r>
      <w:r>
        <w:tab/>
        <w:t>Duplicate licence or triennial certificate</w:t>
      </w:r>
      <w:bookmarkEnd w:id="39"/>
    </w:p>
    <w:p>
      <w:pPr>
        <w:pStyle w:val="Subsection"/>
      </w:pPr>
      <w:r>
        <w:tab/>
      </w:r>
      <w:r>
        <w:tab/>
        <w:t>If a licence or triennial certificate has been lost or destroyed, the Commissioner may issue a duplicate licence or duplicate triennial certificate on payment by the holder of the prescribed fee.</w:t>
      </w:r>
    </w:p>
    <w:p>
      <w:pPr>
        <w:pStyle w:val="Footnotesection"/>
        <w:spacing w:before="80"/>
        <w:ind w:left="890" w:hanging="890"/>
      </w:pPr>
      <w:r>
        <w:tab/>
        <w:t>[Section 41A inserted: No. 23 of 2014 s. 104.]</w:t>
      </w:r>
    </w:p>
    <w:p>
      <w:pPr>
        <w:pStyle w:val="Heading5"/>
      </w:pPr>
      <w:bookmarkStart w:id="40" w:name="_Toc107495953"/>
      <w:r>
        <w:rPr>
          <w:rStyle w:val="CharSectno"/>
        </w:rPr>
        <w:t>41B</w:t>
      </w:r>
      <w:r>
        <w:t>.</w:t>
      </w:r>
      <w:r>
        <w:tab/>
        <w:t>Licensee to comply with prescribed educational requirements</w:t>
      </w:r>
      <w:bookmarkEnd w:id="40"/>
    </w:p>
    <w:p>
      <w:pPr>
        <w:pStyle w:val="Subsection"/>
      </w:pPr>
      <w:r>
        <w:tab/>
      </w:r>
      <w:r>
        <w:tab/>
        <w:t xml:space="preserve">A licensee must comply with the educational requirements prescribed by the regulations. </w:t>
      </w:r>
    </w:p>
    <w:p>
      <w:pPr>
        <w:pStyle w:val="Penstart"/>
      </w:pPr>
      <w:r>
        <w:tab/>
        <w:t>Penalty: a fine of $5 000.</w:t>
      </w:r>
    </w:p>
    <w:p>
      <w:pPr>
        <w:pStyle w:val="Footnotesection"/>
        <w:spacing w:before="80"/>
        <w:ind w:left="890" w:hanging="890"/>
      </w:pPr>
      <w:r>
        <w:tab/>
        <w:t>[Section 41B inserted: No. 25 of 2019 s. 82.]</w:t>
      </w:r>
    </w:p>
    <w:p>
      <w:pPr>
        <w:pStyle w:val="Heading5"/>
        <w:rPr>
          <w:snapToGrid w:val="0"/>
        </w:rPr>
      </w:pPr>
      <w:bookmarkStart w:id="41" w:name="_Toc107495954"/>
      <w:r>
        <w:rPr>
          <w:rStyle w:val="CharSectno"/>
        </w:rPr>
        <w:lastRenderedPageBreak/>
        <w:t>41</w:t>
      </w:r>
      <w:r>
        <w:rPr>
          <w:snapToGrid w:val="0"/>
        </w:rPr>
        <w:t>.</w:t>
      </w:r>
      <w:r>
        <w:rPr>
          <w:snapToGrid w:val="0"/>
        </w:rPr>
        <w:tab/>
        <w:t>Use of business names by licensees</w:t>
      </w:r>
      <w:bookmarkEnd w:id="41"/>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w:t>
      </w:r>
    </w:p>
    <w:p>
      <w:pPr>
        <w:pStyle w:val="Indenta"/>
        <w:spacing w:before="60"/>
        <w:rPr>
          <w:snapToGrid w:val="0"/>
        </w:rPr>
      </w:pPr>
      <w:r>
        <w:rPr>
          <w:snapToGrid w:val="0"/>
        </w:rPr>
        <w:tab/>
        <w:t>(a)</w:t>
      </w:r>
      <w:r>
        <w:rPr>
          <w:snapToGrid w:val="0"/>
        </w:rPr>
        <w:tab/>
        <w:t>a licensee may carry on business as a settlement agent under only one business name which shall be endorsed on his triennial certificate; and</w:t>
      </w:r>
    </w:p>
    <w:p>
      <w:pPr>
        <w:pStyle w:val="Indenta"/>
        <w:spacing w:before="60"/>
        <w:rPr>
          <w:snapToGrid w:val="0"/>
        </w:rPr>
      </w:pPr>
      <w:r>
        <w:rPr>
          <w:snapToGrid w:val="0"/>
        </w:rPr>
        <w:tab/>
        <w:t>(b)</w:t>
      </w:r>
      <w:r>
        <w:rPr>
          <w:snapToGrid w:val="0"/>
        </w:rPr>
        <w:tab/>
        <w:t>a licensee carrying on the business of a settlement agent under a business name shall, on all correspondence from him in that business, identify the person or persons constituting the licensee.</w:t>
      </w:r>
    </w:p>
    <w:p>
      <w:pPr>
        <w:pStyle w:val="Subsection"/>
        <w:keepNext/>
        <w:keepLines/>
        <w:spacing w:before="120"/>
        <w:rPr>
          <w:snapToGrid w:val="0"/>
        </w:rPr>
      </w:pPr>
      <w:r>
        <w:rPr>
          <w:snapToGrid w:val="0"/>
        </w:rPr>
        <w:tab/>
        <w:t>(2)</w:t>
      </w:r>
      <w:r>
        <w:rPr>
          <w:snapToGrid w:val="0"/>
        </w:rPr>
        <w:tab/>
        <w:t xml:space="preserve">A licensee who alters the name, style, title or designation under which he carries on business as a settlement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spacing w:before="70"/>
        <w:rPr>
          <w:snapToGrid w:val="0"/>
        </w:rPr>
      </w:pPr>
      <w:r>
        <w:rPr>
          <w:snapToGrid w:val="0"/>
        </w:rPr>
        <w:tab/>
        <w:t>Penalty: $1 000.</w:t>
      </w:r>
    </w:p>
    <w:p>
      <w:pPr>
        <w:pStyle w:val="Footnotesection"/>
        <w:spacing w:before="100"/>
        <w:ind w:left="890" w:hanging="890"/>
      </w:pPr>
      <w:r>
        <w:tab/>
        <w:t>[Section 41 amended: No. 59 of 1995 s. 85; No. 58 of 2010 s. 176.]</w:t>
      </w:r>
    </w:p>
    <w:p>
      <w:pPr>
        <w:pStyle w:val="Heading5"/>
        <w:spacing w:before="200"/>
        <w:rPr>
          <w:snapToGrid w:val="0"/>
        </w:rPr>
      </w:pPr>
      <w:bookmarkStart w:id="42" w:name="_Toc107495955"/>
      <w:r>
        <w:rPr>
          <w:rStyle w:val="CharSectno"/>
        </w:rPr>
        <w:t>42</w:t>
      </w:r>
      <w:r>
        <w:rPr>
          <w:snapToGrid w:val="0"/>
        </w:rPr>
        <w:t>.</w:t>
      </w:r>
      <w:r>
        <w:rPr>
          <w:snapToGrid w:val="0"/>
        </w:rPr>
        <w:tab/>
        <w:t>Notices to be exhibited at offices; particulars to appear on documents</w:t>
      </w:r>
      <w:bookmarkEnd w:id="42"/>
    </w:p>
    <w:p>
      <w:pPr>
        <w:pStyle w:val="Subsection"/>
        <w:spacing w:before="120"/>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spacing w:before="60"/>
        <w:rPr>
          <w:snapToGrid w:val="0"/>
        </w:rPr>
      </w:pPr>
      <w:r>
        <w:rPr>
          <w:snapToGrid w:val="0"/>
        </w:rPr>
        <w:tab/>
        <w:t>(a)</w:t>
      </w:r>
      <w:r>
        <w:rPr>
          <w:snapToGrid w:val="0"/>
        </w:rPr>
        <w:tab/>
        <w:t>a notice of his name, and of the fact that he is a licensed real estate settlement agent or business settlement agent, or both, together with the name, style, title, or designation under which he carries on business as a settlement agent, if that business is not carried on in his own name; and</w:t>
      </w:r>
    </w:p>
    <w:p>
      <w:pPr>
        <w:pStyle w:val="Indenta"/>
        <w:spacing w:before="60"/>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spacing w:before="120"/>
        <w:rPr>
          <w:snapToGrid w:val="0"/>
        </w:rPr>
      </w:pPr>
      <w:r>
        <w:rPr>
          <w:snapToGrid w:val="0"/>
        </w:rPr>
        <w:lastRenderedPageBreak/>
        <w:tab/>
        <w:t>(2)</w:t>
      </w:r>
      <w:r>
        <w:rPr>
          <w:snapToGrid w:val="0"/>
        </w:rPr>
        <w:tab/>
        <w:t>On all correspondence, and on the outside or all documents prepared, in the course of business of a licensee at his registered office and every branch office —</w:t>
      </w:r>
    </w:p>
    <w:p>
      <w:pPr>
        <w:pStyle w:val="Indenta"/>
        <w:spacing w:before="60"/>
        <w:rPr>
          <w:snapToGrid w:val="0"/>
        </w:rPr>
      </w:pPr>
      <w:r>
        <w:rPr>
          <w:snapToGrid w:val="0"/>
        </w:rPr>
        <w:tab/>
        <w:t>(a)</w:t>
      </w:r>
      <w:r>
        <w:rPr>
          <w:snapToGrid w:val="0"/>
        </w:rPr>
        <w:tab/>
        <w:t>the licensee shall be identified as a real estate settlement agent or a business settlement agent, or both, and the registered office of his business shall be shown; and</w:t>
      </w:r>
    </w:p>
    <w:p>
      <w:pPr>
        <w:pStyle w:val="Indenta"/>
        <w:spacing w:before="60"/>
        <w:rPr>
          <w:snapToGrid w:val="0"/>
        </w:rPr>
      </w:pPr>
      <w:r>
        <w:rPr>
          <w:snapToGrid w:val="0"/>
        </w:rPr>
        <w:tab/>
        <w:t>(b)</w:t>
      </w:r>
      <w:r>
        <w:rPr>
          <w:snapToGrid w:val="0"/>
        </w:rPr>
        <w:tab/>
        <w:t>in the case of a branch office, the manager shall also be identified as a settlement agent and the address of the branch office shall also be shown.</w:t>
      </w:r>
    </w:p>
    <w:p>
      <w:pPr>
        <w:pStyle w:val="Heading2"/>
      </w:pPr>
      <w:bookmarkStart w:id="43" w:name="_Toc107315854"/>
      <w:bookmarkStart w:id="44" w:name="_Toc107316244"/>
      <w:bookmarkStart w:id="45" w:name="_Toc107495956"/>
      <w:r>
        <w:rPr>
          <w:rStyle w:val="CharPartNo"/>
        </w:rPr>
        <w:lastRenderedPageBreak/>
        <w:t>Part IV</w:t>
      </w:r>
      <w:r>
        <w:t> — </w:t>
      </w:r>
      <w:r>
        <w:rPr>
          <w:rStyle w:val="CharPartText"/>
        </w:rPr>
        <w:t>Controls</w:t>
      </w:r>
      <w:bookmarkEnd w:id="43"/>
      <w:bookmarkEnd w:id="44"/>
      <w:bookmarkEnd w:id="45"/>
    </w:p>
    <w:p>
      <w:pPr>
        <w:pStyle w:val="Heading3"/>
      </w:pPr>
      <w:bookmarkStart w:id="46" w:name="_Toc107315855"/>
      <w:bookmarkStart w:id="47" w:name="_Toc107316245"/>
      <w:bookmarkStart w:id="48" w:name="_Toc107495957"/>
      <w:r>
        <w:rPr>
          <w:rStyle w:val="CharDivNo"/>
        </w:rPr>
        <w:t>Division 1</w:t>
      </w:r>
      <w:r>
        <w:rPr>
          <w:snapToGrid w:val="0"/>
        </w:rPr>
        <w:t> — </w:t>
      </w:r>
      <w:r>
        <w:rPr>
          <w:rStyle w:val="CharDivText"/>
        </w:rPr>
        <w:t>General</w:t>
      </w:r>
      <w:bookmarkEnd w:id="46"/>
      <w:bookmarkEnd w:id="47"/>
      <w:bookmarkEnd w:id="48"/>
    </w:p>
    <w:p>
      <w:pPr>
        <w:pStyle w:val="Heading5"/>
        <w:rPr>
          <w:snapToGrid w:val="0"/>
        </w:rPr>
      </w:pPr>
      <w:bookmarkStart w:id="49" w:name="_Toc107495958"/>
      <w:r>
        <w:rPr>
          <w:rStyle w:val="CharSectno"/>
        </w:rPr>
        <w:t>43</w:t>
      </w:r>
      <w:r>
        <w:rPr>
          <w:snapToGrid w:val="0"/>
        </w:rPr>
        <w:t>.</w:t>
      </w:r>
      <w:r>
        <w:rPr>
          <w:snapToGrid w:val="0"/>
        </w:rPr>
        <w:tab/>
        <w:t>Remuneration of settlement agents</w:t>
      </w:r>
      <w:bookmarkEnd w:id="49"/>
    </w:p>
    <w:p>
      <w:pPr>
        <w:pStyle w:val="Subsection"/>
        <w:rPr>
          <w:snapToGrid w:val="0"/>
        </w:rPr>
      </w:pPr>
      <w:r>
        <w:rPr>
          <w:snapToGrid w:val="0"/>
        </w:rPr>
        <w:tab/>
        <w:t>(1)</w:t>
      </w:r>
      <w:r>
        <w:rPr>
          <w:snapToGrid w:val="0"/>
        </w:rPr>
        <w:tab/>
        <w:t>A settlement agent is not entitled to receive any reward in respect of his services in that capacity unless he has a valid appointment to act in that capacity which is in writing signed, before the services are rendered, by the party to the transaction for whom the services are to be rendered or by some other person lawfully authorised to sign on behalf of the person for whom the services are to be rendered, who is not a real estate agent or other commission agent or a servant or agent thereof, acting for a party in the transaction and —</w:t>
      </w:r>
    </w:p>
    <w:p>
      <w:pPr>
        <w:pStyle w:val="Indenta"/>
        <w:rPr>
          <w:snapToGrid w:val="0"/>
        </w:rPr>
      </w:pPr>
      <w:r>
        <w:rPr>
          <w:snapToGrid w:val="0"/>
        </w:rPr>
        <w:tab/>
        <w:t>(a)</w:t>
      </w:r>
      <w:r>
        <w:rPr>
          <w:snapToGrid w:val="0"/>
        </w:rPr>
        <w:tab/>
        <w:t>where the service is rendered in relation to a real estate transaction, he is licensed as a real estate settlement agent and he holds a current triennial certificate in respect of his licence when he renders the services;</w:t>
      </w:r>
    </w:p>
    <w:p>
      <w:pPr>
        <w:pStyle w:val="Indenta"/>
        <w:rPr>
          <w:snapToGrid w:val="0"/>
        </w:rPr>
      </w:pPr>
      <w:r>
        <w:rPr>
          <w:snapToGrid w:val="0"/>
        </w:rPr>
        <w:tab/>
        <w:t>(b)</w:t>
      </w:r>
      <w:r>
        <w:rPr>
          <w:snapToGrid w:val="0"/>
        </w:rPr>
        <w:tab/>
        <w:t>where the service is rendered in relation to a business transaction, he is licensed as a business settlement agent and he holds a current triennial certificate in respect of his licence when he renders the services.</w:t>
      </w:r>
    </w:p>
    <w:p>
      <w:pPr>
        <w:pStyle w:val="Subsection"/>
        <w:rPr>
          <w:snapToGrid w:val="0"/>
        </w:rPr>
      </w:pPr>
      <w:r>
        <w:rPr>
          <w:snapToGrid w:val="0"/>
        </w:rPr>
        <w:tab/>
        <w:t>(2)</w:t>
      </w:r>
      <w:r>
        <w:rPr>
          <w:snapToGrid w:val="0"/>
        </w:rPr>
        <w:tab/>
        <w:t>An appointment to act as a settlement agent is not valid unless —</w:t>
      </w:r>
    </w:p>
    <w:p>
      <w:pPr>
        <w:pStyle w:val="Indenta"/>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identifies the real estate transaction or the business transaction, as the case may be; and</w:t>
      </w:r>
    </w:p>
    <w:p>
      <w:pPr>
        <w:pStyle w:val="Indenti"/>
        <w:rPr>
          <w:snapToGrid w:val="0"/>
        </w:rPr>
      </w:pPr>
      <w:r>
        <w:rPr>
          <w:snapToGrid w:val="0"/>
        </w:rPr>
        <w:tab/>
        <w:t>(ii)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it is contained in an offer to purchase or in a contract for sale, it is separately and distinctly signed; and</w:t>
      </w:r>
    </w:p>
    <w:p>
      <w:pPr>
        <w:pStyle w:val="Indenta"/>
        <w:keepNext/>
        <w:keepLines/>
        <w:rPr>
          <w:snapToGrid w:val="0"/>
        </w:rPr>
      </w:pPr>
      <w:r>
        <w:rPr>
          <w:snapToGrid w:val="0"/>
        </w:rPr>
        <w:lastRenderedPageBreak/>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settlement agent shall supply to a person for whom he is acting or who may wish to engage him to act, upon request by that person, a true copy of the scale of remuneration fixed under section 44 and a bona fide estimate of the cost of the services of the settlement agent in respect of the particular settlement to which the request relates.</w:t>
      </w:r>
    </w:p>
    <w:p>
      <w:pPr>
        <w:pStyle w:val="Subsection"/>
        <w:rPr>
          <w:snapToGrid w:val="0"/>
        </w:rPr>
      </w:pPr>
      <w:r>
        <w:rPr>
          <w:snapToGrid w:val="0"/>
        </w:rPr>
        <w:tab/>
        <w:t>(4)</w:t>
      </w:r>
      <w:r>
        <w:rPr>
          <w:snapToGrid w:val="0"/>
        </w:rPr>
        <w:tab/>
        <w:t>A person may recover remuneration for services rendered as a settlement agent notwithstanding his failure to comply with subsection (1)(a) or (b) if subject to the provisions of Division 2 of Part IV, the person suing is the personal representative of a deceased or mentally incapable settlement agent or the trustee in bankruptcy or liquidator of a settlement agent.</w:t>
      </w:r>
    </w:p>
    <w:p>
      <w:pPr>
        <w:pStyle w:val="Subsection"/>
        <w:rPr>
          <w:snapToGrid w:val="0"/>
        </w:rPr>
      </w:pPr>
      <w:r>
        <w:rPr>
          <w:snapToGrid w:val="0"/>
        </w:rPr>
        <w:tab/>
        <w:t>(5)</w:t>
      </w:r>
      <w:r>
        <w:rPr>
          <w:snapToGrid w:val="0"/>
        </w:rPr>
        <w:tab/>
        <w:t>A person may recover remuneration for services rendered as a settlement agent notwithstanding that he has no valid appointment as required by subsection (1) if —</w:t>
      </w:r>
    </w:p>
    <w:p>
      <w:pPr>
        <w:pStyle w:val="Indenta"/>
        <w:rPr>
          <w:snapToGrid w:val="0"/>
        </w:rPr>
      </w:pPr>
      <w:r>
        <w:rPr>
          <w:snapToGrid w:val="0"/>
        </w:rPr>
        <w:tab/>
        <w:t>(a)</w:t>
      </w:r>
      <w:r>
        <w:rPr>
          <w:snapToGrid w:val="0"/>
        </w:rPr>
        <w:tab/>
        <w:t>the party to the transaction for whom the services were rendered has certified that he is aware of the provisions of subsections (1), (2) and (3) and has ratified in writing the appointment of the settlement agent; or</w:t>
      </w:r>
    </w:p>
    <w:p>
      <w:pPr>
        <w:pStyle w:val="Indenta"/>
        <w:rPr>
          <w:snapToGrid w:val="0"/>
        </w:rPr>
      </w:pPr>
      <w:r>
        <w:rPr>
          <w:snapToGrid w:val="0"/>
        </w:rPr>
        <w:tab/>
        <w:t>(b)</w:t>
      </w:r>
      <w:r>
        <w:rPr>
          <w:snapToGrid w:val="0"/>
        </w:rPr>
        <w:tab/>
        <w:t>a court before which the claim for remuneration is heard is satisfied that in all the circumstances it would be unjust to deprive the settlement agent of all or a part of the remuneration.</w:t>
      </w:r>
    </w:p>
    <w:p>
      <w:pPr>
        <w:pStyle w:val="Subsection"/>
        <w:rPr>
          <w:snapToGrid w:val="0"/>
        </w:rPr>
      </w:pPr>
      <w:r>
        <w:rPr>
          <w:snapToGrid w:val="0"/>
        </w:rPr>
        <w:tab/>
        <w:t>(6)</w:t>
      </w:r>
      <w:r>
        <w:rPr>
          <w:snapToGrid w:val="0"/>
        </w:rPr>
        <w:tab/>
        <w:t>Where an appointment of a settlement agent is terminated prior to settlement the settlement agent shall be entitled to recover such proportion of the prescribed remuneration as is reasonable in the circumstances.</w:t>
      </w:r>
    </w:p>
    <w:p>
      <w:pPr>
        <w:pStyle w:val="Subsection"/>
        <w:rPr>
          <w:snapToGrid w:val="0"/>
        </w:rPr>
      </w:pPr>
      <w:r>
        <w:rPr>
          <w:snapToGrid w:val="0"/>
        </w:rPr>
        <w:tab/>
        <w:t>(7)</w:t>
      </w:r>
      <w:r>
        <w:rPr>
          <w:snapToGrid w:val="0"/>
        </w:rPr>
        <w:tab/>
        <w:t>A settlement agent is not entitled to claim a possessory or other lien over documents for his fees or otherwise.</w:t>
      </w:r>
    </w:p>
    <w:p>
      <w:pPr>
        <w:pStyle w:val="Subsection"/>
        <w:keepNext/>
        <w:rPr>
          <w:snapToGrid w:val="0"/>
        </w:rPr>
      </w:pPr>
      <w:r>
        <w:rPr>
          <w:snapToGrid w:val="0"/>
        </w:rPr>
        <w:lastRenderedPageBreak/>
        <w:tab/>
        <w:t>(8)</w:t>
      </w:r>
      <w:r>
        <w:rPr>
          <w:snapToGrid w:val="0"/>
        </w:rPr>
        <w:tab/>
        <w:t>A person shall not, whether directly or indirectly, demand, receive, or hold, any reward in contravention of this section.</w:t>
      </w:r>
    </w:p>
    <w:p>
      <w:pPr>
        <w:pStyle w:val="Penstart"/>
        <w:rPr>
          <w:snapToGrid w:val="0"/>
        </w:rPr>
      </w:pPr>
      <w:r>
        <w:rPr>
          <w:snapToGrid w:val="0"/>
        </w:rPr>
        <w:tab/>
        <w:t xml:space="preserve">Penalty: $5 000 and in the case of conviction for a second or other subsequent offence the </w:t>
      </w:r>
      <w:r>
        <w:t>convicting court or tribunal</w:t>
      </w:r>
      <w:r>
        <w:rPr>
          <w:snapToGrid w:val="0"/>
        </w:rPr>
        <w:t xml:space="preserve"> may call upon the settlement agent to show cause why his licence should not be cancelled or suspended.</w:t>
      </w:r>
    </w:p>
    <w:p>
      <w:pPr>
        <w:pStyle w:val="Subsection"/>
        <w:rPr>
          <w:snapToGrid w:val="0"/>
        </w:rPr>
      </w:pPr>
      <w:r>
        <w:rPr>
          <w:snapToGrid w:val="0"/>
        </w:rPr>
        <w:tab/>
        <w:t>(9)</w:t>
      </w:r>
      <w:r>
        <w:rPr>
          <w:snapToGrid w:val="0"/>
        </w:rPr>
        <w:tab/>
        <w:t>Any reward received or held in contravention of this section may be recovered as a civil debt recoverable summarily in any court of competent jurisdiction.</w:t>
      </w:r>
    </w:p>
    <w:p>
      <w:pPr>
        <w:pStyle w:val="Footnotesection"/>
      </w:pPr>
      <w:r>
        <w:tab/>
        <w:t>[Section 43 amended: No. 59 of 1995 s. 64 and 85; No. 58 of 2010 s. 145.]</w:t>
      </w:r>
    </w:p>
    <w:p>
      <w:pPr>
        <w:pStyle w:val="Heading5"/>
        <w:rPr>
          <w:snapToGrid w:val="0"/>
        </w:rPr>
      </w:pPr>
      <w:bookmarkStart w:id="50" w:name="_Toc107495959"/>
      <w:r>
        <w:rPr>
          <w:rStyle w:val="CharSectno"/>
        </w:rPr>
        <w:t>44</w:t>
      </w:r>
      <w:r>
        <w:rPr>
          <w:snapToGrid w:val="0"/>
        </w:rPr>
        <w:t>.</w:t>
      </w:r>
      <w:r>
        <w:rPr>
          <w:snapToGrid w:val="0"/>
        </w:rPr>
        <w:tab/>
        <w:t>Maximum remuneration, disputes over remuneration etc.</w:t>
      </w:r>
      <w:bookmarkEnd w:id="50"/>
    </w:p>
    <w:p>
      <w:pPr>
        <w:pStyle w:val="Subsection"/>
        <w:spacing w:before="180"/>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that a licensee is to receive for a service rendered by the licensee in performing the functions referred to in sections 46 and 47.</w:t>
      </w:r>
    </w:p>
    <w:p>
      <w:pPr>
        <w:pStyle w:val="Subsection"/>
        <w:spacing w:before="180"/>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spacing w:before="180"/>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spacing w:before="180"/>
        <w:rPr>
          <w:snapToGrid w:val="0"/>
        </w:rPr>
      </w:pPr>
      <w:r>
        <w:rPr>
          <w:snapToGrid w:val="0"/>
        </w:rPr>
        <w:tab/>
        <w:t>(3a)</w:t>
      </w:r>
      <w:r>
        <w:rPr>
          <w:snapToGrid w:val="0"/>
        </w:rPr>
        <w:tab/>
        <w:t>If an amount is fixed under subsection (1) in respect of a service rendered by a licensee, the licensee is not entitled to receive for that service, in the licensee’s capacity as a settlement agent, any reward which exceeds that amount in value.</w:t>
      </w:r>
    </w:p>
    <w:p>
      <w:pPr>
        <w:pStyle w:val="Subsection"/>
        <w:spacing w:before="180"/>
        <w:rPr>
          <w:snapToGrid w:val="0"/>
        </w:rPr>
      </w:pPr>
      <w:r>
        <w:rPr>
          <w:snapToGrid w:val="0"/>
        </w:rPr>
        <w:tab/>
        <w:t>(4)</w:t>
      </w:r>
      <w:r>
        <w:rPr>
          <w:snapToGrid w:val="0"/>
        </w:rPr>
        <w:tab/>
        <w:t>A licensee shall not, whether directly or indirectly demand, receive, or hold any reward in contravention of this section.</w:t>
      </w:r>
    </w:p>
    <w:p>
      <w:pPr>
        <w:pStyle w:val="Subsection"/>
        <w:spacing w:before="180"/>
        <w:rPr>
          <w:snapToGrid w:val="0"/>
        </w:rPr>
      </w:pPr>
      <w:r>
        <w:rPr>
          <w:snapToGrid w:val="0"/>
        </w:rPr>
        <w:lastRenderedPageBreak/>
        <w:tab/>
        <w:t>(5)</w:t>
      </w:r>
      <w:r>
        <w:rPr>
          <w:snapToGrid w:val="0"/>
        </w:rPr>
        <w:tab/>
        <w:t xml:space="preserve">A person dissatisfied with the amount of any demand for remuneration rendered to him by a settlement agent may refer the matter to the </w:t>
      </w:r>
      <w:r>
        <w:t>Commissioner</w:t>
      </w:r>
      <w:r>
        <w:rPr>
          <w:snapToGrid w:val="0"/>
        </w:rPr>
        <w:t xml:space="preserve"> who, with the consent in writing of both the settlement agent and the dissatisfied person, may appoint a suitable person to determine the matter finally in summary manner; but nothing herein affects the right of a person to allege in other proceedings that work has not been properly performed or remuneration has not been duly and lawfully earned.</w:t>
      </w:r>
    </w:p>
    <w:p>
      <w:pPr>
        <w:pStyle w:val="Subsection"/>
        <w:spacing w:before="180"/>
        <w:rPr>
          <w:snapToGrid w:val="0"/>
        </w:rPr>
      </w:pPr>
      <w:r>
        <w:rPr>
          <w:snapToGrid w:val="0"/>
        </w:rPr>
        <w:tab/>
        <w:t>(6)</w:t>
      </w:r>
      <w:r>
        <w:rPr>
          <w:snapToGrid w:val="0"/>
        </w:rPr>
        <w:tab/>
        <w:t>Any reward received or held in contravention of this section may be recovered as a civil debt recoverable summarily in any court of competent jurisdiction.</w:t>
      </w:r>
    </w:p>
    <w:p>
      <w:pPr>
        <w:pStyle w:val="Subsection"/>
        <w:spacing w:before="180"/>
        <w:rPr>
          <w:snapToGrid w:val="0"/>
        </w:rPr>
      </w:pPr>
      <w:r>
        <w:rPr>
          <w:snapToGrid w:val="0"/>
        </w:rPr>
        <w:tab/>
        <w:t>(7)</w:t>
      </w:r>
      <w:r>
        <w:rPr>
          <w:snapToGrid w:val="0"/>
        </w:rPr>
        <w:tab/>
        <w:t>A person shall not, whether directly or indirectly, demand, receive or hold any reward for referring to a licensee any business involving the performance of the functions of a settlement agent.</w:t>
      </w:r>
    </w:p>
    <w:p>
      <w:pPr>
        <w:pStyle w:val="Subsection"/>
        <w:spacing w:before="180"/>
        <w:rPr>
          <w:snapToGrid w:val="0"/>
        </w:rPr>
      </w:pPr>
      <w:r>
        <w:rPr>
          <w:snapToGrid w:val="0"/>
        </w:rPr>
        <w:tab/>
        <w:t>(8)</w:t>
      </w:r>
      <w:r>
        <w:rPr>
          <w:snapToGrid w:val="0"/>
        </w:rPr>
        <w:tab/>
        <w:t>A licensee shall not, whether directly or indirectly, pay or give any reward to any person referring to the licensee any business involving the performance of the functions of a settlement agent.</w:t>
      </w:r>
    </w:p>
    <w:p>
      <w:pPr>
        <w:pStyle w:val="Subsection"/>
        <w:spacing w:before="180"/>
        <w:rPr>
          <w:snapToGrid w:val="0"/>
        </w:rPr>
      </w:pPr>
      <w:r>
        <w:rPr>
          <w:snapToGrid w:val="0"/>
        </w:rPr>
        <w:tab/>
        <w:t>(9)</w:t>
      </w:r>
      <w:r>
        <w:rPr>
          <w:snapToGrid w:val="0"/>
        </w:rPr>
        <w:tab/>
        <w:t xml:space="preserve">Upon conviction for an offence against this section a settlement agent and any other person directly concerned in the commission of the offence or who is liable to conviction pursuant to Chapter II of </w:t>
      </w:r>
      <w:r>
        <w:rPr>
          <w:i/>
          <w:snapToGrid w:val="0"/>
        </w:rPr>
        <w:t>The Criminal Code</w:t>
      </w:r>
      <w:r>
        <w:rPr>
          <w:snapToGrid w:val="0"/>
        </w:rPr>
        <w:t xml:space="preserve"> is liable to —</w:t>
      </w:r>
    </w:p>
    <w:p>
      <w:pPr>
        <w:pStyle w:val="Indenta"/>
        <w:rPr>
          <w:snapToGrid w:val="0"/>
        </w:rPr>
      </w:pPr>
      <w:r>
        <w:rPr>
          <w:snapToGrid w:val="0"/>
        </w:rPr>
        <w:tab/>
        <w:t>(a)</w:t>
      </w:r>
      <w:r>
        <w:rPr>
          <w:snapToGrid w:val="0"/>
        </w:rPr>
        <w:tab/>
        <w:t>in the case of an offence against subsection (4), a penalty not exceeding $5 000; and</w:t>
      </w:r>
    </w:p>
    <w:p>
      <w:pPr>
        <w:pStyle w:val="Indenta"/>
        <w:rPr>
          <w:snapToGrid w:val="0"/>
        </w:rPr>
      </w:pPr>
      <w:r>
        <w:rPr>
          <w:snapToGrid w:val="0"/>
        </w:rPr>
        <w:tab/>
        <w:t>(b)</w:t>
      </w:r>
      <w:r>
        <w:rPr>
          <w:snapToGrid w:val="0"/>
        </w:rPr>
        <w:tab/>
        <w:t>in any other case, a penalty not exceeding $20 000.</w:t>
      </w:r>
    </w:p>
    <w:p>
      <w:pPr>
        <w:pStyle w:val="Subsection"/>
        <w:rPr>
          <w:snapToGrid w:val="0"/>
        </w:rPr>
      </w:pPr>
      <w:r>
        <w:rPr>
          <w:snapToGrid w:val="0"/>
        </w:rPr>
        <w:tab/>
        <w:t>(10)</w:t>
      </w:r>
      <w:r>
        <w:rPr>
          <w:snapToGrid w:val="0"/>
        </w:rPr>
        <w:tab/>
        <w:t xml:space="preserve">Upon the conviction of a settlement agent for a second or subsequent offence under this section the </w:t>
      </w:r>
      <w:r>
        <w:t>convicting court or tribunal</w:t>
      </w:r>
      <w:r>
        <w:rPr>
          <w:snapToGrid w:val="0"/>
        </w:rPr>
        <w:t xml:space="preserve"> may also call upon him to show cause why his licence should not be cancelled or suspended.</w:t>
      </w:r>
    </w:p>
    <w:p>
      <w:pPr>
        <w:pStyle w:val="Footnotesection"/>
        <w:keepLines w:val="0"/>
      </w:pPr>
      <w:r>
        <w:tab/>
        <w:t>[Section 44 amended: No. 59 of 1995 s. 65; No. 58 of 2010 s. 146 and 176.]</w:t>
      </w:r>
    </w:p>
    <w:p>
      <w:pPr>
        <w:pStyle w:val="Heading5"/>
        <w:rPr>
          <w:snapToGrid w:val="0"/>
        </w:rPr>
      </w:pPr>
      <w:bookmarkStart w:id="51" w:name="_Toc107495960"/>
      <w:r>
        <w:rPr>
          <w:rStyle w:val="CharSectno"/>
        </w:rPr>
        <w:lastRenderedPageBreak/>
        <w:t>45</w:t>
      </w:r>
      <w:r>
        <w:rPr>
          <w:snapToGrid w:val="0"/>
        </w:rPr>
        <w:t>.</w:t>
      </w:r>
      <w:r>
        <w:rPr>
          <w:snapToGrid w:val="0"/>
        </w:rPr>
        <w:tab/>
        <w:t>Records and premises, licensees’ duties as to</w:t>
      </w:r>
      <w:bookmarkEnd w:id="51"/>
    </w:p>
    <w:p>
      <w:pPr>
        <w:pStyle w:val="Subsection"/>
        <w:keepNext/>
        <w:keepLines/>
        <w:spacing w:before="140"/>
        <w:rPr>
          <w:snapToGrid w:val="0"/>
        </w:rPr>
      </w:pPr>
      <w:r>
        <w:rPr>
          <w:snapToGrid w:val="0"/>
        </w:rPr>
        <w:tab/>
      </w:r>
      <w:r>
        <w:rPr>
          <w:snapToGrid w:val="0"/>
        </w:rPr>
        <w:tab/>
        <w:t>A licensee shall —</w:t>
      </w:r>
    </w:p>
    <w:p>
      <w:pPr>
        <w:pStyle w:val="Indenta"/>
        <w:rPr>
          <w:snapToGrid w:val="0"/>
        </w:rPr>
      </w:pPr>
      <w:r>
        <w:rPr>
          <w:snapToGrid w:val="0"/>
        </w:rPr>
        <w:tab/>
        <w:t>(a)</w:t>
      </w:r>
      <w:r>
        <w:rPr>
          <w:snapToGrid w:val="0"/>
        </w:rPr>
        <w:tab/>
        <w:t>keep records separate from the records of any other business; and</w:t>
      </w:r>
    </w:p>
    <w:p>
      <w:pPr>
        <w:pStyle w:val="Indenta"/>
        <w:keepNext/>
        <w:rPr>
          <w:snapToGrid w:val="0"/>
        </w:rPr>
      </w:pPr>
      <w:r>
        <w:rPr>
          <w:snapToGrid w:val="0"/>
        </w:rPr>
        <w:tab/>
        <w:t>(b)</w:t>
      </w:r>
      <w:r>
        <w:rPr>
          <w:snapToGrid w:val="0"/>
        </w:rPr>
        <w:tab/>
        <w:t>carry on business in proper and adequate premises.</w:t>
      </w:r>
    </w:p>
    <w:p>
      <w:pPr>
        <w:pStyle w:val="Penstart"/>
        <w:rPr>
          <w:snapToGrid w:val="0"/>
        </w:rPr>
      </w:pPr>
      <w:r>
        <w:rPr>
          <w:snapToGrid w:val="0"/>
        </w:rPr>
        <w:tab/>
        <w:t>Penalty: $5 000.</w:t>
      </w:r>
    </w:p>
    <w:p>
      <w:pPr>
        <w:pStyle w:val="Footnotesection"/>
      </w:pPr>
      <w:r>
        <w:tab/>
        <w:t>[Section 45 amended: No. 59 of 1995 s. 85.]</w:t>
      </w:r>
    </w:p>
    <w:p>
      <w:pPr>
        <w:pStyle w:val="Heading5"/>
        <w:rPr>
          <w:snapToGrid w:val="0"/>
        </w:rPr>
      </w:pPr>
      <w:bookmarkStart w:id="52" w:name="_Toc107495961"/>
      <w:r>
        <w:rPr>
          <w:rStyle w:val="CharSectno"/>
        </w:rPr>
        <w:t>46</w:t>
      </w:r>
      <w:r>
        <w:rPr>
          <w:snapToGrid w:val="0"/>
        </w:rPr>
        <w:t>.</w:t>
      </w:r>
      <w:r>
        <w:rPr>
          <w:snapToGrid w:val="0"/>
        </w:rPr>
        <w:tab/>
        <w:t>Real estate settlement agents, functions of</w:t>
      </w:r>
      <w:bookmarkEnd w:id="52"/>
    </w:p>
    <w:p>
      <w:pPr>
        <w:pStyle w:val="Subsection"/>
        <w:spacing w:before="140"/>
        <w:rPr>
          <w:snapToGrid w:val="0"/>
        </w:rPr>
      </w:pPr>
      <w:r>
        <w:rPr>
          <w:snapToGrid w:val="0"/>
        </w:rPr>
        <w:tab/>
        <w:t>(1)</w:t>
      </w:r>
      <w:r>
        <w:rPr>
          <w:snapToGrid w:val="0"/>
        </w:rPr>
        <w:tab/>
        <w:t xml:space="preserve">Subject to subsection (2), a licensee who holds a real estate settlement agent’s licence and a current triennial certificate may arrange or effect a settlement of any real estate transaction that is in respect of land under the </w:t>
      </w:r>
      <w:r>
        <w:rPr>
          <w:i/>
          <w:snapToGrid w:val="0"/>
        </w:rPr>
        <w:t>Transfer of Land Act 1893</w:t>
      </w:r>
      <w:r>
        <w:rPr>
          <w:snapToGrid w:val="0"/>
        </w:rPr>
        <w:t xml:space="preserve"> or the </w:t>
      </w:r>
      <w:r>
        <w:rPr>
          <w:i/>
          <w:snapToGrid w:val="0"/>
        </w:rPr>
        <w:t>Land Administration Act 1997</w:t>
      </w:r>
      <w:r>
        <w:rPr>
          <w:snapToGrid w:val="0"/>
        </w:rPr>
        <w:t>.</w:t>
      </w:r>
    </w:p>
    <w:p>
      <w:pPr>
        <w:pStyle w:val="Subsection"/>
        <w:spacing w:before="140"/>
        <w:rPr>
          <w:snapToGrid w:val="0"/>
        </w:rPr>
      </w:pPr>
      <w:r>
        <w:rPr>
          <w:snapToGrid w:val="0"/>
        </w:rPr>
        <w:tab/>
        <w:t>(2)</w:t>
      </w:r>
      <w:r>
        <w:rPr>
          <w:snapToGrid w:val="0"/>
        </w:rPr>
        <w:tab/>
        <w:t>Notwithstanding any other provision of this section a licensee shall not arrange or effect a settlement of any real estate transaction if the land the subject of that real estate transaction —</w:t>
      </w:r>
    </w:p>
    <w:p>
      <w:pPr>
        <w:pStyle w:val="Indenta"/>
        <w:rPr>
          <w:snapToGrid w:val="0"/>
        </w:rPr>
      </w:pPr>
      <w:r>
        <w:rPr>
          <w:snapToGrid w:val="0"/>
        </w:rPr>
        <w:tab/>
        <w:t>(a)</w:t>
      </w:r>
      <w:r>
        <w:rPr>
          <w:snapToGrid w:val="0"/>
        </w:rPr>
        <w:tab/>
        <w:t>is not a lot or lots within the meaning of</w:t>
      </w:r>
      <w:r>
        <w:t xml:space="preserve"> the </w:t>
      </w:r>
      <w:r>
        <w:rPr>
          <w:i/>
        </w:rPr>
        <w:t>Planning and Development Act 2005</w:t>
      </w:r>
      <w:r>
        <w:t xml:space="preserve"> or the </w:t>
      </w:r>
      <w:r>
        <w:rPr>
          <w:i/>
        </w:rPr>
        <w:t>Community Titles Act 2018</w:t>
      </w:r>
      <w:r>
        <w:t xml:space="preserve"> or the </w:t>
      </w:r>
      <w:r>
        <w:rPr>
          <w:i/>
        </w:rPr>
        <w:t>Strata Titles Act 1985</w:t>
      </w:r>
      <w:r>
        <w:t>; or</w:t>
      </w:r>
    </w:p>
    <w:p>
      <w:pPr>
        <w:pStyle w:val="Indenta"/>
        <w:rPr>
          <w:snapToGrid w:val="0"/>
        </w:rPr>
      </w:pPr>
      <w:r>
        <w:rPr>
          <w:snapToGrid w:val="0"/>
        </w:rPr>
        <w:tab/>
        <w:t>(b)</w:t>
      </w:r>
      <w:r>
        <w:rPr>
          <w:snapToGrid w:val="0"/>
        </w:rPr>
        <w:tab/>
        <w:t xml:space="preserve">is leasehold (other than land </w:t>
      </w:r>
      <w:r>
        <w:t xml:space="preserve">the subject of a strata lease as defined in the </w:t>
      </w:r>
      <w:r>
        <w:rPr>
          <w:i/>
        </w:rPr>
        <w:t>Strata Titles Act 1985</w:t>
      </w:r>
      <w:r>
        <w:t xml:space="preserve"> section 3(1) or land </w:t>
      </w:r>
      <w:r>
        <w:rPr>
          <w:snapToGrid w:val="0"/>
        </w:rPr>
        <w:t xml:space="preserve">under the </w:t>
      </w:r>
      <w:r>
        <w:rPr>
          <w:i/>
          <w:snapToGrid w:val="0"/>
        </w:rPr>
        <w:t>Land Administration Act 1997</w:t>
      </w:r>
      <w:r>
        <w:rPr>
          <w:snapToGrid w:val="0"/>
        </w:rPr>
        <w:t>); or</w:t>
      </w:r>
    </w:p>
    <w:p>
      <w:pPr>
        <w:pStyle w:val="Indenta"/>
        <w:rPr>
          <w:snapToGrid w:val="0"/>
        </w:rPr>
      </w:pPr>
      <w:r>
        <w:rPr>
          <w:snapToGrid w:val="0"/>
        </w:rPr>
        <w:tab/>
        <w:t>(c)</w:t>
      </w:r>
      <w:r>
        <w:rPr>
          <w:snapToGrid w:val="0"/>
        </w:rPr>
        <w:tab/>
        <w:t>is comprised in whole or in part of a business other than a business which is wholly that of farming (whether or not the land is conveyed separately); or</w:t>
      </w:r>
    </w:p>
    <w:p>
      <w:pPr>
        <w:pStyle w:val="Indenta"/>
        <w:rPr>
          <w:snapToGrid w:val="0"/>
        </w:rPr>
      </w:pPr>
      <w:r>
        <w:rPr>
          <w:snapToGrid w:val="0"/>
        </w:rPr>
        <w:tab/>
        <w:t>(d)</w:t>
      </w:r>
      <w:r>
        <w:rPr>
          <w:snapToGrid w:val="0"/>
        </w:rPr>
        <w:tab/>
        <w:t>comprises any mining tenement or mining licence.</w:t>
      </w:r>
    </w:p>
    <w:p>
      <w:pPr>
        <w:pStyle w:val="Subsection"/>
        <w:keepNext/>
        <w:spacing w:before="140"/>
        <w:rPr>
          <w:snapToGrid w:val="0"/>
        </w:rPr>
      </w:pPr>
      <w:r>
        <w:rPr>
          <w:snapToGrid w:val="0"/>
        </w:rPr>
        <w:tab/>
        <w:t>(3)</w:t>
      </w:r>
      <w:r>
        <w:rPr>
          <w:snapToGrid w:val="0"/>
        </w:rPr>
        <w:tab/>
        <w:t xml:space="preserve">A licensee who holds a current triennial certificate may act for either the vendor, the purchaser, or the mortgagee, in a settlement referred to in subsection (1) but may not act for more </w:t>
      </w:r>
      <w:r>
        <w:rPr>
          <w:snapToGrid w:val="0"/>
        </w:rPr>
        <w:lastRenderedPageBreak/>
        <w:t>than one party to the real estate transaction in that settlement unless each of the parties for whom he is to act, in writing —</w:t>
      </w:r>
    </w:p>
    <w:p>
      <w:pPr>
        <w:pStyle w:val="Indenta"/>
        <w:rPr>
          <w:snapToGrid w:val="0"/>
        </w:rPr>
      </w:pPr>
      <w:r>
        <w:rPr>
          <w:snapToGrid w:val="0"/>
        </w:rPr>
        <w:tab/>
        <w:t>(a)</w:t>
      </w:r>
      <w:r>
        <w:rPr>
          <w:snapToGrid w:val="0"/>
        </w:rPr>
        <w:tab/>
        <w:t>acknowledges that he is aware that the licensee proposes to so act; and</w:t>
      </w:r>
    </w:p>
    <w:p>
      <w:pPr>
        <w:pStyle w:val="Indenta"/>
        <w:rPr>
          <w:snapToGrid w:val="0"/>
        </w:rPr>
      </w:pPr>
      <w:r>
        <w:rPr>
          <w:snapToGrid w:val="0"/>
        </w:rPr>
        <w:tab/>
        <w:t>(b)</w:t>
      </w:r>
      <w:r>
        <w:rPr>
          <w:snapToGrid w:val="0"/>
        </w:rPr>
        <w:tab/>
        <w:t>gives his prior consent to the licensee so acting.</w:t>
      </w:r>
    </w:p>
    <w:p>
      <w:pPr>
        <w:pStyle w:val="Subsection"/>
        <w:rPr>
          <w:snapToGrid w:val="0"/>
        </w:rPr>
      </w:pPr>
      <w:r>
        <w:rPr>
          <w:snapToGrid w:val="0"/>
        </w:rPr>
        <w:tab/>
        <w:t>(4)</w:t>
      </w:r>
      <w:r>
        <w:rPr>
          <w:snapToGrid w:val="0"/>
        </w:rPr>
        <w:tab/>
        <w:t xml:space="preserve">In arranging or effecting a settlement referred to in subsection (1) a licensee may perform the functions set forth in </w:t>
      </w:r>
      <w:r>
        <w:t xml:space="preserve">Schedule 2 clause 1(1) or (2A), </w:t>
      </w:r>
      <w:r>
        <w:rPr>
          <w:snapToGrid w:val="0"/>
        </w:rPr>
        <w:t>but in performing any or all of those functions a licensee shall not give or attempt to give advice on a matter of law.</w:t>
      </w:r>
    </w:p>
    <w:p>
      <w:pPr>
        <w:pStyle w:val="Subsection"/>
        <w:rPr>
          <w:snapToGrid w:val="0"/>
        </w:rPr>
      </w:pPr>
      <w:r>
        <w:rPr>
          <w:snapToGrid w:val="0"/>
        </w:rPr>
        <w:tab/>
        <w:t>(5)</w:t>
      </w:r>
      <w:r>
        <w:rPr>
          <w:snapToGrid w:val="0"/>
        </w:rPr>
        <w:tab/>
        <w:t>Notwithstanding the</w:t>
      </w:r>
      <w:r>
        <w:rPr>
          <w:i/>
          <w:iCs/>
        </w:rPr>
        <w:t xml:space="preserve"> </w:t>
      </w:r>
      <w:r>
        <w:rPr>
          <w:i/>
        </w:rPr>
        <w:t>Legal Profession Uniform Law (WA)</w:t>
      </w:r>
      <w:r>
        <w:t xml:space="preserve"> section 10, </w:t>
      </w:r>
      <w:r>
        <w:rPr>
          <w:snapToGrid w:val="0"/>
        </w:rPr>
        <w:t>a licensee may draw or prepare the documents set forth in clause 1(2) of Schedule 2.</w:t>
      </w:r>
    </w:p>
    <w:p>
      <w:pPr>
        <w:pStyle w:val="Subsection"/>
        <w:rPr>
          <w:snapToGrid w:val="0"/>
        </w:rPr>
      </w:pPr>
      <w:r>
        <w:rPr>
          <w:snapToGrid w:val="0"/>
        </w:rPr>
        <w:tab/>
        <w:t>(6)</w:t>
      </w:r>
      <w:r>
        <w:rPr>
          <w:snapToGrid w:val="0"/>
        </w:rPr>
        <w:tab/>
        <w:t>A licensee may receive a mortgage or discharge of mortgage prepared by or on behalf of another person and arrange for its execution and stamping, and arrange and attend on settlement on behalf of that person and receive and disburse moneys in respect thereof.</w:t>
      </w:r>
    </w:p>
    <w:p>
      <w:pPr>
        <w:pStyle w:val="Subsection"/>
        <w:rPr>
          <w:snapToGrid w:val="0"/>
        </w:rPr>
      </w:pPr>
      <w:r>
        <w:rPr>
          <w:snapToGrid w:val="0"/>
        </w:rPr>
        <w:tab/>
        <w:t>(7)</w:t>
      </w:r>
      <w:r>
        <w:rPr>
          <w:snapToGrid w:val="0"/>
        </w:rPr>
        <w:tab/>
        <w:t>In subsection (6) —</w:t>
      </w:r>
    </w:p>
    <w:p>
      <w:pPr>
        <w:pStyle w:val="Defstart"/>
      </w:pPr>
      <w:r>
        <w:tab/>
      </w:r>
      <w:r>
        <w:rPr>
          <w:rStyle w:val="CharDefText"/>
        </w:rPr>
        <w:t>discharge of mortgage</w:t>
      </w:r>
      <w:r>
        <w:t xml:space="preserve"> includes a withdrawal of a caveat which notifies or protects an unregistered, equitable, or statutory mortgage or charge.</w:t>
      </w:r>
    </w:p>
    <w:p>
      <w:pPr>
        <w:pStyle w:val="Subsection"/>
      </w:pPr>
      <w:r>
        <w:tab/>
        <w:t>(8)</w:t>
      </w:r>
      <w:r>
        <w:tab/>
        <w:t xml:space="preserve">For the purposes of effecting a settlement referred to in subsection (1) that is being or is to be completed (wholly or in part) electronically under the </w:t>
      </w:r>
      <w:r>
        <w:rPr>
          <w:i/>
        </w:rPr>
        <w:t>Electronic Conveyancing Act 2014</w:t>
      </w:r>
      <w:r>
        <w:t xml:space="preserve"> — </w:t>
      </w:r>
    </w:p>
    <w:p>
      <w:pPr>
        <w:pStyle w:val="Indenta"/>
      </w:pPr>
      <w:r>
        <w:tab/>
        <w:t>(a)</w:t>
      </w:r>
      <w:r>
        <w:tab/>
        <w:t>if a licensee who is a natural person holds a real estate settlement agent’s licence and a current triennial certificate and is a subscriber (as defined in section 3(1) of that Act), that licensee may authorise any employee of the licensee to digitally sign documents and provide certifications on that licensee’s behalf; and</w:t>
      </w:r>
    </w:p>
    <w:p>
      <w:pPr>
        <w:pStyle w:val="Indenta"/>
      </w:pPr>
      <w:r>
        <w:lastRenderedPageBreak/>
        <w:tab/>
        <w:t>(b)</w:t>
      </w:r>
      <w:r>
        <w:tab/>
        <w:t>if a licensee that is a firm holds a real estate settlement agent’s licence and a current triennial certificate and is a subscriber (as so defined), the person in bona fide control of the business operated under the licence may authorise any employee of the licensee to digitally sign documents and provide certifications on that licensee’s behalf; and</w:t>
      </w:r>
    </w:p>
    <w:p>
      <w:pPr>
        <w:pStyle w:val="Indenta"/>
      </w:pPr>
      <w:r>
        <w:tab/>
        <w:t>(c)</w:t>
      </w:r>
      <w:r>
        <w:tab/>
        <w:t>if a licensee that is a body corporate holds a real estate settlement agent’s licence and a current triennial certificate and is a subscriber (as so defined), the person in bona fide control of the business operated under the licence may authorise any employee of the licensee to digitally sign documents and provide certifications on that licensee’s behalf; and</w:t>
      </w:r>
    </w:p>
    <w:p>
      <w:pPr>
        <w:pStyle w:val="Indenta"/>
      </w:pPr>
      <w:r>
        <w:tab/>
        <w:t>(d)</w:t>
      </w:r>
      <w:r>
        <w:tab/>
        <w:t>subject to any participation rules determined under section 23 of that Act, a person authorised under paragraph (a) or (b) or (c) may digitally sign documents and provide certifications in accordance with that authorisation.</w:t>
      </w:r>
    </w:p>
    <w:p>
      <w:pPr>
        <w:pStyle w:val="Subsection"/>
      </w:pPr>
      <w:r>
        <w:tab/>
        <w:t>(9)</w:t>
      </w:r>
      <w:r>
        <w:tab/>
        <w:t xml:space="preserve">An authorisation given under subsection (8)(a) or (b) or (c) to an employee of a licensee — </w:t>
      </w:r>
    </w:p>
    <w:p>
      <w:pPr>
        <w:pStyle w:val="Indenta"/>
      </w:pPr>
      <w:r>
        <w:tab/>
        <w:t>(a)</w:t>
      </w:r>
      <w:r>
        <w:tab/>
        <w:t>unless sooner revoked, continues for as long as the person remains an employee of the licensee; and</w:t>
      </w:r>
    </w:p>
    <w:p>
      <w:pPr>
        <w:pStyle w:val="Indenta"/>
      </w:pPr>
      <w:r>
        <w:tab/>
        <w:t>(b)</w:t>
      </w:r>
      <w:r>
        <w:tab/>
        <w:t xml:space="preserve">may be revoked by — </w:t>
      </w:r>
    </w:p>
    <w:p>
      <w:pPr>
        <w:pStyle w:val="Indenti"/>
      </w:pPr>
      <w:r>
        <w:tab/>
        <w:t>(i)</w:t>
      </w:r>
      <w:r>
        <w:tab/>
        <w:t>the licensee; or</w:t>
      </w:r>
    </w:p>
    <w:p>
      <w:pPr>
        <w:pStyle w:val="Indenti"/>
      </w:pPr>
      <w:r>
        <w:tab/>
        <w:t>(ii)</w:t>
      </w:r>
      <w:r>
        <w:tab/>
        <w:t>any person who, under subsection (8), is entitled to give authorisations to employees of the licensee, whether or not the person who originally gave the authorisation.</w:t>
      </w:r>
    </w:p>
    <w:p>
      <w:pPr>
        <w:pStyle w:val="Footnotesection"/>
        <w:ind w:left="890" w:hanging="890"/>
      </w:pPr>
      <w:r>
        <w:tab/>
        <w:t>[Section 46 amended: No. 31 of 1997 s. 141; No. 65 of 2003 s. 66(3); No. 38 of 2005 s. 15; No. 21 of 2008 s. 704(3); No. 19 of 2010 s. 51; No. 2 of 2014 s. 57; No. 30 of 2018 s. 188; No. 32 of 2018 s. 248; No. 9 of 2022 s. 424.]</w:t>
      </w:r>
    </w:p>
    <w:p>
      <w:pPr>
        <w:pStyle w:val="Heading5"/>
        <w:rPr>
          <w:snapToGrid w:val="0"/>
        </w:rPr>
      </w:pPr>
      <w:bookmarkStart w:id="53" w:name="_Toc107495962"/>
      <w:r>
        <w:rPr>
          <w:rStyle w:val="CharSectno"/>
        </w:rPr>
        <w:lastRenderedPageBreak/>
        <w:t>47</w:t>
      </w:r>
      <w:r>
        <w:rPr>
          <w:snapToGrid w:val="0"/>
        </w:rPr>
        <w:t>.</w:t>
      </w:r>
      <w:r>
        <w:rPr>
          <w:snapToGrid w:val="0"/>
        </w:rPr>
        <w:tab/>
        <w:t>Business settlement agents, functions of</w:t>
      </w:r>
      <w:bookmarkEnd w:id="53"/>
    </w:p>
    <w:p>
      <w:pPr>
        <w:pStyle w:val="Subsection"/>
        <w:rPr>
          <w:snapToGrid w:val="0"/>
        </w:rPr>
      </w:pPr>
      <w:r>
        <w:rPr>
          <w:snapToGrid w:val="0"/>
        </w:rPr>
        <w:tab/>
        <w:t>(1)</w:t>
      </w:r>
      <w:r>
        <w:rPr>
          <w:snapToGrid w:val="0"/>
        </w:rPr>
        <w:tab/>
        <w:t>Subject to subsection (2), a licensee who holds a business settlement agent’s licence and a current triennial certificate may arrange or effect a settlement of a business transaction.</w:t>
      </w:r>
    </w:p>
    <w:p>
      <w:pPr>
        <w:pStyle w:val="Subsection"/>
        <w:rPr>
          <w:snapToGrid w:val="0"/>
        </w:rPr>
      </w:pPr>
      <w:r>
        <w:rPr>
          <w:snapToGrid w:val="0"/>
        </w:rPr>
        <w:tab/>
        <w:t>(2)</w:t>
      </w:r>
      <w:r>
        <w:rPr>
          <w:snapToGrid w:val="0"/>
        </w:rPr>
        <w:tab/>
      </w:r>
      <w:r>
        <w:rPr>
          <w:snapToGrid w:val="0"/>
          <w:spacing w:val="-4"/>
        </w:rPr>
        <w:t>Notwithstanding any other provision of this section a licensee shall not arrange or effect a settlement of any business transaction if the business the subject of that business transaction —</w:t>
      </w:r>
    </w:p>
    <w:p>
      <w:pPr>
        <w:pStyle w:val="Indenta"/>
        <w:rPr>
          <w:snapToGrid w:val="0"/>
        </w:rPr>
      </w:pPr>
      <w:r>
        <w:rPr>
          <w:snapToGrid w:val="0"/>
        </w:rPr>
        <w:tab/>
        <w:t>(a)</w:t>
      </w:r>
      <w:r>
        <w:rPr>
          <w:snapToGrid w:val="0"/>
        </w:rPr>
        <w:tab/>
        <w:t xml:space="preserve">is comprised in whole or in part of real estate not being an interest in leasehold (except </w:t>
      </w:r>
      <w:r>
        <w:t xml:space="preserve">a strata lease as defined in the </w:t>
      </w:r>
      <w:r>
        <w:rPr>
          <w:i/>
        </w:rPr>
        <w:t>Strata Titles Act 1985</w:t>
      </w:r>
      <w:r>
        <w:t xml:space="preserve"> section 3(1) or</w:t>
      </w:r>
      <w:r>
        <w:rPr>
          <w:snapToGrid w:val="0"/>
        </w:rPr>
        <w:t xml:space="preserve"> an interest in leasehold held from the Crown) whether or not the business is conveyed separately; or</w:t>
      </w:r>
    </w:p>
    <w:p>
      <w:pPr>
        <w:pStyle w:val="Indenta"/>
        <w:rPr>
          <w:snapToGrid w:val="0"/>
        </w:rPr>
      </w:pPr>
      <w:r>
        <w:rPr>
          <w:snapToGrid w:val="0"/>
        </w:rPr>
        <w:tab/>
        <w:t>(b)</w:t>
      </w:r>
      <w:r>
        <w:rPr>
          <w:snapToGrid w:val="0"/>
        </w:rPr>
        <w:tab/>
        <w:t>comprises any mining tenement or mining licence.</w:t>
      </w:r>
    </w:p>
    <w:p>
      <w:pPr>
        <w:pStyle w:val="Subsection"/>
        <w:rPr>
          <w:snapToGrid w:val="0"/>
        </w:rPr>
      </w:pPr>
      <w:r>
        <w:rPr>
          <w:snapToGrid w:val="0"/>
        </w:rPr>
        <w:tab/>
        <w:t>(3)</w:t>
      </w:r>
      <w:r>
        <w:rPr>
          <w:snapToGrid w:val="0"/>
        </w:rPr>
        <w:tab/>
        <w:t>A licensee who holds a current triennial certificate may act for either the vendor or the purchaser in a settlement referred to in subsection (1) but may not act for more than one party to the business transaction in that settlement unless each of the parties for whom he is to act, in writing —</w:t>
      </w:r>
    </w:p>
    <w:p>
      <w:pPr>
        <w:pStyle w:val="Indenta"/>
        <w:rPr>
          <w:snapToGrid w:val="0"/>
        </w:rPr>
      </w:pPr>
      <w:r>
        <w:rPr>
          <w:snapToGrid w:val="0"/>
        </w:rPr>
        <w:tab/>
        <w:t>(a)</w:t>
      </w:r>
      <w:r>
        <w:rPr>
          <w:snapToGrid w:val="0"/>
        </w:rPr>
        <w:tab/>
        <w:t>acknowledges that he is aware that the licensee proposes to so act; and</w:t>
      </w:r>
    </w:p>
    <w:p>
      <w:pPr>
        <w:pStyle w:val="Indenta"/>
        <w:rPr>
          <w:snapToGrid w:val="0"/>
        </w:rPr>
      </w:pPr>
      <w:r>
        <w:rPr>
          <w:snapToGrid w:val="0"/>
        </w:rPr>
        <w:tab/>
        <w:t>(b)</w:t>
      </w:r>
      <w:r>
        <w:rPr>
          <w:snapToGrid w:val="0"/>
        </w:rPr>
        <w:tab/>
        <w:t>gives his prior consent to the licensee so acting.</w:t>
      </w:r>
    </w:p>
    <w:p>
      <w:pPr>
        <w:pStyle w:val="Subsection"/>
        <w:rPr>
          <w:snapToGrid w:val="0"/>
        </w:rPr>
      </w:pPr>
      <w:r>
        <w:rPr>
          <w:snapToGrid w:val="0"/>
        </w:rPr>
        <w:tab/>
        <w:t>(4)</w:t>
      </w:r>
      <w:r>
        <w:rPr>
          <w:snapToGrid w:val="0"/>
        </w:rPr>
        <w:tab/>
        <w:t>In arranging or effecting a settlement referred to in subsection (1) the licensee may perform the functions set forth in clause 2 of Schedule 2 but in performing any or all of those functions a licensee shall not give, or attempt to give, advice on a matter of law.</w:t>
      </w:r>
    </w:p>
    <w:p>
      <w:pPr>
        <w:pStyle w:val="Footnotesection"/>
        <w:ind w:left="890" w:hanging="890"/>
      </w:pPr>
      <w:r>
        <w:tab/>
        <w:t>[Section 47 amended: No. 30 of 2018 s. 189.]</w:t>
      </w:r>
    </w:p>
    <w:p>
      <w:pPr>
        <w:pStyle w:val="Heading3"/>
        <w:keepLines/>
      </w:pPr>
      <w:bookmarkStart w:id="54" w:name="_Toc107315861"/>
      <w:bookmarkStart w:id="55" w:name="_Toc107316251"/>
      <w:bookmarkStart w:id="56" w:name="_Toc107495963"/>
      <w:r>
        <w:rPr>
          <w:rStyle w:val="CharDivNo"/>
        </w:rPr>
        <w:lastRenderedPageBreak/>
        <w:t>Division 2</w:t>
      </w:r>
      <w:r>
        <w:rPr>
          <w:snapToGrid w:val="0"/>
        </w:rPr>
        <w:t> — </w:t>
      </w:r>
      <w:r>
        <w:rPr>
          <w:rStyle w:val="CharDivText"/>
        </w:rPr>
        <w:t>Trust accounts</w:t>
      </w:r>
      <w:bookmarkEnd w:id="54"/>
      <w:bookmarkEnd w:id="55"/>
      <w:bookmarkEnd w:id="56"/>
    </w:p>
    <w:p>
      <w:pPr>
        <w:pStyle w:val="Heading5"/>
        <w:rPr>
          <w:snapToGrid w:val="0"/>
        </w:rPr>
      </w:pPr>
      <w:bookmarkStart w:id="57" w:name="_Toc107495964"/>
      <w:r>
        <w:rPr>
          <w:rStyle w:val="CharSectno"/>
        </w:rPr>
        <w:t>48</w:t>
      </w:r>
      <w:r>
        <w:rPr>
          <w:snapToGrid w:val="0"/>
        </w:rPr>
        <w:t>.</w:t>
      </w:r>
      <w:r>
        <w:rPr>
          <w:snapToGrid w:val="0"/>
        </w:rPr>
        <w:tab/>
        <w:t>Terms used</w:t>
      </w:r>
      <w:bookmarkEnd w:id="57"/>
    </w:p>
    <w:p>
      <w:pPr>
        <w:pStyle w:val="Subsection"/>
        <w:keepNext/>
        <w:keepLines/>
        <w:rPr>
          <w:snapToGrid w:val="0"/>
        </w:rPr>
      </w:pPr>
      <w:r>
        <w:rPr>
          <w:snapToGrid w:val="0"/>
        </w:rPr>
        <w:tab/>
      </w:r>
      <w:r>
        <w:rPr>
          <w:snapToGrid w:val="0"/>
        </w:rPr>
        <w:tab/>
        <w:t>In this Division, unless the context otherwise requires —</w:t>
      </w:r>
    </w:p>
    <w:p>
      <w:pPr>
        <w:pStyle w:val="Defstart"/>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 settlement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49A(1);</w:t>
      </w:r>
    </w:p>
    <w:p>
      <w:pPr>
        <w:pStyle w:val="Defstart"/>
      </w:pPr>
      <w:r>
        <w:rPr>
          <w:b/>
        </w:rPr>
        <w:tab/>
      </w:r>
      <w:r>
        <w:rPr>
          <w:rStyle w:val="CharDefText"/>
        </w:rPr>
        <w:t>trust accounts</w:t>
      </w:r>
      <w:r>
        <w:t xml:space="preserve"> means accounts relating to moneys received or held by a settlement agent for or on behalf of any other person in respect of settlements to be arranged or effected, or arranged or effected, by the settlement agent;</w:t>
      </w:r>
    </w:p>
    <w:p>
      <w:pPr>
        <w:pStyle w:val="Defstart"/>
      </w:pPr>
      <w:r>
        <w:rPr>
          <w:b/>
        </w:rPr>
        <w:tab/>
      </w:r>
      <w:r>
        <w:rPr>
          <w:rStyle w:val="CharDefText"/>
        </w:rPr>
        <w:t>year</w:t>
      </w:r>
      <w:r>
        <w:t xml:space="preserve"> means a period of 12 months ending on 30 June, subject however to the provisions of section 52.</w:t>
      </w:r>
    </w:p>
    <w:p>
      <w:pPr>
        <w:pStyle w:val="Footnotesection"/>
      </w:pPr>
      <w:r>
        <w:tab/>
        <w:t>[Section 48 amended: No. 59 of 1995 s. 66; No. 26 of 1999 s. 102(5).]</w:t>
      </w:r>
    </w:p>
    <w:p>
      <w:pPr>
        <w:pStyle w:val="Heading5"/>
        <w:rPr>
          <w:snapToGrid w:val="0"/>
        </w:rPr>
      </w:pPr>
      <w:bookmarkStart w:id="58" w:name="_Toc107495965"/>
      <w:r>
        <w:rPr>
          <w:rStyle w:val="CharSectno"/>
        </w:rPr>
        <w:t>49</w:t>
      </w:r>
      <w:r>
        <w:rPr>
          <w:snapToGrid w:val="0"/>
        </w:rPr>
        <w:t>.</w:t>
      </w:r>
      <w:r>
        <w:rPr>
          <w:snapToGrid w:val="0"/>
        </w:rPr>
        <w:tab/>
        <w:t>Trust accounts etc. of licensees</w:t>
      </w:r>
      <w:bookmarkEnd w:id="58"/>
    </w:p>
    <w:p>
      <w:pPr>
        <w:pStyle w:val="Subsection"/>
        <w:rPr>
          <w:snapToGrid w:val="0"/>
        </w:rPr>
      </w:pPr>
      <w:r>
        <w:rPr>
          <w:snapToGrid w:val="0"/>
        </w:rPr>
        <w:tab/>
        <w:t>(1)</w:t>
      </w:r>
      <w:r>
        <w:rPr>
          <w:snapToGrid w:val="0"/>
        </w:rPr>
        <w:tab/>
        <w:t xml:space="preserve">Every licensee who holds a current triennial certificate shall maintain one or more trust accounts, designated or evidenced as such in the prescribed manner and maintained exclusively for the purposes of this Act, with an authorised financial institution and shall, as soon as practicable, pay to the credit of that account or those accounts all moneys received by him for or on behalf of any other person in respect of settlements to be </w:t>
      </w:r>
      <w:r>
        <w:rPr>
          <w:snapToGrid w:val="0"/>
        </w:rPr>
        <w:lastRenderedPageBreak/>
        <w:t>arranged or effected, or arranged or effected, by the settlement agent.</w:t>
      </w:r>
    </w:p>
    <w:p>
      <w:pPr>
        <w:pStyle w:val="Subsection"/>
        <w:rPr>
          <w:snapToGrid w:val="0"/>
        </w:rPr>
      </w:pPr>
      <w:r>
        <w:rPr>
          <w:snapToGrid w:val="0"/>
        </w:rPr>
        <w:tab/>
        <w:t>(2)</w:t>
      </w:r>
      <w:r>
        <w:rPr>
          <w:snapToGrid w:val="0"/>
        </w:rPr>
        <w:tab/>
        <w:t>Moneys so paid into any such trust account shall not be available for the payment of the debt of any other creditor of the settlement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 settlement agent may pay out of a trust account such of the proper charges relating to settlements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Settlement moneys received by a settlement agent in the course of arranging or effecting a settlement shall not be withdrawn from a trust account except for the purpose of completing the settlement, or in accordance with the contract entered into between the parties to the transaction, or as otherwise authorised by this Act, or by the prior written consent of all parties to the transaction involved.</w:t>
      </w:r>
    </w:p>
    <w:p>
      <w:pPr>
        <w:pStyle w:val="Subsection"/>
        <w:rPr>
          <w:snapToGrid w:val="0"/>
        </w:rPr>
      </w:pPr>
      <w:r>
        <w:rPr>
          <w:snapToGrid w:val="0"/>
        </w:rPr>
        <w:tab/>
        <w:t>(5)</w:t>
      </w:r>
      <w:r>
        <w:rPr>
          <w:snapToGrid w:val="0"/>
        </w:rPr>
        <w:tab/>
        <w:t>A settlement agent shall pay moneys withdrawn from a trust account to the person or persons lawfully entitled or authorised to receive them.</w:t>
      </w:r>
    </w:p>
    <w:p>
      <w:pPr>
        <w:pStyle w:val="Subsection"/>
      </w:pPr>
      <w:r>
        <w:tab/>
        <w:t>(5a)</w:t>
      </w:r>
      <w:r>
        <w:tab/>
        <w:t>If —</w:t>
      </w:r>
    </w:p>
    <w:p>
      <w:pPr>
        <w:pStyle w:val="Indenta"/>
      </w:pPr>
      <w:r>
        <w:tab/>
        <w:t>(a)</w:t>
      </w:r>
      <w:r>
        <w:tab/>
        <w:t>a settlement of a real estate transaction or a business transaction is completed; and</w:t>
      </w:r>
    </w:p>
    <w:p>
      <w:pPr>
        <w:pStyle w:val="Indenta"/>
      </w:pPr>
      <w:r>
        <w:tab/>
        <w:t>(b)</w:t>
      </w:r>
      <w:r>
        <w:tab/>
        <w:t>the settlement agent who arranged or effected the settlement received moneys in respect of the real estate transaction or business transaction in the course of arranging or effecting the settlement; and</w:t>
      </w:r>
    </w:p>
    <w:p>
      <w:pPr>
        <w:pStyle w:val="Indenta"/>
      </w:pPr>
      <w:r>
        <w:tab/>
        <w:t>(c)</w:t>
      </w:r>
      <w:r>
        <w:tab/>
        <w:t xml:space="preserve">the settlement agent is authorised in writing by the vendor to make a payment from those moneys to an agent as payment of the whole or part of the commission, reward or remuneration to which the agent </w:t>
      </w:r>
      <w:r>
        <w:lastRenderedPageBreak/>
        <w:t>is entitled for arranging the real estate transaction or business transaction to which the settlement relates,</w:t>
      </w:r>
    </w:p>
    <w:p>
      <w:pPr>
        <w:pStyle w:val="Subsection"/>
      </w:pPr>
      <w:r>
        <w:tab/>
      </w:r>
      <w:r>
        <w:tab/>
        <w:t>the settlement agent may, despite subsections (4) and (5), pay to the agent from those moneys such sum as the settlement agent is so authorised to pay.</w:t>
      </w:r>
    </w:p>
    <w:p>
      <w:pPr>
        <w:pStyle w:val="Subsection"/>
      </w:pPr>
      <w:r>
        <w:tab/>
        <w:t>(5b)</w:t>
      </w:r>
      <w:r>
        <w:tab/>
        <w:t>In subsection (5a) —</w:t>
      </w:r>
    </w:p>
    <w:p>
      <w:pPr>
        <w:pStyle w:val="Defstart"/>
      </w:pPr>
      <w:r>
        <w:rPr>
          <w:b/>
        </w:rPr>
        <w:tab/>
      </w:r>
      <w:r>
        <w:rPr>
          <w:rStyle w:val="CharDefText"/>
        </w:rPr>
        <w:t>agent</w:t>
      </w:r>
      <w:r>
        <w:t xml:space="preserve"> means an agent as defined in section 4(1) of the </w:t>
      </w:r>
      <w:r>
        <w:rPr>
          <w:i/>
        </w:rPr>
        <w:t>Real Estate and Business Agents Act 1978</w:t>
      </w:r>
      <w:r>
        <w:t xml:space="preserve"> who is entitled to a commission, reward or remuneration for arranging the real estate transaction or business transaction to which a settlement relates;</w:t>
      </w:r>
    </w:p>
    <w:p>
      <w:pPr>
        <w:pStyle w:val="Defstart"/>
      </w:pPr>
      <w:r>
        <w:rPr>
          <w:b/>
        </w:rPr>
        <w:tab/>
      </w:r>
      <w:r>
        <w:rPr>
          <w:rStyle w:val="CharDefText"/>
        </w:rPr>
        <w:t>vendor</w:t>
      </w:r>
      <w:r>
        <w:t xml:space="preserve"> means the person or persons lawfully entitled to receive the purchase price in respect of a real estate transaction or business transaction.</w:t>
      </w:r>
    </w:p>
    <w:p>
      <w:pPr>
        <w:pStyle w:val="Subsection"/>
        <w:rPr>
          <w:snapToGrid w:val="0"/>
        </w:rPr>
      </w:pPr>
      <w:r>
        <w:rPr>
          <w:snapToGrid w:val="0"/>
        </w:rPr>
        <w:tab/>
        <w:t>(6)</w:t>
      </w:r>
      <w:r>
        <w:rPr>
          <w:snapToGrid w:val="0"/>
        </w:rPr>
        <w:tab/>
        <w:t>A settlement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spacing w:before="60"/>
        <w:rPr>
          <w:snapToGrid w:val="0"/>
        </w:rPr>
      </w:pPr>
      <w:r>
        <w:rPr>
          <w:snapToGrid w:val="0"/>
        </w:rPr>
        <w:tab/>
        <w:t>(c)</w:t>
      </w:r>
      <w:r>
        <w:rPr>
          <w:snapToGrid w:val="0"/>
        </w:rPr>
        <w:tab/>
        <w:t>keep the accounts in such manner that they can be conveniently and properly audited; and</w:t>
      </w:r>
    </w:p>
    <w:p>
      <w:pPr>
        <w:pStyle w:val="Indenta"/>
        <w:spacing w:before="60"/>
        <w:rPr>
          <w:snapToGrid w:val="0"/>
        </w:rPr>
      </w:pPr>
      <w:r>
        <w:rPr>
          <w:snapToGrid w:val="0"/>
        </w:rPr>
        <w:tab/>
        <w:t>(d)</w:t>
      </w:r>
      <w:r>
        <w:rPr>
          <w:snapToGrid w:val="0"/>
        </w:rPr>
        <w:tab/>
        <w:t>correctly balance the accounts at the end of each month and certify in records that this has been done.</w:t>
      </w:r>
    </w:p>
    <w:p>
      <w:pPr>
        <w:pStyle w:val="Footnotesection"/>
      </w:pPr>
      <w:r>
        <w:tab/>
        <w:t>[Section 49 amended: No. 59 of 1995 s. 67; No. 69 of 2006 s. 36.]</w:t>
      </w:r>
    </w:p>
    <w:p>
      <w:pPr>
        <w:pStyle w:val="Heading5"/>
        <w:rPr>
          <w:snapToGrid w:val="0"/>
        </w:rPr>
      </w:pPr>
      <w:bookmarkStart w:id="59" w:name="_Toc107495966"/>
      <w:r>
        <w:rPr>
          <w:rStyle w:val="CharSectno"/>
        </w:rPr>
        <w:t>49A</w:t>
      </w:r>
      <w:r>
        <w:rPr>
          <w:snapToGrid w:val="0"/>
        </w:rPr>
        <w:t>.</w:t>
      </w:r>
      <w:r>
        <w:rPr>
          <w:snapToGrid w:val="0"/>
        </w:rPr>
        <w:tab/>
        <w:t>Client may ask settlement agent for separate trust account</w:t>
      </w:r>
      <w:bookmarkEnd w:id="59"/>
    </w:p>
    <w:p>
      <w:pPr>
        <w:pStyle w:val="Subsection"/>
        <w:keepNext/>
        <w:rPr>
          <w:snapToGrid w:val="0"/>
        </w:rPr>
      </w:pPr>
      <w:r>
        <w:rPr>
          <w:snapToGrid w:val="0"/>
        </w:rPr>
        <w:tab/>
        <w:t>(1)</w:t>
      </w:r>
      <w:r>
        <w:rPr>
          <w:snapToGrid w:val="0"/>
        </w:rPr>
        <w:tab/>
        <w:t xml:space="preserve">A person may request that moneys paid by that person to a settlement agent in respect of a transaction be deposited to the </w:t>
      </w:r>
      <w:r>
        <w:rPr>
          <w:snapToGrid w:val="0"/>
        </w:rPr>
        <w:lastRenderedPageBreak/>
        <w:t>credit of a separate interest bearing trust account maintained in accordance with section 49.</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 settlement agent shall, subject to subsection (4), comply with a request.</w:t>
      </w:r>
    </w:p>
    <w:p>
      <w:pPr>
        <w:pStyle w:val="Subsection"/>
        <w:rPr>
          <w:snapToGrid w:val="0"/>
        </w:rPr>
      </w:pPr>
      <w:r>
        <w:rPr>
          <w:snapToGrid w:val="0"/>
        </w:rPr>
        <w:tab/>
        <w:t>(4)</w:t>
      </w:r>
      <w:r>
        <w:rPr>
          <w:snapToGrid w:val="0"/>
        </w:rPr>
        <w:tab/>
        <w:t>Where requirements are prescribed under subsection (6), a settlement agent shall only comply with a request if satisfied that those requirements have been met.</w:t>
      </w:r>
    </w:p>
    <w:p>
      <w:pPr>
        <w:pStyle w:val="Subsection"/>
        <w:rPr>
          <w:snapToGrid w:val="0"/>
        </w:rPr>
      </w:pPr>
      <w:r>
        <w:rPr>
          <w:snapToGrid w:val="0"/>
        </w:rPr>
        <w:tab/>
        <w:t>(5)</w:t>
      </w:r>
      <w:r>
        <w:rPr>
          <w:snapToGrid w:val="0"/>
        </w:rPr>
        <w:tab/>
        <w:t>A settlement agent shall ensure that all interest credited to a separate account is paid to the person who requested the deposit of moneys in that account.</w:t>
      </w:r>
    </w:p>
    <w:p>
      <w:pPr>
        <w:pStyle w:val="Subsection"/>
        <w:rPr>
          <w:snapToGrid w:val="0"/>
        </w:rPr>
      </w:pPr>
      <w:r>
        <w:rPr>
          <w:snapToGrid w:val="0"/>
        </w:rPr>
        <w:tab/>
        <w:t>(6)</w:t>
      </w:r>
      <w:r>
        <w:rPr>
          <w:snapToGrid w:val="0"/>
        </w:rPr>
        <w:tab/>
        <w:t>Regulations made under section 123 may prescribe requirements to be met before a request can be complied with and, without limiting this subsection, those requirements may relate to —</w:t>
      </w:r>
    </w:p>
    <w:p>
      <w:pPr>
        <w:pStyle w:val="Indenta"/>
        <w:spacing w:before="60"/>
        <w:rPr>
          <w:snapToGrid w:val="0"/>
        </w:rPr>
      </w:pPr>
      <w:r>
        <w:rPr>
          <w:snapToGrid w:val="0"/>
        </w:rPr>
        <w:tab/>
        <w:t>(a)</w:t>
      </w:r>
      <w:r>
        <w:rPr>
          <w:snapToGrid w:val="0"/>
        </w:rPr>
        <w:tab/>
        <w:t>the amount of moneys paid to the settlement agent; or</w:t>
      </w:r>
    </w:p>
    <w:p>
      <w:pPr>
        <w:pStyle w:val="Indenta"/>
        <w:spacing w:before="60"/>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49A inserted: No. 59 of 1995 s. 68.]</w:t>
      </w:r>
    </w:p>
    <w:p>
      <w:pPr>
        <w:pStyle w:val="Heading5"/>
        <w:rPr>
          <w:snapToGrid w:val="0"/>
        </w:rPr>
      </w:pPr>
      <w:bookmarkStart w:id="60" w:name="_Toc107495967"/>
      <w:r>
        <w:rPr>
          <w:rStyle w:val="CharSectno"/>
        </w:rPr>
        <w:t>49B</w:t>
      </w:r>
      <w:r>
        <w:rPr>
          <w:snapToGrid w:val="0"/>
        </w:rPr>
        <w:t xml:space="preserve">. </w:t>
      </w:r>
      <w:r>
        <w:rPr>
          <w:snapToGrid w:val="0"/>
        </w:rPr>
        <w:tab/>
        <w:t>Interest on trust accounts</w:t>
      </w:r>
      <w:bookmarkEnd w:id="60"/>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Interest Account</w:t>
      </w:r>
      <w:r>
        <w:rPr>
          <w:snapToGrid w:val="0"/>
        </w:rPr>
        <w:t xml:space="preserve">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lastRenderedPageBreak/>
        <w:tab/>
        <w:t>(3)</w:t>
      </w:r>
      <w:r>
        <w:rPr>
          <w:snapToGrid w:val="0"/>
        </w:rPr>
        <w:tab/>
        <w:t xml:space="preserve">Where a court convicts an authorised financial institution of an offence under subsection (1) and interest required to be paid under that subsection remains outstanding, the court may, in addition to imposing a penalty, order the institution to pay to the credit of the </w:t>
      </w:r>
      <w:r>
        <w:t>Interest Account</w:t>
      </w:r>
      <w:r>
        <w:rPr>
          <w:snapToGrid w:val="0"/>
        </w:rPr>
        <w:t xml:space="preserve"> an amount equal to the amount of that interest, and any such order may be enforced as if it were a judgment of the court.</w:t>
      </w:r>
    </w:p>
    <w:p>
      <w:pPr>
        <w:pStyle w:val="Subsection"/>
        <w:keepNext/>
        <w:rPr>
          <w:snapToGrid w:val="0"/>
        </w:rPr>
      </w:pPr>
      <w:r>
        <w:rPr>
          <w:snapToGrid w:val="0"/>
        </w:rPr>
        <w:tab/>
        <w:t>(4)</w:t>
      </w:r>
      <w:r>
        <w:rPr>
          <w:snapToGrid w:val="0"/>
        </w:rPr>
        <w:tab/>
        <w:t>In regulations made under section 123 the prescribed rate referred to in subsection (1) may be prescribed by reference to a market rate indicator specified in the regulations.</w:t>
      </w:r>
    </w:p>
    <w:p>
      <w:pPr>
        <w:pStyle w:val="Footnotesection"/>
      </w:pPr>
      <w:r>
        <w:tab/>
        <w:t>[Section 49B inserted: No. 59 of 1995 s. 68; amended: No. 46 of 2009 s. 15(3).]</w:t>
      </w:r>
    </w:p>
    <w:p>
      <w:pPr>
        <w:pStyle w:val="Heading5"/>
        <w:rPr>
          <w:snapToGrid w:val="0"/>
        </w:rPr>
      </w:pPr>
      <w:bookmarkStart w:id="61" w:name="_Toc107495968"/>
      <w:r>
        <w:rPr>
          <w:rStyle w:val="CharSectno"/>
        </w:rPr>
        <w:t>49C</w:t>
      </w:r>
      <w:r>
        <w:rPr>
          <w:snapToGrid w:val="0"/>
        </w:rPr>
        <w:t xml:space="preserve">. </w:t>
      </w:r>
      <w:r>
        <w:rPr>
          <w:snapToGrid w:val="0"/>
        </w:rPr>
        <w:tab/>
        <w:t>Settlement agents to give Commissioner information about trust accounts</w:t>
      </w:r>
      <w:bookmarkEnd w:id="61"/>
    </w:p>
    <w:p>
      <w:pPr>
        <w:pStyle w:val="Subsection"/>
        <w:rPr>
          <w:snapToGrid w:val="0"/>
        </w:rPr>
      </w:pPr>
      <w:r>
        <w:rPr>
          <w:snapToGrid w:val="0"/>
        </w:rPr>
        <w:tab/>
        <w:t>(1)</w:t>
      </w:r>
      <w:r>
        <w:rPr>
          <w:snapToGrid w:val="0"/>
        </w:rPr>
        <w:tab/>
        <w:t xml:space="preserve">When a settlement agent opens or closes a trust account, the settlement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 xml:space="preserve">If a settlement agent’s trust account is overdrawn, both the settlement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amount by which the trust account is overdrawn.</w:t>
      </w:r>
    </w:p>
    <w:p>
      <w:pPr>
        <w:pStyle w:val="Footnotesection"/>
      </w:pPr>
      <w:r>
        <w:tab/>
        <w:t>[Section 49C inserted: No. 59 of 1995 s. 68; amended: No. 58 of 2010 s. 176.]</w:t>
      </w:r>
    </w:p>
    <w:p>
      <w:pPr>
        <w:pStyle w:val="Heading5"/>
        <w:rPr>
          <w:snapToGrid w:val="0"/>
        </w:rPr>
      </w:pPr>
      <w:bookmarkStart w:id="62" w:name="_Toc107495969"/>
      <w:r>
        <w:rPr>
          <w:rStyle w:val="CharSectno"/>
        </w:rPr>
        <w:lastRenderedPageBreak/>
        <w:t>50</w:t>
      </w:r>
      <w:r>
        <w:rPr>
          <w:snapToGrid w:val="0"/>
        </w:rPr>
        <w:t>.</w:t>
      </w:r>
      <w:r>
        <w:rPr>
          <w:snapToGrid w:val="0"/>
        </w:rPr>
        <w:tab/>
        <w:t>Receipts, accounts etc. by settlement agents</w:t>
      </w:r>
      <w:bookmarkEnd w:id="62"/>
    </w:p>
    <w:p>
      <w:pPr>
        <w:pStyle w:val="Subsection"/>
        <w:rPr>
          <w:snapToGrid w:val="0"/>
        </w:rPr>
      </w:pPr>
      <w:r>
        <w:rPr>
          <w:snapToGrid w:val="0"/>
        </w:rPr>
        <w:tab/>
        <w:t>(1)</w:t>
      </w:r>
      <w:r>
        <w:rPr>
          <w:snapToGrid w:val="0"/>
        </w:rPr>
        <w:tab/>
        <w:t>When a settlement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settlement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 xml:space="preserve">Subsection (3) does not apply in the case of a settlement agent if the settlement agent’s auditor certifies to the </w:t>
      </w:r>
      <w:r>
        <w:t>Commissioner</w:t>
      </w:r>
      <w:r>
        <w:rPr>
          <w:snapToGrid w:val="0"/>
        </w:rPr>
        <w:t xml:space="preserve"> that he is satisfied with the system employed by the settlement agent and that the records of moneys received are so kept and entered up as to enable the accounts to be properly and conveniently audited, and the </w:t>
      </w:r>
      <w:r>
        <w:t>Commissioner</w:t>
      </w:r>
      <w:r>
        <w:rPr>
          <w:snapToGrid w:val="0"/>
        </w:rPr>
        <w:t xml:space="preserve"> approves of the system employed by the settlement agent of recording the receipt of moneys.</w:t>
      </w:r>
    </w:p>
    <w:p>
      <w:pPr>
        <w:pStyle w:val="Subsection"/>
        <w:rPr>
          <w:snapToGrid w:val="0"/>
        </w:rPr>
      </w:pPr>
      <w:r>
        <w:rPr>
          <w:snapToGrid w:val="0"/>
        </w:rPr>
        <w:tab/>
        <w:t>(6)</w:t>
      </w:r>
      <w:r>
        <w:rPr>
          <w:snapToGrid w:val="0"/>
        </w:rPr>
        <w:tab/>
        <w:t>On receipt of any moneys by a settlement agent in respect of a settlement, he shall render to the person on whose behalf the money is received an account in writing of all such moneys and of the application thereof.</w:t>
      </w:r>
    </w:p>
    <w:p>
      <w:pPr>
        <w:pStyle w:val="Footnotesection"/>
      </w:pPr>
      <w:r>
        <w:tab/>
        <w:t>[Section 50 amended: No. 59 of 1995 s. 69; No. 58 of 2010 s. 176.]</w:t>
      </w:r>
    </w:p>
    <w:p>
      <w:pPr>
        <w:pStyle w:val="Heading5"/>
        <w:rPr>
          <w:snapToGrid w:val="0"/>
        </w:rPr>
      </w:pPr>
      <w:bookmarkStart w:id="63" w:name="_Toc107495970"/>
      <w:r>
        <w:rPr>
          <w:rStyle w:val="CharSectno"/>
        </w:rPr>
        <w:t>51</w:t>
      </w:r>
      <w:r>
        <w:rPr>
          <w:snapToGrid w:val="0"/>
        </w:rPr>
        <w:t>.</w:t>
      </w:r>
      <w:r>
        <w:rPr>
          <w:snapToGrid w:val="0"/>
        </w:rPr>
        <w:tab/>
        <w:t>Audits of trust accounts</w:t>
      </w:r>
      <w:bookmarkEnd w:id="63"/>
    </w:p>
    <w:p>
      <w:pPr>
        <w:pStyle w:val="Subsection"/>
        <w:spacing w:before="150"/>
        <w:rPr>
          <w:snapToGrid w:val="0"/>
        </w:rPr>
      </w:pPr>
      <w:r>
        <w:rPr>
          <w:snapToGrid w:val="0"/>
        </w:rPr>
        <w:tab/>
        <w:t>(1)</w:t>
      </w:r>
      <w:r>
        <w:rPr>
          <w:snapToGrid w:val="0"/>
        </w:rPr>
        <w:tab/>
        <w:t xml:space="preserve">Every person who carries on business as a settlement agent during the whole or any part of a year shall cause his trust accounts for that year, or part of a year, as the case may be, to </w:t>
      </w:r>
      <w:r>
        <w:rPr>
          <w:snapToGrid w:val="0"/>
        </w:rPr>
        <w:lastRenderedPageBreak/>
        <w:t>be audited by an auditor duly qualified or approved under this Division.</w:t>
      </w:r>
    </w:p>
    <w:p>
      <w:pPr>
        <w:pStyle w:val="Subsection"/>
        <w:spacing w:before="150"/>
        <w:rPr>
          <w:snapToGrid w:val="0"/>
        </w:rPr>
      </w:pPr>
      <w:r>
        <w:rPr>
          <w:snapToGrid w:val="0"/>
        </w:rPr>
        <w:tab/>
        <w:t>(2)</w:t>
      </w:r>
      <w:r>
        <w:rPr>
          <w:snapToGrid w:val="0"/>
        </w:rPr>
        <w:tab/>
        <w:t xml:space="preserve">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spacing w:before="150"/>
        <w:rPr>
          <w:snapToGrid w:val="0"/>
        </w:rPr>
      </w:pPr>
      <w:r>
        <w:rPr>
          <w:snapToGrid w:val="0"/>
        </w:rPr>
        <w:tab/>
        <w:t>(3)</w:t>
      </w:r>
      <w:r>
        <w:rPr>
          <w:snapToGrid w:val="0"/>
        </w:rPr>
        <w:tab/>
        <w:t>The auditor shall within 3 months after the end of each year —</w:t>
      </w:r>
    </w:p>
    <w:p>
      <w:pPr>
        <w:pStyle w:val="Indenta"/>
        <w:spacing w:before="60"/>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spacing w:before="60"/>
        <w:rPr>
          <w:snapToGrid w:val="0"/>
        </w:rPr>
      </w:pPr>
      <w:r>
        <w:rPr>
          <w:snapToGrid w:val="0"/>
        </w:rPr>
        <w:tab/>
        <w:t>(b)</w:t>
      </w:r>
      <w:r>
        <w:rPr>
          <w:snapToGrid w:val="0"/>
        </w:rPr>
        <w:tab/>
        <w:t>deliver a copy of the report so verified to the settlement agent.</w:t>
      </w:r>
    </w:p>
    <w:p>
      <w:pPr>
        <w:pStyle w:val="Subsection"/>
        <w:spacing w:before="150"/>
        <w:rPr>
          <w:snapToGrid w:val="0"/>
        </w:rPr>
      </w:pPr>
      <w:r>
        <w:rPr>
          <w:snapToGrid w:val="0"/>
        </w:rPr>
        <w:tab/>
        <w:t>(4)</w:t>
      </w:r>
      <w:r>
        <w:rPr>
          <w:snapToGrid w:val="0"/>
        </w:rPr>
        <w:tab/>
        <w:t>The settlement agent shall retain the copy of the report and produce it on demand pursuant to section 61(3).</w:t>
      </w:r>
    </w:p>
    <w:p>
      <w:pPr>
        <w:pStyle w:val="Subsection"/>
        <w:spacing w:before="150"/>
      </w:pPr>
      <w:r>
        <w:tab/>
        <w:t>(5)</w:t>
      </w:r>
      <w:r>
        <w:tab/>
        <w:t>The Commissioner may, in circumstances he or she considers appropriate, extend the time limit for lodging reports.</w:t>
      </w:r>
    </w:p>
    <w:p>
      <w:pPr>
        <w:pStyle w:val="Subsection"/>
        <w:spacing w:before="150"/>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settlement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settlement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settlement agent if the </w:t>
      </w:r>
      <w:r>
        <w:t>Commissioner</w:t>
      </w:r>
      <w:r>
        <w:rPr>
          <w:snapToGrid w:val="0"/>
        </w:rPr>
        <w:t xml:space="preserve"> so directs but otherwise shall be paid by the </w:t>
      </w:r>
      <w:r>
        <w:t>Commissioner</w:t>
      </w:r>
      <w:r>
        <w:rPr>
          <w:snapToGrid w:val="0"/>
        </w:rPr>
        <w:t>.</w:t>
      </w:r>
    </w:p>
    <w:p>
      <w:pPr>
        <w:pStyle w:val="Subsection"/>
        <w:keepNext/>
        <w:rPr>
          <w:snapToGrid w:val="0"/>
        </w:rPr>
      </w:pPr>
      <w:r>
        <w:rPr>
          <w:snapToGrid w:val="0"/>
        </w:rPr>
        <w:tab/>
        <w:t>(8)</w:t>
      </w:r>
      <w:r>
        <w:rPr>
          <w:snapToGrid w:val="0"/>
        </w:rPr>
        <w:tab/>
        <w:t>Apart from the annual audit and any interim audit provided for in this section, there shall be —</w:t>
      </w:r>
    </w:p>
    <w:p>
      <w:pPr>
        <w:pStyle w:val="Indenta"/>
        <w:spacing w:before="60"/>
        <w:rPr>
          <w:snapToGrid w:val="0"/>
        </w:rPr>
      </w:pPr>
      <w:r>
        <w:rPr>
          <w:snapToGrid w:val="0"/>
        </w:rPr>
        <w:tab/>
        <w:t>(a)</w:t>
      </w:r>
      <w:r>
        <w:rPr>
          <w:snapToGrid w:val="0"/>
        </w:rPr>
        <w:tab/>
        <w:t xml:space="preserve">a quarterly audit in respect of the trust accounts of a settlement agent for the first 3 months during which he carries on business as such after the appointed day, and </w:t>
      </w:r>
      <w:r>
        <w:rPr>
          <w:snapToGrid w:val="0"/>
        </w:rPr>
        <w:lastRenderedPageBreak/>
        <w:t xml:space="preserve">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 and</w:t>
      </w:r>
    </w:p>
    <w:p>
      <w:pPr>
        <w:pStyle w:val="Indenta"/>
        <w:spacing w:before="60"/>
        <w:rPr>
          <w:snapToGrid w:val="0"/>
        </w:rPr>
      </w:pPr>
      <w:r>
        <w:rPr>
          <w:snapToGrid w:val="0"/>
        </w:rPr>
        <w:tab/>
        <w:t>(b)</w:t>
      </w:r>
      <w:r>
        <w:rPr>
          <w:snapToGrid w:val="0"/>
        </w:rPr>
        <w:tab/>
        <w:t xml:space="preserve">where for any reason the triennial certificate of an agent ceases to have effect under this Act, within the period of 3 months thereafter, a termination audit of the settlement agent’s trust account, and the termination audit shall be arranged and conducted in accordance with such provisions of this Division in respect of the annual audit as are capable of being applied to the termination audit, and the auditor shall within 2 months after the end of that 3 month period deliver to the </w:t>
      </w:r>
      <w:r>
        <w:t>Commissioner</w:t>
      </w:r>
      <w:r>
        <w:rPr>
          <w:snapToGrid w:val="0"/>
        </w:rPr>
        <w:t xml:space="preserve"> a report of such termination audit.</w:t>
      </w:r>
    </w:p>
    <w:p>
      <w:pPr>
        <w:pStyle w:val="Subsection"/>
        <w:rPr>
          <w:snapToGrid w:val="0"/>
        </w:rPr>
      </w:pPr>
      <w:r>
        <w:rPr>
          <w:snapToGrid w:val="0"/>
        </w:rPr>
        <w:tab/>
        <w:t>(9)</w:t>
      </w:r>
      <w:r>
        <w:rPr>
          <w:snapToGrid w:val="0"/>
        </w:rPr>
        <w:tab/>
        <w:t xml:space="preserve">The </w:t>
      </w:r>
      <w:r>
        <w:t>Commissioner</w:t>
      </w:r>
      <w:r>
        <w:rPr>
          <w:snapToGrid w:val="0"/>
        </w:rPr>
        <w:t xml:space="preserve"> may, if the </w:t>
      </w:r>
      <w:r>
        <w:t>Commissioner</w:t>
      </w:r>
      <w:r>
        <w:rPr>
          <w:snapToGrid w:val="0"/>
        </w:rPr>
        <w:t xml:space="preserve"> thinks fit, waive in respect of a settlement agent’s trust accounts the requirement of a quarterly audit mentioned in subsection (8).</w:t>
      </w:r>
    </w:p>
    <w:p>
      <w:pPr>
        <w:pStyle w:val="Footnotesection"/>
      </w:pPr>
      <w:r>
        <w:tab/>
        <w:t>[Section 51 amended: No. 58 of 2010 s. 147 and 176.]</w:t>
      </w:r>
    </w:p>
    <w:p>
      <w:pPr>
        <w:pStyle w:val="Heading5"/>
        <w:rPr>
          <w:snapToGrid w:val="0"/>
        </w:rPr>
      </w:pPr>
      <w:bookmarkStart w:id="64" w:name="_Toc107495971"/>
      <w:r>
        <w:rPr>
          <w:rStyle w:val="CharSectno"/>
        </w:rPr>
        <w:t>52</w:t>
      </w:r>
      <w:r>
        <w:rPr>
          <w:snapToGrid w:val="0"/>
        </w:rPr>
        <w:t>.</w:t>
      </w:r>
      <w:r>
        <w:rPr>
          <w:snapToGrid w:val="0"/>
        </w:rPr>
        <w:tab/>
        <w:t>Date of audit, Commissioner may change</w:t>
      </w:r>
      <w:bookmarkEnd w:id="64"/>
    </w:p>
    <w:p>
      <w:pPr>
        <w:pStyle w:val="Subsection"/>
        <w:rPr>
          <w:snapToGrid w:val="0"/>
        </w:rPr>
      </w:pPr>
      <w:r>
        <w:rPr>
          <w:snapToGrid w:val="0"/>
        </w:rPr>
        <w:tab/>
        <w:t>(1)</w:t>
      </w:r>
      <w:r>
        <w:rPr>
          <w:snapToGrid w:val="0"/>
        </w:rPr>
        <w:tab/>
        <w:t xml:space="preserve">Notwithstanding anything else in this Division a settlement agent may apply in writing to the </w:t>
      </w:r>
      <w:r>
        <w:t>Commissioner</w:t>
      </w:r>
      <w:r>
        <w:rPr>
          <w:snapToGrid w:val="0"/>
        </w:rPr>
        <w:t xml:space="preserve"> to fix some date other than 30 June, as the date up to which his trust accounts are to be audited, and the </w:t>
      </w:r>
      <w:r>
        <w:t>Commissioner</w:t>
      </w:r>
      <w:r>
        <w:rPr>
          <w:snapToGrid w:val="0"/>
        </w:rPr>
        <w:t xml:space="preserve"> may, in its discretion, permit the settlement agent to substitute such other date for 30 June.</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settlement agent affected, revoke any permission granted under this section.</w:t>
      </w:r>
    </w:p>
    <w:p>
      <w:pPr>
        <w:pStyle w:val="Subsection"/>
        <w:keepNext/>
        <w:keepLines/>
        <w:rPr>
          <w:snapToGrid w:val="0"/>
        </w:rPr>
      </w:pPr>
      <w:r>
        <w:rPr>
          <w:snapToGrid w:val="0"/>
        </w:rPr>
        <w:lastRenderedPageBreak/>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51 shall, in relation to the settlement agent concerned, be read as if such other date was substituted for 30 June.</w:t>
      </w:r>
    </w:p>
    <w:p>
      <w:pPr>
        <w:pStyle w:val="Subsection"/>
        <w:rPr>
          <w:snapToGrid w:val="0"/>
        </w:rPr>
      </w:pPr>
      <w:r>
        <w:rPr>
          <w:snapToGrid w:val="0"/>
        </w:rPr>
        <w:tab/>
        <w:t>(5)</w:t>
      </w:r>
      <w:r>
        <w:rPr>
          <w:snapToGrid w:val="0"/>
        </w:rPr>
        <w:tab/>
        <w:t xml:space="preserve">When any date has been substituted for 30 June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52 amended: No. 58 of 2010 s. 176.]</w:t>
      </w:r>
    </w:p>
    <w:p>
      <w:pPr>
        <w:pStyle w:val="Heading5"/>
        <w:rPr>
          <w:snapToGrid w:val="0"/>
        </w:rPr>
      </w:pPr>
      <w:bookmarkStart w:id="65" w:name="_Toc107495972"/>
      <w:r>
        <w:rPr>
          <w:rStyle w:val="CharSectno"/>
        </w:rPr>
        <w:t>53</w:t>
      </w:r>
      <w:r>
        <w:rPr>
          <w:snapToGrid w:val="0"/>
        </w:rPr>
        <w:t>.</w:t>
      </w:r>
      <w:r>
        <w:rPr>
          <w:snapToGrid w:val="0"/>
        </w:rPr>
        <w:tab/>
        <w:t>Auditors, qualification and approval of</w:t>
      </w:r>
      <w:bookmarkEnd w:id="65"/>
    </w:p>
    <w:p>
      <w:pPr>
        <w:pStyle w:val="Subsection"/>
        <w:spacing w:before="140"/>
        <w:rPr>
          <w:snapToGrid w:val="0"/>
        </w:rPr>
      </w:pPr>
      <w:r>
        <w:rPr>
          <w:snapToGrid w:val="0"/>
        </w:rPr>
        <w:tab/>
        <w:t>(1)</w:t>
      </w:r>
      <w:r>
        <w:rPr>
          <w:snapToGrid w:val="0"/>
        </w:rPr>
        <w:tab/>
        <w:t>Subject to subsection (2), no person is qualified to act as an auditor under this Division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spacing w:before="140"/>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spacing w:before="140"/>
        <w:rPr>
          <w:snapToGrid w:val="0"/>
        </w:rPr>
      </w:pPr>
      <w:r>
        <w:rPr>
          <w:snapToGrid w:val="0"/>
        </w:rPr>
        <w:tab/>
        <w:t>(3)</w:t>
      </w:r>
      <w:r>
        <w:rPr>
          <w:snapToGrid w:val="0"/>
        </w:rPr>
        <w:tab/>
        <w:t xml:space="preserve">An auditor shall disclose to the </w:t>
      </w:r>
      <w:r>
        <w:t>Commissioner</w:t>
      </w:r>
      <w:r>
        <w:rPr>
          <w:snapToGrid w:val="0"/>
        </w:rPr>
        <w:t xml:space="preserve"> </w:t>
      </w:r>
      <w:r>
        <w:t>any de facto relationship or</w:t>
      </w:r>
      <w:r>
        <w:rPr>
          <w:snapToGrid w:val="0"/>
        </w:rPr>
        <w:t xml:space="preserve"> any close relationship by blood or marriage he has with a settlement agent whose trust accounts he has been appointed to audit or any business dealings he has with or through such settlement agent at any time during his appointment as auditor, and the </w:t>
      </w:r>
      <w:r>
        <w:t>Commissioner</w:t>
      </w:r>
      <w:r>
        <w:rPr>
          <w:snapToGrid w:val="0"/>
        </w:rPr>
        <w:t xml:space="preserve"> may, if the </w:t>
      </w:r>
      <w:r>
        <w:lastRenderedPageBreak/>
        <w:t>Commissioner</w:t>
      </w:r>
      <w:r>
        <w:rPr>
          <w:snapToGrid w:val="0"/>
        </w:rPr>
        <w:t xml:space="preserve"> thinks fit, disqualify that auditor from acting in that particular case.</w:t>
      </w:r>
    </w:p>
    <w:p>
      <w:pPr>
        <w:pStyle w:val="Footnotesection"/>
        <w:spacing w:before="100"/>
      </w:pPr>
      <w:r>
        <w:tab/>
        <w:t>[Section 53 amended: No. 10 of 1982 s. 28; No. 59 of 1995 s. 70; No. 10 of 2001 s. 220; No. 28 of 2003 s. 181; No. 58 of 2010 s. 176.]</w:t>
      </w:r>
    </w:p>
    <w:p>
      <w:pPr>
        <w:pStyle w:val="Heading5"/>
        <w:rPr>
          <w:snapToGrid w:val="0"/>
        </w:rPr>
      </w:pPr>
      <w:bookmarkStart w:id="66" w:name="_Toc107495973"/>
      <w:r>
        <w:rPr>
          <w:rStyle w:val="CharSectno"/>
        </w:rPr>
        <w:t>54</w:t>
      </w:r>
      <w:r>
        <w:rPr>
          <w:snapToGrid w:val="0"/>
        </w:rPr>
        <w:t>.</w:t>
      </w:r>
      <w:r>
        <w:rPr>
          <w:snapToGrid w:val="0"/>
        </w:rPr>
        <w:tab/>
        <w:t>Auditors, appointment of</w:t>
      </w:r>
      <w:bookmarkEnd w:id="66"/>
    </w:p>
    <w:p>
      <w:pPr>
        <w:pStyle w:val="Subsection"/>
        <w:spacing w:before="140"/>
        <w:rPr>
          <w:snapToGrid w:val="0"/>
        </w:rPr>
      </w:pPr>
      <w:r>
        <w:rPr>
          <w:snapToGrid w:val="0"/>
        </w:rPr>
        <w:tab/>
        <w:t>(1)</w:t>
      </w:r>
      <w:r>
        <w:rPr>
          <w:snapToGrid w:val="0"/>
        </w:rPr>
        <w:tab/>
        <w:t>Subject to the provisions of this Division the auditor by whom the audit of, and reports on, a settlement agent’s trust accounts are to be made shall be appointed and employed for that purpose by that settlement agent.</w:t>
      </w:r>
    </w:p>
    <w:p>
      <w:pPr>
        <w:pStyle w:val="Subsection"/>
        <w:spacing w:before="140"/>
        <w:rPr>
          <w:snapToGrid w:val="0"/>
        </w:rPr>
      </w:pPr>
      <w:r>
        <w:rPr>
          <w:snapToGrid w:val="0"/>
        </w:rPr>
        <w:tab/>
        <w:t>(2)</w:t>
      </w:r>
      <w:r>
        <w:rPr>
          <w:snapToGrid w:val="0"/>
        </w:rPr>
        <w:tab/>
        <w:t>A settlement agent shall appoint his auditor at the time of applying for his licence.</w:t>
      </w:r>
    </w:p>
    <w:p>
      <w:pPr>
        <w:pStyle w:val="Subsection"/>
        <w:spacing w:before="140"/>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spacing w:before="100"/>
      </w:pPr>
      <w:r>
        <w:tab/>
        <w:t>[Section 54 amended: No. 58 of 2010 s. 176.]</w:t>
      </w:r>
    </w:p>
    <w:p>
      <w:pPr>
        <w:pStyle w:val="Heading5"/>
        <w:rPr>
          <w:snapToGrid w:val="0"/>
        </w:rPr>
      </w:pPr>
      <w:bookmarkStart w:id="67" w:name="_Toc107495974"/>
      <w:r>
        <w:rPr>
          <w:rStyle w:val="CharSectno"/>
        </w:rPr>
        <w:t>55</w:t>
      </w:r>
      <w:r>
        <w:rPr>
          <w:snapToGrid w:val="0"/>
        </w:rPr>
        <w:t>.</w:t>
      </w:r>
      <w:r>
        <w:rPr>
          <w:snapToGrid w:val="0"/>
        </w:rPr>
        <w:tab/>
        <w:t>Audit of business carried on at more than one place, directions as to</w:t>
      </w:r>
      <w:bookmarkEnd w:id="67"/>
    </w:p>
    <w:p>
      <w:pPr>
        <w:pStyle w:val="Subsection"/>
        <w:rPr>
          <w:snapToGrid w:val="0"/>
        </w:rPr>
      </w:pPr>
      <w:r>
        <w:rPr>
          <w:snapToGrid w:val="0"/>
        </w:rPr>
        <w:tab/>
      </w:r>
      <w:r>
        <w:rPr>
          <w:snapToGrid w:val="0"/>
        </w:rPr>
        <w:tab/>
        <w:t xml:space="preserve">In the event of a settlement agent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55 amended: No. 58 of 2010 s. 176.]</w:t>
      </w:r>
    </w:p>
    <w:p>
      <w:pPr>
        <w:pStyle w:val="Heading5"/>
        <w:rPr>
          <w:snapToGrid w:val="0"/>
        </w:rPr>
      </w:pPr>
      <w:bookmarkStart w:id="68" w:name="_Toc107495975"/>
      <w:r>
        <w:rPr>
          <w:rStyle w:val="CharSectno"/>
        </w:rPr>
        <w:lastRenderedPageBreak/>
        <w:t>56</w:t>
      </w:r>
      <w:r>
        <w:rPr>
          <w:snapToGrid w:val="0"/>
        </w:rPr>
        <w:t>.</w:t>
      </w:r>
      <w:r>
        <w:rPr>
          <w:snapToGrid w:val="0"/>
        </w:rPr>
        <w:tab/>
        <w:t>Approvals etc. under this Division, Commissioner’s power to cancel etc.</w:t>
      </w:r>
      <w:bookmarkEnd w:id="68"/>
    </w:p>
    <w:p>
      <w:pPr>
        <w:pStyle w:val="Subsection"/>
        <w:keepNext/>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 or</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56 amended: No. 58 of 2010 s. 176.]</w:t>
      </w:r>
    </w:p>
    <w:p>
      <w:pPr>
        <w:pStyle w:val="Ednotesection"/>
      </w:pPr>
      <w:r>
        <w:t>[</w:t>
      </w:r>
      <w:r>
        <w:rPr>
          <w:b/>
        </w:rPr>
        <w:t>57.</w:t>
      </w:r>
      <w:r>
        <w:tab/>
        <w:t>Deleted: No. 55 of 2004 s. 1088.]</w:t>
      </w:r>
    </w:p>
    <w:p>
      <w:pPr>
        <w:pStyle w:val="Heading5"/>
        <w:rPr>
          <w:snapToGrid w:val="0"/>
        </w:rPr>
      </w:pPr>
      <w:bookmarkStart w:id="69" w:name="_Toc107495976"/>
      <w:r>
        <w:rPr>
          <w:rStyle w:val="CharSectno"/>
        </w:rPr>
        <w:t>58</w:t>
      </w:r>
      <w:r>
        <w:rPr>
          <w:snapToGrid w:val="0"/>
        </w:rPr>
        <w:t>.</w:t>
      </w:r>
      <w:r>
        <w:rPr>
          <w:snapToGrid w:val="0"/>
        </w:rPr>
        <w:tab/>
        <w:t>Audits, settlement agents’ duties and auditors’ powers as to</w:t>
      </w:r>
      <w:bookmarkEnd w:id="69"/>
    </w:p>
    <w:p>
      <w:pPr>
        <w:pStyle w:val="Subsection"/>
        <w:rPr>
          <w:snapToGrid w:val="0"/>
        </w:rPr>
      </w:pPr>
      <w:r>
        <w:rPr>
          <w:snapToGrid w:val="0"/>
        </w:rPr>
        <w:tab/>
        <w:t>(1)</w:t>
      </w:r>
      <w:r>
        <w:rPr>
          <w:snapToGrid w:val="0"/>
        </w:rPr>
        <w:tab/>
        <w:t>For the purposes of an audit or report under this Division every settlement agent shall, as and when the auditor requires, produce to the auditor his books and all papers, accounts, documents, and securities in his possession, custody, or power in any way relating to any moneys received by the settlement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0" w:name="_Toc107495977"/>
      <w:r>
        <w:rPr>
          <w:rStyle w:val="CharSectno"/>
        </w:rPr>
        <w:t>59</w:t>
      </w:r>
      <w:r>
        <w:rPr>
          <w:snapToGrid w:val="0"/>
        </w:rPr>
        <w:t>.</w:t>
      </w:r>
      <w:r>
        <w:rPr>
          <w:snapToGrid w:val="0"/>
        </w:rPr>
        <w:tab/>
        <w:t>Audits, bankers’ duties as to</w:t>
      </w:r>
      <w:bookmarkEnd w:id="70"/>
    </w:p>
    <w:p>
      <w:pPr>
        <w:pStyle w:val="Subsection"/>
        <w:rPr>
          <w:snapToGrid w:val="0"/>
        </w:rPr>
      </w:pPr>
      <w:r>
        <w:rPr>
          <w:snapToGrid w:val="0"/>
        </w:rPr>
        <w:tab/>
      </w:r>
      <w:r>
        <w:rPr>
          <w:snapToGrid w:val="0"/>
        </w:rPr>
        <w:tab/>
        <w:t>Every banker of a settlement agent shall, on request of any auditor engaged in the audit of that settlement agent’s trust accounts under this Division, produce to that auditor for inspection all such books, papers, accounts, documents and securities as may be considered by the auditor to be reasonably necessary for the purposes of the audit.</w:t>
      </w:r>
    </w:p>
    <w:p>
      <w:pPr>
        <w:pStyle w:val="Heading5"/>
        <w:rPr>
          <w:snapToGrid w:val="0"/>
        </w:rPr>
      </w:pPr>
      <w:bookmarkStart w:id="71" w:name="_Toc107495978"/>
      <w:r>
        <w:rPr>
          <w:rStyle w:val="CharSectno"/>
        </w:rPr>
        <w:lastRenderedPageBreak/>
        <w:t>60</w:t>
      </w:r>
      <w:r>
        <w:rPr>
          <w:snapToGrid w:val="0"/>
        </w:rPr>
        <w:t>.</w:t>
      </w:r>
      <w:r>
        <w:rPr>
          <w:snapToGrid w:val="0"/>
        </w:rPr>
        <w:tab/>
        <w:t>Auditors’ reports, content of</w:t>
      </w:r>
      <w:bookmarkEnd w:id="71"/>
    </w:p>
    <w:p>
      <w:pPr>
        <w:pStyle w:val="Subsection"/>
        <w:rPr>
          <w:snapToGrid w:val="0"/>
        </w:rPr>
      </w:pPr>
      <w:r>
        <w:rPr>
          <w:snapToGrid w:val="0"/>
        </w:rPr>
        <w:tab/>
      </w:r>
      <w:r>
        <w:rPr>
          <w:snapToGrid w:val="0"/>
        </w:rPr>
        <w:tab/>
        <w:t>Every auditor of a settlement agent’s trust accounts shall include in his report furnished pursuant to section 51 a statement as to the following matters —</w:t>
      </w:r>
    </w:p>
    <w:p>
      <w:pPr>
        <w:pStyle w:val="Indenta"/>
        <w:rPr>
          <w:snapToGrid w:val="0"/>
        </w:rPr>
      </w:pPr>
      <w:r>
        <w:rPr>
          <w:snapToGrid w:val="0"/>
        </w:rPr>
        <w:tab/>
        <w:t>(a)</w:t>
      </w:r>
      <w:r>
        <w:rPr>
          <w:snapToGrid w:val="0"/>
        </w:rPr>
        <w:tab/>
        <w:t>whether the trust accounts of such settlement agent have in the opinion of the auditor been kept regularly and properly written up; and</w:t>
      </w:r>
    </w:p>
    <w:p>
      <w:pPr>
        <w:pStyle w:val="Indenta"/>
        <w:rPr>
          <w:snapToGrid w:val="0"/>
        </w:rPr>
      </w:pPr>
      <w:r>
        <w:rPr>
          <w:snapToGrid w:val="0"/>
        </w:rPr>
        <w:tab/>
        <w:t>(b)</w:t>
      </w:r>
      <w:r>
        <w:rPr>
          <w:snapToGrid w:val="0"/>
        </w:rPr>
        <w:tab/>
        <w:t>whether the trust accounts of such settlement agent have been ready for examination at the periods appointed by the auditor; and</w:t>
      </w:r>
    </w:p>
    <w:p>
      <w:pPr>
        <w:pStyle w:val="Indenta"/>
        <w:rPr>
          <w:snapToGrid w:val="0"/>
        </w:rPr>
      </w:pPr>
      <w:r>
        <w:rPr>
          <w:snapToGrid w:val="0"/>
        </w:rPr>
        <w:tab/>
        <w:t>(c)</w:t>
      </w:r>
      <w:r>
        <w:rPr>
          <w:snapToGrid w:val="0"/>
        </w:rPr>
        <w:tab/>
        <w:t>whether such settlement agent has complied with the auditor’s requirements; and</w:t>
      </w:r>
    </w:p>
    <w:p>
      <w:pPr>
        <w:pStyle w:val="Indenta"/>
        <w:rPr>
          <w:snapToGrid w:val="0"/>
        </w:rPr>
      </w:pPr>
      <w:r>
        <w:rPr>
          <w:snapToGrid w:val="0"/>
        </w:rPr>
        <w:tab/>
        <w:t>(d)</w:t>
      </w:r>
      <w:r>
        <w:rPr>
          <w:snapToGrid w:val="0"/>
        </w:rPr>
        <w:tab/>
        <w:t>whether in the opinion of the auditor such settlement agent’s trust accounts are, and have been during the period of the audit, in order or otherwise;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matter or thing in relation to such trust accounts which should in the opinion of the auditor be communicated to the </w:t>
      </w:r>
      <w:r>
        <w:t>Commissioner</w:t>
      </w:r>
      <w:r>
        <w:rPr>
          <w:snapToGrid w:val="0"/>
        </w:rPr>
        <w:t>.</w:t>
      </w:r>
    </w:p>
    <w:p>
      <w:pPr>
        <w:pStyle w:val="Footnotesection"/>
        <w:spacing w:before="100"/>
        <w:ind w:left="890" w:hanging="890"/>
      </w:pPr>
      <w:r>
        <w:tab/>
        <w:t>[Section 60 amended: No. 64 of 1982 s. 4; No. 59 of 1995 s. 71; No. 58 of 2010 s. 176.]</w:t>
      </w:r>
    </w:p>
    <w:p>
      <w:pPr>
        <w:pStyle w:val="Heading5"/>
        <w:rPr>
          <w:snapToGrid w:val="0"/>
        </w:rPr>
      </w:pPr>
      <w:bookmarkStart w:id="72" w:name="_Toc107495979"/>
      <w:r>
        <w:rPr>
          <w:rStyle w:val="CharSectno"/>
        </w:rPr>
        <w:t>61</w:t>
      </w:r>
      <w:r>
        <w:rPr>
          <w:snapToGrid w:val="0"/>
        </w:rPr>
        <w:t>.</w:t>
      </w:r>
      <w:r>
        <w:rPr>
          <w:snapToGrid w:val="0"/>
        </w:rPr>
        <w:tab/>
        <w:t>Moneys etc. held on trust, statement of by settlement agents</w:t>
      </w:r>
      <w:bookmarkEnd w:id="72"/>
    </w:p>
    <w:p>
      <w:pPr>
        <w:pStyle w:val="Subsection"/>
        <w:spacing w:before="120"/>
        <w:rPr>
          <w:snapToGrid w:val="0"/>
        </w:rPr>
      </w:pPr>
      <w:r>
        <w:rPr>
          <w:snapToGrid w:val="0"/>
        </w:rPr>
        <w:tab/>
        <w:t>(1)</w:t>
      </w:r>
      <w:r>
        <w:rPr>
          <w:snapToGrid w:val="0"/>
        </w:rPr>
        <w:tab/>
        <w:t>Every settlement agent who holds a current triennial certificate shall prepare and certify under his hand and produce to the auditor who audits his trust accounts a statement setting forth in detail particulars of —</w:t>
      </w:r>
    </w:p>
    <w:p>
      <w:pPr>
        <w:pStyle w:val="Indenta"/>
        <w:spacing w:before="60"/>
        <w:rPr>
          <w:snapToGrid w:val="0"/>
        </w:rPr>
      </w:pPr>
      <w:r>
        <w:rPr>
          <w:snapToGrid w:val="0"/>
        </w:rPr>
        <w:tab/>
        <w:t>(a)</w:t>
      </w:r>
      <w:r>
        <w:rPr>
          <w:snapToGrid w:val="0"/>
        </w:rPr>
        <w:tab/>
        <w:t>moneys held, on the last day of the period to which the audit relates, by the settlement agent for or on behalf of any other person; and</w:t>
      </w:r>
    </w:p>
    <w:p>
      <w:pPr>
        <w:pStyle w:val="Indenta"/>
        <w:spacing w:before="60"/>
        <w:rPr>
          <w:snapToGrid w:val="0"/>
        </w:rPr>
      </w:pPr>
      <w:r>
        <w:rPr>
          <w:snapToGrid w:val="0"/>
        </w:rPr>
        <w:tab/>
        <w:t>(b)</w:t>
      </w:r>
      <w:r>
        <w:rPr>
          <w:snapToGrid w:val="0"/>
        </w:rPr>
        <w:tab/>
        <w:t>negotiable or bearer securities or deposit receipts in the name of the settlement agent which represent moneys drawn from the settlement agent’s trust accounts and which are held by the settlement agent on that day.</w:t>
      </w:r>
    </w:p>
    <w:p>
      <w:pPr>
        <w:pStyle w:val="Subsection"/>
        <w:spacing w:before="120"/>
        <w:rPr>
          <w:snapToGrid w:val="0"/>
        </w:rPr>
      </w:pPr>
      <w:r>
        <w:rPr>
          <w:snapToGrid w:val="0"/>
        </w:rPr>
        <w:lastRenderedPageBreak/>
        <w:tab/>
        <w:t>(2)</w:t>
      </w:r>
      <w:r>
        <w:rPr>
          <w:snapToGrid w:val="0"/>
        </w:rPr>
        <w:tab/>
        <w:t>The auditor shall examine the statement and endorse on it a certificate as to whether or not it is correct, and deliver it to the settlement agent.</w:t>
      </w:r>
    </w:p>
    <w:p>
      <w:pPr>
        <w:pStyle w:val="Subsection"/>
        <w:spacing w:before="120"/>
        <w:rPr>
          <w:snapToGrid w:val="0"/>
        </w:rPr>
      </w:pPr>
      <w:r>
        <w:rPr>
          <w:snapToGrid w:val="0"/>
        </w:rPr>
        <w:tab/>
        <w:t>(3)</w:t>
      </w:r>
      <w:r>
        <w:rPr>
          <w:snapToGrid w:val="0"/>
        </w:rPr>
        <w:tab/>
        <w:t>The statement so delivered shall be retained by the settlement agent and be produced on demand to the auditor making the next succeeding audit of the settlement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 settlement agent’s accounts are being audited for the first time or, where for any other reason, no statement containing the particulars set out in subsection (1) and relating to the previous period of audit is available for the purpose of audit the settlement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spacing w:before="120"/>
        <w:rPr>
          <w:snapToGrid w:val="0"/>
        </w:rPr>
      </w:pPr>
      <w:r>
        <w:rPr>
          <w:snapToGrid w:val="0"/>
        </w:rPr>
        <w:tab/>
        <w:t>(5)</w:t>
      </w:r>
      <w:r>
        <w:rPr>
          <w:snapToGrid w:val="0"/>
        </w:rPr>
        <w:tab/>
        <w:t>Every statement made under this section shall be verified by the statutory declaration of the settlement agent, or, in the case of a firm, by the statutory declaration of one of the partners, or, in the case of a body corporate, by the person in bona fide control of the settlement agent’s business.</w:t>
      </w:r>
    </w:p>
    <w:p>
      <w:pPr>
        <w:pStyle w:val="Heading5"/>
        <w:rPr>
          <w:snapToGrid w:val="0"/>
        </w:rPr>
      </w:pPr>
      <w:bookmarkStart w:id="73" w:name="_Toc107495980"/>
      <w:r>
        <w:rPr>
          <w:rStyle w:val="CharSectno"/>
        </w:rPr>
        <w:t>62</w:t>
      </w:r>
      <w:r>
        <w:rPr>
          <w:snapToGrid w:val="0"/>
        </w:rPr>
        <w:t>.</w:t>
      </w:r>
      <w:r>
        <w:rPr>
          <w:snapToGrid w:val="0"/>
        </w:rPr>
        <w:tab/>
        <w:t>Auditor’s report to report breaches of law etc.</w:t>
      </w:r>
      <w:bookmarkEnd w:id="73"/>
    </w:p>
    <w:p>
      <w:pPr>
        <w:pStyle w:val="Subsection"/>
        <w:rPr>
          <w:snapToGrid w:val="0"/>
        </w:rPr>
      </w:pPr>
      <w:r>
        <w:rPr>
          <w:snapToGrid w:val="0"/>
        </w:rPr>
        <w:tab/>
      </w:r>
      <w:r>
        <w:rPr>
          <w:snapToGrid w:val="0"/>
        </w:rPr>
        <w:tab/>
        <w:t xml:space="preserve">If an auditor in the course of auditing a settlement agent’s trust accounts discovers that the accounts are not kept in such a manner as to enable them to be properly audited, or discovers any matter which appears to him to involve dishonesty or a breach of the law on the part of the settlement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spacing w:before="100"/>
        <w:ind w:left="890" w:hanging="890"/>
      </w:pPr>
      <w:r>
        <w:tab/>
        <w:t>[Section 62 amended: No. 58 of 2010 s. 176.]</w:t>
      </w:r>
    </w:p>
    <w:p>
      <w:pPr>
        <w:pStyle w:val="Heading5"/>
        <w:spacing w:before="180"/>
        <w:rPr>
          <w:snapToGrid w:val="0"/>
        </w:rPr>
      </w:pPr>
      <w:bookmarkStart w:id="74" w:name="_Toc107495981"/>
      <w:r>
        <w:rPr>
          <w:rStyle w:val="CharSectno"/>
        </w:rPr>
        <w:lastRenderedPageBreak/>
        <w:t>63</w:t>
      </w:r>
      <w:r>
        <w:rPr>
          <w:snapToGrid w:val="0"/>
        </w:rPr>
        <w:t>.</w:t>
      </w:r>
      <w:r>
        <w:rPr>
          <w:snapToGrid w:val="0"/>
        </w:rPr>
        <w:tab/>
        <w:t>Auditors’ duty of confidentiality</w:t>
      </w:r>
      <w:bookmarkEnd w:id="74"/>
    </w:p>
    <w:p>
      <w:pPr>
        <w:pStyle w:val="Subsection"/>
        <w:spacing w:before="140"/>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keepNext/>
        <w:keepLines/>
        <w:spacing w:before="140"/>
        <w:rPr>
          <w:snapToGrid w:val="0"/>
        </w:rPr>
      </w:pPr>
      <w:r>
        <w:rPr>
          <w:snapToGrid w:val="0"/>
        </w:rPr>
        <w:tab/>
        <w:t>(2)</w:t>
      </w:r>
      <w:r>
        <w:rPr>
          <w:snapToGrid w:val="0"/>
        </w:rPr>
        <w:tab/>
        <w:t>An auditor is not guilty of a breach of subsection (1) by disclosing information —</w:t>
      </w:r>
    </w:p>
    <w:p>
      <w:pPr>
        <w:pStyle w:val="Indenta"/>
        <w:spacing w:before="60"/>
        <w:rPr>
          <w:snapToGrid w:val="0"/>
        </w:rPr>
      </w:pPr>
      <w:r>
        <w:rPr>
          <w:snapToGrid w:val="0"/>
        </w:rPr>
        <w:tab/>
        <w:t>(a)</w:t>
      </w:r>
      <w:r>
        <w:rPr>
          <w:snapToGrid w:val="0"/>
        </w:rPr>
        <w:tab/>
        <w:t>by means of or in a report made pursuant to this Division; or</w:t>
      </w:r>
    </w:p>
    <w:p>
      <w:pPr>
        <w:pStyle w:val="Indenta"/>
        <w:spacing w:before="60"/>
        <w:rPr>
          <w:snapToGrid w:val="0"/>
        </w:rPr>
      </w:pPr>
      <w:r>
        <w:rPr>
          <w:snapToGrid w:val="0"/>
        </w:rPr>
        <w:tab/>
        <w:t>(b)</w:t>
      </w:r>
      <w:r>
        <w:rPr>
          <w:snapToGrid w:val="0"/>
        </w:rPr>
        <w:tab/>
        <w:t>in or for the purpose of any legal proceedings arising out of any such report or instituted in connection with the trust accounts of the settlement agent to whom the information relates.</w:t>
      </w:r>
    </w:p>
    <w:p>
      <w:pPr>
        <w:pStyle w:val="Heading5"/>
        <w:spacing w:before="180"/>
        <w:rPr>
          <w:snapToGrid w:val="0"/>
        </w:rPr>
      </w:pPr>
      <w:bookmarkStart w:id="75" w:name="_Toc107495982"/>
      <w:r>
        <w:rPr>
          <w:rStyle w:val="CharSectno"/>
        </w:rPr>
        <w:t>64</w:t>
      </w:r>
      <w:r>
        <w:rPr>
          <w:snapToGrid w:val="0"/>
        </w:rPr>
        <w:t>.</w:t>
      </w:r>
      <w:r>
        <w:rPr>
          <w:snapToGrid w:val="0"/>
        </w:rPr>
        <w:tab/>
        <w:t>Right of some persons to information in auditors’ reports</w:t>
      </w:r>
      <w:bookmarkEnd w:id="75"/>
    </w:p>
    <w:p>
      <w:pPr>
        <w:pStyle w:val="Subsection"/>
        <w:spacing w:before="140"/>
        <w:rPr>
          <w:snapToGrid w:val="0"/>
        </w:rPr>
      </w:pPr>
      <w:r>
        <w:rPr>
          <w:snapToGrid w:val="0"/>
        </w:rPr>
        <w:tab/>
        <w:t>(1)</w:t>
      </w:r>
      <w:r>
        <w:rPr>
          <w:snapToGrid w:val="0"/>
        </w:rPr>
        <w:tab/>
        <w:t xml:space="preserve">On request by any person interested in any moneys or securities held or which ought to be held or which have been received by a settlement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Division as affects or may affect such person.</w:t>
      </w:r>
    </w:p>
    <w:p>
      <w:pPr>
        <w:pStyle w:val="Subsection"/>
        <w:spacing w:before="140"/>
        <w:rPr>
          <w:snapToGrid w:val="0"/>
        </w:rPr>
      </w:pPr>
      <w:r>
        <w:rPr>
          <w:snapToGrid w:val="0"/>
        </w:rPr>
        <w:tab/>
        <w:t>(2)</w:t>
      </w:r>
      <w:r>
        <w:rPr>
          <w:snapToGrid w:val="0"/>
        </w:rPr>
        <w:tab/>
        <w:t xml:space="preserve">A report of an auditor under this Division or a statutory declaration, statement, or other document delivered to the </w:t>
      </w:r>
      <w:r>
        <w:t>Commissioner under this Division shall be available under the supervision of the Commissioner</w:t>
      </w:r>
      <w:r>
        <w:rPr>
          <w:snapToGrid w:val="0"/>
        </w:rPr>
        <w:t xml:space="preserve"> for inspection by any other auditor appointed to audit the accounts of the same settlement agent for the next succeeding year.</w:t>
      </w:r>
    </w:p>
    <w:p>
      <w:pPr>
        <w:pStyle w:val="Footnotesection"/>
        <w:spacing w:before="100"/>
        <w:ind w:left="890" w:hanging="890"/>
      </w:pPr>
      <w:r>
        <w:tab/>
        <w:t>[Section 64 amended: No. 58 of 2010 s. 148 and 176.]</w:t>
      </w:r>
    </w:p>
    <w:p>
      <w:pPr>
        <w:pStyle w:val="Heading5"/>
        <w:rPr>
          <w:snapToGrid w:val="0"/>
        </w:rPr>
      </w:pPr>
      <w:bookmarkStart w:id="76" w:name="_Toc107495983"/>
      <w:r>
        <w:rPr>
          <w:rStyle w:val="CharSectno"/>
        </w:rPr>
        <w:lastRenderedPageBreak/>
        <w:t>65</w:t>
      </w:r>
      <w:r>
        <w:rPr>
          <w:snapToGrid w:val="0"/>
        </w:rPr>
        <w:t>.</w:t>
      </w:r>
      <w:r>
        <w:rPr>
          <w:snapToGrid w:val="0"/>
        </w:rPr>
        <w:tab/>
        <w:t>Offences under this Division</w:t>
      </w:r>
      <w:bookmarkEnd w:id="76"/>
    </w:p>
    <w:p>
      <w:pPr>
        <w:pStyle w:val="Subsection"/>
        <w:keepNext/>
        <w:rPr>
          <w:snapToGrid w:val="0"/>
        </w:rPr>
      </w:pPr>
      <w:r>
        <w:rPr>
          <w:snapToGrid w:val="0"/>
        </w:rPr>
        <w:tab/>
        <w:t>(1)</w:t>
      </w:r>
      <w:r>
        <w:rPr>
          <w:snapToGrid w:val="0"/>
        </w:rPr>
        <w:tab/>
        <w:t>A person who contravenes or does not observe any of the foregoing provisions of this Division commits an offence.</w:t>
      </w:r>
    </w:p>
    <w:p>
      <w:pPr>
        <w:pStyle w:val="Penstart"/>
        <w:keepNext/>
      </w:pPr>
      <w:r>
        <w:tab/>
        <w:t>Penalty for this subsection:</w:t>
      </w:r>
    </w:p>
    <w:p>
      <w:pPr>
        <w:pStyle w:val="Penpara"/>
      </w:pPr>
      <w:r>
        <w:tab/>
        <w:t>(a)</w:t>
      </w:r>
      <w:r>
        <w:tab/>
        <w:t>in the case of an offence against section 49(4) or (5), a fine of $25 000, or 2 years’ imprisonment;</w:t>
      </w:r>
    </w:p>
    <w:p>
      <w:pPr>
        <w:pStyle w:val="Penpara"/>
      </w:pPr>
      <w:r>
        <w:tab/>
        <w:t>(b)</w:t>
      </w:r>
      <w:r>
        <w:tab/>
        <w:t>in the case of an offence against section 49B(1), a fine of $50 000;</w:t>
      </w:r>
    </w:p>
    <w:p>
      <w:pPr>
        <w:pStyle w:val="Penpara"/>
      </w:pPr>
      <w:r>
        <w:tab/>
        <w:t>(c)</w:t>
      </w:r>
      <w:r>
        <w:tab/>
        <w:t>in any other case, a fine of $25 000.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65 amended: No. 59 of 1995 s. 72; No. 25 of 2019 s. 83.]</w:t>
      </w:r>
    </w:p>
    <w:p>
      <w:pPr>
        <w:pStyle w:val="Heading5"/>
        <w:rPr>
          <w:snapToGrid w:val="0"/>
        </w:rPr>
      </w:pPr>
      <w:bookmarkStart w:id="77" w:name="_Toc107495984"/>
      <w:r>
        <w:rPr>
          <w:rStyle w:val="CharSectno"/>
        </w:rPr>
        <w:t>66</w:t>
      </w:r>
      <w:r>
        <w:rPr>
          <w:snapToGrid w:val="0"/>
        </w:rPr>
        <w:t>.</w:t>
      </w:r>
      <w:r>
        <w:rPr>
          <w:snapToGrid w:val="0"/>
        </w:rPr>
        <w:tab/>
        <w:t>Auditors’ remuneration</w:t>
      </w:r>
      <w:bookmarkEnd w:id="77"/>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settlement agent.</w:t>
      </w:r>
    </w:p>
    <w:p>
      <w:pPr>
        <w:pStyle w:val="Heading5"/>
        <w:rPr>
          <w:snapToGrid w:val="0"/>
        </w:rPr>
      </w:pPr>
      <w:bookmarkStart w:id="78" w:name="_Toc107495985"/>
      <w:r>
        <w:rPr>
          <w:rStyle w:val="CharSectno"/>
        </w:rPr>
        <w:t>67</w:t>
      </w:r>
      <w:r>
        <w:rPr>
          <w:snapToGrid w:val="0"/>
        </w:rPr>
        <w:t>.</w:t>
      </w:r>
      <w:r>
        <w:rPr>
          <w:snapToGrid w:val="0"/>
        </w:rPr>
        <w:tab/>
        <w:t>Settlement agents with no accounts to audit</w:t>
      </w:r>
      <w:bookmarkEnd w:id="78"/>
    </w:p>
    <w:p>
      <w:pPr>
        <w:pStyle w:val="Subsection"/>
        <w:rPr>
          <w:snapToGrid w:val="0"/>
        </w:rPr>
      </w:pPr>
      <w:r>
        <w:rPr>
          <w:snapToGrid w:val="0"/>
        </w:rPr>
        <w:tab/>
      </w:r>
      <w:r>
        <w:rPr>
          <w:snapToGrid w:val="0"/>
        </w:rPr>
        <w:tab/>
        <w:t xml:space="preserve">A settlement agent who holds a current triennial certificate but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w:t>
      </w:r>
      <w:r>
        <w:t>Commissioner</w:t>
      </w:r>
      <w:r>
        <w:rPr>
          <w:snapToGrid w:val="0"/>
        </w:rPr>
        <w:t>.</w:t>
      </w:r>
    </w:p>
    <w:p>
      <w:pPr>
        <w:pStyle w:val="Footnotesection"/>
      </w:pPr>
      <w:r>
        <w:tab/>
        <w:t>[Section 67 amended: No. 58 of 2010 s. 176.]</w:t>
      </w:r>
    </w:p>
    <w:p>
      <w:pPr>
        <w:pStyle w:val="Heading5"/>
        <w:rPr>
          <w:snapToGrid w:val="0"/>
        </w:rPr>
      </w:pPr>
      <w:bookmarkStart w:id="79" w:name="_Toc107495986"/>
      <w:r>
        <w:rPr>
          <w:rStyle w:val="CharSectno"/>
        </w:rPr>
        <w:lastRenderedPageBreak/>
        <w:t>68</w:t>
      </w:r>
      <w:r>
        <w:rPr>
          <w:snapToGrid w:val="0"/>
        </w:rPr>
        <w:t>.</w:t>
      </w:r>
      <w:r>
        <w:rPr>
          <w:snapToGrid w:val="0"/>
        </w:rPr>
        <w:tab/>
        <w:t>Accounts of firm or body corporate or settlement agent with branch office, effect of audits as to</w:t>
      </w:r>
      <w:bookmarkEnd w:id="79"/>
    </w:p>
    <w:p>
      <w:pPr>
        <w:pStyle w:val="Subsection"/>
        <w:spacing w:before="140"/>
        <w:rPr>
          <w:snapToGrid w:val="0"/>
        </w:rPr>
      </w:pPr>
      <w:r>
        <w:rPr>
          <w:snapToGrid w:val="0"/>
        </w:rPr>
        <w:tab/>
        <w:t>(1)</w:t>
      </w:r>
      <w:r>
        <w:rPr>
          <w:snapToGrid w:val="0"/>
        </w:rPr>
        <w:tab/>
        <w:t>Where trust accounts are kept by a firm of settlement agents an audit of those accounts under this Division and the certificates and report of the auditor thereof operate as regards those trust accounts as an audit certificate and report in relation to each settlement agent who is a member of such firm and in relation to the settlement agent who is in bona fide control of the settlement agent’s business of the firm.</w:t>
      </w:r>
    </w:p>
    <w:p>
      <w:pPr>
        <w:pStyle w:val="Subsection"/>
        <w:spacing w:before="140"/>
        <w:rPr>
          <w:snapToGrid w:val="0"/>
        </w:rPr>
      </w:pPr>
      <w:r>
        <w:rPr>
          <w:snapToGrid w:val="0"/>
        </w:rPr>
        <w:tab/>
        <w:t>(2)</w:t>
      </w:r>
      <w:r>
        <w:rPr>
          <w:snapToGrid w:val="0"/>
        </w:rPr>
        <w:tab/>
        <w:t>Where trust accounts are kept by a body corporate an audit of those accounts under this Division and the certificates and report of the auditor thereof operate as regards those trust accounts as an audit certificate and report in relation to a settlement agent who is a director of that body corporate and in relation to the settlement agent who is in bona fide control of the settlement agent’s business of the body corporate.</w:t>
      </w:r>
    </w:p>
    <w:p>
      <w:pPr>
        <w:pStyle w:val="Subsection"/>
        <w:spacing w:before="140"/>
        <w:rPr>
          <w:snapToGrid w:val="0"/>
        </w:rPr>
      </w:pPr>
      <w:r>
        <w:rPr>
          <w:snapToGrid w:val="0"/>
        </w:rPr>
        <w:tab/>
        <w:t>(3)</w:t>
      </w:r>
      <w:r>
        <w:rPr>
          <w:snapToGrid w:val="0"/>
        </w:rPr>
        <w:tab/>
        <w:t>Where trust accounts are kept by a settlement agent who or which has a branch office an audit of those accounts, including the accounts of the branch office, under this Division and the certificates and reports of the auditor thereof operate as regards those trust accounts as an audit certificate and report in relation to a settlement agent who is the manager of the branch office.</w:t>
      </w:r>
    </w:p>
    <w:p>
      <w:pPr>
        <w:pStyle w:val="Heading5"/>
        <w:rPr>
          <w:snapToGrid w:val="0"/>
        </w:rPr>
      </w:pPr>
      <w:bookmarkStart w:id="80" w:name="_Toc107495987"/>
      <w:r>
        <w:rPr>
          <w:rStyle w:val="CharSectno"/>
        </w:rPr>
        <w:t>69</w:t>
      </w:r>
      <w:r>
        <w:rPr>
          <w:snapToGrid w:val="0"/>
        </w:rPr>
        <w:t>.</w:t>
      </w:r>
      <w:r>
        <w:rPr>
          <w:snapToGrid w:val="0"/>
        </w:rPr>
        <w:tab/>
        <w:t>Audit of trust account, Commissioner may do</w:t>
      </w:r>
      <w:bookmarkEnd w:id="80"/>
    </w:p>
    <w:p>
      <w:pPr>
        <w:pStyle w:val="Subsection"/>
        <w:spacing w:before="140"/>
        <w:rPr>
          <w:snapToGrid w:val="0"/>
        </w:rPr>
      </w:pPr>
      <w:r>
        <w:rPr>
          <w:snapToGrid w:val="0"/>
        </w:rPr>
        <w:tab/>
      </w:r>
      <w:r>
        <w:rPr>
          <w:snapToGrid w:val="0"/>
        </w:rPr>
        <w:tab/>
        <w:t xml:space="preserve">Without prejudice to the operation of the foregoing provisions of this Division, where the </w:t>
      </w:r>
      <w:r>
        <w:t>Commissioner</w:t>
      </w:r>
      <w:r>
        <w:rPr>
          <w:snapToGrid w:val="0"/>
        </w:rPr>
        <w:t xml:space="preserve"> is of opinion that it is in the public interest to do </w:t>
      </w:r>
      <w:r>
        <w:t>so, the Commissioner</w:t>
      </w:r>
      <w:r>
        <w:rPr>
          <w:snapToGrid w:val="0"/>
        </w:rPr>
        <w:t xml:space="preserve"> may, at any time, cause the trust accounts of a settlement agent to be audited by an auditor nominated in writing by the </w:t>
      </w:r>
      <w:r>
        <w:t>Commissioner</w:t>
      </w:r>
      <w:r>
        <w:rPr>
          <w:snapToGrid w:val="0"/>
        </w:rPr>
        <w:t xml:space="preserve"> for that purpose.</w:t>
      </w:r>
    </w:p>
    <w:p>
      <w:pPr>
        <w:pStyle w:val="Footnotesection"/>
      </w:pPr>
      <w:r>
        <w:tab/>
        <w:t>[Section 69 amended: No. 58 of 2010 s. 176.]</w:t>
      </w:r>
    </w:p>
    <w:p>
      <w:pPr>
        <w:pStyle w:val="Heading5"/>
        <w:rPr>
          <w:snapToGrid w:val="0"/>
        </w:rPr>
      </w:pPr>
      <w:bookmarkStart w:id="81" w:name="_Toc107495988"/>
      <w:r>
        <w:rPr>
          <w:rStyle w:val="CharSectno"/>
        </w:rPr>
        <w:lastRenderedPageBreak/>
        <w:t>70</w:t>
      </w:r>
      <w:r>
        <w:rPr>
          <w:snapToGrid w:val="0"/>
        </w:rPr>
        <w:t>.</w:t>
      </w:r>
      <w:r>
        <w:rPr>
          <w:snapToGrid w:val="0"/>
        </w:rPr>
        <w:tab/>
        <w:t>Settlement agent to allow Commissioner’s auditor etc. to inspect accounts etc.</w:t>
      </w:r>
      <w:bookmarkEnd w:id="81"/>
    </w:p>
    <w:p>
      <w:pPr>
        <w:pStyle w:val="Subsection"/>
        <w:rPr>
          <w:snapToGrid w:val="0"/>
        </w:rPr>
      </w:pPr>
      <w:r>
        <w:rPr>
          <w:snapToGrid w:val="0"/>
        </w:rPr>
        <w:tab/>
      </w:r>
      <w:r>
        <w:rPr>
          <w:snapToGrid w:val="0"/>
        </w:rPr>
        <w:tab/>
        <w:t>Every settlement agent shall, at all reasonable times at each place of business at which he carries on business as a settlement agent, keep open for inspection —</w:t>
      </w:r>
    </w:p>
    <w:p>
      <w:pPr>
        <w:pStyle w:val="Indenta"/>
        <w:rPr>
          <w:snapToGrid w:val="0"/>
        </w:rPr>
      </w:pPr>
      <w:r>
        <w:rPr>
          <w:snapToGrid w:val="0"/>
        </w:rPr>
        <w:tab/>
        <w:t>(a)</w:t>
      </w:r>
      <w:r>
        <w:rPr>
          <w:snapToGrid w:val="0"/>
        </w:rPr>
        <w:tab/>
        <w:t xml:space="preserve">by the auditor nominated by the </w:t>
      </w:r>
      <w:r>
        <w:t>Commissioner</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r>
        <w:tab/>
        <w:t>[Section 70 amended: No. 58 of 2010 s. 176.]</w:t>
      </w:r>
    </w:p>
    <w:p>
      <w:pPr>
        <w:pStyle w:val="Heading5"/>
        <w:spacing w:before="240"/>
        <w:rPr>
          <w:snapToGrid w:val="0"/>
        </w:rPr>
      </w:pPr>
      <w:bookmarkStart w:id="82" w:name="_Toc107495989"/>
      <w:r>
        <w:rPr>
          <w:rStyle w:val="CharSectno"/>
        </w:rPr>
        <w:t>71</w:t>
      </w:r>
      <w:r>
        <w:rPr>
          <w:snapToGrid w:val="0"/>
        </w:rPr>
        <w:t>.</w:t>
      </w:r>
      <w:r>
        <w:rPr>
          <w:snapToGrid w:val="0"/>
        </w:rPr>
        <w:tab/>
        <w:t>Cost of audit done under s. 69</w:t>
      </w:r>
      <w:bookmarkEnd w:id="82"/>
    </w:p>
    <w:p>
      <w:pPr>
        <w:pStyle w:val="Subsection"/>
        <w:rPr>
          <w:snapToGrid w:val="0"/>
        </w:rPr>
      </w:pPr>
      <w:r>
        <w:rPr>
          <w:snapToGrid w:val="0"/>
        </w:rPr>
        <w:tab/>
        <w:t>(1)</w:t>
      </w:r>
      <w:r>
        <w:rPr>
          <w:snapToGrid w:val="0"/>
        </w:rPr>
        <w:tab/>
        <w:t xml:space="preserve">The cost of an audit carried out pursuant to section 69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or by the settlement agent whose trust accounts have been the subject of the audit.</w:t>
      </w:r>
    </w:p>
    <w:p>
      <w:pPr>
        <w:pStyle w:val="Subsection"/>
        <w:rPr>
          <w:snapToGrid w:val="0"/>
        </w:rPr>
      </w:pPr>
      <w:r>
        <w:rPr>
          <w:snapToGrid w:val="0"/>
        </w:rPr>
        <w:tab/>
        <w:t>(2)</w:t>
      </w:r>
      <w:r>
        <w:rPr>
          <w:snapToGrid w:val="0"/>
        </w:rPr>
        <w:tab/>
        <w:t xml:space="preserve">All moneys paid by the </w:t>
      </w:r>
      <w:r>
        <w:t>Commissioner</w:t>
      </w:r>
      <w:r>
        <w:rPr>
          <w:snapToGrid w:val="0"/>
        </w:rPr>
        <w:t xml:space="preserve"> under subsection (1) shall be repaid to the </w:t>
      </w:r>
      <w:r>
        <w:t>Commissioner</w:t>
      </w:r>
      <w:r>
        <w:rPr>
          <w:snapToGrid w:val="0"/>
        </w:rPr>
        <w:t xml:space="preserve"> from moneys standing to the credit of the Fidelity Guarantee</w:t>
      </w:r>
      <w:r>
        <w:t xml:space="preserve"> Account</w:t>
      </w:r>
      <w:r>
        <w:rPr>
          <w:snapToGrid w:val="0"/>
        </w:rPr>
        <w:t>.</w:t>
      </w:r>
    </w:p>
    <w:p>
      <w:pPr>
        <w:pStyle w:val="Footnotesection"/>
      </w:pPr>
      <w:r>
        <w:tab/>
        <w:t>[Section 71 amended: No. 59 of 1995 s. 86; No. 77 of 2006 Sch. 1 cl. 156(2); No. 58 of 2010 s. 176.]</w:t>
      </w:r>
    </w:p>
    <w:p>
      <w:pPr>
        <w:pStyle w:val="Heading5"/>
        <w:spacing w:before="240"/>
        <w:rPr>
          <w:snapToGrid w:val="0"/>
        </w:rPr>
      </w:pPr>
      <w:bookmarkStart w:id="83" w:name="_Toc107495990"/>
      <w:r>
        <w:rPr>
          <w:rStyle w:val="CharSectno"/>
        </w:rPr>
        <w:t>72</w:t>
      </w:r>
      <w:r>
        <w:rPr>
          <w:snapToGrid w:val="0"/>
        </w:rPr>
        <w:t>.</w:t>
      </w:r>
      <w:r>
        <w:rPr>
          <w:snapToGrid w:val="0"/>
        </w:rPr>
        <w:tab/>
        <w:t>Application of s. 63 to certain persons</w:t>
      </w:r>
      <w:bookmarkEnd w:id="83"/>
    </w:p>
    <w:p>
      <w:pPr>
        <w:pStyle w:val="Subsection"/>
        <w:rPr>
          <w:snapToGrid w:val="0"/>
        </w:rPr>
      </w:pPr>
      <w:r>
        <w:rPr>
          <w:snapToGrid w:val="0"/>
        </w:rPr>
        <w:tab/>
      </w:r>
      <w:r>
        <w:rPr>
          <w:snapToGrid w:val="0"/>
        </w:rPr>
        <w:tab/>
        <w:t xml:space="preserve">The provisions of section 63 apply to an auditor nominated by the </w:t>
      </w:r>
      <w:r>
        <w:t>Commissioner</w:t>
      </w:r>
      <w:r>
        <w:rPr>
          <w:snapToGrid w:val="0"/>
        </w:rPr>
        <w:t xml:space="preserve"> under section 69 or any person authorised by him under section 70 with such modifications as circumstances require.</w:t>
      </w:r>
    </w:p>
    <w:p>
      <w:pPr>
        <w:pStyle w:val="Footnotesection"/>
      </w:pPr>
      <w:r>
        <w:tab/>
        <w:t>[Section 72 amended: No. 58 of 2010 s. 176.]</w:t>
      </w:r>
    </w:p>
    <w:p>
      <w:pPr>
        <w:pStyle w:val="Heading5"/>
        <w:spacing w:before="240"/>
        <w:rPr>
          <w:snapToGrid w:val="0"/>
        </w:rPr>
      </w:pPr>
      <w:bookmarkStart w:id="84" w:name="_Toc107495991"/>
      <w:r>
        <w:rPr>
          <w:rStyle w:val="CharSectno"/>
        </w:rPr>
        <w:lastRenderedPageBreak/>
        <w:t>73</w:t>
      </w:r>
      <w:r>
        <w:rPr>
          <w:snapToGrid w:val="0"/>
        </w:rPr>
        <w:t>.</w:t>
      </w:r>
      <w:r>
        <w:rPr>
          <w:snapToGrid w:val="0"/>
        </w:rPr>
        <w:tab/>
        <w:t>Restraining bank etc. from dealing with settlement agent’s account, SAT’s powers as to</w:t>
      </w:r>
      <w:bookmarkEnd w:id="84"/>
    </w:p>
    <w:p>
      <w:pPr>
        <w:pStyle w:val="Subsection"/>
        <w:rPr>
          <w:snapToGrid w:val="0"/>
        </w:rPr>
      </w:pPr>
      <w:r>
        <w:rPr>
          <w:snapToGrid w:val="0"/>
        </w:rPr>
        <w:tab/>
        <w:t>(1)</w:t>
      </w:r>
      <w:r>
        <w:rPr>
          <w:snapToGrid w:val="0"/>
        </w:rPr>
        <w:tab/>
        <w:t xml:space="preserve">Where the </w:t>
      </w:r>
      <w:r>
        <w:t>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rPr>
          <w:snapToGrid w:val="0"/>
        </w:rPr>
      </w:pPr>
      <w:r>
        <w:rPr>
          <w:snapToGrid w:val="0"/>
        </w:rPr>
        <w:tab/>
        <w:t>(a)</w:t>
      </w:r>
      <w:r>
        <w:rPr>
          <w:snapToGrid w:val="0"/>
        </w:rPr>
        <w:tab/>
        <w:t>there are reasonable grounds for believing that there is a deficiency in the trust account of any settlement agent; or</w:t>
      </w:r>
    </w:p>
    <w:p>
      <w:pPr>
        <w:pStyle w:val="Indenta"/>
        <w:rPr>
          <w:snapToGrid w:val="0"/>
        </w:rPr>
      </w:pPr>
      <w:r>
        <w:rPr>
          <w:snapToGrid w:val="0"/>
        </w:rPr>
        <w:tab/>
        <w:t>(b)</w:t>
      </w:r>
      <w:r>
        <w:rPr>
          <w:snapToGrid w:val="0"/>
        </w:rPr>
        <w:tab/>
        <w:t>there has been undue or unreasonable refusal, neglect, or delay on the part of any settlement agent in paying moneys,</w:t>
      </w:r>
    </w:p>
    <w:p>
      <w:pPr>
        <w:pStyle w:val="Indenti"/>
        <w:rPr>
          <w:snapToGrid w:val="0"/>
        </w:rPr>
      </w:pPr>
      <w:r>
        <w:rPr>
          <w:snapToGrid w:val="0"/>
        </w:rPr>
        <w:tab/>
        <w:t>(i)</w:t>
      </w:r>
      <w:r>
        <w:rPr>
          <w:snapToGrid w:val="0"/>
        </w:rPr>
        <w:tab/>
        <w:t>which are, or may be, or have been payable out of the trust account of the settlement agent; or</w:t>
      </w:r>
    </w:p>
    <w:p>
      <w:pPr>
        <w:pStyle w:val="Indenti"/>
        <w:rPr>
          <w:snapToGrid w:val="0"/>
        </w:rPr>
      </w:pPr>
      <w:r>
        <w:rPr>
          <w:snapToGrid w:val="0"/>
        </w:rPr>
        <w:tab/>
        <w:t>(ii)</w:t>
      </w:r>
      <w:r>
        <w:rPr>
          <w:snapToGrid w:val="0"/>
        </w:rPr>
        <w:tab/>
        <w:t>which were required to be paid into the trust account by the settlement agent under the provisions of this Division, 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settlement agent is kept be restrained, until the order is made absolute or discharged, from paying out, transferring or otherwise dealing with any moneys standing to the credit of the trust account or any other account kept at the bank or other body in the name of the settlement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lastRenderedPageBreak/>
        <w:tab/>
        <w:t>(3)</w:t>
      </w:r>
      <w:r>
        <w:rPr>
          <w:snapToGrid w:val="0"/>
        </w:rPr>
        <w:tab/>
        <w:t>The order shall be made in the first instance ex parte, without any notice to the settlement agent, and is an order to show cause only.</w:t>
      </w:r>
    </w:p>
    <w:p>
      <w:pPr>
        <w:pStyle w:val="Subsection"/>
        <w:rPr>
          <w:snapToGrid w:val="0"/>
        </w:rPr>
      </w:pPr>
      <w:r>
        <w:rPr>
          <w:snapToGrid w:val="0"/>
        </w:rPr>
        <w:tab/>
        <w:t>(4)</w:t>
      </w:r>
      <w:r>
        <w:rPr>
          <w:snapToGrid w:val="0"/>
        </w:rPr>
        <w:tab/>
        <w:t>Unless the settlement agent referred to in the order shows to the State Administrative Tribunal within the time specified in the order sufficient cause to the contrary, the order, after proof of service as required by section 80,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w:t>
      </w:r>
    </w:p>
    <w:p>
      <w:pPr>
        <w:pStyle w:val="Indenta"/>
      </w:pPr>
      <w:r>
        <w:tab/>
        <w:t>(a)</w:t>
      </w:r>
      <w:r>
        <w:tab/>
      </w:r>
      <w:r>
        <w:rPr>
          <w:rStyle w:val="CharDefText"/>
        </w:rPr>
        <w:t>trust account</w:t>
      </w:r>
      <w:r>
        <w:t xml:space="preserve"> includes a bank account, whether a general or a separate account into which account, moneys received or held by a settlement agent for or on behalf of any other person are or were required to be paid under this Division; and</w:t>
      </w:r>
    </w:p>
    <w:p>
      <w:pPr>
        <w:pStyle w:val="Indenta"/>
      </w:pPr>
      <w:r>
        <w:tab/>
        <w:t>(b)</w:t>
      </w:r>
      <w:r>
        <w:tab/>
      </w:r>
      <w:r>
        <w:rPr>
          <w:rStyle w:val="CharDefText"/>
        </w:rPr>
        <w:t>settlement agent</w:t>
      </w:r>
      <w:r>
        <w:t xml:space="preserve"> includes a person who has carried on business as a settlement agent at any time within a period of 12 months prior to the date of the making of the application under subsection (1).</w:t>
      </w:r>
    </w:p>
    <w:p>
      <w:pPr>
        <w:pStyle w:val="Footnotesection"/>
      </w:pPr>
      <w:r>
        <w:tab/>
        <w:t>[Section 73 amended: No. 59 of 1995 s. 84; No. 26 of 1999 s. 102(6); No. 55 of 2004 s. 1094; No. 58 of 2010 s. 176.]</w:t>
      </w:r>
    </w:p>
    <w:p>
      <w:pPr>
        <w:pStyle w:val="Heading5"/>
        <w:rPr>
          <w:snapToGrid w:val="0"/>
        </w:rPr>
      </w:pPr>
      <w:bookmarkStart w:id="85" w:name="_Toc107495992"/>
      <w:r>
        <w:rPr>
          <w:rStyle w:val="CharSectno"/>
        </w:rPr>
        <w:t>74</w:t>
      </w:r>
      <w:r>
        <w:rPr>
          <w:snapToGrid w:val="0"/>
        </w:rPr>
        <w:t>.</w:t>
      </w:r>
      <w:r>
        <w:rPr>
          <w:snapToGrid w:val="0"/>
        </w:rPr>
        <w:tab/>
        <w:t>Suspension of settlement agents, appointment of supervisors etc., SAT’s powers as to</w:t>
      </w:r>
      <w:bookmarkEnd w:id="85"/>
    </w:p>
    <w:p>
      <w:pPr>
        <w:pStyle w:val="Subsection"/>
        <w:keepNext/>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settlement agent, is satisfied that there are reasonable grounds for believing that a settlement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settlement agent from carrying on his business for such period as may be specified in the order; and</w:t>
      </w:r>
    </w:p>
    <w:p>
      <w:pPr>
        <w:pStyle w:val="Indenta"/>
        <w:rPr>
          <w:snapToGrid w:val="0"/>
        </w:rPr>
      </w:pPr>
      <w:r>
        <w:rPr>
          <w:snapToGrid w:val="0"/>
        </w:rPr>
        <w:lastRenderedPageBreak/>
        <w:tab/>
        <w:t>(b)</w:t>
      </w:r>
      <w:r>
        <w:rPr>
          <w:snapToGrid w:val="0"/>
        </w:rPr>
        <w:tab/>
        <w:t>restrain the settlement agent and his bankers and their respective servants and agents from dealing in all or any of the bank accounts of the settlement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settlement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settlement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 xml:space="preserve">Where the State Administrative Tribunal is satisfied, on the application of the </w:t>
      </w:r>
      <w:r>
        <w:t>Commissioner</w:t>
      </w:r>
      <w:r>
        <w:rPr>
          <w:snapToGrid w:val="0"/>
        </w:rPr>
        <w:t>, that a sole settlement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settlement agent, and the servants and agents of those former bankers from dealing in all or any of the bank accounts of the deceased settlement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settlement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settlement agent or deceased settlement agent; and</w:t>
      </w:r>
    </w:p>
    <w:p>
      <w:pPr>
        <w:pStyle w:val="Indenta"/>
        <w:rPr>
          <w:snapToGrid w:val="0"/>
        </w:rPr>
      </w:pPr>
      <w:r>
        <w:rPr>
          <w:snapToGrid w:val="0"/>
        </w:rPr>
        <w:tab/>
        <w:t>(b)</w:t>
      </w:r>
      <w:r>
        <w:rPr>
          <w:snapToGrid w:val="0"/>
        </w:rPr>
        <w:tab/>
        <w:t xml:space="preserve">may order that the </w:t>
      </w:r>
      <w:r>
        <w:t>Commissioner</w:t>
      </w:r>
      <w:r>
        <w:rPr>
          <w:snapToGrid w:val="0"/>
        </w:rPr>
        <w:t> —</w:t>
      </w:r>
    </w:p>
    <w:p>
      <w:pPr>
        <w:pStyle w:val="Indenti"/>
        <w:rPr>
          <w:snapToGrid w:val="0"/>
        </w:rPr>
      </w:pPr>
      <w:r>
        <w:rPr>
          <w:snapToGrid w:val="0"/>
        </w:rPr>
        <w:tab/>
        <w:t>(i)</w:t>
      </w:r>
      <w:r>
        <w:rPr>
          <w:snapToGrid w:val="0"/>
        </w:rPr>
        <w:tab/>
        <w:t xml:space="preserve">take possession of the moneys constituting the trust account of the settlement agent or deceased </w:t>
      </w:r>
      <w:r>
        <w:rPr>
          <w:snapToGrid w:val="0"/>
        </w:rPr>
        <w:lastRenderedPageBreak/>
        <w:t>settlement agent or, where the case requires, the balance of such moneys; and</w:t>
      </w:r>
    </w:p>
    <w:p>
      <w:pPr>
        <w:pStyle w:val="Indenti"/>
      </w:pPr>
      <w:r>
        <w:tab/>
        <w:t>(ii)</w:t>
      </w:r>
      <w:r>
        <w:tab/>
        <w:t xml:space="preserve">credit such moneys, or such balance, to a separate agency special purpose account established for the Commissioner under section 16 of the </w:t>
      </w:r>
      <w:r>
        <w:rPr>
          <w:i/>
        </w:rPr>
        <w:t>Financial Management Act 2006</w:t>
      </w:r>
      <w: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 xml:space="preserve">agency special purpose </w:t>
      </w:r>
      <w:r>
        <w:rPr>
          <w:snapToGrid w:val="0"/>
        </w:rPr>
        <w:t>account under the order, such amount or amounts as is or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w:t>
      </w:r>
      <w:r>
        <w:t>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 </w:t>
      </w:r>
      <w:r>
        <w:t xml:space="preserve">agency special purpose </w:t>
      </w:r>
      <w:r>
        <w:rPr>
          <w:snapToGrid w:val="0"/>
        </w:rPr>
        <w:t>account under the order.</w:t>
      </w:r>
    </w:p>
    <w:p>
      <w:pPr>
        <w:pStyle w:val="Footnotesection"/>
      </w:pPr>
      <w:r>
        <w:tab/>
        <w:t>[Section 74 amended: No. 59 of 1995 s. 86; No. 55 of 2004 s. 1094; No. 77 of 2006 Sch. 1 cl. 156(4) and (5); No. 58 of 2010 s. 176).]</w:t>
      </w:r>
    </w:p>
    <w:p>
      <w:pPr>
        <w:pStyle w:val="Heading5"/>
        <w:rPr>
          <w:snapToGrid w:val="0"/>
        </w:rPr>
      </w:pPr>
      <w:bookmarkStart w:id="86" w:name="_Toc107495993"/>
      <w:r>
        <w:rPr>
          <w:rStyle w:val="CharSectno"/>
        </w:rPr>
        <w:t>75</w:t>
      </w:r>
      <w:r>
        <w:rPr>
          <w:snapToGrid w:val="0"/>
        </w:rPr>
        <w:t>.</w:t>
      </w:r>
      <w:r>
        <w:rPr>
          <w:snapToGrid w:val="0"/>
        </w:rPr>
        <w:tab/>
        <w:t>Effect of s. 74 orders appointing supervisor</w:t>
      </w:r>
      <w:bookmarkEnd w:id="86"/>
    </w:p>
    <w:p>
      <w:pPr>
        <w:pStyle w:val="Subsection"/>
        <w:rPr>
          <w:snapToGrid w:val="0"/>
        </w:rPr>
      </w:pPr>
      <w:r>
        <w:rPr>
          <w:snapToGrid w:val="0"/>
        </w:rPr>
        <w:tab/>
        <w:t>(1)</w:t>
      </w:r>
      <w:r>
        <w:rPr>
          <w:snapToGrid w:val="0"/>
        </w:rPr>
        <w:tab/>
        <w:t xml:space="preserve">Where an order made under section 74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w:t>
      </w:r>
      <w:r>
        <w:rPr>
          <w:snapToGrid w:val="0"/>
        </w:rPr>
        <w:lastRenderedPageBreak/>
        <w:t>business of the settlement agent or deceased settlement agent referred to in the order; and</w:t>
      </w:r>
    </w:p>
    <w:p>
      <w:pPr>
        <w:pStyle w:val="Indenta"/>
        <w:rPr>
          <w:snapToGrid w:val="0"/>
        </w:rPr>
      </w:pPr>
      <w:r>
        <w:rPr>
          <w:snapToGrid w:val="0"/>
        </w:rPr>
        <w:tab/>
        <w:t>(b)</w:t>
      </w:r>
      <w:r>
        <w:rPr>
          <w:snapToGrid w:val="0"/>
        </w:rPr>
        <w:tab/>
        <w:t>may authorise the supervisor to obtain an advance from the Treasurer on such terms and conditions as the Treasurer thinks fit, for the purpose of carrying on the business of the settlement agent or deceased settlement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settlement agent or deceased settlement agent, shall be paid to the settlement agent or the personal representative of the deceased settlement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w:t>
      </w:r>
    </w:p>
    <w:p>
      <w:pPr>
        <w:pStyle w:val="Footnotesection"/>
      </w:pPr>
      <w:r>
        <w:tab/>
        <w:t>[Section 75 amended: No. 98 of 1985 s. 3; No. 58 of 2010 s. 149 and 176.]</w:t>
      </w:r>
    </w:p>
    <w:p>
      <w:pPr>
        <w:pStyle w:val="Heading5"/>
        <w:rPr>
          <w:snapToGrid w:val="0"/>
        </w:rPr>
      </w:pPr>
      <w:bookmarkStart w:id="87" w:name="_Toc107495994"/>
      <w:r>
        <w:rPr>
          <w:rStyle w:val="CharSectno"/>
        </w:rPr>
        <w:t>76</w:t>
      </w:r>
      <w:r>
        <w:rPr>
          <w:snapToGrid w:val="0"/>
        </w:rPr>
        <w:t>.</w:t>
      </w:r>
      <w:r>
        <w:rPr>
          <w:snapToGrid w:val="0"/>
        </w:rPr>
        <w:tab/>
        <w:t>Supervisors’ duties</w:t>
      </w:r>
      <w:bookmarkEnd w:id="87"/>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settlement agent,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require —</w:t>
      </w:r>
    </w:p>
    <w:p>
      <w:pPr>
        <w:pStyle w:val="Indenti"/>
        <w:rPr>
          <w:snapToGrid w:val="0"/>
        </w:rPr>
      </w:pPr>
      <w:r>
        <w:rPr>
          <w:snapToGrid w:val="0"/>
        </w:rPr>
        <w:tab/>
        <w:t>(i)</w:t>
      </w:r>
      <w:r>
        <w:rPr>
          <w:snapToGrid w:val="0"/>
        </w:rPr>
        <w:tab/>
        <w:t xml:space="preserve">the settlement agent to whom the appointment relates, or any of his clerks, servants, or agents, or in the case of a deceased settlement agent, his personal representative or any of the former </w:t>
      </w:r>
      <w:r>
        <w:rPr>
          <w:snapToGrid w:val="0"/>
        </w:rPr>
        <w:lastRenderedPageBreak/>
        <w:t>clerks, servants, or agents of the deceased settlement agent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or other body in which the settlement agent or deceased settlement agent to whom the appointment relates has or had deposited money, notwithstanding any law, or rule of law, or contractual obligation, to the contrary, to disclose every account of that settlement agent or deceased settlement agent that, in the opinion of the supervisor, may be relevant to the carrying on of the business and to permit the making of a copy or extracts of any such account;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enter upon any premises of the settlement agent to whom the appointment relates, or, in the case of a deceased settlement agent, his former premises, and take possession of all books, files, papers, documents, and other things relating to the business, and that, in the opinion of the supervisor, may be relevant to or necessary for the carrying on of the business.</w:t>
      </w:r>
    </w:p>
    <w:p>
      <w:pPr>
        <w:pStyle w:val="Footnotesection"/>
      </w:pPr>
      <w:r>
        <w:tab/>
        <w:t>[Section 76 amended: No. 59 of 1995 s. 84; No. 26 of 1999 s. 102(7).]</w:t>
      </w:r>
    </w:p>
    <w:p>
      <w:pPr>
        <w:pStyle w:val="Heading5"/>
        <w:spacing w:before="260"/>
        <w:rPr>
          <w:snapToGrid w:val="0"/>
        </w:rPr>
      </w:pPr>
      <w:bookmarkStart w:id="88" w:name="_Toc107495995"/>
      <w:r>
        <w:rPr>
          <w:rStyle w:val="CharSectno"/>
        </w:rPr>
        <w:t>77</w:t>
      </w:r>
      <w:r>
        <w:rPr>
          <w:snapToGrid w:val="0"/>
        </w:rPr>
        <w:t>.</w:t>
      </w:r>
      <w:r>
        <w:rPr>
          <w:snapToGrid w:val="0"/>
        </w:rPr>
        <w:tab/>
        <w:t>Hindering etc. supervisors, offence</w:t>
      </w:r>
      <w:bookmarkEnd w:id="88"/>
    </w:p>
    <w:p>
      <w:pPr>
        <w:pStyle w:val="Subsection"/>
        <w:rPr>
          <w:snapToGrid w:val="0"/>
        </w:rPr>
      </w:pPr>
      <w:r>
        <w:rPr>
          <w:snapToGrid w:val="0"/>
        </w:rPr>
        <w:tab/>
      </w:r>
      <w:r>
        <w:rPr>
          <w:snapToGrid w:val="0"/>
        </w:rPr>
        <w:tab/>
        <w:t xml:space="preserve">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w:t>
      </w:r>
      <w:r>
        <w:rPr>
          <w:snapToGrid w:val="0"/>
        </w:rPr>
        <w:lastRenderedPageBreak/>
        <w:t>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77 amended: No. 59 of 1995 s. 85.]</w:t>
      </w:r>
    </w:p>
    <w:p>
      <w:pPr>
        <w:pStyle w:val="Heading5"/>
        <w:rPr>
          <w:snapToGrid w:val="0"/>
        </w:rPr>
      </w:pPr>
      <w:bookmarkStart w:id="89" w:name="_Toc107495996"/>
      <w:r>
        <w:rPr>
          <w:rStyle w:val="CharSectno"/>
        </w:rPr>
        <w:t>78</w:t>
      </w:r>
      <w:r>
        <w:rPr>
          <w:snapToGrid w:val="0"/>
        </w:rPr>
        <w:t>.</w:t>
      </w:r>
      <w:r>
        <w:rPr>
          <w:snapToGrid w:val="0"/>
        </w:rPr>
        <w:tab/>
        <w:t>Discharge or variation of s. 73 or 74 order</w:t>
      </w:r>
      <w:bookmarkEnd w:id="89"/>
    </w:p>
    <w:p>
      <w:pPr>
        <w:pStyle w:val="Subsection"/>
        <w:rPr>
          <w:snapToGrid w:val="0"/>
        </w:rPr>
      </w:pPr>
      <w:r>
        <w:rPr>
          <w:snapToGrid w:val="0"/>
        </w:rPr>
        <w:tab/>
      </w:r>
      <w:r>
        <w:rPr>
          <w:snapToGrid w:val="0"/>
        </w:rPr>
        <w:tab/>
        <w:t>A settlement agent or the personal representative of a deceased settlement agent, whose account is the subject of an order made under the provisions of section 73 or 74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78 amended: No. 55 of 2004 s. 1094.]</w:t>
      </w:r>
    </w:p>
    <w:p>
      <w:pPr>
        <w:pStyle w:val="Heading5"/>
        <w:rPr>
          <w:snapToGrid w:val="0"/>
        </w:rPr>
      </w:pPr>
      <w:bookmarkStart w:id="90" w:name="_Toc107495997"/>
      <w:r>
        <w:rPr>
          <w:rStyle w:val="CharSectno"/>
        </w:rPr>
        <w:t>79</w:t>
      </w:r>
      <w:r>
        <w:rPr>
          <w:snapToGrid w:val="0"/>
        </w:rPr>
        <w:t>.</w:t>
      </w:r>
      <w:r>
        <w:rPr>
          <w:snapToGrid w:val="0"/>
        </w:rPr>
        <w:tab/>
        <w:t>SAT’s additional powers as to s. 73, 74 or 78 orders</w:t>
      </w:r>
      <w:bookmarkEnd w:id="90"/>
    </w:p>
    <w:p>
      <w:pPr>
        <w:pStyle w:val="Subsection"/>
        <w:rPr>
          <w:snapToGrid w:val="0"/>
        </w:rPr>
      </w:pPr>
      <w:r>
        <w:rPr>
          <w:snapToGrid w:val="0"/>
        </w:rPr>
        <w:tab/>
        <w:t>(1)</w:t>
      </w:r>
      <w:r>
        <w:rPr>
          <w:snapToGrid w:val="0"/>
        </w:rPr>
        <w:tab/>
        <w:t xml:space="preserve">The State Administrative Tribunal may, on the application, of the </w:t>
      </w:r>
      <w:r>
        <w:t>Commissioner</w:t>
      </w:r>
      <w:r>
        <w:rPr>
          <w:snapToGrid w:val="0"/>
        </w:rPr>
        <w:t>, the Treasurer, or the settlement agent, or the personal representative of a deceased settlement agent, referred to in an order made under the provisions of section 73, 74 or 78,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 xml:space="preserve">may prepare a scheme for distributing the moneys as compensation to each person who claims compensation at any time within 6 months after the Treasurer receives </w:t>
      </w:r>
      <w:r>
        <w:rPr>
          <w:snapToGrid w:val="0"/>
        </w:rPr>
        <w:lastRenderedPageBreak/>
        <w:t>the money, and proves to the satisfaction of the Treasurer that the person has, in respect of any transaction or prospective transaction, sustained loss through any act or omission of the settlement agent, or deceased settlement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79 amended: No. 59 of 1995 s. 84 and 86; No. 26 of 1999 s. 102(8); No. 55 of 2004 s. 1094; No. 77 of 2006 Sch. 1 cl. 156(6) and (7); No. 58 of 2010 s. 176.]</w:t>
      </w:r>
    </w:p>
    <w:p>
      <w:pPr>
        <w:pStyle w:val="Heading5"/>
        <w:rPr>
          <w:snapToGrid w:val="0"/>
        </w:rPr>
      </w:pPr>
      <w:bookmarkStart w:id="91" w:name="_Toc107495998"/>
      <w:r>
        <w:rPr>
          <w:rStyle w:val="CharSectno"/>
        </w:rPr>
        <w:t>80</w:t>
      </w:r>
      <w:r>
        <w:rPr>
          <w:snapToGrid w:val="0"/>
        </w:rPr>
        <w:t>.</w:t>
      </w:r>
      <w:r>
        <w:rPr>
          <w:snapToGrid w:val="0"/>
        </w:rPr>
        <w:tab/>
        <w:t>Service of s. 73, 74, 78 and 79 orders; penalty for breach of</w:t>
      </w:r>
      <w:bookmarkEnd w:id="91"/>
    </w:p>
    <w:p>
      <w:pPr>
        <w:pStyle w:val="Subsection"/>
        <w:rPr>
          <w:snapToGrid w:val="0"/>
        </w:rPr>
      </w:pPr>
      <w:r>
        <w:rPr>
          <w:snapToGrid w:val="0"/>
        </w:rPr>
        <w:tab/>
        <w:t>(1)</w:t>
      </w:r>
      <w:r>
        <w:rPr>
          <w:snapToGrid w:val="0"/>
        </w:rPr>
        <w:tab/>
      </w:r>
      <w:r>
        <w:rPr>
          <w:snapToGrid w:val="0"/>
          <w:spacing w:val="-4"/>
        </w:rPr>
        <w:t xml:space="preserve">The </w:t>
      </w:r>
      <w:r>
        <w:t>Commissioner</w:t>
      </w:r>
      <w:r>
        <w:rPr>
          <w:snapToGrid w:val="0"/>
          <w:spacing w:val="-4"/>
        </w:rPr>
        <w:t xml:space="preserve"> shall, as soon as practicable after any order is, on the application of the </w:t>
      </w:r>
      <w:r>
        <w:t>Commissioner</w:t>
      </w:r>
      <w:r>
        <w:rPr>
          <w:snapToGrid w:val="0"/>
          <w:spacing w:val="-4"/>
        </w:rPr>
        <w:t>, made under the provisions of section 73, 74 or 79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spacing w:before="60"/>
        <w:rPr>
          <w:snapToGrid w:val="0"/>
        </w:rPr>
      </w:pPr>
      <w:r>
        <w:rPr>
          <w:snapToGrid w:val="0"/>
        </w:rPr>
        <w:lastRenderedPageBreak/>
        <w:tab/>
        <w:t>(b)</w:t>
      </w:r>
      <w:r>
        <w:rPr>
          <w:snapToGrid w:val="0"/>
        </w:rPr>
        <w:tab/>
        <w:t>on the settlement agent or the personal representative of a deceased settlement agent in whose name the account is kept; and</w:t>
      </w:r>
    </w:p>
    <w:p>
      <w:pPr>
        <w:pStyle w:val="Indenta"/>
        <w:spacing w:before="60"/>
        <w:rPr>
          <w:snapToGrid w:val="0"/>
        </w:rPr>
      </w:pPr>
      <w:r>
        <w:rPr>
          <w:snapToGrid w:val="0"/>
        </w:rPr>
        <w:tab/>
        <w:t>(c)</w:t>
      </w:r>
      <w:r>
        <w:rPr>
          <w:snapToGrid w:val="0"/>
        </w:rPr>
        <w:tab/>
        <w:t>where it is an order under section 79(1)(b), on the Treasurer.</w:t>
      </w:r>
    </w:p>
    <w:p>
      <w:pPr>
        <w:pStyle w:val="Subsection"/>
        <w:spacing w:before="120"/>
        <w:rPr>
          <w:snapToGrid w:val="0"/>
        </w:rPr>
      </w:pPr>
      <w:r>
        <w:rPr>
          <w:snapToGrid w:val="0"/>
        </w:rPr>
        <w:tab/>
        <w:t>(2)</w:t>
      </w:r>
      <w:r>
        <w:rPr>
          <w:snapToGrid w:val="0"/>
        </w:rPr>
        <w:tab/>
        <w:t>A settlement agent, or the personal representative of a deceased settlement agent, shall, as soon as practicable after any order is, on his application, made under the provisions of section 78 or 79, serve or cause to be served a copy of the order —</w:t>
      </w:r>
    </w:p>
    <w:p>
      <w:pPr>
        <w:pStyle w:val="Indenta"/>
        <w:spacing w:before="60"/>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spacing w:before="60"/>
        <w:rPr>
          <w:snapToGrid w:val="0"/>
        </w:rPr>
      </w:pPr>
      <w:r>
        <w:rPr>
          <w:snapToGrid w:val="0"/>
        </w:rPr>
        <w:tab/>
        <w:t>(b)</w:t>
      </w:r>
      <w:r>
        <w:rPr>
          <w:snapToGrid w:val="0"/>
        </w:rPr>
        <w:tab/>
        <w:t xml:space="preserve">on the </w:t>
      </w:r>
      <w:r>
        <w:t>Commissioner</w:t>
      </w:r>
      <w:r>
        <w:rPr>
          <w:snapToGrid w:val="0"/>
        </w:rPr>
        <w:t>; and</w:t>
      </w:r>
    </w:p>
    <w:p>
      <w:pPr>
        <w:pStyle w:val="Indenta"/>
        <w:spacing w:before="60"/>
        <w:rPr>
          <w:snapToGrid w:val="0"/>
        </w:rPr>
      </w:pPr>
      <w:r>
        <w:rPr>
          <w:snapToGrid w:val="0"/>
        </w:rPr>
        <w:tab/>
        <w:t>(c)</w:t>
      </w:r>
      <w:r>
        <w:rPr>
          <w:snapToGrid w:val="0"/>
        </w:rPr>
        <w:tab/>
        <w:t>where it is an order under section 79(1)(b), on the Treasurer.</w:t>
      </w:r>
    </w:p>
    <w:p>
      <w:pPr>
        <w:pStyle w:val="Subsection"/>
        <w:spacing w:before="120"/>
        <w:rPr>
          <w:snapToGrid w:val="0"/>
        </w:rPr>
      </w:pPr>
      <w:r>
        <w:rPr>
          <w:snapToGrid w:val="0"/>
        </w:rPr>
        <w:tab/>
        <w:t>(3)</w:t>
      </w:r>
      <w:r>
        <w:rPr>
          <w:snapToGrid w:val="0"/>
        </w:rPr>
        <w:tab/>
        <w:t>The Treasurer shall, as soon as practicable after any order is, on his application, made under the provisions of section 79, serve or cause to be served a copy of the order —</w:t>
      </w:r>
    </w:p>
    <w:p>
      <w:pPr>
        <w:pStyle w:val="Indenta"/>
        <w:spacing w:before="60"/>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spacing w:before="60"/>
        <w:rPr>
          <w:snapToGrid w:val="0"/>
        </w:rPr>
      </w:pPr>
      <w:r>
        <w:rPr>
          <w:snapToGrid w:val="0"/>
        </w:rPr>
        <w:tab/>
        <w:t>(b)</w:t>
      </w:r>
      <w:r>
        <w:rPr>
          <w:snapToGrid w:val="0"/>
        </w:rPr>
        <w:tab/>
        <w:t>on the settlement agent, or the personal representative of a deceased settlement agent, in whose name the account is kept; and</w:t>
      </w:r>
    </w:p>
    <w:p>
      <w:pPr>
        <w:pStyle w:val="Indenta"/>
        <w:spacing w:before="60"/>
        <w:rPr>
          <w:snapToGrid w:val="0"/>
        </w:rPr>
      </w:pPr>
      <w:r>
        <w:rPr>
          <w:snapToGrid w:val="0"/>
        </w:rPr>
        <w:tab/>
        <w:t>(c)</w:t>
      </w:r>
      <w:r>
        <w:rPr>
          <w:snapToGrid w:val="0"/>
        </w:rPr>
        <w:tab/>
        <w:t xml:space="preserve">on the </w:t>
      </w:r>
      <w:r>
        <w:t>Commissioner</w:t>
      </w:r>
      <w:r>
        <w:rPr>
          <w:snapToGrid w:val="0"/>
        </w:rPr>
        <w:t>.</w:t>
      </w:r>
    </w:p>
    <w:p>
      <w:pPr>
        <w:pStyle w:val="Subsection"/>
        <w:spacing w:before="120"/>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12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lastRenderedPageBreak/>
        <w:tab/>
        <w:t>(6)</w:t>
      </w:r>
      <w:r>
        <w:rPr>
          <w:snapToGrid w:val="0"/>
        </w:rPr>
        <w:tab/>
        <w:t>This section is sufficient authority and indemnity for complying with an order so made and served.</w:t>
      </w:r>
    </w:p>
    <w:p>
      <w:pPr>
        <w:pStyle w:val="Footnotesection"/>
      </w:pPr>
      <w:r>
        <w:tab/>
        <w:t>[Section 80 amended: No. 59 of 1995 s. 84 and 85; No. 26 of 1999 s. 102(9)</w:t>
      </w:r>
      <w:r>
        <w:noBreakHyphen/>
        <w:t>(11); No. 58 of 2010 s. 176.]</w:t>
      </w:r>
    </w:p>
    <w:p>
      <w:pPr>
        <w:pStyle w:val="Heading5"/>
      </w:pPr>
      <w:bookmarkStart w:id="92" w:name="_Toc107495999"/>
      <w:r>
        <w:rPr>
          <w:rStyle w:val="CharSectno"/>
        </w:rPr>
        <w:t>81</w:t>
      </w:r>
      <w:r>
        <w:t>.</w:t>
      </w:r>
      <w:r>
        <w:tab/>
        <w:t>Banks etc., duty to disclose certain accounts etc. if required to by authorised person</w:t>
      </w:r>
      <w:bookmarkEnd w:id="92"/>
    </w:p>
    <w:p>
      <w:pPr>
        <w:pStyle w:val="Subsection"/>
      </w:pPr>
      <w:r>
        <w:tab/>
      </w:r>
      <w:r>
        <w:tab/>
        <w:t xml:space="preserve">Where a person duly authorised under the </w:t>
      </w:r>
      <w:r>
        <w:rPr>
          <w:i/>
          <w:iCs/>
        </w:rPr>
        <w:t>Fair Trading Act 2010</w:t>
      </w:r>
      <w:r>
        <w:t xml:space="preserve"> to make an investigation or inquiry for the purposes of that Act, or this Act, has reasonable cause to believe that a settlement agent has deposited any money with a bank or other financial institution, whether in an account in the name of the settlement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and notwithstanding any law, or rule of law, or contractual obligation to the contrary, permit the authorised person to inspect, and make and take away with him or her a copy or extract of, the nominated accounts and any book, document, or other record that relates to the accounts and is in the possession or control of that bank or other institution.</w:t>
      </w:r>
    </w:p>
    <w:p>
      <w:pPr>
        <w:pStyle w:val="Footnotesection"/>
      </w:pPr>
      <w:r>
        <w:tab/>
        <w:t>[Section 81 inserted: No. 58 of 2010 s. 150.]</w:t>
      </w:r>
    </w:p>
    <w:p>
      <w:pPr>
        <w:pStyle w:val="Heading5"/>
        <w:rPr>
          <w:snapToGrid w:val="0"/>
        </w:rPr>
      </w:pPr>
      <w:bookmarkStart w:id="93" w:name="_Toc107496000"/>
      <w:r>
        <w:rPr>
          <w:rStyle w:val="CharSectno"/>
        </w:rPr>
        <w:t>81A</w:t>
      </w:r>
      <w:r>
        <w:rPr>
          <w:snapToGrid w:val="0"/>
        </w:rPr>
        <w:t>.</w:t>
      </w:r>
      <w:r>
        <w:rPr>
          <w:snapToGrid w:val="0"/>
        </w:rPr>
        <w:tab/>
        <w:t xml:space="preserve">Information </w:t>
      </w:r>
      <w:r>
        <w:t>about</w:t>
      </w:r>
      <w:r>
        <w:rPr>
          <w:snapToGrid w:val="0"/>
        </w:rPr>
        <w:t xml:space="preserve"> trust accounts, Commissioner’s power to obtain</w:t>
      </w:r>
      <w:bookmarkEnd w:id="93"/>
    </w:p>
    <w:p>
      <w:pPr>
        <w:pStyle w:val="Subsection"/>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100"/>
        <w:rPr>
          <w:snapToGrid w:val="0"/>
        </w:rPr>
      </w:pPr>
      <w:r>
        <w:rPr>
          <w:snapToGrid w:val="0"/>
        </w:rPr>
        <w:tab/>
        <w:t>(a)</w:t>
      </w:r>
      <w:r>
        <w:rPr>
          <w:snapToGrid w:val="0"/>
        </w:rPr>
        <w:tab/>
        <w:t xml:space="preserve">a settlement agent to give the </w:t>
      </w:r>
      <w:r>
        <w:t>Commissioner</w:t>
      </w:r>
      <w:r>
        <w:rPr>
          <w:snapToGrid w:val="0"/>
        </w:rPr>
        <w:t xml:space="preserve"> such information as the </w:t>
      </w:r>
      <w:r>
        <w:t>Commissioner</w:t>
      </w:r>
      <w:r>
        <w:rPr>
          <w:snapToGrid w:val="0"/>
        </w:rPr>
        <w:t xml:space="preserve"> requires in relation to </w:t>
      </w:r>
      <w:r>
        <w:rPr>
          <w:snapToGrid w:val="0"/>
        </w:rPr>
        <w:lastRenderedPageBreak/>
        <w:t>trust accounts maintained or formerly maintained by that agent; or</w:t>
      </w:r>
    </w:p>
    <w:p>
      <w:pPr>
        <w:pStyle w:val="Indenta"/>
        <w:keepNext/>
        <w:keepLines/>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140"/>
        <w:rPr>
          <w:snapToGrid w:val="0"/>
        </w:rPr>
      </w:pPr>
      <w:r>
        <w:rPr>
          <w:snapToGrid w:val="0"/>
        </w:rPr>
        <w:tab/>
      </w:r>
      <w:r>
        <w:rPr>
          <w:snapToGrid w:val="0"/>
        </w:rPr>
        <w:tab/>
      </w:r>
      <w:r>
        <w:t>including</w:t>
      </w:r>
      <w:r>
        <w:rPr>
          <w:snapToGrid w:val="0"/>
        </w:rPr>
        <w:t>, without limiting this subsection, information as to the balances of and amounts of interest paid on such accounts.</w:t>
      </w:r>
    </w:p>
    <w:p>
      <w:pPr>
        <w:pStyle w:val="Subsection"/>
        <w:rPr>
          <w:snapToGrid w:val="0"/>
        </w:rPr>
      </w:pPr>
      <w:r>
        <w:rPr>
          <w:snapToGrid w:val="0"/>
        </w:rPr>
        <w:tab/>
        <w:t>(2)</w:t>
      </w:r>
      <w:r>
        <w:rPr>
          <w:snapToGrid w:val="0"/>
        </w:rPr>
        <w:tab/>
        <w:t xml:space="preserve">A </w:t>
      </w:r>
      <w:r>
        <w:t>requirement</w:t>
      </w:r>
      <w:r>
        <w:rPr>
          <w:snapToGrid w:val="0"/>
        </w:rPr>
        <w:t xml:space="preserve">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 xml:space="preserve">A </w:t>
      </w:r>
      <w:r>
        <w:t>person</w:t>
      </w:r>
      <w:r>
        <w:rPr>
          <w:snapToGrid w:val="0"/>
        </w:rPr>
        <w:t xml:space="preserve"> shall not, without reasonable excuse, refuse or fail to comply with a requirement under subsection (1).</w:t>
      </w:r>
    </w:p>
    <w:p>
      <w:pPr>
        <w:pStyle w:val="Penstart"/>
        <w:rPr>
          <w:snapToGrid w:val="0"/>
        </w:rPr>
      </w:pPr>
      <w:r>
        <w:rPr>
          <w:snapToGrid w:val="0"/>
        </w:rPr>
        <w:tab/>
        <w:t>Penalty: $3 000.</w:t>
      </w:r>
    </w:p>
    <w:p>
      <w:pPr>
        <w:pStyle w:val="Ednotesubsection"/>
      </w:pPr>
      <w:r>
        <w:lastRenderedPageBreak/>
        <w:tab/>
        <w:t>[(4)</w:t>
      </w:r>
      <w:r>
        <w:tab/>
        <w:t>deleted]</w:t>
      </w:r>
    </w:p>
    <w:p>
      <w:pPr>
        <w:pStyle w:val="Subsection"/>
        <w:rPr>
          <w:snapToGrid w:val="0"/>
        </w:rPr>
      </w:pPr>
      <w:r>
        <w:rPr>
          <w:snapToGrid w:val="0"/>
        </w:rPr>
        <w:tab/>
        <w:t>(5)</w:t>
      </w:r>
      <w:r>
        <w:rPr>
          <w:snapToGrid w:val="0"/>
        </w:rPr>
        <w:tab/>
        <w:t>It is a defence in proceedings for an offence against subsection (3) for the person to show that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111A.</w:t>
      </w:r>
    </w:p>
    <w:p>
      <w:pPr>
        <w:pStyle w:val="Subsection"/>
        <w:keepNext/>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81A inserted: No. 59 of 1995 s. 73; amended: No. 10 of 2001 s. 220; No. 58 of 2010 s. 176; No. 25 of 2019 s. 84.]</w:t>
      </w:r>
    </w:p>
    <w:p>
      <w:pPr>
        <w:pStyle w:val="Heading3"/>
        <w:rPr>
          <w:snapToGrid w:val="0"/>
        </w:rPr>
      </w:pPr>
      <w:bookmarkStart w:id="94" w:name="_Toc107315899"/>
      <w:bookmarkStart w:id="95" w:name="_Toc107316289"/>
      <w:bookmarkStart w:id="96" w:name="_Toc107496001"/>
      <w:r>
        <w:rPr>
          <w:rStyle w:val="CharDivNo"/>
        </w:rPr>
        <w:t>Division 3</w:t>
      </w:r>
      <w:r>
        <w:rPr>
          <w:snapToGrid w:val="0"/>
        </w:rPr>
        <w:t> — </w:t>
      </w:r>
      <w:r>
        <w:rPr>
          <w:rStyle w:val="CharDivText"/>
        </w:rPr>
        <w:t>Discipline</w:t>
      </w:r>
      <w:bookmarkEnd w:id="94"/>
      <w:bookmarkEnd w:id="95"/>
      <w:bookmarkEnd w:id="96"/>
    </w:p>
    <w:p>
      <w:pPr>
        <w:pStyle w:val="Heading5"/>
        <w:rPr>
          <w:snapToGrid w:val="0"/>
        </w:rPr>
      </w:pPr>
      <w:bookmarkStart w:id="97" w:name="_Toc107496002"/>
      <w:r>
        <w:rPr>
          <w:rStyle w:val="CharSectno"/>
        </w:rPr>
        <w:t>82</w:t>
      </w:r>
      <w:r>
        <w:rPr>
          <w:snapToGrid w:val="0"/>
        </w:rPr>
        <w:t>.</w:t>
      </w:r>
      <w:r>
        <w:rPr>
          <w:snapToGrid w:val="0"/>
        </w:rPr>
        <w:tab/>
        <w:t>Code of conduct for settlement agents</w:t>
      </w:r>
      <w:bookmarkEnd w:id="97"/>
    </w:p>
    <w:p>
      <w:pPr>
        <w:pStyle w:val="Subsection"/>
        <w:rPr>
          <w:snapToGrid w:val="0"/>
        </w:rPr>
      </w:pPr>
      <w:r>
        <w:rPr>
          <w:snapToGrid w:val="0"/>
        </w:rPr>
        <w:tab/>
      </w:r>
      <w:r>
        <w:rPr>
          <w:snapToGrid w:val="0"/>
        </w:rPr>
        <w:tab/>
        <w:t xml:space="preserve">The </w:t>
      </w:r>
      <w:r>
        <w:t>Commissioner</w:t>
      </w:r>
      <w:r>
        <w:rPr>
          <w:snapToGrid w:val="0"/>
        </w:rPr>
        <w:t xml:space="preserve"> may, with the approval of the Minister, make rules prescribing a code of conduct for settlement agents.</w:t>
      </w:r>
    </w:p>
    <w:p>
      <w:pPr>
        <w:pStyle w:val="Footnotesection"/>
      </w:pPr>
      <w:r>
        <w:tab/>
        <w:t>[Section 82 amended: No. 58 of 2010 s. 176.]</w:t>
      </w:r>
    </w:p>
    <w:p>
      <w:pPr>
        <w:pStyle w:val="Heading5"/>
        <w:rPr>
          <w:snapToGrid w:val="0"/>
        </w:rPr>
      </w:pPr>
      <w:bookmarkStart w:id="98" w:name="_Toc107496003"/>
      <w:r>
        <w:rPr>
          <w:rStyle w:val="CharSectno"/>
        </w:rPr>
        <w:t>83</w:t>
      </w:r>
      <w:r>
        <w:rPr>
          <w:snapToGrid w:val="0"/>
        </w:rPr>
        <w:t>.</w:t>
      </w:r>
      <w:r>
        <w:rPr>
          <w:snapToGrid w:val="0"/>
        </w:rPr>
        <w:tab/>
        <w:t>Disciplinary action by SAT, alleging cause for</w:t>
      </w:r>
      <w:bookmarkEnd w:id="98"/>
    </w:p>
    <w:p>
      <w:pPr>
        <w:pStyle w:val="Subsection"/>
        <w:rPr>
          <w:snapToGrid w:val="0"/>
        </w:rPr>
      </w:pPr>
      <w:r>
        <w:tab/>
        <w:t>(1)</w:t>
      </w:r>
      <w:r>
        <w:tab/>
        <w:t>The</w:t>
      </w:r>
      <w:r>
        <w:rPr>
          <w:snapToGrid w:val="0"/>
        </w:rPr>
        <w:t xml:space="preserv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84(2).</w:t>
      </w:r>
    </w:p>
    <w:p>
      <w:pPr>
        <w:pStyle w:val="Subsection"/>
      </w:pPr>
      <w:r>
        <w:lastRenderedPageBreak/>
        <w:tab/>
        <w:t>(2)</w:t>
      </w:r>
      <w:r>
        <w:tab/>
        <w:t xml:space="preserve">Despite the surrender by a person of a licence or triennial certificate or a licensee ceasing to be licensed or to hold a triennial certificate — </w:t>
      </w:r>
    </w:p>
    <w:p>
      <w:pPr>
        <w:pStyle w:val="Indenta"/>
      </w:pPr>
      <w:r>
        <w:tab/>
        <w:t>(a)</w:t>
      </w:r>
      <w:r>
        <w:tab/>
        <w:t>an allegation under subsection (1) in respect of a person may be made to the State Administrative Tribunal not later than 12 months after the day on which the licence or certificate was surrendered or the licensee ceased to be licensed or ceased holding the certificate; and</w:t>
      </w:r>
    </w:p>
    <w:p>
      <w:pPr>
        <w:pStyle w:val="Indenta"/>
      </w:pPr>
      <w:r>
        <w:tab/>
        <w:t>(b)</w:t>
      </w:r>
      <w:r>
        <w:tab/>
        <w:t>the State Administrative Tribunal may exercise the powers conferred by section 84, other than the power to suspend or cancel the person’s licence or certificate.</w:t>
      </w:r>
    </w:p>
    <w:p>
      <w:pPr>
        <w:pStyle w:val="Footnotesection"/>
      </w:pPr>
      <w:r>
        <w:tab/>
        <w:t>[Section 83 inserted: No. 55 of 2004 s. 1089; amended: No. 58 of 2010 s. 176; No. 25 of 2019 s. 85.]</w:t>
      </w:r>
    </w:p>
    <w:p>
      <w:pPr>
        <w:pStyle w:val="Heading5"/>
        <w:rPr>
          <w:snapToGrid w:val="0"/>
        </w:rPr>
      </w:pPr>
      <w:bookmarkStart w:id="99" w:name="_Toc107496004"/>
      <w:r>
        <w:rPr>
          <w:rStyle w:val="CharSectno"/>
        </w:rPr>
        <w:t>84</w:t>
      </w:r>
      <w:r>
        <w:rPr>
          <w:snapToGrid w:val="0"/>
        </w:rPr>
        <w:t>.</w:t>
      </w:r>
      <w:r>
        <w:rPr>
          <w:snapToGrid w:val="0"/>
        </w:rPr>
        <w:tab/>
        <w:t>Disciplinary action, SAT’s powers as to</w:t>
      </w:r>
      <w:bookmarkEnd w:id="99"/>
    </w:p>
    <w:p>
      <w:pPr>
        <w:pStyle w:val="Subsection"/>
        <w:rPr>
          <w:snapToGrid w:val="0"/>
        </w:rPr>
      </w:pPr>
      <w:r>
        <w:rPr>
          <w:snapToGrid w:val="0"/>
        </w:rPr>
        <w:tab/>
        <w:t>(1)</w:t>
      </w:r>
      <w:r>
        <w:rPr>
          <w:snapToGrid w:val="0"/>
        </w:rPr>
        <w:tab/>
        <w:t>If, in a proceeding commenced by an allegation under section 83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settlement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or until the further order of the State Administrative Tribunal, from holding a licence or triennial certificate, or both.</w:t>
      </w:r>
    </w:p>
    <w:p>
      <w:pPr>
        <w:pStyle w:val="Subsection"/>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State Administrative Tribunal is satisfied that the settlement agent improperly obtained a licence or triennial certificate; or</w:t>
      </w:r>
    </w:p>
    <w:p>
      <w:pPr>
        <w:pStyle w:val="Indenta"/>
        <w:keepNext/>
        <w:keepLines/>
        <w:rPr>
          <w:snapToGrid w:val="0"/>
        </w:rPr>
      </w:pPr>
      <w:r>
        <w:rPr>
          <w:snapToGrid w:val="0"/>
        </w:rPr>
        <w:lastRenderedPageBreak/>
        <w:tab/>
        <w:t>(b)</w:t>
      </w:r>
      <w:r>
        <w:rPr>
          <w:snapToGrid w:val="0"/>
        </w:rPr>
        <w:tab/>
        <w:t>the settlement agent, or any person acting with the authority or upon the instructions of the settlement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rPr>
          <w:snapToGrid w:val="0"/>
        </w:rPr>
      </w:pPr>
      <w:r>
        <w:rPr>
          <w:snapToGrid w:val="0"/>
        </w:rPr>
        <w:tab/>
        <w:t>(c)</w:t>
      </w:r>
      <w:r>
        <w:rPr>
          <w:snapToGrid w:val="0"/>
        </w:rPr>
        <w:tab/>
        <w:t>the settlement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settlement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settlement agent unfit to hold a licence.</w:t>
      </w:r>
    </w:p>
    <w:p>
      <w:pPr>
        <w:pStyle w:val="Subsection"/>
        <w:keepNext/>
        <w:rPr>
          <w:snapToGrid w:val="0"/>
        </w:rPr>
      </w:pPr>
      <w:r>
        <w:rPr>
          <w:snapToGrid w:val="0"/>
        </w:rPr>
        <w:tab/>
        <w:t>(3)</w:t>
      </w:r>
      <w:r>
        <w:rPr>
          <w:snapToGrid w:val="0"/>
        </w:rPr>
        <w:tab/>
        <w:t>Where the State Administrative Tribunal suspends or cancels a licence or triennial certificate, or both —</w:t>
      </w:r>
    </w:p>
    <w:p>
      <w:pPr>
        <w:pStyle w:val="Ednotepara"/>
        <w:keepNext/>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or triennial certificate as the case requires shall be immediately delivered to the </w:t>
      </w:r>
      <w:r>
        <w:t>Commissioner</w:t>
      </w:r>
      <w:r>
        <w:rPr>
          <w:snapToGrid w:val="0"/>
        </w:rPr>
        <w:t xml:space="preserve"> by the settlement agent.</w:t>
      </w:r>
    </w:p>
    <w:p>
      <w:pPr>
        <w:pStyle w:val="Subsection"/>
        <w:rPr>
          <w:snapToGrid w:val="0"/>
        </w:rPr>
      </w:pPr>
      <w:r>
        <w:rPr>
          <w:snapToGrid w:val="0"/>
        </w:rPr>
        <w:tab/>
        <w:t>(4)</w:t>
      </w:r>
      <w:r>
        <w:rPr>
          <w:snapToGrid w:val="0"/>
        </w:rPr>
        <w:tab/>
        <w:t>No penalty provided for elsewhere in this Act in relation to the conduct of a settlement agent is to be taken to limit the powers exercisable by the State Administrative Tribunal under subsection (1).</w:t>
      </w:r>
    </w:p>
    <w:p>
      <w:pPr>
        <w:pStyle w:val="Footnotesection"/>
      </w:pPr>
      <w:r>
        <w:tab/>
        <w:t>[Section 84 amended: No. 59 of 1995 s. 74 and 85; No. 55 of 2004 s. 1090; No. 58 of 2010 s. 176.]</w:t>
      </w:r>
    </w:p>
    <w:p>
      <w:pPr>
        <w:pStyle w:val="Heading5"/>
        <w:rPr>
          <w:snapToGrid w:val="0"/>
        </w:rPr>
      </w:pPr>
      <w:bookmarkStart w:id="100" w:name="_Toc107496005"/>
      <w:r>
        <w:rPr>
          <w:rStyle w:val="CharSectno"/>
        </w:rPr>
        <w:lastRenderedPageBreak/>
        <w:t>85</w:t>
      </w:r>
      <w:r>
        <w:rPr>
          <w:snapToGrid w:val="0"/>
        </w:rPr>
        <w:t>.</w:t>
      </w:r>
      <w:r>
        <w:rPr>
          <w:snapToGrid w:val="0"/>
        </w:rPr>
        <w:tab/>
        <w:t>Offences that cause licence and triennial certificate to be cancelled</w:t>
      </w:r>
      <w:bookmarkEnd w:id="100"/>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Division 2 of Part IV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registrar of the court convicting him shall forthwith notify the </w:t>
      </w:r>
      <w:r>
        <w:t>Commissioner</w:t>
      </w:r>
      <w:r>
        <w:rPr>
          <w:snapToGrid w:val="0"/>
        </w:rPr>
        <w:t xml:space="preserve"> accordingly.</w:t>
      </w:r>
    </w:p>
    <w:p>
      <w:pPr>
        <w:pStyle w:val="Footnotesection"/>
      </w:pPr>
      <w:r>
        <w:tab/>
        <w:t>[Section 85 amended: No. 59 of 2004 s. 141; No. 58 of 2010 s. 176.]</w:t>
      </w:r>
    </w:p>
    <w:p>
      <w:pPr>
        <w:pStyle w:val="Heading5"/>
      </w:pPr>
      <w:bookmarkStart w:id="101" w:name="_Toc107496006"/>
      <w:r>
        <w:rPr>
          <w:rStyle w:val="CharSectno"/>
        </w:rPr>
        <w:t>85A</w:t>
      </w:r>
      <w:r>
        <w:t>.</w:t>
      </w:r>
      <w:r>
        <w:tab/>
        <w:t>Cancellation of licence due to insufficient resources or cessation of business</w:t>
      </w:r>
      <w:bookmarkEnd w:id="101"/>
    </w:p>
    <w:p>
      <w:pPr>
        <w:pStyle w:val="Subsection"/>
      </w:pPr>
      <w:r>
        <w:tab/>
      </w:r>
      <w:r>
        <w:tab/>
        <w:t xml:space="preserve">The State Administrative Tribunal may, on application by the Commissioner, cancel a licence if the Tribunal is satisfied that the licensee — </w:t>
      </w:r>
    </w:p>
    <w:p>
      <w:pPr>
        <w:pStyle w:val="Indenta"/>
      </w:pPr>
      <w:r>
        <w:tab/>
        <w:t>(a)</w:t>
      </w:r>
      <w:r>
        <w:tab/>
        <w:t>does not have sufficient material and financial resources available to enable them to comply with the requirements of this Act; or</w:t>
      </w:r>
    </w:p>
    <w:p>
      <w:pPr>
        <w:pStyle w:val="Indenta"/>
      </w:pPr>
      <w:r>
        <w:tab/>
        <w:t>(b)</w:t>
      </w:r>
      <w:r>
        <w:tab/>
        <w:t>has ceased to carry on the business to which the licence relates.</w:t>
      </w:r>
    </w:p>
    <w:p>
      <w:pPr>
        <w:pStyle w:val="Footnotesection"/>
      </w:pPr>
      <w:r>
        <w:tab/>
        <w:t>[Section 85A inserted: No. 7 of 2022 s. 51.]</w:t>
      </w:r>
    </w:p>
    <w:p>
      <w:pPr>
        <w:pStyle w:val="Heading5"/>
        <w:rPr>
          <w:snapToGrid w:val="0"/>
        </w:rPr>
      </w:pPr>
      <w:bookmarkStart w:id="102" w:name="_Toc107496007"/>
      <w:r>
        <w:rPr>
          <w:rStyle w:val="CharSectno"/>
        </w:rPr>
        <w:lastRenderedPageBreak/>
        <w:t>86</w:t>
      </w:r>
      <w:r>
        <w:rPr>
          <w:snapToGrid w:val="0"/>
        </w:rPr>
        <w:t>.</w:t>
      </w:r>
      <w:r>
        <w:rPr>
          <w:snapToGrid w:val="0"/>
        </w:rPr>
        <w:tab/>
        <w:t>Persons with cancelled licences etc., offences by and in respect of</w:t>
      </w:r>
      <w:bookmarkEnd w:id="10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been convicted of an offence against this Act on at least 2 occasions,</w:t>
      </w:r>
    </w:p>
    <w:p>
      <w:pPr>
        <w:pStyle w:val="Subsection"/>
        <w:rPr>
          <w:snapToGrid w:val="0"/>
        </w:rPr>
      </w:pPr>
      <w:r>
        <w:rPr>
          <w:snapToGrid w:val="0"/>
        </w:rPr>
        <w:tab/>
      </w:r>
      <w:r>
        <w:rPr>
          <w:snapToGrid w:val="0"/>
        </w:rPr>
        <w:tab/>
        <w:t xml:space="preserve">commits an offence against this Act, if, without the written permission of the </w:t>
      </w:r>
      <w:r>
        <w:t>Commissioner</w:t>
      </w:r>
      <w:r>
        <w:rPr>
          <w:snapToGrid w:val="0"/>
        </w:rPr>
        <w:t>, he becomes or remains a director of any body corporate that is a licensee, or he is the employer, employee, or partner of a licensee, as such.</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If a licensee in his business as such knowingly has, without the written permission of the </w:t>
      </w:r>
      <w:r>
        <w:t>Commissioner</w:t>
      </w:r>
      <w:r>
        <w:rPr>
          <w:snapToGrid w:val="0"/>
        </w:rPr>
        <w:t xml:space="preserve">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commits an offence against this Act.</w:t>
      </w:r>
    </w:p>
    <w:p>
      <w:pPr>
        <w:pStyle w:val="Penstart"/>
        <w:rPr>
          <w:snapToGrid w:val="0"/>
        </w:rPr>
      </w:pPr>
      <w:r>
        <w:rPr>
          <w:snapToGrid w:val="0"/>
        </w:rPr>
        <w:tab/>
        <w:t>Penalty: $5 000.</w:t>
      </w:r>
    </w:p>
    <w:p>
      <w:pPr>
        <w:pStyle w:val="Subsection"/>
        <w:keepNext/>
        <w:keepLines/>
        <w:rPr>
          <w:snapToGrid w:val="0"/>
        </w:rPr>
      </w:pPr>
      <w:r>
        <w:rPr>
          <w:snapToGrid w:val="0"/>
        </w:rPr>
        <w:tab/>
        <w:t>(3)</w:t>
      </w:r>
      <w:r>
        <w:rPr>
          <w:snapToGrid w:val="0"/>
        </w:rPr>
        <w:tab/>
        <w:t>For the purposes of this section, a person is deemed to be an employee of another person if he receives remuneration from the other person by way of salary, wages, commission, a share of profits, or otherwise.</w:t>
      </w:r>
    </w:p>
    <w:p>
      <w:pPr>
        <w:pStyle w:val="Footnotesection"/>
      </w:pPr>
      <w:r>
        <w:tab/>
        <w:t>[Section 86 amended: No. 59 of 1995 s. 85; No. 58 of 2010 s. 176.]</w:t>
      </w:r>
    </w:p>
    <w:p>
      <w:pPr>
        <w:pStyle w:val="Heading2"/>
      </w:pPr>
      <w:bookmarkStart w:id="103" w:name="_Toc107315906"/>
      <w:bookmarkStart w:id="104" w:name="_Toc107316296"/>
      <w:bookmarkStart w:id="105" w:name="_Toc107496008"/>
      <w:r>
        <w:rPr>
          <w:rStyle w:val="CharPartNo"/>
        </w:rPr>
        <w:lastRenderedPageBreak/>
        <w:t>Part V</w:t>
      </w:r>
      <w:r>
        <w:rPr>
          <w:rStyle w:val="CharDivNo"/>
        </w:rPr>
        <w:t> </w:t>
      </w:r>
      <w:r>
        <w:t>—</w:t>
      </w:r>
      <w:r>
        <w:rPr>
          <w:rStyle w:val="CharDivText"/>
        </w:rPr>
        <w:t> </w:t>
      </w:r>
      <w:r>
        <w:rPr>
          <w:rStyle w:val="CharPartText"/>
        </w:rPr>
        <w:t>Fidelity Guarantee Account</w:t>
      </w:r>
      <w:bookmarkEnd w:id="103"/>
      <w:bookmarkEnd w:id="104"/>
      <w:bookmarkEnd w:id="105"/>
    </w:p>
    <w:p>
      <w:pPr>
        <w:pStyle w:val="Footnoteheading"/>
      </w:pPr>
      <w:r>
        <w:tab/>
        <w:t>[Heading amended: No. 77 of 2006 Sch. 1 cl. 156(8).]</w:t>
      </w:r>
    </w:p>
    <w:p>
      <w:pPr>
        <w:pStyle w:val="Heading5"/>
      </w:pPr>
      <w:bookmarkStart w:id="106" w:name="_Toc107496009"/>
      <w:r>
        <w:rPr>
          <w:rStyle w:val="CharSectno"/>
        </w:rPr>
        <w:t>87</w:t>
      </w:r>
      <w:r>
        <w:t>.</w:t>
      </w:r>
      <w:r>
        <w:tab/>
        <w:t>Account established; administration of Account</w:t>
      </w:r>
      <w:bookmarkEnd w:id="106"/>
    </w:p>
    <w:p>
      <w:pPr>
        <w:pStyle w:val="Subsection"/>
      </w:pPr>
      <w:r>
        <w:tab/>
      </w:r>
      <w:r>
        <w:tab/>
        <w:t>An account called the Settlement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which is to be administered by the chief executive officer.</w:t>
      </w:r>
    </w:p>
    <w:p>
      <w:pPr>
        <w:pStyle w:val="Footnotesection"/>
      </w:pPr>
      <w:r>
        <w:tab/>
        <w:t>[Section 87 inserted: No. 77 of 2006 Sch. 1 cl. 156(9); amended: No. 58 of 2010 s. 151.]</w:t>
      </w:r>
    </w:p>
    <w:p>
      <w:pPr>
        <w:pStyle w:val="Heading5"/>
        <w:rPr>
          <w:snapToGrid w:val="0"/>
        </w:rPr>
      </w:pPr>
      <w:bookmarkStart w:id="107" w:name="_Toc107496010"/>
      <w:r>
        <w:rPr>
          <w:rStyle w:val="CharSectno"/>
        </w:rPr>
        <w:t>88</w:t>
      </w:r>
      <w:r>
        <w:rPr>
          <w:snapToGrid w:val="0"/>
        </w:rPr>
        <w:t>.</w:t>
      </w:r>
      <w:r>
        <w:rPr>
          <w:snapToGrid w:val="0"/>
        </w:rPr>
        <w:tab/>
        <w:t xml:space="preserve">Moneys to be credited to </w:t>
      </w:r>
      <w:r>
        <w:t>Account</w:t>
      </w:r>
      <w:bookmarkEnd w:id="107"/>
    </w:p>
    <w:p>
      <w:pPr>
        <w:pStyle w:val="Subsection"/>
        <w:rPr>
          <w:snapToGrid w:val="0"/>
        </w:rPr>
      </w:pPr>
      <w:r>
        <w:rPr>
          <w:snapToGrid w:val="0"/>
        </w:rPr>
        <w:tab/>
      </w:r>
      <w:r>
        <w:rPr>
          <w:snapToGrid w:val="0"/>
        </w:rPr>
        <w:tab/>
        <w:t xml:space="preserve">The Fidelity Guarantee </w:t>
      </w:r>
      <w:r>
        <w:t xml:space="preserve">Account </w:t>
      </w:r>
      <w:r>
        <w:rPr>
          <w:snapToGrid w:val="0"/>
        </w:rPr>
        <w:t>shall consist of and there shall be credited to the</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w:t>
      </w:r>
      <w:r>
        <w:t xml:space="preserve">Account </w:t>
      </w:r>
      <w:r>
        <w:rPr>
          <w:snapToGrid w:val="0"/>
        </w:rPr>
        <w:t>by settlement agents by way of contribution or levy pursuant to this Act; and</w:t>
      </w:r>
    </w:p>
    <w:p>
      <w:pPr>
        <w:pStyle w:val="Indenta"/>
        <w:rPr>
          <w:snapToGrid w:val="0"/>
        </w:rPr>
      </w:pPr>
      <w:r>
        <w:rPr>
          <w:snapToGrid w:val="0"/>
        </w:rPr>
        <w:tab/>
        <w:t>(b)</w:t>
      </w:r>
      <w:r>
        <w:rPr>
          <w:snapToGrid w:val="0"/>
        </w:rPr>
        <w:tab/>
        <w:t>income derived from the investment, under section 89, of moneys standing to the credit of the Fidelity Guarantee</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Guarantee </w:t>
      </w:r>
      <w:r>
        <w:t xml:space="preserve">Account </w:t>
      </w:r>
      <w:r>
        <w:rPr>
          <w:snapToGrid w:val="0"/>
        </w:rPr>
        <w:t>under section 105(b); and</w:t>
      </w:r>
    </w:p>
    <w:p>
      <w:pPr>
        <w:pStyle w:val="Indenta"/>
        <w:rPr>
          <w:snapToGrid w:val="0"/>
        </w:rPr>
      </w:pPr>
      <w:r>
        <w:rPr>
          <w:snapToGrid w:val="0"/>
        </w:rPr>
        <w:tab/>
        <w:t>(d)</w:t>
      </w:r>
      <w:r>
        <w:rPr>
          <w:snapToGrid w:val="0"/>
        </w:rPr>
        <w:tab/>
        <w:t xml:space="preserve">all money recovered by or on behalf of the State in the exercise of any right of action conferred by this </w:t>
      </w:r>
      <w:r>
        <w:t xml:space="preserve">Act or the </w:t>
      </w:r>
      <w:r>
        <w:rPr>
          <w:i/>
          <w:iCs/>
        </w:rPr>
        <w:t>Fair Trading Act 2010</w:t>
      </w:r>
      <w:r>
        <w:t xml:space="preserve">; </w:t>
      </w:r>
      <w:r>
        <w:rPr>
          <w:snapToGrid w:val="0"/>
        </w:rPr>
        <w:t>and</w:t>
      </w:r>
    </w:p>
    <w:p>
      <w:pPr>
        <w:pStyle w:val="Indenta"/>
        <w:rPr>
          <w:snapToGrid w:val="0"/>
        </w:rPr>
      </w:pPr>
      <w:r>
        <w:rPr>
          <w:snapToGrid w:val="0"/>
        </w:rPr>
        <w:tab/>
        <w:t>(e)</w:t>
      </w:r>
      <w:r>
        <w:rPr>
          <w:snapToGrid w:val="0"/>
        </w:rPr>
        <w:tab/>
        <w:t>any other money that may be lawfully credited to the Fidelity Guarantee</w:t>
      </w:r>
      <w:r>
        <w:t xml:space="preserve"> Account</w:t>
      </w:r>
      <w:r>
        <w:rPr>
          <w:snapToGrid w:val="0"/>
        </w:rPr>
        <w:t>.</w:t>
      </w:r>
    </w:p>
    <w:p>
      <w:pPr>
        <w:pStyle w:val="Footnotesection"/>
      </w:pPr>
      <w:r>
        <w:tab/>
        <w:t>[Section 88 amended: No. 59 of 1995 s. 76 and 86; No. 77 of 2006 Sch. 1 cl. 156(2); No. 58 of 2010 s. 152.]</w:t>
      </w:r>
    </w:p>
    <w:p>
      <w:pPr>
        <w:pStyle w:val="Heading5"/>
        <w:rPr>
          <w:snapToGrid w:val="0"/>
        </w:rPr>
      </w:pPr>
      <w:bookmarkStart w:id="108" w:name="_Toc107496011"/>
      <w:r>
        <w:rPr>
          <w:rStyle w:val="CharSectno"/>
        </w:rPr>
        <w:lastRenderedPageBreak/>
        <w:t>89</w:t>
      </w:r>
      <w:r>
        <w:rPr>
          <w:snapToGrid w:val="0"/>
        </w:rPr>
        <w:t>.</w:t>
      </w:r>
      <w:r>
        <w:rPr>
          <w:snapToGrid w:val="0"/>
        </w:rPr>
        <w:tab/>
        <w:t xml:space="preserve">Investment of moneys in </w:t>
      </w:r>
      <w:r>
        <w:t>Account</w:t>
      </w:r>
      <w:bookmarkEnd w:id="108"/>
    </w:p>
    <w:p>
      <w:pPr>
        <w:pStyle w:val="Subsection"/>
        <w:rPr>
          <w:snapToGrid w:val="0"/>
        </w:rPr>
      </w:pPr>
      <w:r>
        <w:rPr>
          <w:snapToGrid w:val="0"/>
        </w:rPr>
        <w:tab/>
        <w:t>(1)</w:t>
      </w:r>
      <w:r>
        <w:rPr>
          <w:snapToGrid w:val="0"/>
        </w:rPr>
        <w:tab/>
        <w:t xml:space="preserve">Moneys standing to the credit of the Fidelity Guarantee </w:t>
      </w:r>
      <w:r>
        <w:t xml:space="preserve">Account </w:t>
      </w:r>
      <w:r>
        <w:rPr>
          <w:snapToGrid w:val="0"/>
        </w:rPr>
        <w:t>may, until required for the purposes of section 90,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 Guarantee</w:t>
      </w:r>
      <w:r>
        <w:t xml:space="preserve"> Account</w:t>
      </w:r>
      <w:r>
        <w:rPr>
          <w:snapToGrid w:val="0"/>
        </w:rPr>
        <w:t>.</w:t>
      </w:r>
    </w:p>
    <w:p>
      <w:pPr>
        <w:pStyle w:val="Footnotesection"/>
      </w:pPr>
      <w:r>
        <w:tab/>
        <w:t>[Section 89 inserted: No. 59 of 1995 s. 77; amended: No. 77 of 2006 Sch. 1 cl. 156(2) and (10).]</w:t>
      </w:r>
    </w:p>
    <w:p>
      <w:pPr>
        <w:pStyle w:val="Heading5"/>
        <w:rPr>
          <w:snapToGrid w:val="0"/>
        </w:rPr>
      </w:pPr>
      <w:bookmarkStart w:id="109" w:name="_Toc107496012"/>
      <w:r>
        <w:rPr>
          <w:rStyle w:val="CharSectno"/>
        </w:rPr>
        <w:t>90</w:t>
      </w:r>
      <w:r>
        <w:rPr>
          <w:snapToGrid w:val="0"/>
        </w:rPr>
        <w:t>.</w:t>
      </w:r>
      <w:r>
        <w:rPr>
          <w:snapToGrid w:val="0"/>
        </w:rPr>
        <w:tab/>
        <w:t xml:space="preserve">Expenditure from </w:t>
      </w:r>
      <w:r>
        <w:t>Account</w:t>
      </w:r>
      <w:bookmarkEnd w:id="109"/>
    </w:p>
    <w:p>
      <w:pPr>
        <w:pStyle w:val="Subsection"/>
        <w:rPr>
          <w:snapToGrid w:val="0"/>
        </w:rPr>
      </w:pPr>
      <w:r>
        <w:rPr>
          <w:snapToGrid w:val="0"/>
        </w:rPr>
        <w:tab/>
      </w:r>
      <w:r>
        <w:rPr>
          <w:snapToGrid w:val="0"/>
        </w:rPr>
        <w:tab/>
        <w:t>There shall from time to time be charged to the</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w:t>
      </w:r>
      <w:r>
        <w:t xml:space="preserve"> Account</w:t>
      </w:r>
      <w:r>
        <w:rPr>
          <w:snapToGrid w:val="0"/>
        </w:rPr>
        <w:t>, or otherwise incurred in relation to the</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 xml:space="preserve">chief executive officer, on behalf of the State, </w:t>
      </w:r>
      <w:r>
        <w:rPr>
          <w:snapToGrid w:val="0"/>
        </w:rPr>
        <w:t>under section 99; and</w:t>
      </w:r>
    </w:p>
    <w:p>
      <w:pPr>
        <w:pStyle w:val="Indenta"/>
        <w:rPr>
          <w:snapToGrid w:val="0"/>
        </w:rPr>
      </w:pPr>
      <w:r>
        <w:rPr>
          <w:snapToGrid w:val="0"/>
        </w:rPr>
        <w:tab/>
        <w:t>(d)</w:t>
      </w:r>
      <w:r>
        <w:rPr>
          <w:snapToGrid w:val="0"/>
        </w:rPr>
        <w:tab/>
        <w:t>the expenses involved in the administration of the</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w:t>
      </w:r>
      <w:r>
        <w:t xml:space="preserve">Account </w:t>
      </w:r>
      <w:r>
        <w:rPr>
          <w:snapToGrid w:val="0"/>
        </w:rPr>
        <w:t>pursuant to Division 2 of Part IV; and</w:t>
      </w:r>
    </w:p>
    <w:p>
      <w:pPr>
        <w:pStyle w:val="Ednotepara"/>
        <w:spacing w:before="80"/>
        <w:rPr>
          <w:snapToGrid w:val="0"/>
        </w:rPr>
      </w:pPr>
      <w:r>
        <w:rPr>
          <w:snapToGrid w:val="0"/>
        </w:rPr>
        <w:tab/>
        <w:t xml:space="preserve">[(f) </w:t>
      </w:r>
      <w:r>
        <w:rPr>
          <w:snapToGrid w:val="0"/>
        </w:rPr>
        <w:tab/>
        <w:t>deleted]</w:t>
      </w:r>
    </w:p>
    <w:p>
      <w:pPr>
        <w:pStyle w:val="Indenta"/>
        <w:rPr>
          <w:snapToGrid w:val="0"/>
        </w:rPr>
      </w:pPr>
      <w:r>
        <w:rPr>
          <w:snapToGrid w:val="0"/>
        </w:rPr>
        <w:tab/>
        <w:t>(g)</w:t>
      </w:r>
      <w:r>
        <w:rPr>
          <w:snapToGrid w:val="0"/>
        </w:rPr>
        <w:tab/>
        <w:t xml:space="preserve">any other money chargeable to the </w:t>
      </w:r>
      <w:r>
        <w:t xml:space="preserve">Account </w:t>
      </w:r>
      <w:r>
        <w:rPr>
          <w:snapToGrid w:val="0"/>
        </w:rPr>
        <w:t>in accordance with this Act.</w:t>
      </w:r>
    </w:p>
    <w:p>
      <w:pPr>
        <w:pStyle w:val="Footnotesection"/>
      </w:pPr>
      <w:r>
        <w:tab/>
        <w:t>[Section 90 amended: No. 59 of 1995 s. 78 and 86; No. 77 of 2006 Sch. 1 cl. 156(2); No. 58 of 2010 s. 153.]</w:t>
      </w:r>
    </w:p>
    <w:p>
      <w:pPr>
        <w:pStyle w:val="Ednotesection"/>
      </w:pPr>
      <w:r>
        <w:t>[</w:t>
      </w:r>
      <w:r>
        <w:rPr>
          <w:b/>
        </w:rPr>
        <w:t>91.</w:t>
      </w:r>
      <w:r>
        <w:tab/>
        <w:t>Deleted: No. 98 of 1985 s. 3.]</w:t>
      </w:r>
    </w:p>
    <w:p>
      <w:pPr>
        <w:pStyle w:val="Heading5"/>
        <w:rPr>
          <w:snapToGrid w:val="0"/>
        </w:rPr>
      </w:pPr>
      <w:bookmarkStart w:id="110" w:name="_Toc107496013"/>
      <w:r>
        <w:rPr>
          <w:rStyle w:val="CharSectno"/>
        </w:rPr>
        <w:lastRenderedPageBreak/>
        <w:t>92</w:t>
      </w:r>
      <w:r>
        <w:rPr>
          <w:snapToGrid w:val="0"/>
        </w:rPr>
        <w:t>.</w:t>
      </w:r>
      <w:r>
        <w:rPr>
          <w:snapToGrid w:val="0"/>
        </w:rPr>
        <w:tab/>
        <w:t xml:space="preserve">Payments to </w:t>
      </w:r>
      <w:r>
        <w:t>Account by applicants for licences etc.</w:t>
      </w:r>
      <w:bookmarkEnd w:id="110"/>
    </w:p>
    <w:p>
      <w:pPr>
        <w:pStyle w:val="Subsection"/>
        <w:spacing w:before="110"/>
        <w:rPr>
          <w:snapToGrid w:val="0"/>
        </w:rPr>
      </w:pPr>
      <w:r>
        <w:rPr>
          <w:snapToGrid w:val="0"/>
        </w:rPr>
        <w:tab/>
        <w:t>(1)</w:t>
      </w:r>
      <w:r>
        <w:rPr>
          <w:snapToGrid w:val="0"/>
        </w:rPr>
        <w:tab/>
        <w:t xml:space="preserve">Each person who makes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and no such licence or renewal of a triennial certificate shall be issued until the appropriate payment has been made to the </w:t>
      </w:r>
      <w:r>
        <w:t>chief executive officer.</w:t>
      </w:r>
    </w:p>
    <w:p>
      <w:pPr>
        <w:pStyle w:val="Subsection"/>
        <w:spacing w:before="110"/>
        <w:rPr>
          <w:snapToGrid w:val="0"/>
        </w:rPr>
      </w:pPr>
      <w:r>
        <w:rPr>
          <w:snapToGrid w:val="0"/>
        </w:rPr>
        <w:tab/>
        <w:t>(2)</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w:t>
      </w:r>
      <w:r>
        <w:t xml:space="preserve"> Account</w:t>
      </w:r>
      <w:r>
        <w:rPr>
          <w:snapToGrid w:val="0"/>
        </w:rPr>
        <w:t>.</w:t>
      </w:r>
    </w:p>
    <w:p>
      <w:pPr>
        <w:pStyle w:val="Subsection"/>
        <w:spacing w:before="110"/>
        <w:rPr>
          <w:snapToGrid w:val="0"/>
        </w:rPr>
      </w:pPr>
      <w:r>
        <w:rPr>
          <w:snapToGrid w:val="0"/>
        </w:rPr>
        <w:tab/>
        <w:t>(3)</w:t>
      </w:r>
      <w:r>
        <w:rPr>
          <w:snapToGrid w:val="0"/>
        </w:rPr>
        <w:tab/>
        <w:t xml:space="preserve">Where a person makes a payment under this section and the licence or renewal of a triennial certificate is not granted, the </w:t>
      </w:r>
      <w:r>
        <w:t>chief executive officer</w:t>
      </w:r>
      <w:r>
        <w:rPr>
          <w:snapToGrid w:val="0"/>
        </w:rPr>
        <w:t xml:space="preserve"> shall refund the payment to him.</w:t>
      </w:r>
    </w:p>
    <w:p>
      <w:pPr>
        <w:pStyle w:val="Footnotesection"/>
        <w:spacing w:before="80"/>
      </w:pPr>
      <w:r>
        <w:tab/>
        <w:t>[Section 92 amended: No. 59 of 1995 s. 86; No. 77 of 2006 Sch. 1 cl. 156(2); No. 58 of 2010 s. 154.]</w:t>
      </w:r>
    </w:p>
    <w:p>
      <w:pPr>
        <w:pStyle w:val="Heading5"/>
        <w:spacing w:before="180"/>
        <w:rPr>
          <w:snapToGrid w:val="0"/>
        </w:rPr>
      </w:pPr>
      <w:bookmarkStart w:id="111" w:name="_Toc107496014"/>
      <w:r>
        <w:rPr>
          <w:rStyle w:val="CharSectno"/>
        </w:rPr>
        <w:t>93</w:t>
      </w:r>
      <w:r>
        <w:rPr>
          <w:snapToGrid w:val="0"/>
        </w:rPr>
        <w:t>.</w:t>
      </w:r>
      <w:r>
        <w:rPr>
          <w:snapToGrid w:val="0"/>
        </w:rPr>
        <w:tab/>
        <w:t xml:space="preserve">Purpose of </w:t>
      </w:r>
      <w:r>
        <w:t>Account; making claims against Account</w:t>
      </w:r>
      <w:bookmarkEnd w:id="111"/>
    </w:p>
    <w:p>
      <w:pPr>
        <w:pStyle w:val="Subsection"/>
      </w:pPr>
      <w:r>
        <w:tab/>
        <w:t>(1)</w:t>
      </w:r>
      <w:r>
        <w:tab/>
        <w:t>The Account is to be held and applied to reimburse a person for the person’s pecuniary or property loss to the extent of the defalcation of —</w:t>
      </w:r>
    </w:p>
    <w:p>
      <w:pPr>
        <w:pStyle w:val="Indenta"/>
      </w:pPr>
      <w:r>
        <w:tab/>
        <w:t>(a)</w:t>
      </w:r>
      <w:r>
        <w:tab/>
        <w:t>a licensee during any period when the licensee was the holder of a current triennial certificate; or</w:t>
      </w:r>
    </w:p>
    <w:p>
      <w:pPr>
        <w:pStyle w:val="Indenta"/>
      </w:pPr>
      <w:r>
        <w:tab/>
        <w:t>(b)</w:t>
      </w:r>
      <w:r>
        <w:tab/>
        <w:t xml:space="preserve">a person who ceased to be the holder of a licence or triennial certificate, if — </w:t>
      </w:r>
    </w:p>
    <w:p>
      <w:pPr>
        <w:pStyle w:val="Indenti"/>
      </w:pPr>
      <w:r>
        <w:tab/>
        <w:t>(i)</w:t>
      </w:r>
      <w:r>
        <w:tab/>
        <w:t>the defalcation occurred during the period of 6 months immediately following the day on which the person ceased to be licensed or the holder of the triennial certificate; and</w:t>
      </w:r>
    </w:p>
    <w:p>
      <w:pPr>
        <w:pStyle w:val="Indenti"/>
      </w:pPr>
      <w:r>
        <w:tab/>
        <w:t>(ii)</w:t>
      </w:r>
      <w:r>
        <w:tab/>
        <w:t>the chief executive officer considers that it is just and reasonable in the circumstances of the claim.</w:t>
      </w:r>
    </w:p>
    <w:p>
      <w:pPr>
        <w:pStyle w:val="Ednotesubsection"/>
      </w:pPr>
      <w:r>
        <w:tab/>
        <w:t>[(2A)</w:t>
      </w:r>
      <w:r>
        <w:tab/>
        <w:t>deleted]</w:t>
      </w:r>
    </w:p>
    <w:p>
      <w:pPr>
        <w:pStyle w:val="Subsection"/>
        <w:spacing w:before="110"/>
      </w:pPr>
      <w:r>
        <w:lastRenderedPageBreak/>
        <w:tab/>
        <w:t>(2)</w:t>
      </w:r>
      <w:r>
        <w:tab/>
        <w:t>The chief executive officer is to disallow a claim against the Account unless —</w:t>
      </w:r>
    </w:p>
    <w:p>
      <w:pPr>
        <w:pStyle w:val="Indenta"/>
        <w:spacing w:before="60"/>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93 amended: No. 3 of 2000 s. 7(1)</w:t>
      </w:r>
      <w:r>
        <w:rPr>
          <w:vertAlign w:val="superscript"/>
        </w:rPr>
        <w:t> </w:t>
      </w:r>
      <w:r>
        <w:rPr>
          <w:i w:val="0"/>
          <w:vertAlign w:val="superscript"/>
        </w:rPr>
        <w:t>2</w:t>
      </w:r>
      <w:r>
        <w:t>; No. 77 of 2006 Sch. 1 cl. 156(2); No. 58 of 2010 s. 155; No. 23 of 2014 s. 105; No. 25 of 2019 s. 86.]</w:t>
      </w:r>
    </w:p>
    <w:p>
      <w:pPr>
        <w:pStyle w:val="Heading5"/>
        <w:rPr>
          <w:snapToGrid w:val="0"/>
        </w:rPr>
      </w:pPr>
      <w:bookmarkStart w:id="112" w:name="_Toc107496015"/>
      <w:r>
        <w:rPr>
          <w:rStyle w:val="CharSectno"/>
        </w:rPr>
        <w:t>94</w:t>
      </w:r>
      <w:r>
        <w:rPr>
          <w:snapToGrid w:val="0"/>
        </w:rPr>
        <w:t>.</w:t>
      </w:r>
      <w:r>
        <w:rPr>
          <w:snapToGrid w:val="0"/>
        </w:rPr>
        <w:tab/>
        <w:t>Levies for Account against certificate holders</w:t>
      </w:r>
      <w:bookmarkEnd w:id="112"/>
    </w:p>
    <w:p>
      <w:pPr>
        <w:pStyle w:val="Subsection"/>
        <w:rPr>
          <w:snapToGrid w:val="0"/>
        </w:rPr>
      </w:pPr>
      <w:r>
        <w:rPr>
          <w:snapToGrid w:val="0"/>
        </w:rPr>
        <w:tab/>
        <w:t>(1)</w:t>
      </w:r>
      <w:r>
        <w:rPr>
          <w:snapToGrid w:val="0"/>
        </w:rPr>
        <w:tab/>
        <w:t xml:space="preserve">If at any time moneys standing to the credit of the </w:t>
      </w:r>
      <w:r>
        <w:t xml:space="preserve">Account </w:t>
      </w:r>
      <w:r>
        <w:rPr>
          <w:snapToGrid w:val="0"/>
        </w:rPr>
        <w:t xml:space="preserve">are in the opinion of the </w:t>
      </w:r>
      <w:r>
        <w:t>chief executive officer</w:t>
      </w:r>
      <w:r>
        <w:rPr>
          <w:snapToGrid w:val="0"/>
        </w:rPr>
        <w:t xml:space="preserve"> not sufficient to satisfy the liabilities of the </w:t>
      </w:r>
      <w:r>
        <w:t>chief executive officer</w:t>
      </w:r>
      <w:r>
        <w:rPr>
          <w:snapToGrid w:val="0"/>
        </w:rPr>
        <w:t xml:space="preserve"> in relation thereto, the </w:t>
      </w:r>
      <w:r>
        <w:t>chief executive officer may</w:t>
      </w:r>
      <w:r>
        <w:rPr>
          <w:snapToGrid w:val="0"/>
        </w:rPr>
        <w:t xml:space="preserve"> impose on each holder of a current triennial certificate for payment to the credit of the</w:t>
      </w:r>
      <w:r>
        <w:t xml:space="preserve"> Account</w:t>
      </w:r>
      <w:r>
        <w:rPr>
          <w:snapToGrid w:val="0"/>
        </w:rPr>
        <w:t>, a levy of such amount as it thinks fit not exceeding the sum of $20 in any one year.</w:t>
      </w:r>
    </w:p>
    <w:p>
      <w:pPr>
        <w:pStyle w:val="Subsection"/>
        <w:rPr>
          <w:snapToGrid w:val="0"/>
        </w:rPr>
      </w:pPr>
      <w:r>
        <w:rPr>
          <w:snapToGrid w:val="0"/>
        </w:rPr>
        <w:tab/>
        <w:t>(2)</w:t>
      </w:r>
      <w:r>
        <w:rPr>
          <w:snapToGrid w:val="0"/>
        </w:rPr>
        <w:tab/>
        <w:t xml:space="preserve">The amount of the levy shall become payable on a date and in a manner to be fixed by the </w:t>
      </w:r>
      <w:r>
        <w:t>chief executive officer,</w:t>
      </w:r>
      <w:r>
        <w:rPr>
          <w:snapToGrid w:val="0"/>
        </w:rPr>
        <w:t xml:space="preserve"> and notice thereof shall be sent by the </w:t>
      </w:r>
      <w:r>
        <w:t>chief executive officer</w:t>
      </w:r>
      <w:r>
        <w:rPr>
          <w:snapToGrid w:val="0"/>
        </w:rPr>
        <w:t xml:space="preserve"> to each holder of a current triennial certificate.</w:t>
      </w:r>
    </w:p>
    <w:p>
      <w:pPr>
        <w:pStyle w:val="Subsection"/>
        <w:keepNext/>
        <w:rPr>
          <w:snapToGrid w:val="0"/>
        </w:rPr>
      </w:pPr>
      <w:r>
        <w:rPr>
          <w:snapToGrid w:val="0"/>
        </w:rPr>
        <w:tab/>
        <w:t>(3)</w:t>
      </w:r>
      <w:r>
        <w:rPr>
          <w:snapToGrid w:val="0"/>
        </w:rPr>
        <w:tab/>
        <w:t>A person who fails to comply with any notice sent to him under subsection (2) is guilty of an offence against this Act.</w:t>
      </w:r>
    </w:p>
    <w:p>
      <w:pPr>
        <w:pStyle w:val="Footnotesection"/>
      </w:pPr>
      <w:r>
        <w:tab/>
        <w:t>[Section 94 amended: No. 59 of 1995 s. 86; No. 77 of 2006 Sch. 1 cl. 156(2); No. 58 of 2010 s. 156.]</w:t>
      </w:r>
    </w:p>
    <w:p>
      <w:pPr>
        <w:pStyle w:val="Heading5"/>
        <w:rPr>
          <w:snapToGrid w:val="0"/>
        </w:rPr>
      </w:pPr>
      <w:bookmarkStart w:id="113" w:name="_Toc107496016"/>
      <w:r>
        <w:rPr>
          <w:rStyle w:val="CharSectno"/>
        </w:rPr>
        <w:lastRenderedPageBreak/>
        <w:t>95</w:t>
      </w:r>
      <w:r>
        <w:rPr>
          <w:snapToGrid w:val="0"/>
        </w:rPr>
        <w:t>.</w:t>
      </w:r>
      <w:r>
        <w:rPr>
          <w:snapToGrid w:val="0"/>
        </w:rPr>
        <w:tab/>
        <w:t xml:space="preserve">Claims against </w:t>
      </w:r>
      <w:r>
        <w:t>Account; recovery from Account</w:t>
      </w:r>
      <w:bookmarkEnd w:id="113"/>
    </w:p>
    <w:p>
      <w:pPr>
        <w:pStyle w:val="Subsection"/>
        <w:rPr>
          <w:snapToGrid w:val="0"/>
        </w:rPr>
      </w:pPr>
      <w:r>
        <w:rPr>
          <w:snapToGrid w:val="0"/>
        </w:rPr>
        <w:tab/>
        <w:t>(1)</w:t>
      </w:r>
      <w:r>
        <w:rPr>
          <w:snapToGrid w:val="0"/>
        </w:rPr>
        <w:tab/>
        <w:t xml:space="preserve">The </w:t>
      </w:r>
      <w:r>
        <w:t>chief executive officer</w:t>
      </w:r>
      <w:r>
        <w:rPr>
          <w:snapToGrid w:val="0"/>
        </w:rPr>
        <w:t xml:space="preserve"> may </w:t>
      </w:r>
      <w:r>
        <w:t>receive and, subject to section 93(2), settle</w:t>
      </w:r>
      <w:r>
        <w:rPr>
          <w:snapToGrid w:val="0"/>
        </w:rPr>
        <w:t xml:space="preserve"> any claim against the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xml:space="preserve"> to commence any action in relation to the</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w:t>
      </w:r>
      <w:r>
        <w:t xml:space="preserve">Account </w:t>
      </w:r>
      <w:r>
        <w:rPr>
          <w:snapToGrid w:val="0"/>
        </w:rPr>
        <w:t xml:space="preserve">an amount greater than the balance of the actual loss suffered by him after deducting from the total amount of his loss, the amount or value of all money or other benefits received or receivable by him from any source other than the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w:t>
      </w:r>
      <w:r>
        <w:t xml:space="preserve">Account </w:t>
      </w:r>
      <w:r>
        <w:rPr>
          <w:snapToGrid w:val="0"/>
        </w:rPr>
        <w:t>as interest on the amount of any judgment obtained or of any claim admitted against the</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keepNext/>
        <w:rPr>
          <w:snapToGrid w:val="0"/>
        </w:rPr>
      </w:pPr>
      <w:r>
        <w:rPr>
          <w:snapToGrid w:val="0"/>
        </w:rPr>
        <w:tab/>
        <w:t>(5)</w:t>
      </w:r>
      <w:r>
        <w:rPr>
          <w:snapToGrid w:val="0"/>
        </w:rPr>
        <w:tab/>
        <w:t xml:space="preserve">No right of action lies in relation to the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or any defalcation in the course of the licensee’s business by any one or more of the </w:t>
      </w:r>
      <w:r>
        <w:rPr>
          <w:snapToGrid w:val="0"/>
        </w:rPr>
        <w:lastRenderedPageBreak/>
        <w:t>persons in the class of persons specified in the definition of</w:t>
      </w:r>
      <w:r>
        <w:rPr>
          <w:b/>
          <w:snapToGrid w:val="0"/>
        </w:rPr>
        <w:t xml:space="preserve"> </w:t>
      </w:r>
      <w:r>
        <w:rPr>
          <w:b/>
          <w:bCs/>
          <w:i/>
          <w:iCs/>
        </w:rPr>
        <w:t>defalcation by a licensee</w:t>
      </w:r>
      <w:r>
        <w:rPr>
          <w:snapToGrid w:val="0"/>
        </w:rPr>
        <w:t xml:space="preserve"> in section 3.</w:t>
      </w:r>
    </w:p>
    <w:p>
      <w:pPr>
        <w:pStyle w:val="Footnotesection"/>
      </w:pPr>
      <w:r>
        <w:tab/>
        <w:t>[Section 95 amended: No. 59 of 1995 s. 86; No. 3 of 2000 s. 8; No. 28 of 2003 s. 182; No. 77 of 2006 Sch. 1 cl. 156(2); No. 58 of 2010 s. 157.]</w:t>
      </w:r>
    </w:p>
    <w:p>
      <w:pPr>
        <w:pStyle w:val="Heading5"/>
        <w:rPr>
          <w:snapToGrid w:val="0"/>
        </w:rPr>
      </w:pPr>
      <w:bookmarkStart w:id="114" w:name="_Toc107496017"/>
      <w:r>
        <w:rPr>
          <w:rStyle w:val="CharSectno"/>
        </w:rPr>
        <w:t>96</w:t>
      </w:r>
      <w:r>
        <w:rPr>
          <w:snapToGrid w:val="0"/>
        </w:rPr>
        <w:t>.</w:t>
      </w:r>
      <w:r>
        <w:rPr>
          <w:snapToGrid w:val="0"/>
        </w:rPr>
        <w:tab/>
        <w:t xml:space="preserve">Defences to claims against </w:t>
      </w:r>
      <w:r>
        <w:t>Account</w:t>
      </w:r>
      <w:bookmarkEnd w:id="114"/>
    </w:p>
    <w:p>
      <w:pPr>
        <w:pStyle w:val="Subsection"/>
        <w:rPr>
          <w:snapToGrid w:val="0"/>
        </w:rPr>
      </w:pPr>
      <w:r>
        <w:rPr>
          <w:snapToGrid w:val="0"/>
        </w:rPr>
        <w:tab/>
      </w:r>
      <w:r>
        <w:rPr>
          <w:snapToGrid w:val="0"/>
        </w:rPr>
        <w:tab/>
        <w:t>In any action brought against the State in relation to the</w:t>
      </w:r>
      <w:r>
        <w:t xml:space="preserve"> Account</w:t>
      </w:r>
      <w:r>
        <w:rPr>
          <w:snapToGrid w:val="0"/>
        </w:rPr>
        <w:t>, all defences that would have been available to the defaulting licensee are available to the State.</w:t>
      </w:r>
    </w:p>
    <w:p>
      <w:pPr>
        <w:pStyle w:val="Footnotesection"/>
      </w:pPr>
      <w:r>
        <w:tab/>
        <w:t>[Section 96 amended: No. 77 of 2006 Sch. 1 cl. 156(2); No. 58 of 2010 s. 158.]</w:t>
      </w:r>
    </w:p>
    <w:p>
      <w:pPr>
        <w:pStyle w:val="Heading5"/>
        <w:rPr>
          <w:snapToGrid w:val="0"/>
        </w:rPr>
      </w:pPr>
      <w:bookmarkStart w:id="115" w:name="_Toc107496018"/>
      <w:r>
        <w:rPr>
          <w:rStyle w:val="CharSectno"/>
        </w:rPr>
        <w:t>97</w:t>
      </w:r>
      <w:r>
        <w:rPr>
          <w:snapToGrid w:val="0"/>
        </w:rPr>
        <w:t>.</w:t>
      </w:r>
      <w:r>
        <w:rPr>
          <w:snapToGrid w:val="0"/>
        </w:rPr>
        <w:tab/>
        <w:t>Subrogation of rights of claimant against Account</w:t>
      </w:r>
      <w:bookmarkEnd w:id="115"/>
    </w:p>
    <w:p>
      <w:pPr>
        <w:pStyle w:val="Subsection"/>
        <w:rPr>
          <w:snapToGrid w:val="0"/>
        </w:rPr>
      </w:pPr>
      <w:r>
        <w:rPr>
          <w:snapToGrid w:val="0"/>
        </w:rPr>
        <w:tab/>
      </w:r>
      <w:r>
        <w:rPr>
          <w:snapToGrid w:val="0"/>
        </w:rPr>
        <w:tab/>
        <w:t xml:space="preserve">On payment out of moneys standing to credit of the </w:t>
      </w:r>
      <w:r>
        <w:t>Account</w:t>
      </w:r>
      <w:r>
        <w:rPr>
          <w:snapToGrid w:val="0"/>
        </w:rPr>
        <w:t xml:space="preserve"> of any money in settlement in whole or in part of any claims under this Act, the State shall be deemed to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97 amended: No. 59 of 1995 s. 86; No. 77 of 2006 Sch. 1 cl. 156(2); No. 58 of 2010 s. 159.]</w:t>
      </w:r>
    </w:p>
    <w:p>
      <w:pPr>
        <w:pStyle w:val="Heading5"/>
        <w:keepNext w:val="0"/>
        <w:spacing w:before="240"/>
        <w:rPr>
          <w:snapToGrid w:val="0"/>
        </w:rPr>
      </w:pPr>
      <w:bookmarkStart w:id="116" w:name="_Toc107496019"/>
      <w:r>
        <w:rPr>
          <w:rStyle w:val="CharSectno"/>
        </w:rPr>
        <w:t>98</w:t>
      </w:r>
      <w:r>
        <w:rPr>
          <w:snapToGrid w:val="0"/>
        </w:rPr>
        <w:t>.</w:t>
      </w:r>
      <w:r>
        <w:rPr>
          <w:snapToGrid w:val="0"/>
        </w:rPr>
        <w:tab/>
        <w:t xml:space="preserve">Insufficiency in </w:t>
      </w:r>
      <w:r>
        <w:t>Account</w:t>
      </w:r>
      <w:bookmarkEnd w:id="116"/>
    </w:p>
    <w:p>
      <w:pPr>
        <w:pStyle w:val="Subsection"/>
        <w:rPr>
          <w:snapToGrid w:val="0"/>
        </w:rPr>
      </w:pPr>
      <w:r>
        <w:rPr>
          <w:snapToGrid w:val="0"/>
        </w:rPr>
        <w:tab/>
        <w:t>(1)</w:t>
      </w:r>
      <w:r>
        <w:rPr>
          <w:snapToGrid w:val="0"/>
        </w:rPr>
        <w:tab/>
        <w:t xml:space="preserve">Subject to section 99, the moneys standing to the credit of the </w:t>
      </w:r>
      <w:r>
        <w:t>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w:t>
      </w:r>
      <w:r>
        <w:t xml:space="preserve"> Account</w:t>
      </w:r>
      <w:r>
        <w:rPr>
          <w:snapToGrid w:val="0"/>
        </w:rPr>
        <w:t xml:space="preserve">, or for the payment of any claim allowed by the </w:t>
      </w:r>
      <w:r>
        <w:t>chief executive officer,</w:t>
      </w:r>
      <w:r>
        <w:rPr>
          <w:snapToGrid w:val="0"/>
        </w:rPr>
        <w:t xml:space="preserve"> but if at any time the moneys standing to the credit of the </w:t>
      </w:r>
      <w:r>
        <w:t>Account</w:t>
      </w:r>
      <w:r>
        <w:rPr>
          <w:snapToGrid w:val="0"/>
        </w:rPr>
        <w:t xml:space="preserve"> are not sufficient to provide for the satisfaction of all such judgments </w:t>
      </w:r>
      <w:r>
        <w:rPr>
          <w:snapToGrid w:val="0"/>
        </w:rPr>
        <w:lastRenderedPageBreak/>
        <w:t>and claims they shall, to the extent to which they are not so satisfied, be charged against the future accumulations of the</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w:t>
      </w:r>
      <w:r>
        <w:t>Account</w:t>
      </w:r>
      <w:r>
        <w:rPr>
          <w:snapToGrid w:val="0"/>
        </w:rPr>
        <w:t xml:space="preserve"> as provided in subsection (1) shall be satisfied, and may, if the amount accumulated is not sufficient to wholly satisfy all those judgments and claims, satisfy any of those judgments or claims in whole or in part.</w:t>
      </w:r>
    </w:p>
    <w:p>
      <w:pPr>
        <w:pStyle w:val="Subsection"/>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w:t>
      </w:r>
      <w:r>
        <w:t>Account</w:t>
      </w:r>
      <w:r>
        <w:rPr>
          <w:snapToGrid w:val="0"/>
        </w:rPr>
        <w:t xml:space="preserve"> 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 of their claims against the </w:t>
      </w:r>
      <w:r>
        <w:t>Account</w:t>
      </w:r>
      <w:r>
        <w:rPr>
          <w:snapToGrid w:val="0"/>
        </w:rPr>
        <w:t xml:space="preserve"> not being satisfied in whole or in part;</w:t>
      </w:r>
    </w:p>
    <w:p>
      <w:pPr>
        <w:pStyle w:val="Indenta"/>
        <w:keepLines/>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keepNext/>
        <w:rPr>
          <w:snapToGrid w:val="0"/>
        </w:rPr>
      </w:pPr>
      <w:r>
        <w:rPr>
          <w:snapToGrid w:val="0"/>
        </w:rPr>
        <w:tab/>
        <w:t>(c)</w:t>
      </w:r>
      <w:r>
        <w:rPr>
          <w:snapToGrid w:val="0"/>
        </w:rPr>
        <w:tab/>
        <w:t xml:space="preserve">where all other considerations are equal, claimants shall have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98 amended: No. 59 of 1995 s. 79 and 86; No. 77 of 2006 Sch. 1 cl. 156(2); No. 58 of 2010 s. 160.]</w:t>
      </w:r>
    </w:p>
    <w:p>
      <w:pPr>
        <w:pStyle w:val="Heading5"/>
        <w:rPr>
          <w:snapToGrid w:val="0"/>
        </w:rPr>
      </w:pPr>
      <w:bookmarkStart w:id="117" w:name="_Toc107496020"/>
      <w:r>
        <w:rPr>
          <w:rStyle w:val="CharSectno"/>
        </w:rPr>
        <w:t>99</w:t>
      </w:r>
      <w:r>
        <w:rPr>
          <w:snapToGrid w:val="0"/>
        </w:rPr>
        <w:t>.</w:t>
      </w:r>
      <w:r>
        <w:rPr>
          <w:snapToGrid w:val="0"/>
        </w:rPr>
        <w:tab/>
        <w:t>State may insure against claims</w:t>
      </w:r>
      <w:bookmarkEnd w:id="117"/>
    </w:p>
    <w:p>
      <w:pPr>
        <w:pStyle w:val="Subsection"/>
        <w:rPr>
          <w:snapToGrid w:val="0"/>
        </w:rPr>
      </w:pPr>
      <w:r>
        <w:rPr>
          <w:snapToGrid w:val="0"/>
        </w:rPr>
        <w:tab/>
        <w:t>(1)</w:t>
      </w:r>
      <w:r>
        <w:rPr>
          <w:snapToGrid w:val="0"/>
        </w:rPr>
        <w:tab/>
        <w:t xml:space="preserve">Notwithstanding anything to the contrary in this Act, the </w:t>
      </w:r>
      <w:r>
        <w:t xml:space="preserve">chief executive officer may, on behalf of the State, </w:t>
      </w:r>
      <w:r>
        <w:rPr>
          <w:snapToGrid w:val="0"/>
        </w:rPr>
        <w:t xml:space="preserve">enter into any contract of insurance with any person carrying on fidelity </w:t>
      </w:r>
      <w:r>
        <w:rPr>
          <w:snapToGrid w:val="0"/>
        </w:rPr>
        <w:lastRenderedPageBreak/>
        <w:t xml:space="preserve">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in relation to any licensees named therein who are holders of current triennial certificates, or in relation to licensees generally who are holders of current triennial certificates excluding particular licensees named therein.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Subsection"/>
        <w:rPr>
          <w:snapToGrid w:val="0"/>
        </w:rPr>
      </w:pPr>
      <w:r>
        <w:rPr>
          <w:snapToGrid w:val="0"/>
        </w:rPr>
        <w:tab/>
        <w:t>(4)</w:t>
      </w:r>
      <w:r>
        <w:rPr>
          <w:snapToGrid w:val="0"/>
        </w:rPr>
        <w:tab/>
        <w:t xml:space="preserve">An action does not lie against the </w:t>
      </w:r>
      <w:r>
        <w:t>State, the Commissioner, the chief executive officer or an officer of the department</w:t>
      </w:r>
      <w:r>
        <w:rPr>
          <w:snapToGrid w:val="0"/>
        </w:rPr>
        <w:t xml:space="preserve"> for damage alleged to have been suffered by a licensee by reason of the publication in good faith of a statement that a contract entered into under this section does or does not apply with respect to him.</w:t>
      </w:r>
    </w:p>
    <w:p>
      <w:pPr>
        <w:pStyle w:val="Footnotesection"/>
      </w:pPr>
      <w:r>
        <w:tab/>
        <w:t>[Section 99 amended: No. 51 of 1986 s. 46(2); No. 58 of 2010 s. 161.]</w:t>
      </w:r>
    </w:p>
    <w:p>
      <w:pPr>
        <w:pStyle w:val="Heading5"/>
        <w:rPr>
          <w:snapToGrid w:val="0"/>
        </w:rPr>
      </w:pPr>
      <w:bookmarkStart w:id="118" w:name="_Toc107496021"/>
      <w:r>
        <w:rPr>
          <w:rStyle w:val="CharSectno"/>
        </w:rPr>
        <w:t>100</w:t>
      </w:r>
      <w:r>
        <w:rPr>
          <w:snapToGrid w:val="0"/>
        </w:rPr>
        <w:t>.</w:t>
      </w:r>
      <w:r>
        <w:rPr>
          <w:snapToGrid w:val="0"/>
        </w:rPr>
        <w:tab/>
        <w:t>Application of insurance money</w:t>
      </w:r>
      <w:bookmarkEnd w:id="118"/>
    </w:p>
    <w:p>
      <w:pPr>
        <w:pStyle w:val="Subsection"/>
        <w:keepNext/>
        <w:rPr>
          <w:snapToGrid w:val="0"/>
        </w:rPr>
      </w:pPr>
      <w:r>
        <w:rPr>
          <w:snapToGrid w:val="0"/>
        </w:rPr>
        <w:tab/>
      </w:r>
      <w:r>
        <w:rPr>
          <w:snapToGrid w:val="0"/>
        </w:rPr>
        <w:tab/>
        <w:t xml:space="preserve">A claimant against the </w:t>
      </w:r>
      <w:r>
        <w:t>Account</w:t>
      </w:r>
      <w:r>
        <w:rPr>
          <w:snapToGrid w:val="0"/>
        </w:rPr>
        <w:t xml:space="preserve"> has no right of action against any person with whom a contract of insurance is made under section 99 in respect of that contract and has no right to claim any money paid by the insurer in accordance with any such contract; but all such moneys shall be credited to the </w:t>
      </w:r>
      <w:r>
        <w:t>Account</w:t>
      </w:r>
      <w:r>
        <w:rPr>
          <w:snapToGrid w:val="0"/>
        </w:rPr>
        <w:t xml:space="preserve"> and shall be applied in or towards the settlement of relevant claims.</w:t>
      </w:r>
    </w:p>
    <w:p>
      <w:pPr>
        <w:pStyle w:val="Footnotesection"/>
      </w:pPr>
      <w:r>
        <w:tab/>
        <w:t>[Section 100 amended: No. 59 of 1995 s. 86; No. 77 of 2006 Sch. 1 cl. 156(2).]</w:t>
      </w:r>
    </w:p>
    <w:p>
      <w:pPr>
        <w:pStyle w:val="Heading5"/>
        <w:rPr>
          <w:snapToGrid w:val="0"/>
        </w:rPr>
      </w:pPr>
      <w:bookmarkStart w:id="119" w:name="_Toc107496022"/>
      <w:r>
        <w:rPr>
          <w:rStyle w:val="CharSectno"/>
        </w:rPr>
        <w:lastRenderedPageBreak/>
        <w:t>101</w:t>
      </w:r>
      <w:r>
        <w:rPr>
          <w:snapToGrid w:val="0"/>
        </w:rPr>
        <w:t>.</w:t>
      </w:r>
      <w:r>
        <w:rPr>
          <w:snapToGrid w:val="0"/>
        </w:rPr>
        <w:tab/>
        <w:t>Advertising for claims in relation to defaulting licensee</w:t>
      </w:r>
      <w:bookmarkEnd w:id="119"/>
    </w:p>
    <w:p>
      <w:pPr>
        <w:pStyle w:val="Subsection"/>
        <w:rPr>
          <w:snapToGrid w:val="0"/>
        </w:rPr>
      </w:pPr>
      <w:r>
        <w:rPr>
          <w:snapToGrid w:val="0"/>
        </w:rPr>
        <w:tab/>
        <w:t>(1)</w:t>
      </w:r>
      <w:r>
        <w:rPr>
          <w:snapToGrid w:val="0"/>
        </w:rPr>
        <w:tab/>
        <w:t xml:space="preserve">The </w:t>
      </w:r>
      <w:r>
        <w:t>chief executive officer</w:t>
      </w:r>
      <w:r>
        <w:rPr>
          <w:snapToGrid w:val="0"/>
        </w:rPr>
        <w:t xml:space="preserve"> may cause to be published a notice in a newspaper circulating in the district in which the defaulting licensee is or was carrying on business as a settlement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spacing w:before="120"/>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93 and 95, having regard only to judgments and claims allowed against the</w:t>
      </w:r>
      <w:r>
        <w:t xml:space="preserve"> Account</w:t>
      </w:r>
      <w:r>
        <w:rPr>
          <w:snapToGrid w:val="0"/>
        </w:rPr>
        <w:t>.</w:t>
      </w:r>
    </w:p>
    <w:p>
      <w:pPr>
        <w:pStyle w:val="Footnotesection"/>
        <w:spacing w:before="80"/>
      </w:pPr>
      <w:r>
        <w:tab/>
        <w:t>[Section 101 amended: No. 77 of 2006 Sch. 1 cl. 156(2); No. 58 of 2010 s. 162.]</w:t>
      </w:r>
    </w:p>
    <w:p>
      <w:pPr>
        <w:pStyle w:val="Heading5"/>
        <w:rPr>
          <w:snapToGrid w:val="0"/>
        </w:rPr>
      </w:pPr>
      <w:bookmarkStart w:id="120" w:name="_Toc107496023"/>
      <w:r>
        <w:rPr>
          <w:rStyle w:val="CharSectno"/>
        </w:rPr>
        <w:t>102</w:t>
      </w:r>
      <w:r>
        <w:rPr>
          <w:snapToGrid w:val="0"/>
        </w:rPr>
        <w:t>.</w:t>
      </w:r>
      <w:r>
        <w:rPr>
          <w:snapToGrid w:val="0"/>
        </w:rPr>
        <w:tab/>
        <w:t>Documents etc. to support claims, CEO may require</w:t>
      </w:r>
      <w:bookmarkEnd w:id="120"/>
    </w:p>
    <w:p>
      <w:pPr>
        <w:pStyle w:val="Subsection"/>
        <w:spacing w:before="120"/>
        <w:rPr>
          <w:snapToGrid w:val="0"/>
        </w:rPr>
      </w:pPr>
      <w:r>
        <w:rPr>
          <w:snapToGrid w:val="0"/>
        </w:rPr>
        <w:tab/>
      </w:r>
      <w:r>
        <w:rPr>
          <w:snapToGrid w:val="0"/>
        </w:rPr>
        <w:tab/>
        <w:t xml:space="preserve">The </w:t>
      </w:r>
      <w:r>
        <w:t>chief executive officer</w:t>
      </w:r>
      <w:r>
        <w:rPr>
          <w:snapToGrid w:val="0"/>
        </w:rPr>
        <w:t xml:space="preserve"> may at any time and from time to time require production and delivery to the </w:t>
      </w:r>
      <w:r>
        <w:t>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spacing w:before="80"/>
      </w:pPr>
      <w:r>
        <w:tab/>
        <w:t>[Section 102 amended: No. 58 of 2010 s. 163.]</w:t>
      </w:r>
    </w:p>
    <w:p>
      <w:pPr>
        <w:pStyle w:val="Heading5"/>
      </w:pPr>
      <w:bookmarkStart w:id="121" w:name="_Toc107496024"/>
      <w:r>
        <w:rPr>
          <w:rStyle w:val="CharSectno"/>
        </w:rPr>
        <w:t>102AA</w:t>
      </w:r>
      <w:r>
        <w:t>.</w:t>
      </w:r>
      <w:r>
        <w:tab/>
        <w:t>Commissioner may investigate claims against Fidelity Account</w:t>
      </w:r>
      <w:bookmarkEnd w:id="121"/>
    </w:p>
    <w:p>
      <w:pPr>
        <w:pStyle w:val="Subsection"/>
        <w:spacing w:before="120"/>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spacing w:before="120"/>
      </w:pPr>
      <w:r>
        <w:lastRenderedPageBreak/>
        <w:tab/>
        <w:t>(2)</w:t>
      </w:r>
      <w:r>
        <w:tab/>
        <w:t>For the purposes of the investigation or inquiry, the administration of the Fidelity Account is taken to be a function of the Commissioner.</w:t>
      </w:r>
    </w:p>
    <w:p>
      <w:pPr>
        <w:pStyle w:val="Subsection"/>
        <w:spacing w:before="120"/>
      </w:pPr>
      <w:r>
        <w:tab/>
        <w:t>(3)</w:t>
      </w:r>
      <w:r>
        <w:tab/>
        <w:t>The Commissioner must, as soon as practicable after completing the investigation or inquiry, prepare a report on the findings of the investigation or inquiry and give it to the chief executive officer.</w:t>
      </w:r>
    </w:p>
    <w:p>
      <w:pPr>
        <w:pStyle w:val="Footnotesection"/>
        <w:spacing w:before="80"/>
      </w:pPr>
      <w:r>
        <w:tab/>
        <w:t>[Section 102AA inserted: No. 23 of 2014 s. 106.]</w:t>
      </w:r>
    </w:p>
    <w:p>
      <w:pPr>
        <w:pStyle w:val="Heading2"/>
      </w:pPr>
      <w:bookmarkStart w:id="122" w:name="_Toc107315923"/>
      <w:bookmarkStart w:id="123" w:name="_Toc107316313"/>
      <w:bookmarkStart w:id="124" w:name="_Toc107496025"/>
      <w:r>
        <w:rPr>
          <w:rStyle w:val="CharPartNo"/>
        </w:rPr>
        <w:lastRenderedPageBreak/>
        <w:t>Part VA</w:t>
      </w:r>
      <w:r>
        <w:rPr>
          <w:rStyle w:val="CharDivNo"/>
        </w:rPr>
        <w:t> </w:t>
      </w:r>
      <w:r>
        <w:t>—</w:t>
      </w:r>
      <w:r>
        <w:rPr>
          <w:rStyle w:val="CharDivText"/>
        </w:rPr>
        <w:t> </w:t>
      </w:r>
      <w:r>
        <w:rPr>
          <w:rStyle w:val="CharPartText"/>
        </w:rPr>
        <w:t>Education and General Purpose Account</w:t>
      </w:r>
      <w:bookmarkEnd w:id="122"/>
      <w:bookmarkEnd w:id="123"/>
      <w:bookmarkEnd w:id="124"/>
    </w:p>
    <w:p>
      <w:pPr>
        <w:pStyle w:val="Footnoteheading"/>
        <w:rPr>
          <w:snapToGrid w:val="0"/>
        </w:rPr>
      </w:pPr>
      <w:r>
        <w:rPr>
          <w:snapToGrid w:val="0"/>
        </w:rPr>
        <w:tab/>
        <w:t>[Heading inserted: No. 59 of 1995 s. 80; amended: No. 77 of 2006 Sch. 1 cl. 156(11).]</w:t>
      </w:r>
    </w:p>
    <w:p>
      <w:pPr>
        <w:pStyle w:val="Heading5"/>
        <w:rPr>
          <w:snapToGrid w:val="0"/>
        </w:rPr>
      </w:pPr>
      <w:bookmarkStart w:id="125" w:name="_Toc107496026"/>
      <w:r>
        <w:rPr>
          <w:rStyle w:val="CharSectno"/>
        </w:rPr>
        <w:t>102A</w:t>
      </w:r>
      <w:r>
        <w:rPr>
          <w:snapToGrid w:val="0"/>
        </w:rPr>
        <w:t xml:space="preserve">. </w:t>
      </w:r>
      <w:r>
        <w:rPr>
          <w:snapToGrid w:val="0"/>
        </w:rPr>
        <w:tab/>
        <w:t>Account established; administration of account</w:t>
      </w:r>
      <w:bookmarkEnd w:id="125"/>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Account</w:t>
      </w:r>
      <w:r>
        <w:rPr>
          <w:snapToGrid w:val="0"/>
        </w:rPr>
        <w:t xml:space="preserve"> is to be administered by the </w:t>
      </w:r>
      <w:r>
        <w:t>chief executive officer.</w:t>
      </w:r>
    </w:p>
    <w:p>
      <w:pPr>
        <w:pStyle w:val="Footnotesection"/>
      </w:pPr>
      <w:r>
        <w:tab/>
        <w:t>[Section 102A inserted: No. 59 of 1995 s. 80; amended: No. 77 of 2006 Sch. 1 cl. 156(2) and (12); No. 58 of 2010 s. 164.]</w:t>
      </w:r>
    </w:p>
    <w:p>
      <w:pPr>
        <w:pStyle w:val="Heading5"/>
        <w:rPr>
          <w:snapToGrid w:val="0"/>
        </w:rPr>
      </w:pPr>
      <w:bookmarkStart w:id="126" w:name="_Toc107496027"/>
      <w:r>
        <w:rPr>
          <w:rStyle w:val="CharSectno"/>
        </w:rPr>
        <w:t>102B</w:t>
      </w:r>
      <w:r>
        <w:rPr>
          <w:snapToGrid w:val="0"/>
        </w:rPr>
        <w:t xml:space="preserve">. </w:t>
      </w:r>
      <w:r>
        <w:rPr>
          <w:snapToGrid w:val="0"/>
        </w:rPr>
        <w:tab/>
        <w:t>Moneys to be credited to a</w:t>
      </w:r>
      <w:r>
        <w:t>ccount</w:t>
      </w:r>
      <w:bookmarkEnd w:id="126"/>
    </w:p>
    <w:p>
      <w:pPr>
        <w:pStyle w:val="Subsection"/>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income derived from the investment, under section 102D, of moneys standing to the credit of the General Purpose</w:t>
      </w:r>
      <w:r>
        <w:t xml:space="preserve"> Account</w:t>
      </w:r>
      <w:r>
        <w:rPr>
          <w:snapToGrid w:val="0"/>
        </w:rPr>
        <w:t>; and</w:t>
      </w:r>
    </w:p>
    <w:p>
      <w:pPr>
        <w:pStyle w:val="Indenta"/>
        <w:rPr>
          <w:snapToGrid w:val="0"/>
        </w:rPr>
      </w:pPr>
      <w:r>
        <w:rPr>
          <w:snapToGrid w:val="0"/>
        </w:rPr>
        <w:tab/>
        <w:t>(b)</w:t>
      </w:r>
      <w:r>
        <w:rPr>
          <w:snapToGrid w:val="0"/>
        </w:rPr>
        <w:tab/>
        <w:t xml:space="preserve">all moneys transferred to the General Purpose </w:t>
      </w:r>
      <w:r>
        <w:t>Account</w:t>
      </w:r>
      <w:r>
        <w:rPr>
          <w:snapToGrid w:val="0"/>
        </w:rPr>
        <w:t xml:space="preserve"> under section 105(b); and</w:t>
      </w:r>
    </w:p>
    <w:p>
      <w:pPr>
        <w:pStyle w:val="Indenta"/>
        <w:rPr>
          <w:snapToGrid w:val="0"/>
        </w:rPr>
      </w:pPr>
      <w:r>
        <w:rPr>
          <w:snapToGrid w:val="0"/>
        </w:rPr>
        <w:tab/>
        <w:t>(c)</w:t>
      </w:r>
      <w:r>
        <w:rPr>
          <w:snapToGrid w:val="0"/>
        </w:rPr>
        <w:tab/>
        <w:t xml:space="preserve">fees, costs and other moneys lawfully received by or payable to the </w:t>
      </w:r>
      <w:r>
        <w:t>chief executive officer;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keepNext/>
        <w:keepLines/>
        <w:rPr>
          <w:snapToGrid w:val="0"/>
        </w:rPr>
      </w:pPr>
      <w:r>
        <w:rPr>
          <w:snapToGrid w:val="0"/>
        </w:rPr>
        <w:lastRenderedPageBreak/>
        <w:tab/>
        <w:t>(f)</w:t>
      </w:r>
      <w:r>
        <w:rPr>
          <w:snapToGrid w:val="0"/>
        </w:rPr>
        <w:tab/>
        <w:t>any moneys, other than moneys referred to in paragraphs (a), (b), (c) and (e), that may lawfully be credited to the General Purpose</w:t>
      </w:r>
      <w:r>
        <w:t xml:space="preserve"> Account</w:t>
      </w:r>
      <w:r>
        <w:rPr>
          <w:snapToGrid w:val="0"/>
        </w:rPr>
        <w:t>.</w:t>
      </w:r>
    </w:p>
    <w:p>
      <w:pPr>
        <w:pStyle w:val="Footnotesection"/>
        <w:spacing w:before="100"/>
        <w:ind w:left="890" w:hanging="890"/>
      </w:pPr>
      <w:r>
        <w:tab/>
        <w:t>[Section 102B inserted: No. 59 of 1995 s. 80; amended: No. 55 of 2004 s. 1091; No. 77 of 2006 Sch. 1 cl. 156(2); No. 58 of 2010 s. 165.]</w:t>
      </w:r>
    </w:p>
    <w:p>
      <w:pPr>
        <w:pStyle w:val="Heading5"/>
        <w:rPr>
          <w:snapToGrid w:val="0"/>
        </w:rPr>
      </w:pPr>
      <w:bookmarkStart w:id="127" w:name="_Toc107496028"/>
      <w:r>
        <w:rPr>
          <w:rStyle w:val="CharSectno"/>
        </w:rPr>
        <w:t>102C</w:t>
      </w:r>
      <w:r>
        <w:rPr>
          <w:snapToGrid w:val="0"/>
        </w:rPr>
        <w:t xml:space="preserve">. </w:t>
      </w:r>
      <w:r>
        <w:rPr>
          <w:snapToGrid w:val="0"/>
        </w:rPr>
        <w:tab/>
        <w:t>Expenditure from a</w:t>
      </w:r>
      <w:r>
        <w:t>ccount</w:t>
      </w:r>
      <w:bookmarkEnd w:id="127"/>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spacing w:before="60"/>
        <w:rPr>
          <w:snapToGrid w:val="0"/>
        </w:rPr>
      </w:pPr>
      <w:r>
        <w:rPr>
          <w:snapToGrid w:val="0"/>
        </w:rPr>
        <w:tab/>
        <w:t>(a)</w:t>
      </w:r>
      <w:r>
        <w:rPr>
          <w:snapToGrid w:val="0"/>
        </w:rPr>
        <w:tab/>
        <w:t>the costs incurred in the administration of the General Purpose</w:t>
      </w:r>
      <w:r>
        <w:t xml:space="preserve"> Account</w:t>
      </w:r>
      <w:r>
        <w:rPr>
          <w:snapToGrid w:val="0"/>
        </w:rPr>
        <w:t>; and</w:t>
      </w:r>
    </w:p>
    <w:p>
      <w:pPr>
        <w:pStyle w:val="Ednotepara"/>
        <w:spacing w:before="60"/>
        <w:ind w:left="1610" w:hanging="1610"/>
        <w:rPr>
          <w:snapToGrid w:val="0"/>
        </w:rPr>
      </w:pPr>
      <w:r>
        <w:tab/>
        <w:t>[(b)</w:t>
      </w:r>
      <w:r>
        <w:tab/>
        <w:t>deleted]</w:t>
      </w:r>
    </w:p>
    <w:p>
      <w:pPr>
        <w:pStyle w:val="Indenta"/>
        <w:spacing w:before="60"/>
        <w:rPr>
          <w:snapToGrid w:val="0"/>
        </w:rPr>
      </w:pPr>
      <w:r>
        <w:rPr>
          <w:snapToGrid w:val="0"/>
        </w:rPr>
        <w:tab/>
        <w:t>(c)</w:t>
      </w:r>
      <w:r>
        <w:rPr>
          <w:snapToGrid w:val="0"/>
        </w:rPr>
        <w:tab/>
        <w:t xml:space="preserve">the costs associated with the provision of secretarial, clerical or other administrative support to the </w:t>
      </w:r>
      <w:r>
        <w:t>Commissioner in the performance of his or her</w:t>
      </w:r>
      <w:r>
        <w:rPr>
          <w:snapToGrid w:val="0"/>
        </w:rPr>
        <w:t xml:space="preserve"> functions under this Act; and</w:t>
      </w:r>
    </w:p>
    <w:p>
      <w:pPr>
        <w:pStyle w:val="Indenta"/>
        <w:spacing w:before="60"/>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pPr>
      <w:r>
        <w:tab/>
        <w:t>(e)</w:t>
      </w:r>
      <w:r>
        <w:tab/>
        <w:t xml:space="preserve">all other expenditure lawfully incurred by the Commissioner in the performance of the Commissioner’s functions under this Act or the Commissioner’s functions under the </w:t>
      </w:r>
      <w:r>
        <w:rPr>
          <w:i/>
        </w:rPr>
        <w:t>Fair Trading Act 2010</w:t>
      </w:r>
      <w:r>
        <w:t xml:space="preserve"> section 57A that are performed for the purposes of this Act.</w:t>
      </w:r>
    </w:p>
    <w:p>
      <w:pPr>
        <w:pStyle w:val="Footnotesection"/>
      </w:pPr>
      <w:r>
        <w:tab/>
        <w:t>[Section 102C inserted: No. 59 of 1995 s. 80; amended: No. 77 of 2006 Sch. 1 cl. 156(2); No. 58 of 2010 s. 166; No. 23 of 2014 s. 107.]</w:t>
      </w:r>
    </w:p>
    <w:p>
      <w:pPr>
        <w:pStyle w:val="Heading5"/>
        <w:rPr>
          <w:snapToGrid w:val="0"/>
        </w:rPr>
      </w:pPr>
      <w:bookmarkStart w:id="128" w:name="_Toc107496029"/>
      <w:r>
        <w:rPr>
          <w:rStyle w:val="CharSectno"/>
        </w:rPr>
        <w:t>102D</w:t>
      </w:r>
      <w:r>
        <w:rPr>
          <w:snapToGrid w:val="0"/>
        </w:rPr>
        <w:t xml:space="preserve">. </w:t>
      </w:r>
      <w:r>
        <w:rPr>
          <w:snapToGrid w:val="0"/>
        </w:rPr>
        <w:tab/>
        <w:t>Investment of moneys in a</w:t>
      </w:r>
      <w:r>
        <w:t>ccount</w:t>
      </w:r>
      <w:bookmarkEnd w:id="128"/>
    </w:p>
    <w:p>
      <w:pPr>
        <w:pStyle w:val="Subsection"/>
        <w:rPr>
          <w:snapToGrid w:val="0"/>
        </w:rPr>
      </w:pPr>
      <w:r>
        <w:rPr>
          <w:snapToGrid w:val="0"/>
        </w:rPr>
        <w:tab/>
        <w:t>(1)</w:t>
      </w:r>
      <w:r>
        <w:rPr>
          <w:snapToGrid w:val="0"/>
        </w:rPr>
        <w:tab/>
        <w:t xml:space="preserve">Moneys standing to the credit of the General Purpose </w:t>
      </w:r>
      <w:r>
        <w:t>Account</w:t>
      </w:r>
      <w:r>
        <w:rPr>
          <w:snapToGrid w:val="0"/>
        </w:rPr>
        <w:t xml:space="preserve"> may, until required for the purposes of section 102C,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lastRenderedPageBreak/>
        <w:tab/>
        <w:t>(2)</w:t>
      </w:r>
      <w:r>
        <w:rPr>
          <w:snapToGrid w:val="0"/>
        </w:rPr>
        <w:tab/>
        <w:t>Income derived from any such investment is to be credited to the General Purpose</w:t>
      </w:r>
      <w:r>
        <w:t xml:space="preserve"> Account</w:t>
      </w:r>
      <w:r>
        <w:rPr>
          <w:snapToGrid w:val="0"/>
        </w:rPr>
        <w:t>.</w:t>
      </w:r>
    </w:p>
    <w:p>
      <w:pPr>
        <w:pStyle w:val="Footnotesection"/>
        <w:spacing w:before="100"/>
        <w:ind w:left="890" w:hanging="890"/>
      </w:pPr>
      <w:r>
        <w:tab/>
        <w:t>[Section 102D inserted: No. 59 of 1995 s. 80; amended: No. 77 of 2006 Sch. 1 cl. 156(2) and (13).]</w:t>
      </w:r>
    </w:p>
    <w:p>
      <w:pPr>
        <w:pStyle w:val="Heading2"/>
      </w:pPr>
      <w:bookmarkStart w:id="129" w:name="_Toc107315928"/>
      <w:bookmarkStart w:id="130" w:name="_Toc107316318"/>
      <w:bookmarkStart w:id="131" w:name="_Toc107496030"/>
      <w:r>
        <w:rPr>
          <w:rStyle w:val="CharPartNo"/>
        </w:rPr>
        <w:lastRenderedPageBreak/>
        <w:t>Part VI</w:t>
      </w:r>
      <w:r>
        <w:rPr>
          <w:rStyle w:val="CharDivNo"/>
        </w:rPr>
        <w:t> </w:t>
      </w:r>
      <w:r>
        <w:t>—</w:t>
      </w:r>
      <w:r>
        <w:rPr>
          <w:rStyle w:val="CharDivText"/>
        </w:rPr>
        <w:t> </w:t>
      </w:r>
      <w:r>
        <w:rPr>
          <w:rStyle w:val="CharPartText"/>
        </w:rPr>
        <w:t>Settlement Agents Interest Account</w:t>
      </w:r>
      <w:bookmarkEnd w:id="129"/>
      <w:bookmarkEnd w:id="130"/>
      <w:bookmarkEnd w:id="131"/>
    </w:p>
    <w:p>
      <w:pPr>
        <w:pStyle w:val="Footnoteheading"/>
        <w:rPr>
          <w:snapToGrid w:val="0"/>
        </w:rPr>
      </w:pPr>
      <w:r>
        <w:rPr>
          <w:snapToGrid w:val="0"/>
        </w:rPr>
        <w:tab/>
        <w:t>[Heading inserted: No. 59 of 1995 s. 81; amended: No. 58 of 2010 s. 167.]</w:t>
      </w:r>
    </w:p>
    <w:p>
      <w:pPr>
        <w:pStyle w:val="Heading5"/>
        <w:spacing w:before="180"/>
        <w:rPr>
          <w:snapToGrid w:val="0"/>
        </w:rPr>
      </w:pPr>
      <w:bookmarkStart w:id="132" w:name="_Toc107496031"/>
      <w:r>
        <w:rPr>
          <w:rStyle w:val="CharSectno"/>
        </w:rPr>
        <w:t>103</w:t>
      </w:r>
      <w:r>
        <w:rPr>
          <w:snapToGrid w:val="0"/>
        </w:rPr>
        <w:t>.</w:t>
      </w:r>
      <w:r>
        <w:rPr>
          <w:snapToGrid w:val="0"/>
        </w:rPr>
        <w:tab/>
        <w:t>Account established; administration of account</w:t>
      </w:r>
      <w:bookmarkEnd w:id="132"/>
    </w:p>
    <w:p>
      <w:pPr>
        <w:pStyle w:val="Subsection"/>
      </w:pPr>
      <w:r>
        <w:tab/>
        <w:t>(1)</w:t>
      </w:r>
      <w:r>
        <w:tab/>
        <w:t>An account called the Settlement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Interest Account</w:t>
      </w:r>
      <w:r>
        <w:rPr>
          <w:snapToGrid w:val="0"/>
        </w:rPr>
        <w:t xml:space="preserve"> is to be administered by the </w:t>
      </w:r>
      <w:r>
        <w:t>chief executive officer.</w:t>
      </w:r>
    </w:p>
    <w:p>
      <w:pPr>
        <w:pStyle w:val="Footnotesection"/>
      </w:pPr>
      <w:r>
        <w:tab/>
        <w:t>[Section 103 inserted: No. 59 of 1995 s. 81; amended: No. 77 of 2006 Sch. 1 cl. 156(14); No. 46 of 2009 s. 15(3); No. 58 of 2010 s. 168.]</w:t>
      </w:r>
    </w:p>
    <w:p>
      <w:pPr>
        <w:pStyle w:val="Heading5"/>
        <w:rPr>
          <w:snapToGrid w:val="0"/>
        </w:rPr>
      </w:pPr>
      <w:bookmarkStart w:id="133" w:name="_Toc107496032"/>
      <w:r>
        <w:rPr>
          <w:rStyle w:val="CharSectno"/>
        </w:rPr>
        <w:t>104</w:t>
      </w:r>
      <w:r>
        <w:rPr>
          <w:snapToGrid w:val="0"/>
        </w:rPr>
        <w:t>.</w:t>
      </w:r>
      <w:r>
        <w:rPr>
          <w:snapToGrid w:val="0"/>
        </w:rPr>
        <w:tab/>
        <w:t>Moneys to be credited to a</w:t>
      </w:r>
      <w:r>
        <w:t>ccount</w:t>
      </w:r>
      <w:bookmarkEnd w:id="133"/>
    </w:p>
    <w:p>
      <w:pPr>
        <w:pStyle w:val="Subsection"/>
        <w:rPr>
          <w:snapToGrid w:val="0"/>
        </w:rPr>
      </w:pPr>
      <w:r>
        <w:rPr>
          <w:snapToGrid w:val="0"/>
        </w:rPr>
        <w:tab/>
      </w:r>
      <w:r>
        <w:rPr>
          <w:snapToGrid w:val="0"/>
        </w:rPr>
        <w:tab/>
        <w:t>There are to be credited to the</w:t>
      </w:r>
      <w:r>
        <w:t xml:space="preserve"> Interest Account</w:t>
      </w:r>
      <w:r>
        <w:rPr>
          <w:snapToGrid w:val="0"/>
        </w:rPr>
        <w:t> —</w:t>
      </w:r>
    </w:p>
    <w:p>
      <w:pPr>
        <w:pStyle w:val="Indenta"/>
        <w:rPr>
          <w:snapToGrid w:val="0"/>
        </w:rPr>
      </w:pPr>
      <w:r>
        <w:rPr>
          <w:snapToGrid w:val="0"/>
        </w:rPr>
        <w:tab/>
        <w:t>(a)</w:t>
      </w:r>
      <w:r>
        <w:rPr>
          <w:snapToGrid w:val="0"/>
        </w:rPr>
        <w:tab/>
        <w:t xml:space="preserve">all moneys paid to the credit of the </w:t>
      </w:r>
      <w:r>
        <w:t>Interest Account</w:t>
      </w:r>
      <w:r>
        <w:rPr>
          <w:snapToGrid w:val="0"/>
        </w:rPr>
        <w:t xml:space="preserve"> under section 49B; and</w:t>
      </w:r>
    </w:p>
    <w:p>
      <w:pPr>
        <w:pStyle w:val="Indenta"/>
        <w:rPr>
          <w:snapToGrid w:val="0"/>
        </w:rPr>
      </w:pPr>
      <w:r>
        <w:rPr>
          <w:snapToGrid w:val="0"/>
        </w:rPr>
        <w:tab/>
        <w:t>(b)</w:t>
      </w:r>
      <w:r>
        <w:rPr>
          <w:snapToGrid w:val="0"/>
        </w:rPr>
        <w:tab/>
        <w:t>income derived from the investment, under section 106, of moneys standing to the credit of the</w:t>
      </w:r>
      <w:r>
        <w:t xml:space="preserve"> Interest Account</w:t>
      </w:r>
      <w:r>
        <w:rPr>
          <w:snapToGrid w:val="0"/>
        </w:rPr>
        <w:t>; and</w:t>
      </w:r>
    </w:p>
    <w:p>
      <w:pPr>
        <w:pStyle w:val="Indenta"/>
        <w:rPr>
          <w:snapToGrid w:val="0"/>
        </w:rPr>
      </w:pPr>
      <w:r>
        <w:rPr>
          <w:snapToGrid w:val="0"/>
        </w:rPr>
        <w:tab/>
        <w:t>(c)</w:t>
      </w:r>
      <w:r>
        <w:rPr>
          <w:snapToGrid w:val="0"/>
        </w:rPr>
        <w:tab/>
        <w:t>any moneys, other than moneys referred to in paragraphs (a) and (b), that may lawfully be credited to the</w:t>
      </w:r>
      <w:r>
        <w:t xml:space="preserve"> Interest Account</w:t>
      </w:r>
      <w:r>
        <w:rPr>
          <w:snapToGrid w:val="0"/>
        </w:rPr>
        <w:t>.</w:t>
      </w:r>
    </w:p>
    <w:p>
      <w:pPr>
        <w:pStyle w:val="Footnotesection"/>
      </w:pPr>
      <w:r>
        <w:tab/>
        <w:t>[Section 104 inserted: No. 59 of 1995 s. 81; amended: No. 46 of 2009 s. 15(3).]</w:t>
      </w:r>
    </w:p>
    <w:p>
      <w:pPr>
        <w:pStyle w:val="Heading5"/>
        <w:rPr>
          <w:snapToGrid w:val="0"/>
        </w:rPr>
      </w:pPr>
      <w:bookmarkStart w:id="134" w:name="_Toc107496033"/>
      <w:r>
        <w:rPr>
          <w:rStyle w:val="CharSectno"/>
        </w:rPr>
        <w:lastRenderedPageBreak/>
        <w:t>105</w:t>
      </w:r>
      <w:r>
        <w:rPr>
          <w:snapToGrid w:val="0"/>
        </w:rPr>
        <w:t>.</w:t>
      </w:r>
      <w:r>
        <w:rPr>
          <w:snapToGrid w:val="0"/>
        </w:rPr>
        <w:tab/>
        <w:t>Expenditure from a</w:t>
      </w:r>
      <w:r>
        <w:t>ccount</w:t>
      </w:r>
      <w:bookmarkEnd w:id="134"/>
    </w:p>
    <w:p>
      <w:pPr>
        <w:pStyle w:val="Subsection"/>
        <w:keepNext/>
        <w:rPr>
          <w:snapToGrid w:val="0"/>
        </w:rPr>
      </w:pPr>
      <w:r>
        <w:rPr>
          <w:snapToGrid w:val="0"/>
        </w:rPr>
        <w:tab/>
      </w:r>
      <w:r>
        <w:rPr>
          <w:snapToGrid w:val="0"/>
        </w:rPr>
        <w:tab/>
        <w:t xml:space="preserve">Moneys standing to the credit of </w:t>
      </w:r>
      <w:r>
        <w:t>the Interest Account are</w:t>
      </w:r>
      <w:r>
        <w:rPr>
          <w:snapToGrid w:val="0"/>
        </w:rPr>
        <w:t xml:space="preserve"> to be applied at such times as are prescribed —</w:t>
      </w:r>
    </w:p>
    <w:p>
      <w:pPr>
        <w:pStyle w:val="Indenta"/>
        <w:rPr>
          <w:snapToGrid w:val="0"/>
        </w:rPr>
      </w:pPr>
      <w:r>
        <w:rPr>
          <w:snapToGrid w:val="0"/>
        </w:rPr>
        <w:tab/>
        <w:t>(a)</w:t>
      </w:r>
      <w:r>
        <w:rPr>
          <w:snapToGrid w:val="0"/>
        </w:rPr>
        <w:tab/>
        <w:t>first, in payment of the costs involved in administering the</w:t>
      </w:r>
      <w:r>
        <w:t xml:space="preserve"> Interest Account</w:t>
      </w:r>
      <w:r>
        <w:rPr>
          <w:snapToGrid w:val="0"/>
        </w:rPr>
        <w:t>; and</w:t>
      </w:r>
    </w:p>
    <w:p>
      <w:pPr>
        <w:pStyle w:val="Indenta"/>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 Guarantee</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w:t>
      </w:r>
    </w:p>
    <w:p>
      <w:pPr>
        <w:pStyle w:val="Footnotesection"/>
      </w:pPr>
      <w:r>
        <w:tab/>
        <w:t>[Section 105 inserted: No. 59 of 1995 s. 81; amended: No. 77 of 2006 Sch. 1 cl. 156(2); No. 46 of 2009 s. 15(3).]</w:t>
      </w:r>
    </w:p>
    <w:p>
      <w:pPr>
        <w:pStyle w:val="Heading5"/>
        <w:rPr>
          <w:snapToGrid w:val="0"/>
        </w:rPr>
      </w:pPr>
      <w:bookmarkStart w:id="135" w:name="_Toc107496034"/>
      <w:r>
        <w:rPr>
          <w:rStyle w:val="CharSectno"/>
        </w:rPr>
        <w:t>106</w:t>
      </w:r>
      <w:r>
        <w:rPr>
          <w:snapToGrid w:val="0"/>
        </w:rPr>
        <w:t>.</w:t>
      </w:r>
      <w:r>
        <w:rPr>
          <w:snapToGrid w:val="0"/>
        </w:rPr>
        <w:tab/>
        <w:t>Investment of moneys in a</w:t>
      </w:r>
      <w:r>
        <w:t>ccount</w:t>
      </w:r>
      <w:bookmarkEnd w:id="135"/>
    </w:p>
    <w:p>
      <w:pPr>
        <w:pStyle w:val="Subsection"/>
        <w:rPr>
          <w:snapToGrid w:val="0"/>
        </w:rPr>
      </w:pPr>
      <w:r>
        <w:rPr>
          <w:snapToGrid w:val="0"/>
        </w:rPr>
        <w:tab/>
        <w:t>(1)</w:t>
      </w:r>
      <w:r>
        <w:rPr>
          <w:snapToGrid w:val="0"/>
        </w:rPr>
        <w:tab/>
        <w:t xml:space="preserve">Moneys standing to the credit of </w:t>
      </w:r>
      <w:r>
        <w:t xml:space="preserve">the Interest Account may, </w:t>
      </w:r>
      <w:r>
        <w:rPr>
          <w:snapToGrid w:val="0"/>
        </w:rPr>
        <w:t xml:space="preserve">until required for the purposes of section 105, be invested in the same manner as money standing to the credit of the Public Bank Account may be invested under section 37 of the </w:t>
      </w:r>
      <w:r>
        <w:rPr>
          <w:i/>
          <w:snapToGrid w:val="0"/>
        </w:rPr>
        <w:t>Financial Management Act 2006</w:t>
      </w:r>
      <w:r>
        <w:rPr>
          <w:snapToGrid w:val="0"/>
        </w:rPr>
        <w:t>.</w:t>
      </w:r>
    </w:p>
    <w:p>
      <w:pPr>
        <w:pStyle w:val="Subsection"/>
        <w:rPr>
          <w:snapToGrid w:val="0"/>
        </w:rPr>
      </w:pPr>
      <w:r>
        <w:rPr>
          <w:snapToGrid w:val="0"/>
        </w:rPr>
        <w:tab/>
        <w:t>(2)</w:t>
      </w:r>
      <w:r>
        <w:rPr>
          <w:snapToGrid w:val="0"/>
        </w:rPr>
        <w:tab/>
        <w:t>Income derived from any such investment is to be credited to the</w:t>
      </w:r>
      <w:r>
        <w:t xml:space="preserve"> Interest Account</w:t>
      </w:r>
      <w:r>
        <w:rPr>
          <w:snapToGrid w:val="0"/>
        </w:rPr>
        <w:t>.</w:t>
      </w:r>
    </w:p>
    <w:p>
      <w:pPr>
        <w:pStyle w:val="Footnotesection"/>
      </w:pPr>
      <w:r>
        <w:tab/>
        <w:t>[Section 106 inserted: No. 59 of 1995 s. 81; amended: No. 77 of 2006 Sch. 1 cl. 156(15); No. 46 of 2009 s. 15(3).]</w:t>
      </w:r>
    </w:p>
    <w:p>
      <w:pPr>
        <w:pStyle w:val="Ednotesection"/>
        <w:tabs>
          <w:tab w:val="clear" w:pos="893"/>
          <w:tab w:val="left" w:pos="1140"/>
        </w:tabs>
      </w:pPr>
      <w:r>
        <w:t>[</w:t>
      </w:r>
      <w:r>
        <w:rPr>
          <w:b/>
        </w:rPr>
        <w:t>107, 108.</w:t>
      </w:r>
      <w:r>
        <w:tab/>
        <w:t>Deleted: No. 59 of 1995 s. 81.]</w:t>
      </w:r>
    </w:p>
    <w:p>
      <w:pPr>
        <w:pStyle w:val="Ednotesection"/>
      </w:pPr>
      <w:r>
        <w:t>[</w:t>
      </w:r>
      <w:r>
        <w:rPr>
          <w:b/>
        </w:rPr>
        <w:t>109.</w:t>
      </w:r>
      <w:r>
        <w:tab/>
        <w:t>Deleted: No. 98 of 1985 s. 3.]</w:t>
      </w:r>
    </w:p>
    <w:p>
      <w:pPr>
        <w:pStyle w:val="Heading2"/>
      </w:pPr>
      <w:bookmarkStart w:id="136" w:name="_Toc107315933"/>
      <w:bookmarkStart w:id="137" w:name="_Toc107316323"/>
      <w:bookmarkStart w:id="138" w:name="_Toc107496035"/>
      <w:r>
        <w:rPr>
          <w:rStyle w:val="CharPartNo"/>
        </w:rPr>
        <w:lastRenderedPageBreak/>
        <w:t>Part VII</w:t>
      </w:r>
      <w:r>
        <w:rPr>
          <w:rStyle w:val="CharDivNo"/>
        </w:rPr>
        <w:t> </w:t>
      </w:r>
      <w:r>
        <w:t>—</w:t>
      </w:r>
      <w:r>
        <w:rPr>
          <w:rStyle w:val="CharDivText"/>
        </w:rPr>
        <w:t> </w:t>
      </w:r>
      <w:r>
        <w:rPr>
          <w:rStyle w:val="CharPartText"/>
        </w:rPr>
        <w:t>Miscellaneous</w:t>
      </w:r>
      <w:bookmarkEnd w:id="136"/>
      <w:bookmarkEnd w:id="137"/>
      <w:bookmarkEnd w:id="138"/>
    </w:p>
    <w:p>
      <w:pPr>
        <w:pStyle w:val="Heading5"/>
        <w:rPr>
          <w:snapToGrid w:val="0"/>
        </w:rPr>
      </w:pPr>
      <w:bookmarkStart w:id="139" w:name="_Toc107496036"/>
      <w:r>
        <w:rPr>
          <w:rStyle w:val="CharSectno"/>
        </w:rPr>
        <w:t>110</w:t>
      </w:r>
      <w:r>
        <w:rPr>
          <w:snapToGrid w:val="0"/>
        </w:rPr>
        <w:t>.</w:t>
      </w:r>
      <w:r>
        <w:rPr>
          <w:snapToGrid w:val="0"/>
        </w:rPr>
        <w:tab/>
        <w:t>Registers of licensees etc., Commissioner to keep etc.</w:t>
      </w:r>
      <w:bookmarkEnd w:id="139"/>
    </w:p>
    <w:p>
      <w:pPr>
        <w:pStyle w:val="Subsection"/>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registers the name of every licensee or holder of a current triennial certificate who dies or ceases for any reason to be licensed or to hold a current triennial certificate.</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110 amended: No. 58 of 2010 s. 176.]</w:t>
      </w:r>
    </w:p>
    <w:p>
      <w:pPr>
        <w:pStyle w:val="Heading5"/>
      </w:pPr>
      <w:bookmarkStart w:id="140" w:name="_Toc107496037"/>
      <w:r>
        <w:rPr>
          <w:rStyle w:val="CharSectno"/>
        </w:rPr>
        <w:t>111A</w:t>
      </w:r>
      <w:r>
        <w:t>.</w:t>
      </w:r>
      <w:r>
        <w:tab/>
        <w:t>Offence to give false or misleading information</w:t>
      </w:r>
      <w:bookmarkEnd w:id="140"/>
    </w:p>
    <w:p>
      <w:pPr>
        <w:pStyle w:val="Subsection"/>
      </w:pPr>
      <w:r>
        <w:tab/>
        <w:t>(1)</w:t>
      </w:r>
      <w:r>
        <w:tab/>
        <w:t>A person who gives false or misleading information to the Commissioner or the chief executive officer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to the Commissioner or the chief executive officer if the person does one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keepNext/>
      </w:pPr>
      <w:r>
        <w:lastRenderedPageBreak/>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111A inserted: No. 44 of 2016 s. 41; amended: No. 25 of 2019 s. 87.]</w:t>
      </w:r>
    </w:p>
    <w:p>
      <w:pPr>
        <w:pStyle w:val="Heading5"/>
        <w:rPr>
          <w:snapToGrid w:val="0"/>
        </w:rPr>
      </w:pPr>
      <w:bookmarkStart w:id="141" w:name="_Toc107496038"/>
      <w:r>
        <w:rPr>
          <w:rStyle w:val="CharSectno"/>
        </w:rPr>
        <w:t>111</w:t>
      </w:r>
      <w:r>
        <w:rPr>
          <w:snapToGrid w:val="0"/>
        </w:rPr>
        <w:t>.</w:t>
      </w:r>
      <w:r>
        <w:rPr>
          <w:snapToGrid w:val="0"/>
        </w:rPr>
        <w:tab/>
        <w:t>Commissioner’s certificate</w:t>
      </w:r>
      <w:bookmarkEnd w:id="141"/>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111 amended: No. 58 of 2010 s. 176; No. 23 of 2014 s. 108.]</w:t>
      </w:r>
    </w:p>
    <w:p>
      <w:pPr>
        <w:pStyle w:val="Heading5"/>
        <w:rPr>
          <w:snapToGrid w:val="0"/>
        </w:rPr>
      </w:pPr>
      <w:bookmarkStart w:id="142" w:name="_Toc107496039"/>
      <w:r>
        <w:rPr>
          <w:rStyle w:val="CharSectno"/>
        </w:rPr>
        <w:t>112</w:t>
      </w:r>
      <w:r>
        <w:rPr>
          <w:snapToGrid w:val="0"/>
        </w:rPr>
        <w:t>.</w:t>
      </w:r>
      <w:r>
        <w:rPr>
          <w:snapToGrid w:val="0"/>
        </w:rPr>
        <w:tab/>
        <w:t>Annual report by department</w:t>
      </w:r>
      <w:bookmarkEnd w:id="142"/>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 xml:space="preserve">investigations and inquiries undertaken by, or at the direction of, the </w:t>
      </w:r>
      <w:r>
        <w:t>Commissioner;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rPr>
          <w:snapToGrid w:val="0"/>
        </w:rPr>
      </w:pPr>
      <w:r>
        <w:rPr>
          <w:snapToGrid w:val="0"/>
        </w:rPr>
        <w:tab/>
      </w:r>
      <w:r>
        <w:rPr>
          <w:snapToGrid w:val="0"/>
        </w:rPr>
        <w:tab/>
        <w:t>and</w:t>
      </w:r>
    </w:p>
    <w:p>
      <w:pPr>
        <w:pStyle w:val="Indenta"/>
      </w:pPr>
      <w:r>
        <w:lastRenderedPageBreak/>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rPr>
          <w:snapToGrid w:val="0"/>
        </w:rPr>
      </w:pPr>
      <w:r>
        <w:tab/>
        <w:t>(e)</w:t>
      </w:r>
      <w:r>
        <w:tab/>
        <w:t>any proposals for improving the operation of the Commissioner.</w:t>
      </w:r>
    </w:p>
    <w:p>
      <w:pPr>
        <w:pStyle w:val="Footnotesection"/>
      </w:pPr>
      <w:r>
        <w:tab/>
        <w:t>[Section 112 inserted: No. 98 of 1985 s. 3; amended: No. 59 of 1995 s. 82; No. 55 of 2004 s. 1092; No. 77 of 2006 Sch. 1 cl. 156(16); No. 58 of 2010 s. 169.]</w:t>
      </w:r>
    </w:p>
    <w:p>
      <w:pPr>
        <w:pStyle w:val="Heading5"/>
        <w:rPr>
          <w:snapToGrid w:val="0"/>
        </w:rPr>
      </w:pPr>
      <w:bookmarkStart w:id="143" w:name="_Toc107496040"/>
      <w:r>
        <w:rPr>
          <w:rStyle w:val="CharSectno"/>
        </w:rPr>
        <w:t>113</w:t>
      </w:r>
      <w:r>
        <w:rPr>
          <w:snapToGrid w:val="0"/>
        </w:rPr>
        <w:t>.</w:t>
      </w:r>
      <w:r>
        <w:rPr>
          <w:snapToGrid w:val="0"/>
        </w:rPr>
        <w:tab/>
        <w:t>Reports by Commissioner to Minister</w:t>
      </w:r>
      <w:bookmarkEnd w:id="143"/>
    </w:p>
    <w:p>
      <w:pPr>
        <w:pStyle w:val="Subsection"/>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keepNext/>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 xml:space="preserve">and where, in the opinion of the </w:t>
      </w:r>
      <w:r>
        <w:t>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pPr>
      <w:r>
        <w:tab/>
        <w:t>[Section 113 amended: No. 58 of 2010 s. 176.]</w:t>
      </w:r>
    </w:p>
    <w:p>
      <w:pPr>
        <w:pStyle w:val="Heading5"/>
        <w:rPr>
          <w:snapToGrid w:val="0"/>
        </w:rPr>
      </w:pPr>
      <w:bookmarkStart w:id="144" w:name="_Toc107496041"/>
      <w:r>
        <w:rPr>
          <w:rStyle w:val="CharSectno"/>
        </w:rPr>
        <w:t>114</w:t>
      </w:r>
      <w:r>
        <w:rPr>
          <w:snapToGrid w:val="0"/>
        </w:rPr>
        <w:t>.</w:t>
      </w:r>
      <w:r>
        <w:rPr>
          <w:snapToGrid w:val="0"/>
        </w:rPr>
        <w:tab/>
        <w:t>Refunds of fees, Commissioner’s powers as to</w:t>
      </w:r>
      <w:bookmarkEnd w:id="144"/>
    </w:p>
    <w:p>
      <w:pPr>
        <w:pStyle w:val="Subsection"/>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by way of contribution or levy to the</w:t>
      </w:r>
      <w:r>
        <w:t xml:space="preserve"> Account</w:t>
      </w:r>
      <w:r>
        <w:rPr>
          <w:snapToGrid w:val="0"/>
        </w:rPr>
        <w:t>.</w:t>
      </w:r>
    </w:p>
    <w:p>
      <w:pPr>
        <w:pStyle w:val="Footnotesection"/>
      </w:pPr>
      <w:r>
        <w:tab/>
        <w:t>[Section 114 amended: No. 77 of 2006 Sch. 1 cl. 156(2); No. 58 of 2010 s. 170 and 176.]</w:t>
      </w:r>
    </w:p>
    <w:p>
      <w:pPr>
        <w:pStyle w:val="Heading5"/>
      </w:pPr>
      <w:bookmarkStart w:id="145" w:name="_Toc107496042"/>
      <w:r>
        <w:rPr>
          <w:rStyle w:val="CharSectno"/>
        </w:rPr>
        <w:lastRenderedPageBreak/>
        <w:t>115</w:t>
      </w:r>
      <w:r>
        <w:t>.</w:t>
      </w:r>
      <w:r>
        <w:tab/>
        <w:t>Protection from personal liability</w:t>
      </w:r>
      <w:bookmarkEnd w:id="145"/>
    </w:p>
    <w:p>
      <w:pPr>
        <w:pStyle w:val="Subsection"/>
      </w:pPr>
      <w:r>
        <w:tab/>
      </w:r>
      <w:r>
        <w:tab/>
        <w:t>A person does not incur any liability in tort for anything that the person does, in good faith, in the performance or purported performance of a function under this Act.</w:t>
      </w:r>
    </w:p>
    <w:p>
      <w:pPr>
        <w:pStyle w:val="Footnotesection"/>
      </w:pPr>
      <w:r>
        <w:tab/>
        <w:t>[Section 115 inserted: No. 58 of 2010 s. 171.]</w:t>
      </w:r>
    </w:p>
    <w:p>
      <w:pPr>
        <w:pStyle w:val="Heading5"/>
      </w:pPr>
      <w:bookmarkStart w:id="146" w:name="_Toc107496043"/>
      <w:r>
        <w:rPr>
          <w:rStyle w:val="CharSectno"/>
        </w:rPr>
        <w:t>116</w:t>
      </w:r>
      <w:r>
        <w:t>.</w:t>
      </w:r>
      <w:r>
        <w:tab/>
        <w:t>Confidentiality of information officially obtained</w:t>
      </w:r>
      <w:bookmarkEnd w:id="146"/>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116 inserted: No. 58 of 2010 s. 172.]</w:t>
      </w:r>
    </w:p>
    <w:p>
      <w:pPr>
        <w:pStyle w:val="Heading5"/>
        <w:rPr>
          <w:snapToGrid w:val="0"/>
        </w:rPr>
      </w:pPr>
      <w:bookmarkStart w:id="147" w:name="_Toc107496044"/>
      <w:r>
        <w:rPr>
          <w:rStyle w:val="CharSectno"/>
        </w:rPr>
        <w:t>117</w:t>
      </w:r>
      <w:r>
        <w:rPr>
          <w:snapToGrid w:val="0"/>
        </w:rPr>
        <w:t>.</w:t>
      </w:r>
      <w:r>
        <w:rPr>
          <w:snapToGrid w:val="0"/>
        </w:rPr>
        <w:tab/>
        <w:t>Liability of directors of body corporate for defalcations</w:t>
      </w:r>
      <w:bookmarkEnd w:id="147"/>
    </w:p>
    <w:p>
      <w:pPr>
        <w:pStyle w:val="Subsection"/>
        <w:rPr>
          <w:snapToGrid w:val="0"/>
        </w:rPr>
      </w:pPr>
      <w:r>
        <w:rPr>
          <w:snapToGrid w:val="0"/>
        </w:rPr>
        <w:tab/>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Heading5"/>
        <w:rPr>
          <w:snapToGrid w:val="0"/>
        </w:rPr>
      </w:pPr>
      <w:bookmarkStart w:id="148" w:name="_Toc107496045"/>
      <w:r>
        <w:rPr>
          <w:rStyle w:val="CharSectno"/>
        </w:rPr>
        <w:t>118</w:t>
      </w:r>
      <w:r>
        <w:rPr>
          <w:snapToGrid w:val="0"/>
        </w:rPr>
        <w:t>.</w:t>
      </w:r>
      <w:r>
        <w:rPr>
          <w:snapToGrid w:val="0"/>
        </w:rPr>
        <w:tab/>
        <w:t>Other rights and remedies not affected by this Act</w:t>
      </w:r>
      <w:bookmarkEnd w:id="148"/>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49" w:name="_Toc107496046"/>
      <w:r>
        <w:rPr>
          <w:rStyle w:val="CharSectno"/>
        </w:rPr>
        <w:t>119</w:t>
      </w:r>
      <w:r>
        <w:rPr>
          <w:snapToGrid w:val="0"/>
        </w:rPr>
        <w:t>.</w:t>
      </w:r>
      <w:r>
        <w:rPr>
          <w:snapToGrid w:val="0"/>
        </w:rPr>
        <w:tab/>
        <w:t>Rights conferred by Act cannot be waived</w:t>
      </w:r>
      <w:bookmarkEnd w:id="149"/>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0" w:name="_Toc107496047"/>
      <w:r>
        <w:rPr>
          <w:rStyle w:val="CharSectno"/>
        </w:rPr>
        <w:t>120</w:t>
      </w:r>
      <w:r>
        <w:rPr>
          <w:snapToGrid w:val="0"/>
        </w:rPr>
        <w:t>.</w:t>
      </w:r>
      <w:r>
        <w:rPr>
          <w:snapToGrid w:val="0"/>
        </w:rPr>
        <w:tab/>
        <w:t>General penalty for offences</w:t>
      </w:r>
      <w:bookmarkEnd w:id="150"/>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lastRenderedPageBreak/>
        <w:tab/>
        <w:t>(2)</w:t>
      </w:r>
      <w:r>
        <w:rPr>
          <w:snapToGrid w:val="0"/>
        </w:rPr>
        <w:tab/>
        <w:t>A person who commits an offence against this Act for which no other penalty is expressly provided in this Act is liable to a penalty of $2 000.</w:t>
      </w:r>
    </w:p>
    <w:p>
      <w:pPr>
        <w:pStyle w:val="Footnotesection"/>
        <w:spacing w:before="110"/>
      </w:pPr>
      <w:r>
        <w:tab/>
        <w:t>[Section 120 amended: No. 59 of 1995 s. 85.]</w:t>
      </w:r>
    </w:p>
    <w:p>
      <w:pPr>
        <w:pStyle w:val="Heading5"/>
        <w:rPr>
          <w:snapToGrid w:val="0"/>
        </w:rPr>
      </w:pPr>
      <w:bookmarkStart w:id="151" w:name="_Toc107496048"/>
      <w:r>
        <w:rPr>
          <w:rStyle w:val="CharSectno"/>
        </w:rPr>
        <w:t>121</w:t>
      </w:r>
      <w:r>
        <w:rPr>
          <w:snapToGrid w:val="0"/>
        </w:rPr>
        <w:t>.</w:t>
      </w:r>
      <w:r>
        <w:rPr>
          <w:snapToGrid w:val="0"/>
        </w:rPr>
        <w:tab/>
        <w:t>Proceedings for offences</w:t>
      </w:r>
      <w:bookmarkEnd w:id="151"/>
    </w:p>
    <w:p>
      <w:pPr>
        <w:pStyle w:val="Subsection"/>
        <w:rPr>
          <w:snapToGrid w:val="0"/>
        </w:rPr>
      </w:pPr>
      <w:r>
        <w:rPr>
          <w:snapToGrid w:val="0"/>
        </w:rPr>
        <w:tab/>
        <w:t>(1)</w:t>
      </w:r>
      <w:r>
        <w:rPr>
          <w:snapToGrid w:val="0"/>
        </w:rPr>
        <w:tab/>
        <w:t xml:space="preserve">Proceedings for an offence against this Act may be taken by the </w:t>
      </w:r>
      <w:r>
        <w:t>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t>An allegation in a charge of an offence against this Act that a person named therein was or was not licensed or the holder of a current triennial certificate at the time specified therein shall, in the absence of proof to the contrary, be taken as proved.</w:t>
      </w:r>
    </w:p>
    <w:p>
      <w:pPr>
        <w:pStyle w:val="Footnotesection"/>
      </w:pPr>
      <w:r>
        <w:tab/>
        <w:t>[Section 121 amended: No. 59 of 2004 s. 141; No. 84 of 2004 s. 80; No. 58 of 2010 s. 176.]</w:t>
      </w:r>
    </w:p>
    <w:p>
      <w:pPr>
        <w:pStyle w:val="Heading5"/>
        <w:rPr>
          <w:snapToGrid w:val="0"/>
        </w:rPr>
      </w:pPr>
      <w:bookmarkStart w:id="152" w:name="_Toc107496049"/>
      <w:r>
        <w:rPr>
          <w:rStyle w:val="CharSectno"/>
        </w:rPr>
        <w:t>122</w:t>
      </w:r>
      <w:r>
        <w:rPr>
          <w:snapToGrid w:val="0"/>
        </w:rPr>
        <w:t>.</w:t>
      </w:r>
      <w:r>
        <w:rPr>
          <w:snapToGrid w:val="0"/>
        </w:rPr>
        <w:tab/>
        <w:t>Forms</w:t>
      </w:r>
      <w:bookmarkEnd w:id="152"/>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122 amended: No. 58 of 2010 s. 176.]</w:t>
      </w:r>
    </w:p>
    <w:p>
      <w:pPr>
        <w:pStyle w:val="Heading5"/>
        <w:rPr>
          <w:snapToGrid w:val="0"/>
        </w:rPr>
      </w:pPr>
      <w:bookmarkStart w:id="153" w:name="_Toc107496050"/>
      <w:r>
        <w:rPr>
          <w:rStyle w:val="CharSectno"/>
        </w:rPr>
        <w:t>123</w:t>
      </w:r>
      <w:r>
        <w:rPr>
          <w:snapToGrid w:val="0"/>
        </w:rPr>
        <w:t>.</w:t>
      </w:r>
      <w:r>
        <w:rPr>
          <w:snapToGrid w:val="0"/>
        </w:rPr>
        <w:tab/>
        <w:t>Regulations</w:t>
      </w:r>
      <w:bookmarkEnd w:id="153"/>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lastRenderedPageBreak/>
        <w:tab/>
        <w:t>(2)</w:t>
      </w:r>
      <w:r>
        <w:rPr>
          <w:snapToGrid w:val="0"/>
        </w:rPr>
        <w:tab/>
        <w:t>Without limiting the generality of subsection (1) the regulations may —</w:t>
      </w:r>
    </w:p>
    <w:p>
      <w:pPr>
        <w:pStyle w:val="Indenta"/>
        <w:rPr>
          <w:snapToGrid w:val="0"/>
        </w:rPr>
      </w:pPr>
      <w:r>
        <w:rPr>
          <w:snapToGrid w:val="0"/>
        </w:rPr>
        <w:tab/>
        <w:t>(a)</w:t>
      </w:r>
      <w:r>
        <w:rPr>
          <w:snapToGrid w:val="0"/>
        </w:rPr>
        <w:tab/>
        <w:t xml:space="preserve">prescribe the procedure of the </w:t>
      </w:r>
      <w:r>
        <w:t>Commissioner</w:t>
      </w:r>
      <w:r>
        <w:rPr>
          <w:snapToGrid w:val="0"/>
        </w:rPr>
        <w:t>;</w:t>
      </w:r>
    </w:p>
    <w:p>
      <w:pPr>
        <w:pStyle w:val="Ednotepara"/>
      </w:pPr>
      <w:r>
        <w:tab/>
        <w:t>[(b)</w:t>
      </w:r>
      <w: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provide for all matters relating to the effecting of a Master Insurance Policy pursuant to section 35;</w:t>
      </w:r>
    </w:p>
    <w:p>
      <w:pPr>
        <w:pStyle w:val="Indenta"/>
        <w:rPr>
          <w:snapToGrid w:val="0"/>
        </w:rPr>
      </w:pPr>
      <w:r>
        <w:rPr>
          <w:snapToGrid w:val="0"/>
        </w:rPr>
        <w:tab/>
        <w:t>(e)</w:t>
      </w:r>
      <w:r>
        <w:rPr>
          <w:snapToGrid w:val="0"/>
        </w:rPr>
        <w:tab/>
        <w:t>provide for the conduct of the business of a settlement agent during any period in which that business temporarily is not under his supervision and control and provide that the person temporarily conducting the business in accordance with the regulations so made does not commit an offence under section 26;</w:t>
      </w:r>
    </w:p>
    <w:p>
      <w:pPr>
        <w:pStyle w:val="Indenta"/>
        <w:rPr>
          <w:snapToGrid w:val="0"/>
        </w:rPr>
      </w:pPr>
      <w:r>
        <w:rPr>
          <w:snapToGrid w:val="0"/>
        </w:rPr>
        <w:tab/>
        <w:t>(f)</w:t>
      </w:r>
      <w:r>
        <w:rPr>
          <w:snapToGrid w:val="0"/>
        </w:rPr>
        <w:tab/>
        <w:t xml:space="preserve">prescribe, and provide for the recovery of any fee for the purposes of this Act, but not in connection with the initiation of a proceeding before the State </w:t>
      </w:r>
      <w:r>
        <w:rPr>
          <w:snapToGrid w:val="0"/>
          <w:spacing w:val="-4"/>
        </w:rPr>
        <w:t>Administrative Tribunal</w:t>
      </w:r>
      <w:r>
        <w:rPr>
          <w:snapToGrid w:val="0"/>
        </w:rPr>
        <w:t>;</w:t>
      </w:r>
    </w:p>
    <w:p>
      <w:pPr>
        <w:pStyle w:val="Indenta"/>
        <w:rPr>
          <w:snapToGrid w:val="0"/>
        </w:rPr>
      </w:pPr>
      <w:r>
        <w:rPr>
          <w:snapToGrid w:val="0"/>
        </w:rPr>
        <w:tab/>
        <w:t>(g)</w:t>
      </w:r>
      <w:r>
        <w:rPr>
          <w:snapToGrid w:val="0"/>
        </w:rPr>
        <w:tab/>
        <w:t>prescribe the particulars to be recorded in the registers required to be kept under this Act;</w:t>
      </w:r>
    </w:p>
    <w:p>
      <w:pPr>
        <w:pStyle w:val="Indenta"/>
        <w:rPr>
          <w:snapToGrid w:val="0"/>
        </w:rPr>
      </w:pPr>
      <w:r>
        <w:rPr>
          <w:snapToGrid w:val="0"/>
        </w:rPr>
        <w:tab/>
        <w:t>(h)</w:t>
      </w:r>
      <w:r>
        <w:rPr>
          <w:snapToGrid w:val="0"/>
        </w:rPr>
        <w:tab/>
        <w:t xml:space="preserve">prescribe a body or class of bodies for the purposes of the definition of </w:t>
      </w:r>
      <w:r>
        <w:rPr>
          <w:b/>
          <w:bCs/>
          <w:i/>
          <w:iCs/>
          <w:snapToGrid w:val="0"/>
        </w:rPr>
        <w:t>authorised financial institution</w:t>
      </w:r>
      <w:r>
        <w:rPr>
          <w:snapToGrid w:val="0"/>
        </w:rPr>
        <w:t xml:space="preserve"> in section 48;</w:t>
      </w:r>
    </w:p>
    <w:p>
      <w:pPr>
        <w:pStyle w:val="Indenta"/>
        <w:rPr>
          <w:snapToGrid w:val="0"/>
        </w:rPr>
      </w:pPr>
      <w:r>
        <w:rPr>
          <w:snapToGrid w:val="0"/>
        </w:rPr>
        <w:tab/>
        <w:t>(i)</w:t>
      </w:r>
      <w:r>
        <w:rPr>
          <w:snapToGrid w:val="0"/>
        </w:rPr>
        <w:tab/>
        <w:t>prescribe a rate of interest and the times at which such interest is to be paid for the purposes of section 49B(1);</w:t>
      </w:r>
    </w:p>
    <w:p>
      <w:pPr>
        <w:pStyle w:val="Indenta"/>
        <w:rPr>
          <w:snapToGrid w:val="0"/>
        </w:rPr>
      </w:pPr>
      <w:r>
        <w:rPr>
          <w:snapToGrid w:val="0"/>
        </w:rPr>
        <w:tab/>
        <w:t>(ia)</w:t>
      </w:r>
      <w:r>
        <w:rPr>
          <w:snapToGrid w:val="0"/>
        </w:rPr>
        <w:tab/>
        <w:t>prescribe the information to be contained in a receipt for the purposes of section 50(1)(a);</w:t>
      </w:r>
    </w:p>
    <w:p>
      <w:pPr>
        <w:pStyle w:val="Indenta"/>
        <w:rPr>
          <w:snapToGrid w:val="0"/>
        </w:rPr>
      </w:pPr>
      <w:r>
        <w:rPr>
          <w:snapToGrid w:val="0"/>
        </w:rPr>
        <w:tab/>
        <w:t>(ib)</w:t>
      </w:r>
      <w:r>
        <w:rPr>
          <w:snapToGrid w:val="0"/>
        </w:rPr>
        <w:tab/>
        <w:t>prescribe the manner in which a record is to be kept, and the information to be contained in a record, for the purposes of section 50(2);</w:t>
      </w:r>
    </w:p>
    <w:p>
      <w:pPr>
        <w:pStyle w:val="Indenta"/>
        <w:rPr>
          <w:snapToGrid w:val="0"/>
        </w:rPr>
      </w:pPr>
      <w:r>
        <w:rPr>
          <w:snapToGrid w:val="0"/>
        </w:rPr>
        <w:tab/>
        <w:t>(ic)</w:t>
      </w:r>
      <w:r>
        <w:rPr>
          <w:snapToGrid w:val="0"/>
        </w:rPr>
        <w:tab/>
        <w:t>prescribe the times at which and the proportions in which moneys are to be paid or transferred under section 105;</w:t>
      </w:r>
    </w:p>
    <w:p>
      <w:pPr>
        <w:pStyle w:val="Indenta"/>
        <w:rPr>
          <w:snapToGrid w:val="0"/>
        </w:rPr>
      </w:pPr>
      <w:r>
        <w:rPr>
          <w:snapToGrid w:val="0"/>
        </w:rPr>
        <w:lastRenderedPageBreak/>
        <w:tab/>
        <w:t>(j)</w:t>
      </w:r>
      <w:r>
        <w:rPr>
          <w:snapToGrid w:val="0"/>
        </w:rPr>
        <w:tab/>
        <w:t>prescribe the manner of making claims against the Fidelity Guarantee Account and the manner of verifying any claim including a condition that the claim be verified by statutory declaration;</w:t>
      </w:r>
    </w:p>
    <w:p>
      <w:pPr>
        <w:pStyle w:val="Ednotepara"/>
        <w:spacing w:before="80"/>
        <w:rPr>
          <w:snapToGrid w:val="0"/>
        </w:rPr>
      </w:pPr>
      <w:r>
        <w:rPr>
          <w:snapToGrid w:val="0"/>
        </w:rPr>
        <w:tab/>
        <w:t xml:space="preserve">[(k) </w:t>
      </w:r>
      <w:r>
        <w:rPr>
          <w:snapToGrid w:val="0"/>
        </w:rPr>
        <w:tab/>
        <w:t>deleted]</w:t>
      </w:r>
    </w:p>
    <w:p>
      <w:pPr>
        <w:pStyle w:val="Indenta"/>
        <w:rPr>
          <w:snapToGrid w:val="0"/>
        </w:rPr>
      </w:pPr>
      <w:r>
        <w:rPr>
          <w:snapToGrid w:val="0"/>
        </w:rPr>
        <w:tab/>
        <w:t>(l)</w:t>
      </w:r>
      <w:r>
        <w:rPr>
          <w:snapToGrid w:val="0"/>
        </w:rPr>
        <w:tab/>
        <w:t>prescribe penalties not exceeding $1 000 for any breach of the regulations.</w:t>
      </w:r>
    </w:p>
    <w:p>
      <w:pPr>
        <w:pStyle w:val="Footnotesection"/>
      </w:pPr>
      <w:r>
        <w:tab/>
        <w:t>[Section 123 amended: No. 65 of 1987 s. 43; No. 59 of 1995 s. 83 and 85; No. 55 of 2004 s. 1093; No. 77 of 2006 Sch. 1 cl. 156(2); No. 58 of 2010 s. 173 and 176.]</w:t>
      </w:r>
    </w:p>
    <w:p>
      <w:pPr>
        <w:pStyle w:val="Heading2"/>
      </w:pPr>
      <w:bookmarkStart w:id="154" w:name="_Toc107315949"/>
      <w:bookmarkStart w:id="155" w:name="_Toc107316339"/>
      <w:bookmarkStart w:id="156" w:name="_Toc107496051"/>
      <w:r>
        <w:rPr>
          <w:rStyle w:val="CharPartNo"/>
        </w:rPr>
        <w:lastRenderedPageBreak/>
        <w:t>Part VIII</w:t>
      </w:r>
      <w:r>
        <w:t> — </w:t>
      </w:r>
      <w:r>
        <w:rPr>
          <w:rStyle w:val="CharPartText"/>
        </w:rPr>
        <w:t>Savings and transitional</w:t>
      </w:r>
      <w:bookmarkEnd w:id="154"/>
      <w:bookmarkEnd w:id="155"/>
      <w:bookmarkEnd w:id="156"/>
    </w:p>
    <w:p>
      <w:pPr>
        <w:pStyle w:val="Footnoteheading"/>
      </w:pPr>
      <w:r>
        <w:tab/>
        <w:t>[Heading inserted: No. 58 of 2010 s. 174.]</w:t>
      </w:r>
    </w:p>
    <w:p>
      <w:pPr>
        <w:pStyle w:val="Heading5"/>
      </w:pPr>
      <w:bookmarkStart w:id="157" w:name="_Toc107496052"/>
      <w:r>
        <w:rPr>
          <w:rStyle w:val="CharSectno"/>
        </w:rPr>
        <w:t>124</w:t>
      </w:r>
      <w:r>
        <w:t>.</w:t>
      </w:r>
      <w:r>
        <w:tab/>
        <w:t>Terms used</w:t>
      </w:r>
      <w:bookmarkEnd w:id="157"/>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 (Fair Trading) Act 2010</w:t>
      </w:r>
      <w:r>
        <w:t xml:space="preserve"> Part 7 comes into operation;</w:t>
      </w:r>
    </w:p>
    <w:p>
      <w:pPr>
        <w:pStyle w:val="Defstart"/>
      </w:pPr>
      <w:r>
        <w:tab/>
      </w:r>
      <w:r>
        <w:rPr>
          <w:rStyle w:val="CharDefText"/>
        </w:rPr>
        <w:t>former Board</w:t>
      </w:r>
      <w:r>
        <w:t xml:space="preserve"> means the Settlement Agents Supervisory Board established by section 5 of this Act immediately prior to the commencement day;</w:t>
      </w:r>
    </w:p>
    <w:p>
      <w:pPr>
        <w:pStyle w:val="Defstart"/>
      </w:pPr>
      <w:r>
        <w:tab/>
      </w:r>
      <w:r>
        <w:rPr>
          <w:rStyle w:val="CharDefText"/>
        </w:rPr>
        <w:t>former Registrar</w:t>
      </w:r>
      <w:r>
        <w:t xml:space="preserve"> means a Registrar appointed under section 12 of this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124 inserted: No. 58 of 2010 s. 174.]</w:t>
      </w:r>
    </w:p>
    <w:p>
      <w:pPr>
        <w:pStyle w:val="Heading5"/>
      </w:pPr>
      <w:bookmarkStart w:id="158" w:name="_Toc107496053"/>
      <w:r>
        <w:rPr>
          <w:rStyle w:val="CharSectno"/>
        </w:rPr>
        <w:t>125</w:t>
      </w:r>
      <w:r>
        <w:t>.</w:t>
      </w:r>
      <w:r>
        <w:tab/>
        <w:t>Former Board abolished</w:t>
      </w:r>
      <w:bookmarkEnd w:id="158"/>
    </w:p>
    <w:p>
      <w:pPr>
        <w:pStyle w:val="Subsection"/>
      </w:pPr>
      <w:r>
        <w:tab/>
      </w:r>
      <w:r>
        <w:tab/>
        <w:t>Subject to sections 132 and 133, at the beginning of the commencement day, the former Board is abolished and its members go out of office.</w:t>
      </w:r>
    </w:p>
    <w:p>
      <w:pPr>
        <w:pStyle w:val="Footnotesection"/>
      </w:pPr>
      <w:r>
        <w:tab/>
        <w:t>[Section 125 inserted: No. 58 of 2010 s. 174.]</w:t>
      </w:r>
    </w:p>
    <w:p>
      <w:pPr>
        <w:pStyle w:val="Heading5"/>
      </w:pPr>
      <w:bookmarkStart w:id="159" w:name="_Toc107496054"/>
      <w:r>
        <w:rPr>
          <w:rStyle w:val="CharSectno"/>
        </w:rPr>
        <w:t>126</w:t>
      </w:r>
      <w:r>
        <w:t>.</w:t>
      </w:r>
      <w:r>
        <w:tab/>
        <w:t>References to former Board</w:t>
      </w:r>
      <w:bookmarkEnd w:id="159"/>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126 inserted: No. 58 of 2010 s. 174.]</w:t>
      </w:r>
    </w:p>
    <w:p>
      <w:pPr>
        <w:pStyle w:val="Heading5"/>
      </w:pPr>
      <w:bookmarkStart w:id="160" w:name="_Toc107496055"/>
      <w:r>
        <w:rPr>
          <w:rStyle w:val="CharSectno"/>
        </w:rPr>
        <w:lastRenderedPageBreak/>
        <w:t>127</w:t>
      </w:r>
      <w:r>
        <w:t>.</w:t>
      </w:r>
      <w:r>
        <w:tab/>
        <w:t>Immunity continues</w:t>
      </w:r>
      <w:bookmarkEnd w:id="160"/>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127 inserted: No. 58 of 2010 s. 174.]</w:t>
      </w:r>
    </w:p>
    <w:p>
      <w:pPr>
        <w:pStyle w:val="Heading5"/>
      </w:pPr>
      <w:bookmarkStart w:id="161" w:name="_Toc107496056"/>
      <w:r>
        <w:rPr>
          <w:rStyle w:val="CharSectno"/>
        </w:rPr>
        <w:t>128</w:t>
      </w:r>
      <w:r>
        <w:t>.</w:t>
      </w:r>
      <w:r>
        <w:tab/>
        <w:t>Notices and rules made by former Board</w:t>
      </w:r>
      <w:bookmarkEnd w:id="161"/>
    </w:p>
    <w:p>
      <w:pPr>
        <w:pStyle w:val="Subsection"/>
      </w:pPr>
      <w:r>
        <w:tab/>
        <w:t>(1)</w:t>
      </w:r>
      <w:r>
        <w:tab/>
        <w:t>If the former Board has fixed by notice the maximum amount of remuneration of a licensee under section 44 of the Act immediately prior to the commencement day, that notice is to be taken to have been given by the Commissioner and continues in force until amended or revoked by the Commissioner.</w:t>
      </w:r>
    </w:p>
    <w:p>
      <w:pPr>
        <w:pStyle w:val="Subsection"/>
      </w:pPr>
      <w:r>
        <w:tab/>
        <w:t>(2)</w:t>
      </w:r>
      <w:r>
        <w:tab/>
        <w:t>If the former Board has made rules prescribing a code of conduct under section 82 of the Act as it was immediately prior to the commencement day, those rules and that code of conduct are taken to be made by the Commissioner for the purposes of that section and continue in force until amended or revoked by the Commissioner.</w:t>
      </w:r>
    </w:p>
    <w:p>
      <w:pPr>
        <w:pStyle w:val="Footnotesection"/>
      </w:pPr>
      <w:r>
        <w:tab/>
        <w:t>[Section 128 inserted: No. 58 of 2010 s. 174.]</w:t>
      </w:r>
    </w:p>
    <w:p>
      <w:pPr>
        <w:pStyle w:val="Heading5"/>
      </w:pPr>
      <w:bookmarkStart w:id="162" w:name="_Toc107496057"/>
      <w:r>
        <w:rPr>
          <w:rStyle w:val="CharSectno"/>
        </w:rPr>
        <w:t>129</w:t>
      </w:r>
      <w:r>
        <w:t>.</w:t>
      </w:r>
      <w:r>
        <w:tab/>
        <w:t>References to former Registrar</w:t>
      </w:r>
      <w:bookmarkEnd w:id="162"/>
    </w:p>
    <w:p>
      <w:pPr>
        <w:pStyle w:val="Subsection"/>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pPr>
      <w:r>
        <w:tab/>
        <w:t>(2)</w:t>
      </w:r>
      <w:r>
        <w:tab/>
        <w:t>If a certificate has been given by a former Registrar under section 111(3) of the Act as it was immediately prior to the commencement day, that certificate is to be treated as if it were given by the Commissioner for the purposes of that subsection.</w:t>
      </w:r>
    </w:p>
    <w:p>
      <w:pPr>
        <w:pStyle w:val="Footnotesection"/>
      </w:pPr>
      <w:r>
        <w:tab/>
        <w:t>[Section 129 inserted: No. 58 of 2010 s. 174.]</w:t>
      </w:r>
    </w:p>
    <w:p>
      <w:pPr>
        <w:pStyle w:val="Heading5"/>
      </w:pPr>
      <w:bookmarkStart w:id="163" w:name="_Toc107496058"/>
      <w:r>
        <w:rPr>
          <w:rStyle w:val="CharSectno"/>
        </w:rPr>
        <w:lastRenderedPageBreak/>
        <w:t>130</w:t>
      </w:r>
      <w:r>
        <w:t>.</w:t>
      </w:r>
      <w:r>
        <w:tab/>
        <w:t>Unfinished investigations by former Board</w:t>
      </w:r>
      <w:bookmarkEnd w:id="163"/>
    </w:p>
    <w:p>
      <w:pPr>
        <w:pStyle w:val="Subsection"/>
      </w:pPr>
      <w:r>
        <w:tab/>
      </w:r>
      <w:r>
        <w:tab/>
        <w:t>Investigations being carried out by the former Board under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Footnotesection"/>
      </w:pPr>
      <w:r>
        <w:tab/>
        <w:t>[Section 130 inserted: No. 58 of 2010 s. 174.]</w:t>
      </w:r>
    </w:p>
    <w:p>
      <w:pPr>
        <w:pStyle w:val="Heading5"/>
      </w:pPr>
      <w:bookmarkStart w:id="164" w:name="_Toc107496059"/>
      <w:r>
        <w:rPr>
          <w:rStyle w:val="CharSectno"/>
        </w:rPr>
        <w:t>131</w:t>
      </w:r>
      <w:r>
        <w:t>.</w:t>
      </w:r>
      <w:r>
        <w:tab/>
        <w:t>Unfinished proceedings by former Board</w:t>
      </w:r>
      <w:bookmarkEnd w:id="164"/>
    </w:p>
    <w:p>
      <w:pPr>
        <w:pStyle w:val="Subsection"/>
      </w:pPr>
      <w:r>
        <w:tab/>
        <w:t>(1)</w:t>
      </w:r>
      <w:r>
        <w:tab/>
        <w:t>Proceedings before the former Board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settlement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131 inserted: No. 58 of 2010 s. 174.]</w:t>
      </w:r>
    </w:p>
    <w:p>
      <w:pPr>
        <w:pStyle w:val="Heading5"/>
      </w:pPr>
      <w:bookmarkStart w:id="165" w:name="_Toc107496060"/>
      <w:r>
        <w:rPr>
          <w:rStyle w:val="CharSectno"/>
        </w:rPr>
        <w:t>132</w:t>
      </w:r>
      <w:r>
        <w:t>.</w:t>
      </w:r>
      <w:r>
        <w:tab/>
        <w:t>Winding</w:t>
      </w:r>
      <w:r>
        <w:noBreakHyphen/>
        <w:t>up former Board</w:t>
      </w:r>
      <w:bookmarkEnd w:id="165"/>
    </w:p>
    <w:p>
      <w:pPr>
        <w:pStyle w:val="Subsection"/>
      </w:pPr>
      <w:r>
        <w:tab/>
      </w:r>
      <w:r>
        <w:tab/>
        <w:t>On and after the commencement day —</w:t>
      </w:r>
    </w:p>
    <w:p>
      <w:pPr>
        <w:pStyle w:val="Indenta"/>
      </w:pPr>
      <w:r>
        <w:tab/>
        <w:t>(a)</w:t>
      </w:r>
      <w:r>
        <w:tab/>
        <w:t xml:space="preserve">the Commissioner is to take control of all registers, documents, books and other records (however compiled, recorded or stored) relating to the former Board and the </w:t>
      </w:r>
      <w:r>
        <w:lastRenderedPageBreak/>
        <w:t>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7,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pPr>
      <w:r>
        <w:tab/>
        <w:t>[Section 132 inserted: No. 58 of 2010 s. 174.]</w:t>
      </w:r>
    </w:p>
    <w:p>
      <w:pPr>
        <w:pStyle w:val="Heading5"/>
        <w:spacing w:before="700"/>
      </w:pPr>
      <w:bookmarkStart w:id="166" w:name="_Toc107496061"/>
      <w:r>
        <w:rPr>
          <w:rStyle w:val="CharSectno"/>
        </w:rPr>
        <w:lastRenderedPageBreak/>
        <w:t>133</w:t>
      </w:r>
      <w:r>
        <w:t>.</w:t>
      </w:r>
      <w:r>
        <w:tab/>
        <w:t>Final report by former Board</w:t>
      </w:r>
      <w:bookmarkEnd w:id="166"/>
    </w:p>
    <w:p>
      <w:pPr>
        <w:pStyle w:val="Subsection"/>
      </w:pPr>
      <w:r>
        <w:tab/>
        <w:t>(1)</w:t>
      </w:r>
      <w:r>
        <w:tab/>
        <w:t xml:space="preserve">The provisions of the </w:t>
      </w:r>
      <w:r>
        <w:rPr>
          <w:i/>
          <w:iCs/>
        </w:rPr>
        <w:t>Financial Management Act 2006</w:t>
      </w:r>
      <w:r>
        <w:t xml:space="preserve"> Part 5 Division 3 apply to the former Board.</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133 inserted: No. 58 of 2010 s. 174.]</w:t>
      </w:r>
    </w:p>
    <w:p>
      <w:pPr>
        <w:pStyle w:val="Heading5"/>
      </w:pPr>
      <w:bookmarkStart w:id="167" w:name="_Toc107496062"/>
      <w:r>
        <w:rPr>
          <w:rStyle w:val="CharSectno"/>
        </w:rPr>
        <w:t>134</w:t>
      </w:r>
      <w:r>
        <w:t>.</w:t>
      </w:r>
      <w:r>
        <w:tab/>
        <w:t>Staff of former Board</w:t>
      </w:r>
      <w:bookmarkEnd w:id="167"/>
    </w:p>
    <w:p>
      <w:pPr>
        <w:pStyle w:val="Subsection"/>
      </w:pPr>
      <w:r>
        <w:tab/>
        <w:t>(1)</w:t>
      </w:r>
      <w:r>
        <w:tab/>
        <w:t xml:space="preserve">The officers of the former Board and the former Registrar who held office immediately before the commencement day continue to be employed, under and subject to the </w:t>
      </w:r>
      <w:r>
        <w:rPr>
          <w:i/>
          <w:iCs/>
        </w:rPr>
        <w:t>Public Sector Management Act 1994</w:t>
      </w:r>
      <w:r>
        <w:t xml:space="preserve"> Part 3, as officers of the department.</w:t>
      </w:r>
    </w:p>
    <w:p>
      <w:pPr>
        <w:pStyle w:val="Subsection"/>
      </w:pPr>
      <w:r>
        <w:tab/>
        <w:t>(2)</w:t>
      </w:r>
      <w:r>
        <w:tab/>
        <w:t>A person mentioned in subsection (1) is to be regarded as having been engaged or employed, as is relevant, by the chief executive officer.</w:t>
      </w:r>
    </w:p>
    <w:p>
      <w:pPr>
        <w:pStyle w:val="Subsection"/>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pPr>
      <w:r>
        <w:tab/>
        <w:t>[Section 134 inserted: No. 58 of 2010 s. 174.]</w:t>
      </w:r>
    </w:p>
    <w:p>
      <w:pPr>
        <w:pStyle w:val="Heading5"/>
      </w:pPr>
      <w:bookmarkStart w:id="168" w:name="_Toc107496063"/>
      <w:r>
        <w:rPr>
          <w:rStyle w:val="CharSectno"/>
        </w:rPr>
        <w:t>135</w:t>
      </w:r>
      <w:r>
        <w:t>.</w:t>
      </w:r>
      <w:r>
        <w:tab/>
        <w:t>Transitional regulations</w:t>
      </w:r>
      <w:bookmarkEnd w:id="168"/>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w:t>
      </w:r>
      <w:r>
        <w:lastRenderedPageBreak/>
        <w:t xml:space="preserve">as amended by the </w:t>
      </w:r>
      <w:r>
        <w:rPr>
          <w:i/>
          <w:iCs/>
        </w:rPr>
        <w:t xml:space="preserve">Acts Amendment (Fair Trading) Act 2010 </w:t>
      </w:r>
      <w:r>
        <w:t>Part 7.</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135 inserted: No. 58 of 2010 s. 174.]</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69" w:name="_Toc107315962"/>
      <w:bookmarkStart w:id="170" w:name="_Toc107316352"/>
      <w:bookmarkStart w:id="171" w:name="_Toc107496064"/>
      <w:r>
        <w:rPr>
          <w:rStyle w:val="CharSchNo"/>
          <w:rFonts w:eastAsia="MS Mincho"/>
        </w:rPr>
        <w:lastRenderedPageBreak/>
        <w:t>Schedule 1</w:t>
      </w:r>
      <w:r>
        <w:rPr>
          <w:rFonts w:eastAsia="MS Mincho"/>
        </w:rPr>
        <w:t> — </w:t>
      </w:r>
      <w:r>
        <w:rPr>
          <w:rStyle w:val="CharSchText"/>
          <w:rFonts w:eastAsia="MS Mincho"/>
        </w:rPr>
        <w:t>Grant of licence</w:t>
      </w:r>
      <w:bookmarkEnd w:id="169"/>
      <w:bookmarkEnd w:id="170"/>
      <w:bookmarkEnd w:id="171"/>
    </w:p>
    <w:p>
      <w:pPr>
        <w:pStyle w:val="yShoulderClause"/>
        <w:rPr>
          <w:rFonts w:eastAsia="MS Mincho"/>
        </w:rPr>
      </w:pPr>
      <w:r>
        <w:rPr>
          <w:rFonts w:eastAsia="MS Mincho"/>
        </w:rPr>
        <w:t>[s. 27, 28 and 29]</w:t>
      </w:r>
    </w:p>
    <w:p>
      <w:pPr>
        <w:pStyle w:val="yFootnoteheading"/>
        <w:rPr>
          <w:rFonts w:eastAsia="MS Mincho"/>
        </w:rPr>
      </w:pPr>
      <w:r>
        <w:rPr>
          <w:rFonts w:eastAsia="MS Mincho"/>
        </w:rPr>
        <w:tab/>
        <w:t>[Heading inserted: No. 19 of 2010 s. 35(2).]</w:t>
      </w:r>
    </w:p>
    <w:p>
      <w:pPr>
        <w:pStyle w:val="yHeading3"/>
        <w:rPr>
          <w:rFonts w:eastAsia="MS Mincho"/>
        </w:rPr>
      </w:pPr>
      <w:bookmarkStart w:id="172" w:name="_Toc107315963"/>
      <w:bookmarkStart w:id="173" w:name="_Toc107316353"/>
      <w:bookmarkStart w:id="174" w:name="_Toc107496065"/>
      <w:r>
        <w:rPr>
          <w:rStyle w:val="CharSDivNo"/>
          <w:rFonts w:eastAsia="MS Mincho"/>
        </w:rPr>
        <w:t>Division 1</w:t>
      </w:r>
      <w:r>
        <w:rPr>
          <w:rFonts w:eastAsia="MS Mincho"/>
          <w:b w:val="0"/>
        </w:rPr>
        <w:t> — </w:t>
      </w:r>
      <w:r>
        <w:rPr>
          <w:rStyle w:val="CharSDivText"/>
          <w:rFonts w:eastAsia="MS Mincho"/>
        </w:rPr>
        <w:t>Qualifications</w:t>
      </w:r>
      <w:bookmarkEnd w:id="172"/>
      <w:bookmarkEnd w:id="173"/>
      <w:bookmarkEnd w:id="174"/>
    </w:p>
    <w:p>
      <w:pPr>
        <w:pStyle w:val="yFootnoteheading"/>
        <w:rPr>
          <w:rFonts w:eastAsia="MS Mincho"/>
        </w:rPr>
      </w:pPr>
      <w:r>
        <w:rPr>
          <w:rFonts w:eastAsia="MS Mincho"/>
        </w:rPr>
        <w:tab/>
        <w:t>[Heading inserted: No. 19 of 2010 s. 35(2).]</w:t>
      </w:r>
    </w:p>
    <w:p>
      <w:pPr>
        <w:pStyle w:val="yHeading5"/>
      </w:pPr>
      <w:bookmarkStart w:id="175" w:name="_Toc107496066"/>
      <w:r>
        <w:rPr>
          <w:rStyle w:val="CharSClsNo"/>
        </w:rPr>
        <w:t>1</w:t>
      </w:r>
      <w:r>
        <w:t>.</w:t>
      </w:r>
      <w:r>
        <w:tab/>
        <w:t>Real estate settlement agent</w:t>
      </w:r>
      <w:bookmarkEnd w:id="175"/>
    </w:p>
    <w:p>
      <w:pPr>
        <w:pStyle w:val="ySubsection"/>
        <w:rPr>
          <w:snapToGrid w:val="0"/>
        </w:rPr>
      </w:pPr>
      <w:r>
        <w:rPr>
          <w:snapToGrid w:val="0"/>
        </w:rPr>
        <w:tab/>
        <w:t>(1)</w:t>
      </w:r>
      <w:r>
        <w:rPr>
          <w:snapToGrid w:val="0"/>
        </w:rPr>
        <w:tab/>
        <w:t>A person —</w:t>
      </w:r>
    </w:p>
    <w:p>
      <w:pPr>
        <w:pStyle w:val="yIndenta"/>
        <w:rPr>
          <w:snapToGrid w:val="0"/>
        </w:rPr>
      </w:pPr>
      <w:r>
        <w:rPr>
          <w:snapToGrid w:val="0"/>
        </w:rPr>
        <w:tab/>
        <w:t>(a)</w:t>
      </w:r>
      <w:r>
        <w:rPr>
          <w:snapToGrid w:val="0"/>
        </w:rPr>
        <w:tab/>
        <w:t xml:space="preserve">who has passed, subject to approved exemptions, the prescribed examinations relating to the carrying on and conduct of the business of a real estate settlement agent and the duties and liabilities of a real estate settlement agent and who satisfies the </w:t>
      </w:r>
      <w:r>
        <w:t>Commissioner</w:t>
      </w:r>
      <w:r>
        <w:rPr>
          <w:snapToGrid w:val="0"/>
        </w:rPr>
        <w:t xml:space="preserve"> that he has had during a period of 2 years immediately preceding his application for a licence, sufficient practical experience (whether as a principal or as an employee) in arranging and effecting settlements of real estate transactions to enable him to carry on the business of a real estate settlement agent satisfactorily; or</w:t>
      </w:r>
    </w:p>
    <w:p>
      <w:pPr>
        <w:pStyle w:val="yIndenta"/>
        <w:rPr>
          <w:snapToGrid w:val="0"/>
        </w:rPr>
      </w:pPr>
      <w:r>
        <w:rPr>
          <w:snapToGrid w:val="0"/>
        </w:rPr>
        <w:tab/>
        <w:t>(b)</w:t>
      </w:r>
      <w:r>
        <w:rPr>
          <w:snapToGrid w:val="0"/>
        </w:rPr>
        <w:tab/>
        <w:t>who is a legal practitioner; or</w:t>
      </w:r>
    </w:p>
    <w:p>
      <w:pPr>
        <w:pStyle w:val="yIndenta"/>
        <w:rPr>
          <w:snapToGrid w:val="0"/>
        </w:rPr>
      </w:pPr>
      <w:r>
        <w:rPr>
          <w:snapToGrid w:val="0"/>
        </w:rPr>
        <w:tab/>
        <w:t>(ba)</w:t>
      </w:r>
      <w:r>
        <w:rPr>
          <w:snapToGrid w:val="0"/>
        </w:rPr>
        <w:tab/>
        <w:t>who, at the time of applying under section 27 for the grant of a real estate settlement agent’s licence, is the holder of a current exemption under section 26A;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rPr>
          <w:snapToGrid w:val="0"/>
        </w:rPr>
      </w:pPr>
      <w:r>
        <w:rPr>
          <w:snapToGrid w:val="0"/>
        </w:rPr>
        <w:tab/>
      </w:r>
      <w:r>
        <w:rPr>
          <w:snapToGrid w:val="0"/>
        </w:rPr>
        <w:tab/>
        <w:t>is, subject to this Act, qualified for the grant of a real estate settlement agent’s licence.</w:t>
      </w:r>
    </w:p>
    <w:p>
      <w:pPr>
        <w:pStyle w:val="yEdnotesubsection"/>
      </w:pPr>
      <w:r>
        <w:lastRenderedPageBreak/>
        <w:tab/>
        <w:t>[(2)</w:t>
      </w:r>
      <w:r>
        <w:tab/>
        <w:t>deleted]</w:t>
      </w:r>
    </w:p>
    <w:p>
      <w:pPr>
        <w:pStyle w:val="yFootnotesection"/>
        <w:keepLines w:val="0"/>
      </w:pPr>
      <w:r>
        <w:tab/>
        <w:t>[Clause 1 amended: No. 64 of 1982 s. 5(a); No. 28 of 2003 s. 183(1); No. 58 of 2010 s. 175 and 176.]</w:t>
      </w:r>
    </w:p>
    <w:p>
      <w:pPr>
        <w:pStyle w:val="yHeading5"/>
      </w:pPr>
      <w:bookmarkStart w:id="176" w:name="_Toc107496067"/>
      <w:r>
        <w:rPr>
          <w:rStyle w:val="CharSClsNo"/>
        </w:rPr>
        <w:t>2</w:t>
      </w:r>
      <w:r>
        <w:t xml:space="preserve">. </w:t>
      </w:r>
      <w:r>
        <w:tab/>
        <w:t>Business settlement agent</w:t>
      </w:r>
      <w:bookmarkEnd w:id="176"/>
    </w:p>
    <w:p>
      <w:pPr>
        <w:pStyle w:val="ySubsection"/>
        <w:rPr>
          <w:snapToGrid w:val="0"/>
        </w:rPr>
      </w:pPr>
      <w:r>
        <w:rPr>
          <w:snapToGrid w:val="0"/>
        </w:rPr>
        <w:tab/>
        <w:t>(1)</w:t>
      </w:r>
      <w:r>
        <w:rPr>
          <w:snapToGrid w:val="0"/>
        </w:rPr>
        <w:tab/>
        <w:t>A person —</w:t>
      </w:r>
    </w:p>
    <w:p>
      <w:pPr>
        <w:pStyle w:val="yIndenta"/>
        <w:rPr>
          <w:snapToGrid w:val="0"/>
        </w:rPr>
      </w:pPr>
      <w:r>
        <w:rPr>
          <w:snapToGrid w:val="0"/>
        </w:rPr>
        <w:tab/>
        <w:t>(a)</w:t>
      </w:r>
      <w:r>
        <w:rPr>
          <w:snapToGrid w:val="0"/>
        </w:rPr>
        <w:tab/>
        <w:t xml:space="preserve">who has passed, subject to approved exemptions, the prescribed examinations relating to the carrying on and conduct of the business of a business settlement agent and the duties and liabilities of a business settlement agent and who has satisfied the </w:t>
      </w:r>
      <w:r>
        <w:t>Commissioner</w:t>
      </w:r>
      <w:r>
        <w:rPr>
          <w:snapToGrid w:val="0"/>
        </w:rPr>
        <w:t xml:space="preserve"> that he has had during a period of 2 years immediately preceding his application for a licence, sufficient practical experience (whether as a principal or as an employee) in arranging and effecting settlements of business transactions to enable him to carry on the business of a business settlement agent satisfactorily; or</w:t>
      </w:r>
    </w:p>
    <w:p>
      <w:pPr>
        <w:pStyle w:val="yIndenta"/>
        <w:rPr>
          <w:snapToGrid w:val="0"/>
        </w:rPr>
      </w:pPr>
      <w:r>
        <w:rPr>
          <w:snapToGrid w:val="0"/>
        </w:rPr>
        <w:tab/>
        <w:t>(b)</w:t>
      </w:r>
      <w:r>
        <w:rPr>
          <w:snapToGrid w:val="0"/>
        </w:rPr>
        <w:tab/>
        <w:t>who is a legal practitioner; or</w:t>
      </w:r>
    </w:p>
    <w:p>
      <w:pPr>
        <w:pStyle w:val="yIndenta"/>
        <w:rPr>
          <w:snapToGrid w:val="0"/>
        </w:rPr>
      </w:pPr>
      <w:r>
        <w:rPr>
          <w:snapToGrid w:val="0"/>
        </w:rPr>
        <w:tab/>
        <w:t>(ba)</w:t>
      </w:r>
      <w:r>
        <w:rPr>
          <w:snapToGrid w:val="0"/>
        </w:rPr>
        <w:tab/>
        <w:t>who, at the time of applying under section 27 for the grant of a business settlement agent’s licence, is the holder of a current exemption under section 26B;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rPr>
          <w:snapToGrid w:val="0"/>
        </w:rPr>
      </w:pPr>
      <w:r>
        <w:rPr>
          <w:snapToGrid w:val="0"/>
        </w:rPr>
        <w:tab/>
      </w:r>
      <w:r>
        <w:rPr>
          <w:snapToGrid w:val="0"/>
        </w:rPr>
        <w:tab/>
        <w:t>is, subject to this Act, qualified for the grant of a business settlement agent’s licence.</w:t>
      </w:r>
    </w:p>
    <w:p>
      <w:pPr>
        <w:pStyle w:val="yEdnotesubsection"/>
      </w:pPr>
      <w:r>
        <w:tab/>
        <w:t>[(2)</w:t>
      </w:r>
      <w:r>
        <w:tab/>
        <w:t>deleted]</w:t>
      </w:r>
    </w:p>
    <w:p>
      <w:pPr>
        <w:pStyle w:val="yFootnotesection"/>
      </w:pPr>
      <w:r>
        <w:tab/>
        <w:t>[Clause 2 amended: No. 64 of 1982 s. 5(b); No. 28 of 2003 s. 183(2); No. 58 of 2010 s. 175 and 176.]</w:t>
      </w:r>
    </w:p>
    <w:p>
      <w:pPr>
        <w:pStyle w:val="yHeading5"/>
      </w:pPr>
      <w:bookmarkStart w:id="177" w:name="_Toc107496068"/>
      <w:r>
        <w:rPr>
          <w:rStyle w:val="CharSClsNo"/>
        </w:rPr>
        <w:lastRenderedPageBreak/>
        <w:t>3</w:t>
      </w:r>
      <w:r>
        <w:t xml:space="preserve">. </w:t>
      </w:r>
      <w:r>
        <w:tab/>
        <w:t>Licence by reason of qualification under cl. 1(1)(c) and 2(1)(c)</w:t>
      </w:r>
      <w:bookmarkEnd w:id="177"/>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Heading5"/>
      </w:pPr>
      <w:bookmarkStart w:id="178" w:name="_Toc107496069"/>
      <w:r>
        <w:rPr>
          <w:rStyle w:val="CharSClsNo"/>
        </w:rPr>
        <w:t>4</w:t>
      </w:r>
      <w:r>
        <w:t>.</w:t>
      </w:r>
      <w:r>
        <w:tab/>
        <w:t>Licence by reason of qualification under cl. 1(1)(d) and 2(1)(d)</w:t>
      </w:r>
      <w:bookmarkEnd w:id="178"/>
    </w:p>
    <w:p>
      <w:pPr>
        <w:pStyle w:val="ySubsection"/>
        <w:rPr>
          <w:snapToGrid w:val="0"/>
        </w:rPr>
      </w:pPr>
      <w:r>
        <w:rPr>
          <w:snapToGrid w:val="0"/>
        </w:rPr>
        <w:tab/>
      </w:r>
      <w:r>
        <w:rPr>
          <w:snapToGrid w:val="0"/>
        </w:rPr>
        <w:tab/>
        <w:t>Such a licence</w:t>
      </w:r>
      <w:r>
        <w:t xml:space="preserve"> 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183(3); No. 58 of 2010 s. 176.]</w:t>
      </w:r>
    </w:p>
    <w:p>
      <w:pPr>
        <w:pStyle w:val="yHeading5"/>
      </w:pPr>
      <w:bookmarkStart w:id="179" w:name="_Toc107496070"/>
      <w:r>
        <w:rPr>
          <w:rStyle w:val="CharSClsNo"/>
        </w:rPr>
        <w:t>5</w:t>
      </w:r>
      <w:r>
        <w:t xml:space="preserve">. </w:t>
      </w:r>
      <w:r>
        <w:tab/>
        <w:t>Dead or incapacitated licensee, conduct of business of</w:t>
      </w:r>
      <w:bookmarkEnd w:id="179"/>
    </w:p>
    <w:p>
      <w:pPr>
        <w:pStyle w:val="ySubsection"/>
      </w:pPr>
      <w:r>
        <w:rPr>
          <w:snapToGrid w:val="0"/>
        </w:rPr>
        <w:tab/>
        <w:t>(1)</w:t>
      </w:r>
      <w:r>
        <w:rPr>
          <w:snapToGrid w:val="0"/>
        </w:rPr>
        <w:tab/>
        <w:t xml:space="preserve">A person who is </w:t>
      </w:r>
      <w:r>
        <w:t>not —</w:t>
      </w:r>
    </w:p>
    <w:p>
      <w:pPr>
        <w:pStyle w:val="yIndenta"/>
      </w:pPr>
      <w:r>
        <w:tab/>
        <w:t>(a)</w:t>
      </w:r>
      <w:r>
        <w:tab/>
        <w:t>an executor, administrator, trustee or child of a deceased licensee, or who was not the spouse or de facto partner, within the meaning of clause 1(1)(d) or 2(1)(d) as is relevant, of a deceased licensee immediately before the licensee’s death; or</w:t>
      </w:r>
    </w:p>
    <w:p>
      <w:pPr>
        <w:pStyle w:val="yIndenta"/>
      </w:pPr>
      <w:r>
        <w:tab/>
        <w:t>(b)</w:t>
      </w:r>
      <w:r>
        <w:tab/>
        <w:t>in respect of an incapacitated licensee, the spouse or de facto partner of the licensee, within the meaning of clause 1(1)(d) or 2(1)(d) as is relevant, of the licensee,</w:t>
      </w:r>
    </w:p>
    <w:p>
      <w:pPr>
        <w:pStyle w:val="ySubsection"/>
        <w:rPr>
          <w:snapToGrid w:val="0"/>
        </w:rPr>
      </w:pPr>
      <w:r>
        <w:tab/>
      </w:r>
      <w:r>
        <w:tab/>
        <w:t>may</w:t>
      </w:r>
      <w:r>
        <w:rPr>
          <w:snapToGrid w:val="0"/>
        </w:rPr>
        <w:t xml:space="preserve">, with the written permission of the </w:t>
      </w:r>
      <w:r>
        <w:t>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or incapacitated licensee’s business and that it is in the interests of that business that the person should be so concerned.</w:t>
      </w:r>
    </w:p>
    <w:p>
      <w:pPr>
        <w:pStyle w:val="ySubsection"/>
        <w:rPr>
          <w:snapToGrid w:val="0"/>
        </w:rPr>
      </w:pPr>
      <w:r>
        <w:rPr>
          <w:snapToGrid w:val="0"/>
        </w:rPr>
        <w:lastRenderedPageBreak/>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183(4); No. 58 of 2010 s. 176.]</w:t>
      </w:r>
    </w:p>
    <w:p>
      <w:pPr>
        <w:pStyle w:val="yHeading3"/>
        <w:rPr>
          <w:rFonts w:eastAsia="MS Mincho"/>
        </w:rPr>
      </w:pPr>
      <w:bookmarkStart w:id="180" w:name="_Toc107315969"/>
      <w:bookmarkStart w:id="181" w:name="_Toc107316359"/>
      <w:bookmarkStart w:id="182" w:name="_Toc107496071"/>
      <w:r>
        <w:rPr>
          <w:rStyle w:val="CharSDivNo"/>
          <w:rFonts w:eastAsia="MS Mincho"/>
        </w:rPr>
        <w:t>Division 2</w:t>
      </w:r>
      <w:r>
        <w:rPr>
          <w:rFonts w:eastAsia="MS Mincho"/>
          <w:b w:val="0"/>
        </w:rPr>
        <w:t> — </w:t>
      </w:r>
      <w:r>
        <w:rPr>
          <w:rStyle w:val="CharSDivText"/>
          <w:rFonts w:eastAsia="MS Mincho"/>
        </w:rPr>
        <w:t>Disqualification</w:t>
      </w:r>
      <w:bookmarkEnd w:id="180"/>
      <w:bookmarkEnd w:id="181"/>
      <w:bookmarkEnd w:id="182"/>
    </w:p>
    <w:p>
      <w:pPr>
        <w:pStyle w:val="yFootnoteheading"/>
        <w:rPr>
          <w:rFonts w:eastAsia="MS Mincho"/>
        </w:rPr>
      </w:pPr>
      <w:r>
        <w:rPr>
          <w:rFonts w:eastAsia="MS Mincho"/>
        </w:rPr>
        <w:tab/>
        <w:t>[Heading inserted: No. 19 of 2010 s. 35(3).]</w:t>
      </w:r>
    </w:p>
    <w:p>
      <w:pPr>
        <w:pStyle w:val="yHeading5"/>
      </w:pPr>
      <w:bookmarkStart w:id="183" w:name="_Toc107496072"/>
      <w:r>
        <w:rPr>
          <w:rStyle w:val="CharSClsNo"/>
        </w:rPr>
        <w:t>6</w:t>
      </w:r>
      <w:r>
        <w:t>.</w:t>
      </w:r>
      <w:r>
        <w:tab/>
        <w:t>Term used: business licence</w:t>
      </w:r>
      <w:bookmarkEnd w:id="183"/>
    </w:p>
    <w:p>
      <w:pPr>
        <w:pStyle w:val="ySubsection"/>
        <w:rPr>
          <w:snapToGrid w:val="0"/>
        </w:rPr>
      </w:pPr>
      <w:r>
        <w:rPr>
          <w:snapToGrid w:val="0"/>
        </w:rPr>
        <w:tab/>
      </w:r>
      <w:r>
        <w:rPr>
          <w:snapToGrid w:val="0"/>
        </w:rPr>
        <w:tab/>
        <w:t xml:space="preserve">In clauses 7, 8, and 9 </w:t>
      </w:r>
      <w:r>
        <w:rPr>
          <w:rStyle w:val="CharDefText"/>
        </w:rPr>
        <w:t>business licence</w:t>
      </w:r>
      <w:r>
        <w:rPr>
          <w:snapToGrid w:val="0"/>
        </w:rPr>
        <w:t xml:space="preserve"> means the licence of a finance broker under the </w:t>
      </w:r>
      <w:r>
        <w:rPr>
          <w:i/>
          <w:snapToGrid w:val="0"/>
        </w:rPr>
        <w:t>Finance Brokers Control Act 1975</w:t>
      </w:r>
      <w:r>
        <w:rPr>
          <w:snapToGrid w:val="0"/>
        </w:rPr>
        <w:t xml:space="preserve">, the licence of a real estate agent or a business agent under the </w:t>
      </w:r>
      <w:r>
        <w:rPr>
          <w:i/>
          <w:snapToGrid w:val="0"/>
        </w:rPr>
        <w:t>Real Estate and Business Agents Act 1978</w:t>
      </w:r>
      <w:r>
        <w:rPr>
          <w:snapToGrid w:val="0"/>
        </w:rPr>
        <w:t xml:space="preserve">, the permit of a business agent under that Act, the licence of a land agent under the </w:t>
      </w:r>
      <w:r>
        <w:rPr>
          <w:i/>
          <w:snapToGrid w:val="0"/>
        </w:rPr>
        <w:t>Land Agents Act 1921</w:t>
      </w:r>
      <w:r>
        <w:rPr>
          <w:snapToGrid w:val="0"/>
          <w:vertAlign w:val="superscript"/>
        </w:rPr>
        <w:t xml:space="preserve"> 3</w:t>
      </w:r>
      <w:r>
        <w:rPr>
          <w:snapToGrid w:val="0"/>
        </w:rPr>
        <w:t xml:space="preserve">, or a similar licence or authority held under a law </w:t>
      </w:r>
      <w:r>
        <w:t>of another State, of a Territory or of the Commonwealth</w:t>
      </w:r>
      <w:r>
        <w:rPr>
          <w:snapToGrid w:val="0"/>
        </w:rPr>
        <w:t xml:space="preserve"> regulating the business of finance brokers, real estate agents or business agents.</w:t>
      </w:r>
    </w:p>
    <w:p>
      <w:pPr>
        <w:pStyle w:val="yFootnotesection"/>
      </w:pPr>
      <w:r>
        <w:tab/>
        <w:t>[Clause 6 amended: No. 14 of 2010 s. 79.]</w:t>
      </w:r>
    </w:p>
    <w:p>
      <w:pPr>
        <w:pStyle w:val="yHeading5"/>
      </w:pPr>
      <w:bookmarkStart w:id="184" w:name="_Toc107496073"/>
      <w:r>
        <w:rPr>
          <w:rStyle w:val="CharSClsNo"/>
        </w:rPr>
        <w:t>7</w:t>
      </w:r>
      <w:r>
        <w:t>.</w:t>
      </w:r>
      <w:r>
        <w:tab/>
        <w:t>Natural persons, disqualification of</w:t>
      </w:r>
      <w:bookmarkEnd w:id="184"/>
    </w:p>
    <w:p>
      <w:pPr>
        <w:pStyle w:val="ySubsection"/>
        <w:rPr>
          <w:snapToGrid w:val="0"/>
        </w:rPr>
      </w:pPr>
      <w:r>
        <w:rPr>
          <w:snapToGrid w:val="0"/>
        </w:rPr>
        <w:tab/>
      </w:r>
      <w:r>
        <w:rPr>
          <w:snapToGrid w:val="0"/>
        </w:rPr>
        <w:tab/>
        <w:t xml:space="preserve">The </w:t>
      </w:r>
      <w:r>
        <w:t>Commissioner</w:t>
      </w:r>
      <w:r>
        <w:rPr>
          <w:snapToGrid w:val="0"/>
        </w:rPr>
        <w:t xml:space="preserve"> shall not grant a licence on the application of a person if within the period of 5 years immediately preceding the date of the application —</w:t>
      </w:r>
    </w:p>
    <w:p>
      <w:pPr>
        <w:pStyle w:val="yIndenta"/>
        <w:rPr>
          <w:snapToGrid w:val="0"/>
        </w:rPr>
      </w:pPr>
      <w:r>
        <w:rPr>
          <w:snapToGrid w:val="0"/>
        </w:rPr>
        <w:tab/>
        <w:t>(a)</w:t>
      </w:r>
      <w:r>
        <w:rPr>
          <w:snapToGrid w:val="0"/>
        </w:rPr>
        <w:tab/>
        <w:t>a business licence held by the applicant has been suspended or cancelled by reason of any offence or misconduct connected with the operation of the business carried on pursuant to the licence; or</w:t>
      </w:r>
    </w:p>
    <w:p>
      <w:pPr>
        <w:pStyle w:val="yIndenta"/>
        <w:rPr>
          <w:snapToGrid w:val="0"/>
        </w:rPr>
      </w:pPr>
      <w:r>
        <w:rPr>
          <w:snapToGrid w:val="0"/>
        </w:rPr>
        <w:tab/>
        <w:t>(b)</w:t>
      </w:r>
      <w:r>
        <w:rPr>
          <w:snapToGrid w:val="0"/>
        </w:rPr>
        <w:tab/>
        <w:t>a business licence held by a body corporate or a firm has been suspended or cancelled by reason of any offence or misconduct connected with the operation of the business carried on pursuant to the licence and at the time of the occurrence of any of the acts leading to the suspension or cancellation the applicant was a director of the body corporate, or a member of the firm, or was otherwise personally involved in those acts; or</w:t>
      </w:r>
    </w:p>
    <w:p>
      <w:pPr>
        <w:pStyle w:val="yIndenta"/>
        <w:keepNext/>
        <w:rPr>
          <w:snapToGrid w:val="0"/>
        </w:rPr>
      </w:pPr>
      <w:r>
        <w:rPr>
          <w:snapToGrid w:val="0"/>
        </w:rPr>
        <w:lastRenderedPageBreak/>
        <w:tab/>
        <w:t>(c)</w:t>
      </w:r>
      <w:r>
        <w:rPr>
          <w:snapToGrid w:val="0"/>
        </w:rPr>
        <w:tab/>
        <w:t xml:space="preserve">the applicant has been struck off the roll of </w:t>
      </w:r>
      <w:r>
        <w:t>lawyers</w:t>
      </w:r>
      <w:r>
        <w:rPr>
          <w:snapToGrid w:val="0"/>
        </w:rPr>
        <w:t xml:space="preserve"> in this State or elsewhere in the Commonwealth.</w:t>
      </w:r>
    </w:p>
    <w:p>
      <w:pPr>
        <w:pStyle w:val="yFootnotesection"/>
      </w:pPr>
      <w:r>
        <w:tab/>
        <w:t>[Clause 7 amended: No. 58 of 2010 s. 176; No. 9 of 2022 s. 424.]</w:t>
      </w:r>
    </w:p>
    <w:p>
      <w:pPr>
        <w:pStyle w:val="yHeading5"/>
      </w:pPr>
      <w:bookmarkStart w:id="185" w:name="_Toc107496074"/>
      <w:r>
        <w:rPr>
          <w:rStyle w:val="CharSClsNo"/>
        </w:rPr>
        <w:t>8</w:t>
      </w:r>
      <w:r>
        <w:t xml:space="preserve">. </w:t>
      </w:r>
      <w:r>
        <w:tab/>
        <w:t>Bodies corporate, disqualification of</w:t>
      </w:r>
      <w:bookmarkEnd w:id="185"/>
    </w:p>
    <w:p>
      <w:pPr>
        <w:pStyle w:val="ySubsection"/>
        <w:rPr>
          <w:snapToGrid w:val="0"/>
        </w:rPr>
      </w:pPr>
      <w:r>
        <w:rPr>
          <w:snapToGrid w:val="0"/>
        </w:rPr>
        <w:tab/>
      </w:r>
      <w:r>
        <w:rPr>
          <w:snapToGrid w:val="0"/>
        </w:rPr>
        <w:tab/>
        <w:t xml:space="preserve">The </w:t>
      </w:r>
      <w:r>
        <w:t>Commissioner</w:t>
      </w:r>
      <w:r>
        <w:rPr>
          <w:snapToGrid w:val="0"/>
        </w:rPr>
        <w:t xml:space="preserve"> shall not grant a licence on the application of a body corporate if —</w:t>
      </w:r>
    </w:p>
    <w:p>
      <w:pPr>
        <w:pStyle w:val="yIndenta"/>
        <w:rPr>
          <w:snapToGrid w:val="0"/>
        </w:rPr>
      </w:pPr>
      <w:r>
        <w:rPr>
          <w:snapToGrid w:val="0"/>
        </w:rPr>
        <w:tab/>
        <w:t>(a)</w:t>
      </w:r>
      <w:r>
        <w:rPr>
          <w:snapToGrid w:val="0"/>
        </w:rPr>
        <w:tab/>
        <w:t>any director of the body corporate would have been disqualified under clause 7 from obtaining a licence in his own right if the application had been made by him; or</w:t>
      </w:r>
    </w:p>
    <w:p>
      <w:pPr>
        <w:pStyle w:val="yIndenta"/>
        <w:rPr>
          <w:snapToGrid w:val="0"/>
        </w:rPr>
      </w:pPr>
      <w:r>
        <w:rPr>
          <w:snapToGrid w:val="0"/>
        </w:rPr>
        <w:tab/>
        <w:t>(b)</w:t>
      </w:r>
      <w:r>
        <w:rPr>
          <w:snapToGrid w:val="0"/>
        </w:rPr>
        <w:tab/>
        <w:t>within the period of 5 years immediately preceding the date of the application a business licence held by the applicant has been suspended or cancelled by reason of any offence or misconduct connected with the operation of the business carried on pursuant to the licence; or</w:t>
      </w:r>
    </w:p>
    <w:p>
      <w:pPr>
        <w:pStyle w:val="yIndenta"/>
        <w:rPr>
          <w:snapToGrid w:val="0"/>
        </w:rPr>
      </w:pPr>
      <w:r>
        <w:rPr>
          <w:snapToGrid w:val="0"/>
        </w:rPr>
        <w:tab/>
        <w:t>(c)</w:t>
      </w:r>
      <w:r>
        <w:rPr>
          <w:snapToGrid w:val="0"/>
        </w:rPr>
        <w:tab/>
        <w:t>within the period of 5 years immediately preceding the date of the application a business licence held by a body corporate or a firm has been suspended or cancelled by reason of any offence or misconduct connected with the operation of the business carried on pursuant to the licence and at the time of the occurrence of any of the acts leading to the suspension or cancellation the applicant was a director of the body corporate or a member of the firm.</w:t>
      </w:r>
    </w:p>
    <w:p>
      <w:pPr>
        <w:pStyle w:val="yFootnotesection"/>
      </w:pPr>
      <w:r>
        <w:tab/>
        <w:t>[Clause 8 amended: No. 58 of 2010 s. 176.]</w:t>
      </w:r>
    </w:p>
    <w:p>
      <w:pPr>
        <w:pStyle w:val="yHeading5"/>
      </w:pPr>
      <w:bookmarkStart w:id="186" w:name="_Toc107496075"/>
      <w:r>
        <w:rPr>
          <w:rStyle w:val="CharSClsNo"/>
        </w:rPr>
        <w:t>9</w:t>
      </w:r>
      <w:r>
        <w:t xml:space="preserve">. </w:t>
      </w:r>
      <w:r>
        <w:tab/>
        <w:t>Firms, disqualification of</w:t>
      </w:r>
      <w:bookmarkEnd w:id="186"/>
    </w:p>
    <w:p>
      <w:pPr>
        <w:pStyle w:val="ySubsection"/>
        <w:spacing w:before="140"/>
        <w:rPr>
          <w:snapToGrid w:val="0"/>
        </w:rPr>
      </w:pPr>
      <w:r>
        <w:rPr>
          <w:snapToGrid w:val="0"/>
        </w:rPr>
        <w:tab/>
      </w:r>
      <w:r>
        <w:rPr>
          <w:snapToGrid w:val="0"/>
        </w:rPr>
        <w:tab/>
        <w:t xml:space="preserve">The </w:t>
      </w:r>
      <w:r>
        <w:t>Commissioner</w:t>
      </w:r>
      <w:r>
        <w:rPr>
          <w:snapToGrid w:val="0"/>
        </w:rPr>
        <w:t xml:space="preserve"> shall not grant a licence on the application of a firm if —</w:t>
      </w:r>
    </w:p>
    <w:p>
      <w:pPr>
        <w:pStyle w:val="yIndenta"/>
        <w:spacing w:before="60"/>
        <w:rPr>
          <w:snapToGrid w:val="0"/>
        </w:rPr>
      </w:pPr>
      <w:r>
        <w:rPr>
          <w:snapToGrid w:val="0"/>
        </w:rPr>
        <w:tab/>
        <w:t>(a)</w:t>
      </w:r>
      <w:r>
        <w:rPr>
          <w:snapToGrid w:val="0"/>
        </w:rPr>
        <w:tab/>
        <w:t>any member of the firm would have been disqualified under clause 7 or 8 from obtaining a licence in his or its own right if the application had been made by him or it; or</w:t>
      </w:r>
    </w:p>
    <w:p>
      <w:pPr>
        <w:pStyle w:val="yIndenta"/>
        <w:keepNext/>
        <w:spacing w:before="60"/>
        <w:rPr>
          <w:snapToGrid w:val="0"/>
        </w:rPr>
      </w:pPr>
      <w:r>
        <w:rPr>
          <w:snapToGrid w:val="0"/>
        </w:rPr>
        <w:tab/>
        <w:t>(b)</w:t>
      </w:r>
      <w:r>
        <w:rPr>
          <w:snapToGrid w:val="0"/>
        </w:rPr>
        <w:tab/>
        <w:t xml:space="preserve">within the period of 5 years immediately preceding the date of the application a business licence held by the applicant, or by a firm that was in the opinion of the </w:t>
      </w:r>
      <w:r>
        <w:t>Commissioner</w:t>
      </w:r>
      <w:r>
        <w:rPr>
          <w:snapToGrid w:val="0"/>
        </w:rPr>
        <w:t xml:space="preserve"> substantially the same as the applicant, has been suspended or cancelled by reason of any offence or misconduct connected </w:t>
      </w:r>
      <w:r>
        <w:rPr>
          <w:snapToGrid w:val="0"/>
        </w:rPr>
        <w:lastRenderedPageBreak/>
        <w:t>with the operation of the business carried on pursuant to the licence.</w:t>
      </w:r>
    </w:p>
    <w:p>
      <w:pPr>
        <w:pStyle w:val="yFootnotesection"/>
      </w:pPr>
      <w:r>
        <w:tab/>
        <w:t>[Clause 9 amended: No. 58 of 2010 s. 176.]</w:t>
      </w:r>
    </w:p>
    <w:p>
      <w:pPr>
        <w:pStyle w:val="yHeading3"/>
      </w:pPr>
      <w:bookmarkStart w:id="187" w:name="_Toc107315974"/>
      <w:bookmarkStart w:id="188" w:name="_Toc107316364"/>
      <w:bookmarkStart w:id="189" w:name="_Toc107496076"/>
      <w:r>
        <w:rPr>
          <w:rStyle w:val="CharSDivNo"/>
        </w:rPr>
        <w:t>Division 3</w:t>
      </w:r>
      <w:r>
        <w:t> — </w:t>
      </w:r>
      <w:r>
        <w:rPr>
          <w:rStyle w:val="CharSDivText"/>
        </w:rPr>
        <w:t>Temporary arrangements</w:t>
      </w:r>
      <w:bookmarkEnd w:id="187"/>
      <w:bookmarkEnd w:id="188"/>
      <w:bookmarkEnd w:id="189"/>
    </w:p>
    <w:p>
      <w:pPr>
        <w:pStyle w:val="yFootnoteheading"/>
        <w:rPr>
          <w:rFonts w:eastAsia="MS Mincho"/>
        </w:rPr>
      </w:pPr>
      <w:r>
        <w:rPr>
          <w:rFonts w:eastAsia="MS Mincho"/>
        </w:rPr>
        <w:tab/>
        <w:t>[Heading inserted: No. 19 of 2010 s. 35(4).]</w:t>
      </w:r>
    </w:p>
    <w:p>
      <w:pPr>
        <w:pStyle w:val="yHeading5"/>
      </w:pPr>
      <w:bookmarkStart w:id="190" w:name="_Toc107496077"/>
      <w:r>
        <w:rPr>
          <w:rStyle w:val="CharSClsNo"/>
        </w:rPr>
        <w:t>10</w:t>
      </w:r>
      <w:r>
        <w:t xml:space="preserve">. </w:t>
      </w:r>
      <w:r>
        <w:tab/>
        <w:t>Death or withdrawal of partner in firm or director of body corporate, Commissioner to be notified etc.</w:t>
      </w:r>
      <w:bookmarkEnd w:id="190"/>
    </w:p>
    <w:p>
      <w:pPr>
        <w:pStyle w:val="ySubsection"/>
        <w:spacing w:before="140"/>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28(1)(c) and (d) or section 29(1)(c)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the business for a period of 3 months after the death or withdrawal or until other arrangements are made to comply with the Act, whichever is the sooner.</w:t>
      </w:r>
    </w:p>
    <w:p>
      <w:pPr>
        <w:pStyle w:val="ySubsection"/>
        <w:spacing w:before="140"/>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10 amended: No. 58 of 2010 s. 176.]</w:t>
      </w:r>
    </w:p>
    <w:p>
      <w:pPr>
        <w:pStyle w:val="yScheduleHeading"/>
        <w:outlineLvl w:val="0"/>
      </w:pPr>
      <w:bookmarkStart w:id="191" w:name="_Toc107315976"/>
      <w:bookmarkStart w:id="192" w:name="_Toc107316366"/>
      <w:bookmarkStart w:id="193" w:name="_Toc107496078"/>
      <w:r>
        <w:rPr>
          <w:rStyle w:val="CharSchNo"/>
        </w:rPr>
        <w:lastRenderedPageBreak/>
        <w:t>Schedule 2</w:t>
      </w:r>
      <w:r>
        <w:rPr>
          <w:rStyle w:val="CharSDivNo"/>
        </w:rPr>
        <w:t> </w:t>
      </w:r>
      <w:r>
        <w:t>—</w:t>
      </w:r>
      <w:r>
        <w:rPr>
          <w:rStyle w:val="CharSDivText"/>
        </w:rPr>
        <w:t xml:space="preserve"> </w:t>
      </w:r>
      <w:r>
        <w:rPr>
          <w:rStyle w:val="CharSchText"/>
        </w:rPr>
        <w:t>Functions of a settlement agent</w:t>
      </w:r>
      <w:bookmarkEnd w:id="191"/>
      <w:bookmarkEnd w:id="192"/>
      <w:bookmarkEnd w:id="193"/>
    </w:p>
    <w:p>
      <w:pPr>
        <w:pStyle w:val="yShoulderClause"/>
        <w:rPr>
          <w:snapToGrid w:val="0"/>
        </w:rPr>
      </w:pPr>
      <w:r>
        <w:rPr>
          <w:snapToGrid w:val="0"/>
        </w:rPr>
        <w:t>[s</w:t>
      </w:r>
      <w:r>
        <w:rPr>
          <w:snapToGrid w:val="0"/>
          <w:sz w:val="24"/>
        </w:rPr>
        <w:t>.</w:t>
      </w:r>
      <w:r>
        <w:rPr>
          <w:snapToGrid w:val="0"/>
        </w:rPr>
        <w:t> 46 and 47]</w:t>
      </w:r>
    </w:p>
    <w:p>
      <w:pPr>
        <w:pStyle w:val="yFootnoteheading"/>
        <w:rPr>
          <w:rFonts w:eastAsia="MS Mincho"/>
        </w:rPr>
      </w:pPr>
      <w:r>
        <w:rPr>
          <w:rFonts w:eastAsia="MS Mincho"/>
        </w:rPr>
        <w:tab/>
        <w:t>[Heading amended: No. 19 of 2010 s. 35(5).]</w:t>
      </w:r>
    </w:p>
    <w:p>
      <w:pPr>
        <w:pStyle w:val="yHeading5"/>
      </w:pPr>
      <w:bookmarkStart w:id="194" w:name="_Toc107496079"/>
      <w:r>
        <w:rPr>
          <w:rStyle w:val="CharSClsNo"/>
        </w:rPr>
        <w:t>1</w:t>
      </w:r>
      <w:r>
        <w:t>.</w:t>
      </w:r>
      <w:r>
        <w:tab/>
        <w:t>Real estate settlement agent</w:t>
      </w:r>
      <w:bookmarkEnd w:id="194"/>
    </w:p>
    <w:p>
      <w:pPr>
        <w:pStyle w:val="ySubsection"/>
      </w:pPr>
      <w:r>
        <w:tab/>
        <w:t>(1A)</w:t>
      </w:r>
      <w:r>
        <w:tab/>
        <w:t xml:space="preserve">A word or expression that is defined in the </w:t>
      </w:r>
      <w:r>
        <w:rPr>
          <w:i/>
        </w:rPr>
        <w:t>Electronic Conveyancing Act 2014</w:t>
      </w:r>
      <w:r>
        <w:t xml:space="preserve"> section 3 has the same meaning in subclause (2A) as it has in that section.</w:t>
      </w:r>
    </w:p>
    <w:p>
      <w:pPr>
        <w:pStyle w:val="ySubsection"/>
        <w:rPr>
          <w:snapToGrid w:val="0"/>
        </w:rPr>
      </w:pPr>
      <w:r>
        <w:rPr>
          <w:snapToGrid w:val="0"/>
        </w:rPr>
        <w:tab/>
        <w:t>(1)</w:t>
      </w:r>
      <w:r>
        <w:rPr>
          <w:snapToGrid w:val="0"/>
        </w:rPr>
        <w:tab/>
        <w:t>A licensee who holds a real estate settlement agent’s licence and a current triennial certificate may perform the following functions —</w:t>
      </w:r>
    </w:p>
    <w:p>
      <w:pPr>
        <w:pStyle w:val="yIndenta"/>
      </w:pPr>
      <w:r>
        <w:tab/>
        <w:t>(a)</w:t>
      </w:r>
      <w:r>
        <w:tab/>
        <w:t xml:space="preserve">searching land titles and dealings in the records of the Western Australian Land Information Authority established by the </w:t>
      </w:r>
      <w:r>
        <w:rPr>
          <w:i/>
        </w:rPr>
        <w:t>Land Information Authority Act 2006</w:t>
      </w:r>
      <w:r>
        <w:t xml:space="preserve"> section 5 (the </w:t>
      </w:r>
      <w:r>
        <w:rPr>
          <w:rStyle w:val="CharDefText"/>
        </w:rPr>
        <w:t>Authority</w:t>
      </w:r>
      <w:r>
        <w:t>) and searching for caveats against any of those dealings;</w:t>
      </w:r>
    </w:p>
    <w:p>
      <w:pPr>
        <w:pStyle w:val="yIndenta"/>
        <w:rPr>
          <w:snapToGrid w:val="0"/>
        </w:rPr>
      </w:pPr>
      <w:r>
        <w:rPr>
          <w:snapToGrid w:val="0"/>
        </w:rPr>
        <w:tab/>
        <w:t>(b)</w:t>
      </w:r>
      <w:r>
        <w:rPr>
          <w:snapToGrid w:val="0"/>
        </w:rPr>
        <w:tab/>
        <w:t>searching and inquiring at other Government offices and at the offices of statutory authorities and local governments, and obtaining certificates therefrom, in respect of records, plans and policies and making inquiries with respect to adjustment of rates, taxes and other outgoings of a periodical nature in respect of the real estate the subject of the transaction involved in a settlement;</w:t>
      </w:r>
    </w:p>
    <w:p>
      <w:pPr>
        <w:pStyle w:val="yIndenta"/>
        <w:rPr>
          <w:snapToGrid w:val="0"/>
        </w:rPr>
      </w:pPr>
      <w:r>
        <w:rPr>
          <w:snapToGrid w:val="0"/>
        </w:rPr>
        <w:tab/>
        <w:t>(c)</w:t>
      </w:r>
      <w:r>
        <w:rPr>
          <w:snapToGrid w:val="0"/>
        </w:rPr>
        <w:tab/>
        <w:t>preparing a settlement statement and an authority for the payment or receipt of moneys in respect of the transaction involved in a settlement;</w:t>
      </w:r>
    </w:p>
    <w:p>
      <w:pPr>
        <w:pStyle w:val="yIndenta"/>
        <w:rPr>
          <w:snapToGrid w:val="0"/>
        </w:rPr>
      </w:pPr>
      <w:r>
        <w:rPr>
          <w:snapToGrid w:val="0"/>
        </w:rPr>
        <w:tab/>
        <w:t>(d)</w:t>
      </w:r>
      <w:r>
        <w:rPr>
          <w:snapToGrid w:val="0"/>
        </w:rPr>
        <w:tab/>
        <w:t>arranging the payment of duty imposed under the</w:t>
      </w:r>
      <w:r>
        <w:rPr>
          <w:i/>
          <w:iCs/>
        </w:rPr>
        <w:t xml:space="preserve"> Duties Act 2008</w:t>
      </w:r>
      <w:r>
        <w:rPr>
          <w:snapToGrid w:val="0"/>
        </w:rPr>
        <w:t>, and any other imposts or fees on documents in respect of the real estate transaction;</w:t>
      </w:r>
    </w:p>
    <w:p>
      <w:pPr>
        <w:pStyle w:val="yIndenta"/>
        <w:rPr>
          <w:snapToGrid w:val="0"/>
        </w:rPr>
      </w:pPr>
      <w:r>
        <w:rPr>
          <w:snapToGrid w:val="0"/>
        </w:rPr>
        <w:tab/>
        <w:t>(e)</w:t>
      </w:r>
      <w:r>
        <w:rPr>
          <w:snapToGrid w:val="0"/>
        </w:rPr>
        <w:tab/>
        <w:t>arranging and attending on settlement, including exchanging documents and receiving and disbursing moneys to effect the settlement;</w:t>
      </w:r>
    </w:p>
    <w:p>
      <w:pPr>
        <w:pStyle w:val="yIndenta"/>
        <w:rPr>
          <w:snapToGrid w:val="0"/>
        </w:rPr>
      </w:pPr>
      <w:r>
        <w:rPr>
          <w:snapToGrid w:val="0"/>
        </w:rPr>
        <w:tab/>
        <w:t>(f)</w:t>
      </w:r>
      <w:r>
        <w:rPr>
          <w:snapToGrid w:val="0"/>
        </w:rPr>
        <w:tab/>
        <w:t xml:space="preserve">lodging documents in respect of the real estate transaction </w:t>
      </w:r>
      <w:r>
        <w:t xml:space="preserve">with the Authority </w:t>
      </w:r>
      <w:r>
        <w:rPr>
          <w:snapToGrid w:val="0"/>
        </w:rPr>
        <w:t>or other Government offices or the offices of statutory authorities for registration;</w:t>
      </w:r>
    </w:p>
    <w:p>
      <w:pPr>
        <w:pStyle w:val="yIndenta"/>
      </w:pPr>
      <w:r>
        <w:tab/>
        <w:t>(ga)</w:t>
      </w:r>
      <w:r>
        <w:tab/>
        <w:t>providing certifications required in respect of the lodging of documents to which paragraph (f) applies;</w:t>
      </w:r>
    </w:p>
    <w:p>
      <w:pPr>
        <w:pStyle w:val="yIndenta"/>
        <w:rPr>
          <w:snapToGrid w:val="0"/>
        </w:rPr>
      </w:pPr>
      <w:r>
        <w:rPr>
          <w:snapToGrid w:val="0"/>
        </w:rPr>
        <w:lastRenderedPageBreak/>
        <w:tab/>
        <w:t>(g)</w:t>
      </w:r>
      <w:r>
        <w:rPr>
          <w:snapToGrid w:val="0"/>
        </w:rPr>
        <w:tab/>
        <w:t xml:space="preserve">uplifting such documents from the </w:t>
      </w:r>
      <w:r>
        <w:t xml:space="preserve">Authority </w:t>
      </w:r>
      <w:r>
        <w:rPr>
          <w:snapToGrid w:val="0"/>
        </w:rPr>
        <w:t>or other Government offices or the offices of statutory authorities;</w:t>
      </w:r>
    </w:p>
    <w:p>
      <w:pPr>
        <w:pStyle w:val="yIndenta"/>
        <w:rPr>
          <w:snapToGrid w:val="0"/>
        </w:rPr>
      </w:pPr>
      <w:r>
        <w:rPr>
          <w:snapToGrid w:val="0"/>
        </w:rPr>
        <w:tab/>
        <w:t>(h)</w:t>
      </w:r>
      <w:r>
        <w:rPr>
          <w:snapToGrid w:val="0"/>
        </w:rPr>
        <w:tab/>
        <w:t>completing powers of attorney in such form and subject to such conditions as are prescribed;</w:t>
      </w:r>
    </w:p>
    <w:p>
      <w:pPr>
        <w:pStyle w:val="yIndenta"/>
        <w:rPr>
          <w:snapToGrid w:val="0"/>
        </w:rPr>
      </w:pPr>
      <w:r>
        <w:rPr>
          <w:snapToGrid w:val="0"/>
        </w:rPr>
        <w:tab/>
        <w:t>(i)</w:t>
      </w:r>
      <w:r>
        <w:rPr>
          <w:snapToGrid w:val="0"/>
        </w:rPr>
        <w:tab/>
        <w:t>subject to any conditions imposed by the code of conduct, drawing or preparing and arranging the execution of the documents set forth in subclause (2);</w:t>
      </w:r>
    </w:p>
    <w:p>
      <w:pPr>
        <w:pStyle w:val="yIndenta"/>
        <w:rPr>
          <w:snapToGrid w:val="0"/>
        </w:rPr>
      </w:pPr>
      <w:r>
        <w:rPr>
          <w:snapToGrid w:val="0"/>
        </w:rPr>
        <w:tab/>
        <w:t>(j)</w:t>
      </w:r>
      <w:r>
        <w:rPr>
          <w:snapToGrid w:val="0"/>
        </w:rPr>
        <w:tab/>
        <w:t>reporting on the progress of the settlement to the party to the transaction by whom the licensee was appointed to arrange or effect the settlement.</w:t>
      </w:r>
    </w:p>
    <w:p>
      <w:pPr>
        <w:pStyle w:val="ySubsection"/>
      </w:pPr>
      <w:r>
        <w:tab/>
        <w:t>(2A)</w:t>
      </w:r>
      <w:r>
        <w:tab/>
        <w:t xml:space="preserve">A licensee who holds a real estate settlement agent’s licence and a current triennial certificate may perform any function necessary to enable a conveyancing transaction to be completed by means of an ELN, including (without limitation) the following functions — </w:t>
      </w:r>
    </w:p>
    <w:p>
      <w:pPr>
        <w:pStyle w:val="yIndenta"/>
      </w:pPr>
      <w:r>
        <w:tab/>
        <w:t>(a)</w:t>
      </w:r>
      <w:r>
        <w:tab/>
        <w:t>entering into a client authorisation to act as a subscriber;</w:t>
      </w:r>
    </w:p>
    <w:p>
      <w:pPr>
        <w:pStyle w:val="yIndenta"/>
      </w:pPr>
      <w:r>
        <w:tab/>
        <w:t>(b)</w:t>
      </w:r>
      <w:r>
        <w:tab/>
        <w:t xml:space="preserve">with respect to registry instruments and other documents that a licensee is authorised by this Act to prepare — </w:t>
      </w:r>
    </w:p>
    <w:p>
      <w:pPr>
        <w:pStyle w:val="yIndenti0"/>
      </w:pPr>
      <w:r>
        <w:tab/>
        <w:t>(i)</w:t>
      </w:r>
      <w:r>
        <w:tab/>
        <w:t>preparing them in electronic form for lodging by means of an ELN;</w:t>
      </w:r>
    </w:p>
    <w:p>
      <w:pPr>
        <w:pStyle w:val="yIndenti0"/>
      </w:pPr>
      <w:r>
        <w:tab/>
        <w:t>(ii)</w:t>
      </w:r>
      <w:r>
        <w:tab/>
        <w:t>digitally signing them;</w:t>
      </w:r>
    </w:p>
    <w:p>
      <w:pPr>
        <w:pStyle w:val="yIndenti0"/>
      </w:pPr>
      <w:r>
        <w:tab/>
        <w:t>(iii)</w:t>
      </w:r>
      <w:r>
        <w:tab/>
        <w:t>lodging them in electronic form with the Authority or other Government offices or the offices of statutory authorities by means of an ELN;</w:t>
      </w:r>
    </w:p>
    <w:p>
      <w:pPr>
        <w:pStyle w:val="yIndenti0"/>
      </w:pPr>
      <w:r>
        <w:tab/>
        <w:t>(iv)</w:t>
      </w:r>
      <w:r>
        <w:tab/>
        <w:t>providing certifications required in respect of, or in connection with, the lodging of those registry instruments or other documents by means of an ELN;</w:t>
      </w:r>
    </w:p>
    <w:p>
      <w:pPr>
        <w:pStyle w:val="yIndenta"/>
      </w:pPr>
      <w:r>
        <w:tab/>
        <w:t>(c)</w:t>
      </w:r>
      <w:r>
        <w:tab/>
        <w:t>doing anything necessary to enable the completion of an associated financial transaction.</w:t>
      </w:r>
    </w:p>
    <w:p>
      <w:pPr>
        <w:pStyle w:val="ySubsection"/>
        <w:rPr>
          <w:snapToGrid w:val="0"/>
        </w:rPr>
      </w:pPr>
      <w:r>
        <w:rPr>
          <w:snapToGrid w:val="0"/>
        </w:rPr>
        <w:tab/>
        <w:t>(2)</w:t>
      </w:r>
      <w:r>
        <w:rPr>
          <w:snapToGrid w:val="0"/>
        </w:rPr>
        <w:tab/>
        <w:t>A licensee who holds a real estate settlement agent’s licence and a current triennial certificate may draw or prepare the following documents —</w:t>
      </w:r>
    </w:p>
    <w:p>
      <w:pPr>
        <w:pStyle w:val="yIndenta"/>
        <w:rPr>
          <w:snapToGrid w:val="0"/>
        </w:rPr>
      </w:pPr>
      <w:r>
        <w:rPr>
          <w:snapToGrid w:val="0"/>
        </w:rPr>
        <w:tab/>
        <w:t>(a)</w:t>
      </w:r>
      <w:r>
        <w:rPr>
          <w:snapToGrid w:val="0"/>
        </w:rPr>
        <w:tab/>
        <w:t>an offer and acceptance form in such form and subject to such conditions as are prescribed;</w:t>
      </w:r>
    </w:p>
    <w:p>
      <w:pPr>
        <w:pStyle w:val="yIndenta"/>
        <w:rPr>
          <w:snapToGrid w:val="0"/>
        </w:rPr>
      </w:pPr>
      <w:r>
        <w:rPr>
          <w:snapToGrid w:val="0"/>
        </w:rPr>
        <w:tab/>
        <w:t>(b)</w:t>
      </w:r>
      <w:r>
        <w:rPr>
          <w:snapToGrid w:val="0"/>
        </w:rPr>
        <w:tab/>
        <w:t>requisitions on title in such form and subject to such conditions as are prescribed;</w:t>
      </w:r>
    </w:p>
    <w:p>
      <w:pPr>
        <w:pStyle w:val="yIndenta"/>
        <w:rPr>
          <w:snapToGrid w:val="0"/>
        </w:rPr>
      </w:pPr>
      <w:r>
        <w:rPr>
          <w:snapToGrid w:val="0"/>
        </w:rPr>
        <w:lastRenderedPageBreak/>
        <w:tab/>
        <w:t>(c)</w:t>
      </w:r>
      <w:r>
        <w:rPr>
          <w:snapToGrid w:val="0"/>
        </w:rPr>
        <w:tab/>
        <w:t>such documents that are to be registered or lodged under or for the purposes of the —</w:t>
      </w:r>
    </w:p>
    <w:p>
      <w:pPr>
        <w:pStyle w:val="yIndenti0"/>
        <w:rPr>
          <w:snapToGrid w:val="0"/>
        </w:rPr>
      </w:pPr>
      <w:r>
        <w:rPr>
          <w:snapToGrid w:val="0"/>
        </w:rPr>
        <w:tab/>
        <w:t>(i)</w:t>
      </w:r>
      <w:r>
        <w:rPr>
          <w:snapToGrid w:val="0"/>
        </w:rPr>
        <w:tab/>
      </w:r>
      <w:r>
        <w:rPr>
          <w:i/>
          <w:snapToGrid w:val="0"/>
        </w:rPr>
        <w:t>Land Act 1933</w:t>
      </w:r>
      <w:r>
        <w:rPr>
          <w:snapToGrid w:val="0"/>
          <w:vertAlign w:val="superscript"/>
        </w:rPr>
        <w:t xml:space="preserve"> 4</w:t>
      </w:r>
      <w:r>
        <w:rPr>
          <w:snapToGrid w:val="0"/>
        </w:rPr>
        <w:t>; or</w:t>
      </w:r>
    </w:p>
    <w:p>
      <w:pPr>
        <w:pStyle w:val="yIndenti0"/>
        <w:rPr>
          <w:snapToGrid w:val="0"/>
        </w:rPr>
      </w:pPr>
      <w:r>
        <w:rPr>
          <w:snapToGrid w:val="0"/>
        </w:rPr>
        <w:tab/>
        <w:t>(ii)</w:t>
      </w:r>
      <w:r>
        <w:rPr>
          <w:snapToGrid w:val="0"/>
        </w:rPr>
        <w:tab/>
      </w:r>
      <w:r>
        <w:rPr>
          <w:i/>
          <w:snapToGrid w:val="0"/>
        </w:rPr>
        <w:t>Registration of Deeds Act 1856</w:t>
      </w:r>
      <w:r>
        <w:rPr>
          <w:snapToGrid w:val="0"/>
        </w:rPr>
        <w:t>; or</w:t>
      </w:r>
    </w:p>
    <w:p>
      <w:pPr>
        <w:pStyle w:val="yIndenti0"/>
      </w:pPr>
      <w:r>
        <w:tab/>
        <w:t>(iia)</w:t>
      </w:r>
      <w:r>
        <w:tab/>
        <w:t xml:space="preserve">the </w:t>
      </w:r>
      <w:r>
        <w:rPr>
          <w:i/>
        </w:rPr>
        <w:t>Community Titles Act 2018</w:t>
      </w:r>
      <w:r>
        <w:t>; or</w:t>
      </w:r>
    </w:p>
    <w:p>
      <w:pPr>
        <w:pStyle w:val="yIndenti0"/>
        <w:rPr>
          <w:snapToGrid w:val="0"/>
        </w:rPr>
      </w:pPr>
      <w:r>
        <w:rPr>
          <w:snapToGrid w:val="0"/>
        </w:rPr>
        <w:tab/>
        <w:t>(iii)</w:t>
      </w:r>
      <w:r>
        <w:rPr>
          <w:snapToGrid w:val="0"/>
        </w:rPr>
        <w:tab/>
      </w:r>
      <w:r>
        <w:rPr>
          <w:i/>
          <w:snapToGrid w:val="0"/>
        </w:rPr>
        <w:t>Strata Titles Act 1985</w:t>
      </w:r>
      <w:r>
        <w:rPr>
          <w:snapToGrid w:val="0"/>
        </w:rPr>
        <w:t>; or</w:t>
      </w:r>
    </w:p>
    <w:p>
      <w:pPr>
        <w:pStyle w:val="yIndenti0"/>
        <w:rPr>
          <w:snapToGrid w:val="0"/>
        </w:rPr>
      </w:pPr>
      <w:r>
        <w:rPr>
          <w:snapToGrid w:val="0"/>
        </w:rPr>
        <w:tab/>
        <w:t>(iv)</w:t>
      </w:r>
      <w:r>
        <w:rPr>
          <w:snapToGrid w:val="0"/>
        </w:rPr>
        <w:tab/>
      </w:r>
      <w:r>
        <w:rPr>
          <w:i/>
          <w:snapToGrid w:val="0"/>
        </w:rPr>
        <w:t>Transfer of Land Act 1893</w:t>
      </w:r>
      <w:r>
        <w:rPr>
          <w:snapToGrid w:val="0"/>
        </w:rPr>
        <w:t>,</w:t>
      </w:r>
    </w:p>
    <w:p>
      <w:pPr>
        <w:pStyle w:val="yIndenta"/>
        <w:rPr>
          <w:snapToGrid w:val="0"/>
        </w:rPr>
      </w:pPr>
      <w:r>
        <w:rPr>
          <w:snapToGrid w:val="0"/>
        </w:rPr>
        <w:tab/>
      </w:r>
      <w:r>
        <w:rPr>
          <w:snapToGrid w:val="0"/>
        </w:rPr>
        <w:tab/>
        <w:t>as are prescribed and subject to such conditions as are prescribed;</w:t>
      </w:r>
    </w:p>
    <w:p>
      <w:pPr>
        <w:pStyle w:val="yIndenta"/>
        <w:rPr>
          <w:snapToGrid w:val="0"/>
        </w:rPr>
      </w:pPr>
      <w:r>
        <w:rPr>
          <w:snapToGrid w:val="0"/>
        </w:rPr>
        <w:tab/>
        <w:t>(d)</w:t>
      </w:r>
      <w:r>
        <w:rPr>
          <w:snapToGrid w:val="0"/>
        </w:rPr>
        <w:tab/>
        <w:t>a statutory declaration to support any of the documents that are referred to in paragraphs (a) and (b) or that are prescribed under paragraph (c);</w:t>
      </w:r>
    </w:p>
    <w:p>
      <w:pPr>
        <w:pStyle w:val="yIndenta"/>
        <w:rPr>
          <w:snapToGrid w:val="0"/>
        </w:rPr>
      </w:pPr>
      <w:r>
        <w:rPr>
          <w:snapToGrid w:val="0"/>
        </w:rPr>
        <w:tab/>
        <w:t>(e)</w:t>
      </w:r>
      <w:r>
        <w:rPr>
          <w:snapToGrid w:val="0"/>
        </w:rPr>
        <w:tab/>
        <w:t>a declaration to confirm that a power of attorney remains unrevoked.</w:t>
      </w:r>
    </w:p>
    <w:p>
      <w:pPr>
        <w:pStyle w:val="yFootnotesection"/>
      </w:pPr>
      <w:r>
        <w:tab/>
        <w:t>[Clause 1 amended: No. 58 of 1995 s. 98; No. 14 of 1996 s. 4; No. 62 of 1996 s. 5(1); No. 81 of 1996 s. 153(1); No. 60 of 2006 s. 158; No. 12 of 2008 Sch. 1 cl. 34; No. 2 of 2014 s. 58; No. 32 of 2018 s. 249.]</w:t>
      </w:r>
    </w:p>
    <w:p>
      <w:pPr>
        <w:pStyle w:val="yHeading5"/>
      </w:pPr>
      <w:bookmarkStart w:id="195" w:name="_Toc107496080"/>
      <w:r>
        <w:rPr>
          <w:rStyle w:val="CharSClsNo"/>
        </w:rPr>
        <w:t>2</w:t>
      </w:r>
      <w:r>
        <w:t xml:space="preserve">. </w:t>
      </w:r>
      <w:r>
        <w:tab/>
        <w:t>Business settlement agent</w:t>
      </w:r>
      <w:bookmarkEnd w:id="195"/>
    </w:p>
    <w:p>
      <w:pPr>
        <w:pStyle w:val="ySubsection"/>
        <w:keepNext/>
        <w:rPr>
          <w:snapToGrid w:val="0"/>
        </w:rPr>
      </w:pPr>
      <w:r>
        <w:rPr>
          <w:snapToGrid w:val="0"/>
        </w:rPr>
        <w:tab/>
      </w:r>
      <w:r>
        <w:rPr>
          <w:snapToGrid w:val="0"/>
        </w:rPr>
        <w:tab/>
        <w:t>A licensee who holds a business settlement agent’s licence and a current triennial certificate may perform the following functions —</w:t>
      </w:r>
    </w:p>
    <w:p>
      <w:pPr>
        <w:pStyle w:val="yIndenta"/>
        <w:rPr>
          <w:snapToGrid w:val="0"/>
        </w:rPr>
      </w:pPr>
      <w:r>
        <w:rPr>
          <w:snapToGrid w:val="0"/>
        </w:rPr>
        <w:tab/>
        <w:t>(a)</w:t>
      </w:r>
      <w:r>
        <w:rPr>
          <w:snapToGrid w:val="0"/>
        </w:rPr>
        <w:tab/>
        <w:t>searching and inquiring at Government offices and at the offices of statutory authorities and local governments, in respect of records, registers, plans and policies relating to the business the subject of the transaction involved in a settlement;</w:t>
      </w:r>
    </w:p>
    <w:p>
      <w:pPr>
        <w:pStyle w:val="yIndenta"/>
        <w:rPr>
          <w:snapToGrid w:val="0"/>
        </w:rPr>
      </w:pPr>
      <w:r>
        <w:rPr>
          <w:snapToGrid w:val="0"/>
        </w:rPr>
        <w:tab/>
        <w:t>(b)</w:t>
      </w:r>
      <w:r>
        <w:rPr>
          <w:snapToGrid w:val="0"/>
        </w:rPr>
        <w:tab/>
        <w:t>making inquiries in respect of adjustments for long service leave or holiday pay, rent, leased or hired plant or equipment, rates, taxes and other outgoings of a periodical nature;</w:t>
      </w:r>
    </w:p>
    <w:p>
      <w:pPr>
        <w:pStyle w:val="yIndenta"/>
        <w:rPr>
          <w:snapToGrid w:val="0"/>
        </w:rPr>
      </w:pPr>
      <w:r>
        <w:rPr>
          <w:snapToGrid w:val="0"/>
        </w:rPr>
        <w:tab/>
        <w:t>(c)</w:t>
      </w:r>
      <w:r>
        <w:rPr>
          <w:snapToGrid w:val="0"/>
        </w:rPr>
        <w:tab/>
        <w:t>arranging the employment of a stocktaker;</w:t>
      </w:r>
    </w:p>
    <w:p>
      <w:pPr>
        <w:pStyle w:val="yIndenta"/>
        <w:rPr>
          <w:snapToGrid w:val="0"/>
        </w:rPr>
      </w:pPr>
      <w:r>
        <w:rPr>
          <w:snapToGrid w:val="0"/>
        </w:rPr>
        <w:tab/>
        <w:t>(d)</w:t>
      </w:r>
      <w:r>
        <w:rPr>
          <w:snapToGrid w:val="0"/>
        </w:rPr>
        <w:tab/>
        <w:t>arranging the transfer of facilities and services provided to the business the subject of the transaction involved in a settlement;</w:t>
      </w:r>
    </w:p>
    <w:p>
      <w:pPr>
        <w:pStyle w:val="yIndenta"/>
        <w:rPr>
          <w:snapToGrid w:val="0"/>
        </w:rPr>
      </w:pPr>
      <w:r>
        <w:rPr>
          <w:snapToGrid w:val="0"/>
        </w:rPr>
        <w:lastRenderedPageBreak/>
        <w:tab/>
        <w:t>(e)</w:t>
      </w:r>
      <w:r>
        <w:rPr>
          <w:snapToGrid w:val="0"/>
        </w:rPr>
        <w:tab/>
        <w:t>arranging the payment of duty imposed under the</w:t>
      </w:r>
      <w:r>
        <w:rPr>
          <w:i/>
          <w:iCs/>
        </w:rPr>
        <w:t xml:space="preserve"> Duties Act 2008</w:t>
      </w:r>
      <w:r>
        <w:rPr>
          <w:snapToGrid w:val="0"/>
        </w:rPr>
        <w:t>, and any other imposts or fees on documents in respect of the business transaction;</w:t>
      </w:r>
    </w:p>
    <w:p>
      <w:pPr>
        <w:pStyle w:val="yIndenta"/>
        <w:rPr>
          <w:snapToGrid w:val="0"/>
        </w:rPr>
      </w:pPr>
      <w:r>
        <w:rPr>
          <w:snapToGrid w:val="0"/>
        </w:rPr>
        <w:tab/>
        <w:t>(f)</w:t>
      </w:r>
      <w:r>
        <w:rPr>
          <w:snapToGrid w:val="0"/>
        </w:rPr>
        <w:tab/>
        <w:t>arranging and attending on settlement, including exchanging documents and receiving and disbursing moneys to effect the settlement;</w:t>
      </w:r>
    </w:p>
    <w:p>
      <w:pPr>
        <w:pStyle w:val="yIndenta"/>
        <w:rPr>
          <w:snapToGrid w:val="0"/>
        </w:rPr>
      </w:pPr>
      <w:r>
        <w:rPr>
          <w:snapToGrid w:val="0"/>
        </w:rPr>
        <w:tab/>
        <w:t>(g)</w:t>
      </w:r>
      <w:r>
        <w:rPr>
          <w:snapToGrid w:val="0"/>
        </w:rPr>
        <w:tab/>
        <w:t>lodging documents in respect of the business transaction at Government offices or the offices of statutory authorities for registration;</w:t>
      </w:r>
    </w:p>
    <w:p>
      <w:pPr>
        <w:pStyle w:val="yIndenta"/>
        <w:rPr>
          <w:snapToGrid w:val="0"/>
        </w:rPr>
      </w:pPr>
      <w:r>
        <w:rPr>
          <w:snapToGrid w:val="0"/>
        </w:rPr>
        <w:tab/>
        <w:t>(h)</w:t>
      </w:r>
      <w:r>
        <w:rPr>
          <w:snapToGrid w:val="0"/>
        </w:rPr>
        <w:tab/>
        <w:t>subject to such conditions as are imposed by the code of conduct, preparing and arranging the execution of</w:t>
      </w:r>
      <w:r>
        <w:t xml:space="preserve"> any applications necessary under the </w:t>
      </w:r>
      <w:r>
        <w:rPr>
          <w:i/>
        </w:rPr>
        <w:t>Business Names Registration Act 2011</w:t>
      </w:r>
      <w:r>
        <w:t xml:space="preserve"> (Commonwealth) to effect the transfer of a business name under that Act;</w:t>
      </w:r>
    </w:p>
    <w:p>
      <w:pPr>
        <w:pStyle w:val="yIndenta"/>
        <w:keepNext/>
        <w:rPr>
          <w:snapToGrid w:val="0"/>
        </w:rPr>
      </w:pPr>
      <w:r>
        <w:rPr>
          <w:snapToGrid w:val="0"/>
        </w:rPr>
        <w:tab/>
        <w:t>(i)</w:t>
      </w:r>
      <w:r>
        <w:rPr>
          <w:snapToGrid w:val="0"/>
        </w:rPr>
        <w:tab/>
        <w:t>reporting on the progress of the settlement to the party to the transaction by whom the licensee was appointed to arrange or effect the settlement.</w:t>
      </w:r>
    </w:p>
    <w:p>
      <w:pPr>
        <w:pStyle w:val="yFootnotesection"/>
      </w:pPr>
      <w:r>
        <w:tab/>
        <w:t>[Clause 2 amended: No. 14 of 1996 s. 4; No. 62 of 1996 s. 5(2); No. 81 of 1996 s. 153(2); No. 12 of 2008 Sch. 1 cl. 34; No. 42 of 2011 s. 59; No. 6 of 2012 s. 43.]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97" w:name="_Toc107315979"/>
      <w:bookmarkStart w:id="198" w:name="_Toc107316369"/>
      <w:bookmarkStart w:id="199" w:name="_Toc107496081"/>
      <w:r>
        <w:lastRenderedPageBreak/>
        <w:t>Notes</w:t>
      </w:r>
      <w:bookmarkEnd w:id="197"/>
      <w:bookmarkEnd w:id="198"/>
      <w:bookmarkEnd w:id="199"/>
    </w:p>
    <w:p>
      <w:pPr>
        <w:pStyle w:val="nStatement"/>
      </w:pPr>
      <w:r>
        <w:t xml:space="preserve">This is a compilation of the </w:t>
      </w:r>
      <w:r>
        <w:rPr>
          <w:i/>
          <w:noProof/>
        </w:rPr>
        <w:t>Settlement Agents Act 1981</w:t>
      </w:r>
      <w:r>
        <w:t xml:space="preserve"> and includes amendments made by other written laws. For provisions that have come into operation, and for information about any reprints, see the compilation table.</w:t>
      </w:r>
    </w:p>
    <w:p>
      <w:pPr>
        <w:pStyle w:val="nHeading3"/>
      </w:pPr>
      <w:bookmarkStart w:id="200" w:name="_Toc107496082"/>
      <w:r>
        <w:t>Compilation table</w:t>
      </w:r>
      <w:bookmarkEnd w:id="20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Settlement Agents Act 1981</w:t>
            </w:r>
          </w:p>
        </w:tc>
        <w:tc>
          <w:tcPr>
            <w:tcW w:w="1134" w:type="dxa"/>
          </w:tcPr>
          <w:p>
            <w:pPr>
              <w:pStyle w:val="nTable"/>
              <w:spacing w:after="40"/>
            </w:pPr>
            <w:r>
              <w:t>33 of 1981</w:t>
            </w:r>
          </w:p>
        </w:tc>
        <w:tc>
          <w:tcPr>
            <w:tcW w:w="1134" w:type="dxa"/>
          </w:tcPr>
          <w:p>
            <w:pPr>
              <w:pStyle w:val="nTable"/>
              <w:spacing w:after="40"/>
            </w:pPr>
            <w:r>
              <w:t>26 May 1981</w:t>
            </w:r>
          </w:p>
        </w:tc>
        <w:tc>
          <w:tcPr>
            <w:tcW w:w="2552" w:type="dxa"/>
          </w:tcPr>
          <w:p>
            <w:pPr>
              <w:pStyle w:val="nTable"/>
              <w:spacing w:after="40"/>
            </w:pPr>
            <w:r>
              <w:t xml:space="preserve">1 Jul 1981 (see s. 2 and </w:t>
            </w:r>
            <w:r>
              <w:rPr>
                <w:i/>
              </w:rPr>
              <w:t>Gazette</w:t>
            </w:r>
            <w:r>
              <w:t xml:space="preserve"> 26 Jun 1981 p. 2285)</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Settlement Agents Amendment Act 1982</w:t>
            </w:r>
          </w:p>
        </w:tc>
        <w:tc>
          <w:tcPr>
            <w:tcW w:w="1134" w:type="dxa"/>
          </w:tcPr>
          <w:p>
            <w:pPr>
              <w:pStyle w:val="nTable"/>
              <w:spacing w:after="40"/>
            </w:pPr>
            <w:r>
              <w:t>64 of 1982</w:t>
            </w:r>
          </w:p>
        </w:tc>
        <w:tc>
          <w:tcPr>
            <w:tcW w:w="1134" w:type="dxa"/>
          </w:tcPr>
          <w:p>
            <w:pPr>
              <w:pStyle w:val="nTable"/>
              <w:spacing w:after="40"/>
            </w:pPr>
            <w:r>
              <w:t>19 Oct 1982</w:t>
            </w:r>
          </w:p>
        </w:tc>
        <w:tc>
          <w:tcPr>
            <w:tcW w:w="2552" w:type="dxa"/>
          </w:tcPr>
          <w:p>
            <w:pPr>
              <w:pStyle w:val="nTable"/>
              <w:spacing w:after="40"/>
            </w:pPr>
            <w:r>
              <w:t>19 Oct 1982</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 xml:space="preserve">State Government Insurance Commission Act 1986 </w:t>
            </w:r>
            <w:r>
              <w:t>s. 46(2)</w:t>
            </w:r>
          </w:p>
        </w:tc>
        <w:tc>
          <w:tcPr>
            <w:tcW w:w="1134" w:type="dxa"/>
          </w:tcPr>
          <w:p>
            <w:pPr>
              <w:pStyle w:val="nTable"/>
              <w:spacing w:after="40"/>
            </w:pPr>
            <w:r>
              <w:t>51 of 1986</w:t>
            </w:r>
          </w:p>
        </w:tc>
        <w:tc>
          <w:tcPr>
            <w:tcW w:w="1134" w:type="dxa"/>
          </w:tcPr>
          <w:p>
            <w:pPr>
              <w:pStyle w:val="nTable"/>
              <w:spacing w:after="40"/>
            </w:pPr>
            <w:r>
              <w:t>5 Aug 1986</w:t>
            </w:r>
          </w:p>
        </w:tc>
        <w:tc>
          <w:tcPr>
            <w:tcW w:w="2552"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 xml:space="preserve">Acts Amendment (Legal Practitioners, Costs and Taxation) Act 1987 </w:t>
            </w:r>
            <w:r>
              <w:t>Pt. XVI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keepNext/>
              <w:spacing w:after="40"/>
            </w:pPr>
            <w:r>
              <w:t>32 of 1994</w:t>
            </w:r>
          </w:p>
        </w:tc>
        <w:tc>
          <w:tcPr>
            <w:tcW w:w="1134" w:type="dxa"/>
          </w:tcPr>
          <w:p>
            <w:pPr>
              <w:pStyle w:val="nTable"/>
              <w:keepNext/>
              <w:spacing w:after="40"/>
            </w:pPr>
            <w:r>
              <w:t>29 Jun 1994</w:t>
            </w:r>
          </w:p>
        </w:tc>
        <w:tc>
          <w:tcPr>
            <w:tcW w:w="2552" w:type="dxa"/>
          </w:tcPr>
          <w:p>
            <w:pPr>
              <w:pStyle w:val="nTable"/>
              <w:keepNext/>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Business Licensing Amendment Act 1995 </w:t>
            </w:r>
            <w:r>
              <w:t>Pt. 9</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rPr>
                <w:vertAlign w:val="superscript"/>
              </w:rPr>
            </w:pPr>
            <w:r>
              <w:rPr>
                <w:i/>
              </w:rPr>
              <w:t xml:space="preserve">Strata Titles Amendment Act 1995 </w:t>
            </w:r>
            <w:r>
              <w:t>s. 98</w:t>
            </w:r>
          </w:p>
        </w:tc>
        <w:tc>
          <w:tcPr>
            <w:tcW w:w="1134" w:type="dxa"/>
          </w:tcPr>
          <w:p>
            <w:pPr>
              <w:pStyle w:val="nTable"/>
              <w:spacing w:after="40"/>
            </w:pPr>
            <w:r>
              <w:t>58 of 1995</w:t>
            </w:r>
          </w:p>
        </w:tc>
        <w:tc>
          <w:tcPr>
            <w:tcW w:w="1134"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2268" w:type="dxa"/>
          </w:tcPr>
          <w:p>
            <w:pPr>
              <w:pStyle w:val="nTable"/>
              <w:spacing w:after="40"/>
              <w:ind w:right="113"/>
              <w:rPr>
                <w:vertAlign w:val="superscript"/>
              </w:rPr>
            </w:pPr>
            <w:r>
              <w:rPr>
                <w:i/>
              </w:rPr>
              <w:lastRenderedPageBreak/>
              <w:t xml:space="preserve">Real Estate Legislation Amendment Act 1995 </w:t>
            </w:r>
            <w:r>
              <w:t>Pt. 4</w:t>
            </w:r>
            <w:r>
              <w:rPr>
                <w:vertAlign w:val="superscript"/>
              </w:rPr>
              <w:t> 5</w:t>
            </w:r>
          </w:p>
        </w:tc>
        <w:tc>
          <w:tcPr>
            <w:tcW w:w="1134" w:type="dxa"/>
          </w:tcPr>
          <w:p>
            <w:pPr>
              <w:pStyle w:val="nTable"/>
              <w:spacing w:after="40"/>
            </w:pPr>
            <w:r>
              <w:t>59 of 1995</w:t>
            </w:r>
          </w:p>
        </w:tc>
        <w:tc>
          <w:tcPr>
            <w:tcW w:w="1134" w:type="dxa"/>
          </w:tcPr>
          <w:p>
            <w:pPr>
              <w:pStyle w:val="nTable"/>
              <w:spacing w:after="40"/>
            </w:pPr>
            <w:r>
              <w:t>20 Dec 1995</w:t>
            </w:r>
          </w:p>
        </w:tc>
        <w:tc>
          <w:tcPr>
            <w:tcW w:w="2552" w:type="dxa"/>
          </w:tcPr>
          <w:p>
            <w:pPr>
              <w:pStyle w:val="nTable"/>
              <w:spacing w:after="40"/>
            </w:pPr>
            <w:r>
              <w:t xml:space="preserve">1 Jul 1996 (see s. 2 and </w:t>
            </w:r>
            <w:r>
              <w:rPr>
                <w:i/>
              </w:rPr>
              <w:t>Gazette</w:t>
            </w:r>
            <w:r>
              <w:t xml:space="preserve"> 25 Jun 1996 p. 2902)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8" w:type="dxa"/>
            <w:gridSpan w:val="4"/>
          </w:tcPr>
          <w:p>
            <w:pPr>
              <w:pStyle w:val="nTable"/>
              <w:spacing w:after="40"/>
            </w:pPr>
            <w:r>
              <w:rPr>
                <w:b/>
              </w:rPr>
              <w:t xml:space="preserve">Reprint of the </w:t>
            </w:r>
            <w:r>
              <w:rPr>
                <w:b/>
                <w:i/>
              </w:rPr>
              <w:t>Settlement Agents Act 1981</w:t>
            </w:r>
            <w:r>
              <w:rPr>
                <w:b/>
              </w:rPr>
              <w:t xml:space="preserve"> as at 23 Sep 1996</w:t>
            </w:r>
            <w:r>
              <w:t xml:space="preserve"> (includes amendments listed above)</w:t>
            </w:r>
          </w:p>
        </w:tc>
      </w:tr>
      <w:tr>
        <w:trPr>
          <w:cantSplit/>
        </w:trPr>
        <w:tc>
          <w:tcPr>
            <w:tcW w:w="2268" w:type="dxa"/>
          </w:tcPr>
          <w:p>
            <w:pPr>
              <w:pStyle w:val="nTable"/>
              <w:spacing w:after="40"/>
              <w:ind w:right="113"/>
            </w:pPr>
            <w:r>
              <w:rPr>
                <w:i/>
              </w:rPr>
              <w:t>Settlement Agents Amendment Act 1996</w:t>
            </w:r>
          </w:p>
        </w:tc>
        <w:tc>
          <w:tcPr>
            <w:tcW w:w="1134" w:type="dxa"/>
          </w:tcPr>
          <w:p>
            <w:pPr>
              <w:pStyle w:val="nTable"/>
              <w:spacing w:after="40"/>
            </w:pPr>
            <w:r>
              <w:t>62 of 1996</w:t>
            </w:r>
          </w:p>
        </w:tc>
        <w:tc>
          <w:tcPr>
            <w:tcW w:w="1134" w:type="dxa"/>
          </w:tcPr>
          <w:p>
            <w:pPr>
              <w:pStyle w:val="nTable"/>
              <w:spacing w:after="40"/>
            </w:pPr>
            <w:r>
              <w:t>11 Nov 1996</w:t>
            </w:r>
          </w:p>
        </w:tc>
        <w:tc>
          <w:tcPr>
            <w:tcW w:w="2552" w:type="dxa"/>
          </w:tcPr>
          <w:p>
            <w:pPr>
              <w:pStyle w:val="nTable"/>
              <w:spacing w:after="40"/>
            </w:pPr>
            <w:r>
              <w:rPr>
                <w:color w:val="000000"/>
              </w:rPr>
              <w:t>s. 1 and 2: 11 Nov 1996;</w:t>
            </w:r>
            <w:r>
              <w:rPr>
                <w:color w:val="000000"/>
              </w:rPr>
              <w:br/>
              <w:t xml:space="preserve">Act other than s. 1 and 2: </w:t>
            </w:r>
            <w:r>
              <w:t xml:space="preserve">24 May 1997 (see s. 2 and </w:t>
            </w:r>
            <w:r>
              <w:rPr>
                <w:i/>
              </w:rPr>
              <w:t>Gazette</w:t>
            </w:r>
            <w:r>
              <w:t xml:space="preserve"> 23 May 1997 p. 2417)</w:t>
            </w:r>
          </w:p>
        </w:tc>
      </w:tr>
      <w:tr>
        <w:trPr>
          <w:cantSplit/>
        </w:trPr>
        <w:tc>
          <w:tcPr>
            <w:tcW w:w="2268" w:type="dxa"/>
          </w:tcPr>
          <w:p>
            <w:pPr>
              <w:pStyle w:val="nTable"/>
              <w:spacing w:after="40"/>
              <w:ind w:right="113"/>
            </w:pPr>
            <w:r>
              <w:rPr>
                <w:i/>
              </w:rPr>
              <w:t xml:space="preserve">Transfer of Land Amendment Act 1996 </w:t>
            </w:r>
            <w:r>
              <w:t>s. 153(1) and (2)</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keepNext/>
              <w:keepLines/>
              <w:spacing w:after="40"/>
            </w:pPr>
            <w:r>
              <w:t>31 of 1997</w:t>
            </w:r>
          </w:p>
        </w:tc>
        <w:tc>
          <w:tcPr>
            <w:tcW w:w="1134" w:type="dxa"/>
          </w:tcPr>
          <w:p>
            <w:pPr>
              <w:pStyle w:val="nTable"/>
              <w:keepNext/>
              <w:keepLines/>
              <w:spacing w:after="40"/>
            </w:pPr>
            <w:r>
              <w:t>3 Oct 1997</w:t>
            </w:r>
          </w:p>
        </w:tc>
        <w:tc>
          <w:tcPr>
            <w:tcW w:w="2552"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Acts Amendment and Repeal (Financial Sector Reform) Act 1999 </w:t>
            </w:r>
            <w:r>
              <w:t>s. 102</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rPr>
                <w:vertAlign w:val="superscript"/>
              </w:rPr>
            </w:pPr>
            <w:r>
              <w:rPr>
                <w:i/>
              </w:rPr>
              <w:t xml:space="preserve">Real Estate Legislation (Fidelity Guarantee Funds) Amendment Act 2000 </w:t>
            </w:r>
            <w:r>
              <w:t>Pt. 3</w:t>
            </w:r>
            <w:r>
              <w:rPr>
                <w:vertAlign w:val="superscript"/>
              </w:rPr>
              <w:t> 2</w:t>
            </w:r>
          </w:p>
        </w:tc>
        <w:tc>
          <w:tcPr>
            <w:tcW w:w="1134" w:type="dxa"/>
          </w:tcPr>
          <w:p>
            <w:pPr>
              <w:pStyle w:val="nTable"/>
              <w:keepNext/>
              <w:keepLines/>
              <w:spacing w:after="40"/>
            </w:pPr>
            <w:r>
              <w:t>3 of 2000</w:t>
            </w:r>
          </w:p>
        </w:tc>
        <w:tc>
          <w:tcPr>
            <w:tcW w:w="1134" w:type="dxa"/>
          </w:tcPr>
          <w:p>
            <w:pPr>
              <w:pStyle w:val="nTable"/>
              <w:keepNext/>
              <w:keepLines/>
              <w:spacing w:after="40"/>
            </w:pPr>
            <w:r>
              <w:t>12 Apr 2000</w:t>
            </w:r>
          </w:p>
        </w:tc>
        <w:tc>
          <w:tcPr>
            <w:tcW w:w="2552" w:type="dxa"/>
          </w:tcPr>
          <w:p>
            <w:pPr>
              <w:pStyle w:val="nTable"/>
              <w:keepNext/>
              <w:keepLines/>
              <w:spacing w:after="40"/>
            </w:pPr>
            <w:r>
              <w:t>12 Apr 2000 (see s. 2)</w:t>
            </w:r>
          </w:p>
        </w:tc>
      </w:tr>
      <w:tr>
        <w:trPr>
          <w:cantSplit/>
        </w:trPr>
        <w:tc>
          <w:tcPr>
            <w:tcW w:w="7088" w:type="dxa"/>
            <w:gridSpan w:val="4"/>
          </w:tcPr>
          <w:p>
            <w:pPr>
              <w:pStyle w:val="nTable"/>
              <w:spacing w:after="40"/>
            </w:pPr>
            <w:r>
              <w:rPr>
                <w:b/>
              </w:rPr>
              <w:t xml:space="preserve">Reprint of the </w:t>
            </w:r>
            <w:r>
              <w:rPr>
                <w:b/>
                <w:i/>
              </w:rPr>
              <w:t>Settlement Agents Act 1981</w:t>
            </w:r>
            <w:r>
              <w:rPr>
                <w:b/>
              </w:rPr>
              <w:t xml:space="preserve"> as at 3 Nov 2000</w:t>
            </w:r>
            <w:r>
              <w:t xml:space="preserve"> (includes amendments listed above)</w:t>
            </w:r>
          </w:p>
        </w:tc>
      </w:tr>
      <w:tr>
        <w:trPr>
          <w:cantSplit/>
        </w:trPr>
        <w:tc>
          <w:tcPr>
            <w:tcW w:w="2268" w:type="dxa"/>
          </w:tcPr>
          <w:p>
            <w:pPr>
              <w:pStyle w:val="nTable"/>
              <w:spacing w:after="40"/>
              <w:ind w:right="113"/>
              <w:rPr>
                <w:i/>
              </w:rPr>
            </w:pPr>
            <w:r>
              <w:rPr>
                <w:i/>
              </w:rPr>
              <w:t xml:space="preserve">Corporations (Consequential Amendments) Act 2001 </w:t>
            </w:r>
            <w:r>
              <w:t>s. 220 and 222</w:t>
            </w:r>
          </w:p>
        </w:tc>
        <w:tc>
          <w:tcPr>
            <w:tcW w:w="1134" w:type="dxa"/>
          </w:tcPr>
          <w:p>
            <w:pPr>
              <w:pStyle w:val="nTable"/>
              <w:keepNext/>
              <w:keepLines/>
              <w:spacing w:after="40"/>
            </w:pPr>
            <w:r>
              <w:t>10 of 2001</w:t>
            </w:r>
          </w:p>
        </w:tc>
        <w:tc>
          <w:tcPr>
            <w:tcW w:w="1134" w:type="dxa"/>
          </w:tcPr>
          <w:p>
            <w:pPr>
              <w:pStyle w:val="nTable"/>
              <w:keepNext/>
              <w:keepLines/>
              <w:spacing w:after="40"/>
            </w:pPr>
            <w:r>
              <w:t>28 Jun 2001</w:t>
            </w:r>
          </w:p>
        </w:tc>
        <w:tc>
          <w:tcPr>
            <w:tcW w:w="2552" w:type="dxa"/>
          </w:tcPr>
          <w:p>
            <w:pPr>
              <w:pStyle w:val="nTable"/>
              <w:keepNext/>
              <w:keepLines/>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Corporations (Consequential Amendments) Act (No. 3) 2003 </w:t>
            </w:r>
            <w:r>
              <w:t>Pt. 13 </w:t>
            </w:r>
            <w:r>
              <w:rPr>
                <w:vertAlign w:val="superscript"/>
              </w:rPr>
              <w:t>6</w:t>
            </w:r>
          </w:p>
        </w:tc>
        <w:tc>
          <w:tcPr>
            <w:tcW w:w="1134" w:type="dxa"/>
          </w:tcPr>
          <w:p>
            <w:pPr>
              <w:pStyle w:val="nTable"/>
              <w:keepNext/>
              <w:keepLines/>
              <w:spacing w:after="40"/>
            </w:pPr>
            <w:r>
              <w:t>21 of 2003</w:t>
            </w:r>
          </w:p>
        </w:tc>
        <w:tc>
          <w:tcPr>
            <w:tcW w:w="1134" w:type="dxa"/>
          </w:tcPr>
          <w:p>
            <w:pPr>
              <w:pStyle w:val="nTable"/>
              <w:keepNext/>
              <w:keepLines/>
              <w:spacing w:after="40"/>
            </w:pPr>
            <w:r>
              <w:t>23 Apr 2003</w:t>
            </w:r>
          </w:p>
        </w:tc>
        <w:tc>
          <w:tcPr>
            <w:tcW w:w="2552" w:type="dxa"/>
          </w:tcPr>
          <w:p>
            <w:pPr>
              <w:pStyle w:val="nTable"/>
              <w:keepNext/>
              <w:keepLines/>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13"/>
            </w:pPr>
            <w:r>
              <w:rPr>
                <w:i/>
              </w:rPr>
              <w:t>Acts Amendment (Equality of Status) Act 2003</w:t>
            </w:r>
            <w:r>
              <w:t xml:space="preserve"> Pt. 53</w:t>
            </w:r>
          </w:p>
        </w:tc>
        <w:tc>
          <w:tcPr>
            <w:tcW w:w="1134" w:type="dxa"/>
          </w:tcPr>
          <w:p>
            <w:pPr>
              <w:pStyle w:val="nTable"/>
              <w:keepNext/>
              <w:keepLines/>
              <w:spacing w:after="40"/>
            </w:pPr>
            <w:r>
              <w:t>28 of 2003</w:t>
            </w:r>
          </w:p>
        </w:tc>
        <w:tc>
          <w:tcPr>
            <w:tcW w:w="1134" w:type="dxa"/>
          </w:tcPr>
          <w:p>
            <w:pPr>
              <w:pStyle w:val="nTable"/>
              <w:keepNext/>
              <w:keepLines/>
              <w:spacing w:after="40"/>
            </w:pPr>
            <w:r>
              <w:t>22 May 2003</w:t>
            </w:r>
          </w:p>
        </w:tc>
        <w:tc>
          <w:tcPr>
            <w:tcW w:w="2552" w:type="dxa"/>
          </w:tcPr>
          <w:p>
            <w:pPr>
              <w:pStyle w:val="nTable"/>
              <w:keepNext/>
              <w:keepLines/>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rPr>
                <w:i/>
              </w:rPr>
            </w:pPr>
            <w:r>
              <w:rPr>
                <w:i/>
              </w:rPr>
              <w:lastRenderedPageBreak/>
              <w:t>Acts Amendment and Repeal (Courts and Legal Practice) Act 2003</w:t>
            </w:r>
            <w:r>
              <w:t xml:space="preserve"> s. 66</w:t>
            </w:r>
          </w:p>
        </w:tc>
        <w:tc>
          <w:tcPr>
            <w:tcW w:w="1134" w:type="dxa"/>
          </w:tcPr>
          <w:p>
            <w:pPr>
              <w:pStyle w:val="nTable"/>
              <w:keepNext/>
              <w:keepLines/>
              <w:spacing w:after="40"/>
            </w:pPr>
            <w:r>
              <w:t>65 of 2003</w:t>
            </w:r>
          </w:p>
        </w:tc>
        <w:tc>
          <w:tcPr>
            <w:tcW w:w="1134" w:type="dxa"/>
          </w:tcPr>
          <w:p>
            <w:pPr>
              <w:pStyle w:val="nTable"/>
              <w:keepNext/>
              <w:keepLines/>
              <w:spacing w:after="40"/>
            </w:pPr>
            <w:r>
              <w:t>4 Dec 2003</w:t>
            </w:r>
          </w:p>
        </w:tc>
        <w:tc>
          <w:tcPr>
            <w:tcW w:w="2552" w:type="dxa"/>
          </w:tcPr>
          <w:p>
            <w:pPr>
              <w:pStyle w:val="nTable"/>
              <w:keepNext/>
              <w:keepLines/>
              <w:spacing w:after="40"/>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109</w:t>
            </w:r>
          </w:p>
        </w:tc>
        <w:tc>
          <w:tcPr>
            <w:tcW w:w="1134" w:type="dxa"/>
          </w:tcPr>
          <w:p>
            <w:pPr>
              <w:pStyle w:val="nTable"/>
              <w:keepNext/>
              <w:keepLines/>
              <w:spacing w:after="40"/>
            </w:pPr>
            <w:r>
              <w:t>74 of 2003</w:t>
            </w:r>
          </w:p>
        </w:tc>
        <w:tc>
          <w:tcPr>
            <w:tcW w:w="1134" w:type="dxa"/>
          </w:tcPr>
          <w:p>
            <w:pPr>
              <w:pStyle w:val="nTable"/>
              <w:keepNext/>
              <w:keepLines/>
              <w:spacing w:after="40"/>
            </w:pPr>
            <w:r>
              <w:t>15 Dec 2003</w:t>
            </w:r>
          </w:p>
        </w:tc>
        <w:tc>
          <w:tcPr>
            <w:tcW w:w="2552" w:type="dxa"/>
          </w:tcPr>
          <w:p>
            <w:pPr>
              <w:pStyle w:val="nTable"/>
              <w:keepNext/>
              <w:keepLines/>
              <w:spacing w:after="40"/>
            </w:pPr>
            <w:r>
              <w:rPr>
                <w:spacing w:val="-2"/>
              </w:rPr>
              <w:t>15 Dec 2003 (see s. 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 xml:space="preserve">State Administrative Tribunal (Conferral of Jurisdiction) Amendment and Repeal Act 2004 </w:t>
            </w:r>
            <w:r>
              <w:t>Pt. 2 Div. 118</w:t>
            </w:r>
            <w:r>
              <w:rPr>
                <w:vertAlign w:val="superscript"/>
              </w:rPr>
              <w:t> 7</w:t>
            </w:r>
          </w:p>
        </w:tc>
        <w:tc>
          <w:tcPr>
            <w:tcW w:w="1134" w:type="dxa"/>
          </w:tcPr>
          <w:p>
            <w:pPr>
              <w:pStyle w:val="nTable"/>
              <w:keepNext/>
              <w:keepLines/>
              <w:spacing w:after="40"/>
            </w:pPr>
            <w:r>
              <w:t>55 of 2004</w:t>
            </w:r>
          </w:p>
        </w:tc>
        <w:tc>
          <w:tcPr>
            <w:tcW w:w="1134" w:type="dxa"/>
          </w:tcPr>
          <w:p>
            <w:pPr>
              <w:pStyle w:val="nTable"/>
              <w:keepNext/>
              <w:keepLines/>
              <w:spacing w:after="40"/>
            </w:pPr>
            <w:r>
              <w:t>24 Nov 2004</w:t>
            </w:r>
          </w:p>
        </w:tc>
        <w:tc>
          <w:tcPr>
            <w:tcW w:w="2552" w:type="dxa"/>
          </w:tcPr>
          <w:p>
            <w:pPr>
              <w:pStyle w:val="nTable"/>
              <w:keepNext/>
              <w:keepLines/>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13"/>
              <w:rPr>
                <w:i/>
              </w:rPr>
            </w:pPr>
            <w:r>
              <w:rPr>
                <w:i/>
                <w:snapToGrid w:val="0"/>
              </w:rPr>
              <w:t>Criminal Procedure and Appeals (Consequential and Other Provisions) Act 2004</w:t>
            </w:r>
            <w:r>
              <w:rPr>
                <w:snapToGrid w:val="0"/>
              </w:rPr>
              <w:t xml:space="preserve"> s. 80 and 82 </w:t>
            </w:r>
          </w:p>
        </w:tc>
        <w:tc>
          <w:tcPr>
            <w:tcW w:w="1134" w:type="dxa"/>
          </w:tcPr>
          <w:p>
            <w:pPr>
              <w:pStyle w:val="nTable"/>
              <w:keepNext/>
              <w:keepLines/>
              <w:spacing w:after="40"/>
            </w:pPr>
            <w:r>
              <w:rPr>
                <w:snapToGrid w:val="0"/>
              </w:rPr>
              <w:t>84 of 2004</w:t>
            </w:r>
          </w:p>
        </w:tc>
        <w:tc>
          <w:tcPr>
            <w:tcW w:w="1134" w:type="dxa"/>
          </w:tcPr>
          <w:p>
            <w:pPr>
              <w:pStyle w:val="nTable"/>
              <w:keepNext/>
              <w:keepLines/>
              <w:spacing w:after="40"/>
            </w:pPr>
            <w:r>
              <w:t>16 Dec 2004</w:t>
            </w:r>
          </w:p>
        </w:tc>
        <w:tc>
          <w:tcPr>
            <w:tcW w:w="2552" w:type="dxa"/>
          </w:tcPr>
          <w:p>
            <w:pPr>
              <w:pStyle w:val="nTable"/>
              <w:keepNext/>
              <w:keepLines/>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pacing w:val="-2"/>
              </w:rPr>
            </w:pPr>
            <w:r>
              <w:rPr>
                <w:b/>
                <w:spacing w:val="-2"/>
              </w:rPr>
              <w:t xml:space="preserve">Reprint 3: The </w:t>
            </w:r>
            <w:r>
              <w:rPr>
                <w:b/>
                <w:i/>
                <w:spacing w:val="-2"/>
              </w:rPr>
              <w:t>Settlement Agents Act 1981</w:t>
            </w:r>
            <w:r>
              <w:rPr>
                <w:b/>
                <w:spacing w:val="-2"/>
              </w:rPr>
              <w:t xml:space="preserve"> as at 8 Jul 2005</w:t>
            </w:r>
            <w:r>
              <w:rPr>
                <w:spacing w:val="-2"/>
              </w:rPr>
              <w:t xml:space="preserve"> (includes amendments listed above)</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right="113"/>
              <w:rPr>
                <w:i/>
                <w:snapToGrid w:val="0"/>
              </w:rPr>
            </w:pPr>
            <w:r>
              <w:rPr>
                <w:i/>
                <w:snapToGrid w:val="0"/>
              </w:rPr>
              <w:t>Land Information Authority Act 2006</w:t>
            </w:r>
            <w:r>
              <w:rPr>
                <w:snapToGrid w:val="0"/>
              </w:rPr>
              <w:t xml:space="preserve"> s. 158</w:t>
            </w:r>
            <w:r>
              <w:rPr>
                <w:snapToGrid w:val="0"/>
                <w:vertAlign w:val="superscript"/>
              </w:rPr>
              <w:t xml:space="preserve"> </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right="113"/>
              <w:rPr>
                <w:snapToGrid w:val="0"/>
              </w:rPr>
            </w:pPr>
            <w:r>
              <w:rPr>
                <w:i/>
                <w:snapToGrid w:val="0"/>
              </w:rPr>
              <w:t xml:space="preserve">Consumer </w:t>
            </w:r>
            <w:r>
              <w:rPr>
                <w:i/>
              </w:rPr>
              <w:t>Protection</w:t>
            </w:r>
            <w:r>
              <w:rPr>
                <w:i/>
                <w:snapToGrid w:val="0"/>
              </w:rPr>
              <w:t xml:space="preserve"> Legislation Amendment and Repeal Act 2006 </w:t>
            </w:r>
            <w:r>
              <w:rPr>
                <w:snapToGrid w:val="0"/>
              </w:rPr>
              <w:t>Pt. 11</w:t>
            </w:r>
          </w:p>
        </w:tc>
        <w:tc>
          <w:tcPr>
            <w:tcW w:w="1134" w:type="dxa"/>
          </w:tcPr>
          <w:p>
            <w:pPr>
              <w:pStyle w:val="nTable"/>
              <w:spacing w:after="40"/>
              <w:rPr>
                <w:snapToGrid w:val="0"/>
              </w:rPr>
            </w:pPr>
            <w:r>
              <w:rPr>
                <w:snapToGrid w:val="0"/>
              </w:rPr>
              <w:t>69 of 2006</w:t>
            </w:r>
          </w:p>
        </w:tc>
        <w:tc>
          <w:tcPr>
            <w:tcW w:w="1134" w:type="dxa"/>
          </w:tcPr>
          <w:p>
            <w:pPr>
              <w:pStyle w:val="nTable"/>
              <w:spacing w:after="40"/>
              <w:ind w:right="15"/>
              <w:rPr>
                <w:snapToGrid w:val="0"/>
              </w:rPr>
            </w:pPr>
            <w:r>
              <w:rPr>
                <w:snapToGrid w:val="0"/>
              </w:rPr>
              <w:t>13 Dec 2006</w:t>
            </w:r>
          </w:p>
        </w:tc>
        <w:tc>
          <w:tcPr>
            <w:tcW w:w="2552" w:type="dxa"/>
          </w:tcPr>
          <w:p>
            <w:pPr>
              <w:pStyle w:val="nTable"/>
              <w:keepLines/>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ind w:right="113"/>
              <w:rPr>
                <w:i/>
                <w:snapToGrid w:val="0"/>
              </w:rPr>
            </w:pPr>
            <w:r>
              <w:rPr>
                <w:i/>
                <w:snapToGrid w:val="0"/>
              </w:rPr>
              <w:t>Financial Legislation Amendment and Repeal Act 2006</w:t>
            </w:r>
            <w:r>
              <w:rPr>
                <w:snapToGrid w:val="0"/>
              </w:rPr>
              <w:t xml:space="preserve"> Sch. 1 cl. 156</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spacing w:val="-2"/>
              </w:rPr>
              <w:lastRenderedPageBreak/>
              <w:t xml:space="preserve">Reprint 4: The </w:t>
            </w:r>
            <w:r>
              <w:rPr>
                <w:b/>
                <w:i/>
                <w:spacing w:val="-2"/>
              </w:rPr>
              <w:t>Settlement Agents Act 1981</w:t>
            </w:r>
            <w:r>
              <w:rPr>
                <w:b/>
                <w:spacing w:val="-2"/>
              </w:rPr>
              <w:t xml:space="preserve"> as at 25 May 2007</w:t>
            </w:r>
            <w:r>
              <w:rPr>
                <w:spacing w:val="-2"/>
              </w:rPr>
              <w:t xml:space="preserve"> (includes amendments listed above except those in the </w:t>
            </w:r>
            <w:r>
              <w:rPr>
                <w:i/>
                <w:snapToGrid w:val="0"/>
              </w:rPr>
              <w:t xml:space="preserve">Consumer </w:t>
            </w:r>
            <w:r>
              <w:rPr>
                <w:i/>
              </w:rPr>
              <w:t>Protection</w:t>
            </w:r>
            <w:r>
              <w:rPr>
                <w:i/>
                <w:snapToGrid w:val="0"/>
              </w:rPr>
              <w:t xml:space="preserve"> Legislation Amendment and Repeal Act 2006</w:t>
            </w:r>
            <w:r>
              <w:rPr>
                <w:spacing w:val="-2"/>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34</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s. 704</w:t>
            </w:r>
          </w:p>
        </w:tc>
        <w:tc>
          <w:tcPr>
            <w:tcW w:w="1134"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80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8" w:type="dxa"/>
          </w:tcPr>
          <w:p>
            <w:pPr>
              <w:pStyle w:val="nTable"/>
              <w:spacing w:after="40"/>
              <w:rPr>
                <w:iCs/>
                <w:snapToGrid w:val="0"/>
              </w:rPr>
            </w:pPr>
            <w:r>
              <w:rPr>
                <w:i/>
                <w:snapToGrid w:val="0"/>
              </w:rPr>
              <w:t>Statutes (Repeals and Minor Amendments) Act 2009</w:t>
            </w:r>
            <w:r>
              <w:rPr>
                <w:iCs/>
                <w:snapToGrid w:val="0"/>
              </w:rPr>
              <w:t xml:space="preserve"> s. 15</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7088" w:type="dxa"/>
            <w:gridSpan w:val="4"/>
          </w:tcPr>
          <w:p>
            <w:pPr>
              <w:pStyle w:val="nTable"/>
              <w:spacing w:after="40"/>
            </w:pPr>
            <w:r>
              <w:rPr>
                <w:b/>
                <w:spacing w:val="-2"/>
              </w:rPr>
              <w:t xml:space="preserve">Reprint 5: The </w:t>
            </w:r>
            <w:r>
              <w:rPr>
                <w:b/>
                <w:i/>
                <w:spacing w:val="-2"/>
              </w:rPr>
              <w:t>Settlement Agents Act 1981</w:t>
            </w:r>
            <w:r>
              <w:rPr>
                <w:b/>
                <w:spacing w:val="-2"/>
              </w:rPr>
              <w:t xml:space="preserve"> as at 26 Mar 2010 </w:t>
            </w:r>
            <w:r>
              <w:rPr>
                <w:spacing w:val="-2"/>
              </w:rPr>
              <w:t>(includes amendments listed above)</w:t>
            </w:r>
          </w:p>
        </w:tc>
      </w:tr>
      <w:tr>
        <w:trPr>
          <w:cantSplit/>
        </w:trPr>
        <w:tc>
          <w:tcPr>
            <w:tcW w:w="2268" w:type="dxa"/>
          </w:tcPr>
          <w:p>
            <w:pPr>
              <w:pStyle w:val="nTable"/>
              <w:spacing w:after="40"/>
              <w:rPr>
                <w:iCs/>
                <w:snapToGrid w:val="0"/>
              </w:rPr>
            </w:pPr>
            <w:r>
              <w:rPr>
                <w:i/>
                <w:iCs/>
                <w:snapToGrid w:val="0"/>
              </w:rPr>
              <w:t>Credit (Commonwealth Powers) (Transitional and Consequential Provisions) Act 2010</w:t>
            </w:r>
            <w:r>
              <w:rPr>
                <w:iCs/>
                <w:snapToGrid w:val="0"/>
              </w:rPr>
              <w:t xml:space="preserve"> s. 79</w:t>
            </w:r>
          </w:p>
        </w:tc>
        <w:tc>
          <w:tcPr>
            <w:tcW w:w="1134" w:type="dxa"/>
          </w:tcPr>
          <w:p>
            <w:pPr>
              <w:pStyle w:val="nTable"/>
              <w:spacing w:after="40"/>
            </w:pPr>
            <w:r>
              <w:t>14 of 2010</w:t>
            </w:r>
          </w:p>
        </w:tc>
        <w:tc>
          <w:tcPr>
            <w:tcW w:w="1134" w:type="dxa"/>
          </w:tcPr>
          <w:p>
            <w:pPr>
              <w:pStyle w:val="nTable"/>
              <w:spacing w:after="40"/>
            </w:pPr>
            <w:r>
              <w:t>25 Jun 2010</w:t>
            </w:r>
          </w:p>
        </w:tc>
        <w:tc>
          <w:tcPr>
            <w:tcW w:w="2552" w:type="dxa"/>
          </w:tcPr>
          <w:p>
            <w:pPr>
              <w:pStyle w:val="nTable"/>
              <w:spacing w:after="40"/>
            </w:pPr>
            <w:r>
              <w:t xml:space="preserve">1 Jul 2010 (see s. 2(b) and </w:t>
            </w:r>
            <w:r>
              <w:rPr>
                <w:i/>
                <w:iCs/>
              </w:rPr>
              <w:t xml:space="preserve">Gazette </w:t>
            </w:r>
            <w:r>
              <w:t>30 Jun 2010 p. 3185)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Standardisation of Formatting Act 2010</w:t>
            </w:r>
            <w:r>
              <w:rPr>
                <w:iCs/>
                <w:snapToGrid w:val="0"/>
              </w:rPr>
              <w:t xml:space="preserve"> s. 35 and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i/>
                <w:iCs/>
                <w:snapToGrid w:val="0"/>
              </w:rPr>
            </w:pPr>
            <w:r>
              <w:rPr>
                <w:i/>
                <w:noProof/>
                <w:snapToGrid w:val="0"/>
              </w:rPr>
              <w:t>Acts Amendment (Fair Trading) Act 2010</w:t>
            </w:r>
            <w:r>
              <w:rPr>
                <w:iCs/>
                <w:noProof/>
                <w:snapToGrid w:val="0"/>
              </w:rPr>
              <w:t xml:space="preserve"> Pt. 7</w:t>
            </w:r>
          </w:p>
        </w:tc>
        <w:tc>
          <w:tcPr>
            <w:tcW w:w="1134" w:type="dxa"/>
            <w:tcBorders>
              <w:top w:val="nil"/>
              <w:bottom w:val="nil"/>
            </w:tcBorders>
            <w:shd w:val="clear" w:color="auto" w:fill="auto"/>
          </w:tcPr>
          <w:p>
            <w:pPr>
              <w:pStyle w:val="nTable"/>
              <w:spacing w:after="40"/>
              <w:rPr>
                <w:snapToGrid w:val="0"/>
              </w:rPr>
            </w:pPr>
            <w:r>
              <w:t>58 of 2010</w:t>
            </w:r>
          </w:p>
        </w:tc>
        <w:tc>
          <w:tcPr>
            <w:tcW w:w="1134" w:type="dxa"/>
            <w:tcBorders>
              <w:top w:val="nil"/>
              <w:bottom w:val="nil"/>
            </w:tcBorders>
            <w:shd w:val="clear" w:color="auto" w:fill="auto"/>
          </w:tcPr>
          <w:p>
            <w:pPr>
              <w:pStyle w:val="nTable"/>
              <w:spacing w:after="40"/>
              <w:rPr>
                <w:snapToGrid w:val="0"/>
              </w:rPr>
            </w:pPr>
            <w:r>
              <w:t>8 Dec 2010</w:t>
            </w:r>
          </w:p>
        </w:tc>
        <w:tc>
          <w:tcPr>
            <w:tcW w:w="2552" w:type="dxa"/>
            <w:tcBorders>
              <w:top w:val="nil"/>
              <w:bottom w:val="nil"/>
            </w:tcBorders>
            <w:shd w:val="clear" w:color="auto" w:fill="auto"/>
          </w:tcPr>
          <w:p>
            <w:pPr>
              <w:pStyle w:val="nTable"/>
              <w:spacing w:after="40"/>
              <w:rPr>
                <w:snapToGrid w:val="0"/>
              </w:rPr>
            </w:pPr>
            <w:r>
              <w:t xml:space="preserve">1 Jul 2011 (see s. 2(c) and </w:t>
            </w:r>
            <w:r>
              <w:rPr>
                <w:i/>
              </w:rPr>
              <w:t>Gazette</w:t>
            </w:r>
            <w:r>
              <w:t xml:space="preserve"> 7 Jun 2011 p. 2057)</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i/>
                <w:iCs/>
                <w:snapToGrid w:val="0"/>
              </w:rPr>
            </w:pPr>
            <w:r>
              <w:rPr>
                <w:i/>
                <w:snapToGrid w:val="0"/>
              </w:rPr>
              <w:t>Personal Property Securities (Consequential Repeals and Amendments) Act 2011</w:t>
            </w:r>
            <w:r>
              <w:rPr>
                <w:snapToGrid w:val="0"/>
              </w:rPr>
              <w:t xml:space="preserve"> Pt. 4 Div. 8</w:t>
            </w:r>
          </w:p>
        </w:tc>
        <w:tc>
          <w:tcPr>
            <w:tcW w:w="1134" w:type="dxa"/>
            <w:tcBorders>
              <w:top w:val="nil"/>
              <w:bottom w:val="nil"/>
            </w:tcBorders>
            <w:shd w:val="clear" w:color="auto" w:fill="auto"/>
          </w:tcPr>
          <w:p>
            <w:pPr>
              <w:pStyle w:val="nTable"/>
              <w:spacing w:after="40"/>
              <w:rPr>
                <w:snapToGrid w:val="0"/>
              </w:rPr>
            </w:pPr>
            <w:r>
              <w:rPr>
                <w:snapToGrid w:val="0"/>
              </w:rPr>
              <w:t>42 of 2011</w:t>
            </w:r>
          </w:p>
        </w:tc>
        <w:tc>
          <w:tcPr>
            <w:tcW w:w="1134" w:type="dxa"/>
            <w:tcBorders>
              <w:top w:val="nil"/>
              <w:bottom w:val="nil"/>
            </w:tcBorders>
            <w:shd w:val="clear" w:color="auto" w:fill="auto"/>
          </w:tcPr>
          <w:p>
            <w:pPr>
              <w:pStyle w:val="nTable"/>
              <w:spacing w:after="40"/>
              <w:rPr>
                <w:snapToGrid w:val="0"/>
              </w:rPr>
            </w:pPr>
            <w:r>
              <w:t>4 Oct 2011</w:t>
            </w:r>
          </w:p>
        </w:tc>
        <w:tc>
          <w:tcPr>
            <w:tcW w:w="2552" w:type="dxa"/>
            <w:tcBorders>
              <w:top w:val="nil"/>
              <w:bottom w:val="nil"/>
            </w:tcBorders>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spacing w:after="40"/>
            </w:pPr>
            <w:r>
              <w:rPr>
                <w:b/>
                <w:spacing w:val="-2"/>
              </w:rPr>
              <w:t xml:space="preserve">Reprint 6: The </w:t>
            </w:r>
            <w:r>
              <w:rPr>
                <w:b/>
                <w:i/>
                <w:spacing w:val="-2"/>
              </w:rPr>
              <w:t>Settlement Agents Act 1981</w:t>
            </w:r>
            <w:r>
              <w:rPr>
                <w:b/>
                <w:spacing w:val="-2"/>
              </w:rPr>
              <w:t xml:space="preserve"> as at 11 Nov 2011 </w:t>
            </w:r>
            <w:r>
              <w:rPr>
                <w:spacing w:val="-2"/>
              </w:rPr>
              <w:t xml:space="preserve">(includes amendments listed above except those in the </w:t>
            </w:r>
            <w:r>
              <w:rPr>
                <w:i/>
                <w:snapToGrid w:val="0"/>
              </w:rPr>
              <w:t>Personal Property Securities (Consequential Repeals and Amendments) Act 2011</w:t>
            </w:r>
            <w:r>
              <w:rPr>
                <w:spacing w:val="-2"/>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i/>
                <w:iCs/>
                <w:snapToGrid w:val="0"/>
              </w:rPr>
            </w:pPr>
            <w:r>
              <w:rPr>
                <w:i/>
                <w:noProof/>
                <w:snapToGrid w:val="0"/>
              </w:rPr>
              <w:t xml:space="preserve">Business Names (Commonwealth Powers) Act 2012 </w:t>
            </w:r>
            <w:r>
              <w:rPr>
                <w:snapToGrid w:val="0"/>
              </w:rPr>
              <w:t>Pt. 4 Div. 4</w:t>
            </w:r>
          </w:p>
        </w:tc>
        <w:tc>
          <w:tcPr>
            <w:tcW w:w="1134" w:type="dxa"/>
            <w:tcBorders>
              <w:top w:val="nil"/>
              <w:bottom w:val="nil"/>
            </w:tcBorders>
            <w:shd w:val="clear" w:color="auto" w:fill="auto"/>
          </w:tcPr>
          <w:p>
            <w:pPr>
              <w:pStyle w:val="nTable"/>
              <w:spacing w:after="40"/>
              <w:rPr>
                <w:snapToGrid w:val="0"/>
              </w:rPr>
            </w:pPr>
            <w:r>
              <w:rPr>
                <w:snapToGrid w:val="0"/>
              </w:rPr>
              <w:t>6 of 2012</w:t>
            </w:r>
          </w:p>
        </w:tc>
        <w:tc>
          <w:tcPr>
            <w:tcW w:w="1134" w:type="dxa"/>
            <w:tcBorders>
              <w:top w:val="nil"/>
              <w:bottom w:val="nil"/>
            </w:tcBorders>
            <w:shd w:val="clear" w:color="auto" w:fill="auto"/>
          </w:tcPr>
          <w:p>
            <w:pPr>
              <w:pStyle w:val="nTable"/>
              <w:spacing w:after="40"/>
              <w:rPr>
                <w:snapToGrid w:val="0"/>
              </w:rPr>
            </w:pPr>
            <w:r>
              <w:t>10 Apr 2012</w:t>
            </w:r>
          </w:p>
        </w:tc>
        <w:tc>
          <w:tcPr>
            <w:tcW w:w="2552" w:type="dxa"/>
            <w:tcBorders>
              <w:top w:val="nil"/>
              <w:bottom w:val="nil"/>
            </w:tcBorders>
            <w:shd w:val="clear" w:color="auto" w:fill="auto"/>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blPrEx>
          <w:tblBorders>
            <w:top w:val="single" w:sz="4" w:space="0" w:color="auto"/>
            <w:bottom w:val="single" w:sz="4" w:space="0" w:color="auto"/>
            <w:insideH w:val="single" w:sz="4" w:space="0" w:color="auto"/>
          </w:tblBorders>
        </w:tblPrEx>
        <w:tc>
          <w:tcPr>
            <w:tcW w:w="2268" w:type="dxa"/>
            <w:tcBorders>
              <w:top w:val="nil"/>
              <w:bottom w:val="nil"/>
              <w:right w:val="nil"/>
            </w:tcBorders>
            <w:shd w:val="clear" w:color="auto" w:fill="auto"/>
          </w:tcPr>
          <w:p>
            <w:pPr>
              <w:pStyle w:val="nTable"/>
              <w:spacing w:after="40"/>
              <w:rPr>
                <w:i/>
                <w:noProof/>
                <w:snapToGrid w:val="0"/>
              </w:rPr>
            </w:pPr>
            <w:r>
              <w:rPr>
                <w:i/>
                <w:noProof/>
                <w:snapToGrid w:val="0"/>
              </w:rPr>
              <w:lastRenderedPageBreak/>
              <w:t xml:space="preserve">Electronic Conveyancing Act 2014 </w:t>
            </w:r>
            <w:r>
              <w:rPr>
                <w:noProof/>
                <w:snapToGrid w:val="0"/>
              </w:rPr>
              <w:t>Pt. 7</w:t>
            </w:r>
          </w:p>
        </w:tc>
        <w:tc>
          <w:tcPr>
            <w:tcW w:w="1134" w:type="dxa"/>
            <w:tcBorders>
              <w:top w:val="nil"/>
              <w:left w:val="nil"/>
              <w:bottom w:val="nil"/>
              <w:right w:val="nil"/>
            </w:tcBorders>
            <w:shd w:val="clear" w:color="auto" w:fill="auto"/>
          </w:tcPr>
          <w:p>
            <w:pPr>
              <w:pStyle w:val="nTable"/>
              <w:spacing w:after="40"/>
              <w:rPr>
                <w:snapToGrid w:val="0"/>
              </w:rPr>
            </w:pPr>
            <w:r>
              <w:rPr>
                <w:snapToGrid w:val="0"/>
              </w:rP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blPrEx>
          <w:tblBorders>
            <w:top w:val="single" w:sz="4" w:space="0" w:color="auto"/>
            <w:bottom w:val="single" w:sz="4" w:space="0" w:color="auto"/>
            <w:insideH w:val="single" w:sz="4" w:space="0" w:color="auto"/>
          </w:tblBorders>
        </w:tblPrEx>
        <w:tc>
          <w:tcPr>
            <w:tcW w:w="2268" w:type="dxa"/>
            <w:tcBorders>
              <w:top w:val="nil"/>
              <w:bottom w:val="nil"/>
              <w:right w:val="nil"/>
            </w:tcBorders>
            <w:shd w:val="clear" w:color="auto" w:fill="auto"/>
          </w:tcPr>
          <w:p>
            <w:pPr>
              <w:pStyle w:val="nTable"/>
              <w:spacing w:after="40"/>
              <w:rPr>
                <w:i/>
                <w:noProof/>
                <w:snapToGrid w:val="0"/>
              </w:rPr>
            </w:pPr>
            <w:r>
              <w:rPr>
                <w:i/>
                <w:noProof/>
                <w:snapToGrid w:val="0"/>
              </w:rPr>
              <w:t>Consumer Protection Legislation Amendment Act 2014</w:t>
            </w:r>
            <w:r>
              <w:rPr>
                <w:noProof/>
                <w:snapToGrid w:val="0"/>
              </w:rPr>
              <w:t xml:space="preserve"> Pt. 14</w:t>
            </w:r>
          </w:p>
        </w:tc>
        <w:tc>
          <w:tcPr>
            <w:tcW w:w="1134" w:type="dxa"/>
            <w:tcBorders>
              <w:top w:val="nil"/>
              <w:left w:val="nil"/>
              <w:bottom w:val="nil"/>
              <w:right w:val="nil"/>
            </w:tcBorders>
            <w:shd w:val="clear" w:color="auto" w:fill="auto"/>
          </w:tcPr>
          <w:p>
            <w:pPr>
              <w:pStyle w:val="nTable"/>
              <w:spacing w:after="40"/>
              <w:rPr>
                <w:snapToGrid w:val="0"/>
              </w:rPr>
            </w:pPr>
            <w:r>
              <w:rPr>
                <w:snapToGrid w:val="0"/>
              </w:rPr>
              <w:t>23 of 2014</w:t>
            </w:r>
          </w:p>
        </w:tc>
        <w:tc>
          <w:tcPr>
            <w:tcW w:w="1134" w:type="dxa"/>
            <w:tcBorders>
              <w:top w:val="nil"/>
              <w:left w:val="nil"/>
              <w:bottom w:val="nil"/>
              <w:right w:val="nil"/>
            </w:tcBorders>
            <w:shd w:val="clear" w:color="auto" w:fill="auto"/>
          </w:tcPr>
          <w:p>
            <w:pPr>
              <w:pStyle w:val="nTable"/>
              <w:spacing w:after="40"/>
            </w:pPr>
            <w:r>
              <w:rPr>
                <w:snapToGrid w:val="0"/>
              </w:rPr>
              <w:t>9 Oct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7: The </w:t>
            </w:r>
            <w:r>
              <w:rPr>
                <w:b/>
                <w:i/>
                <w:noProof/>
                <w:snapToGrid w:val="0"/>
              </w:rPr>
              <w:t>Settlement Agents Act 1981</w:t>
            </w:r>
            <w:r>
              <w:rPr>
                <w:b/>
                <w:snapToGrid w:val="0"/>
              </w:rPr>
              <w:t xml:space="preserve"> as at 13 Mar 2015</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right w:val="nil"/>
            </w:tcBorders>
            <w:shd w:val="clear" w:color="auto" w:fill="auto"/>
          </w:tcPr>
          <w:p>
            <w:pPr>
              <w:pStyle w:val="nTable"/>
              <w:spacing w:after="40"/>
              <w:rPr>
                <w:i/>
                <w:noProof/>
                <w:snapToGrid w:val="0"/>
              </w:rPr>
            </w:pPr>
            <w:r>
              <w:rPr>
                <w:i/>
              </w:rPr>
              <w:t>Licensing Provisions Amendment Act 2016</w:t>
            </w:r>
            <w:r>
              <w:t xml:space="preserve"> Pt. 8</w:t>
            </w:r>
          </w:p>
        </w:tc>
        <w:tc>
          <w:tcPr>
            <w:tcW w:w="1134" w:type="dxa"/>
            <w:tcBorders>
              <w:top w:val="nil"/>
              <w:left w:val="nil"/>
              <w:bottom w:val="nil"/>
              <w:right w:val="nil"/>
            </w:tcBorders>
            <w:shd w:val="clear" w:color="auto" w:fill="auto"/>
          </w:tcPr>
          <w:p>
            <w:pPr>
              <w:pStyle w:val="nTable"/>
              <w:spacing w:after="40"/>
              <w:rPr>
                <w:snapToGrid w:val="0"/>
              </w:rPr>
            </w:pPr>
            <w:r>
              <w:t>44 of 2016</w:t>
            </w:r>
          </w:p>
        </w:tc>
        <w:tc>
          <w:tcPr>
            <w:tcW w:w="1134" w:type="dxa"/>
            <w:tcBorders>
              <w:top w:val="nil"/>
              <w:left w:val="nil"/>
              <w:bottom w:val="nil"/>
              <w:right w:val="nil"/>
            </w:tcBorders>
            <w:shd w:val="clear" w:color="auto" w:fill="auto"/>
          </w:tcPr>
          <w:p>
            <w:pPr>
              <w:pStyle w:val="nTable"/>
              <w:spacing w:after="40"/>
              <w:rPr>
                <w:snapToGrid w:val="0"/>
              </w:rPr>
            </w:pPr>
            <w:r>
              <w:t>1 Dec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tblPrEx>
          <w:tblBorders>
            <w:top w:val="single" w:sz="4" w:space="0" w:color="auto"/>
            <w:bottom w:val="single" w:sz="4" w:space="0" w:color="auto"/>
            <w:insideH w:val="single" w:sz="4" w:space="0" w:color="auto"/>
          </w:tblBorders>
        </w:tblPrEx>
        <w:tc>
          <w:tcPr>
            <w:tcW w:w="2268" w:type="dxa"/>
            <w:tcBorders>
              <w:top w:val="nil"/>
              <w:bottom w:val="nil"/>
              <w:right w:val="nil"/>
            </w:tcBorders>
            <w:shd w:val="clear" w:color="auto" w:fill="auto"/>
          </w:tcPr>
          <w:p>
            <w:pPr>
              <w:pStyle w:val="nTable"/>
              <w:spacing w:after="40"/>
              <w:rPr>
                <w:i/>
              </w:rPr>
            </w:pPr>
            <w:r>
              <w:rPr>
                <w:i/>
              </w:rPr>
              <w:t>Strata Titles Amendment Act 2018</w:t>
            </w:r>
            <w:r>
              <w:t xml:space="preserve"> Pt. 3 Div. 21</w:t>
            </w:r>
          </w:p>
        </w:tc>
        <w:tc>
          <w:tcPr>
            <w:tcW w:w="1134" w:type="dxa"/>
            <w:tcBorders>
              <w:top w:val="nil"/>
              <w:left w:val="nil"/>
              <w:bottom w:val="nil"/>
              <w:right w:val="nil"/>
            </w:tcBorders>
            <w:shd w:val="clear" w:color="auto" w:fill="auto"/>
          </w:tcPr>
          <w:p>
            <w:pPr>
              <w:pStyle w:val="nTable"/>
              <w:spacing w:after="40"/>
            </w:pPr>
            <w:r>
              <w:t>30 of 2018</w:t>
            </w:r>
          </w:p>
        </w:tc>
        <w:tc>
          <w:tcPr>
            <w:tcW w:w="1134" w:type="dxa"/>
            <w:tcBorders>
              <w:top w:val="nil"/>
              <w:left w:val="nil"/>
              <w:bottom w:val="nil"/>
              <w:right w:val="nil"/>
            </w:tcBorders>
            <w:shd w:val="clear" w:color="auto" w:fill="auto"/>
          </w:tcPr>
          <w:p>
            <w:pPr>
              <w:pStyle w:val="nTable"/>
              <w:spacing w:after="40"/>
            </w:pPr>
            <w:r>
              <w:t>19 Nov 2018</w:t>
            </w:r>
          </w:p>
        </w:tc>
        <w:tc>
          <w:tcPr>
            <w:tcW w:w="2552" w:type="dxa"/>
            <w:tcBorders>
              <w:top w:val="nil"/>
              <w:left w:val="nil"/>
              <w:bottom w:val="nil"/>
            </w:tcBorders>
            <w:shd w:val="clear" w:color="auto" w:fill="auto"/>
          </w:tcPr>
          <w:p>
            <w:pPr>
              <w:pStyle w:val="nTable"/>
              <w:spacing w:after="40"/>
              <w:rPr>
                <w:snapToGrid w:val="0"/>
              </w:rPr>
            </w:pPr>
            <w:r>
              <w:rPr>
                <w:snapToGrid w:val="0"/>
              </w:rPr>
              <w:t>1 May 2020 (see s. 2(b) and SL 2020/39 cl. 2)</w:t>
            </w:r>
          </w:p>
        </w:tc>
      </w:tr>
      <w:tr>
        <w:tblPrEx>
          <w:tblBorders>
            <w:top w:val="single" w:sz="4" w:space="0" w:color="auto"/>
            <w:bottom w:val="single" w:sz="4" w:space="0" w:color="auto"/>
            <w:insideH w:val="single" w:sz="4" w:space="0" w:color="auto"/>
          </w:tblBorders>
        </w:tblPrEx>
        <w:tc>
          <w:tcPr>
            <w:tcW w:w="2268" w:type="dxa"/>
            <w:tcBorders>
              <w:top w:val="nil"/>
              <w:bottom w:val="nil"/>
              <w:right w:val="nil"/>
            </w:tcBorders>
            <w:shd w:val="clear" w:color="auto" w:fill="auto"/>
          </w:tcPr>
          <w:p>
            <w:pPr>
              <w:pStyle w:val="nTable"/>
              <w:spacing w:after="40"/>
              <w:rPr>
                <w:i/>
              </w:rPr>
            </w:pPr>
            <w:r>
              <w:rPr>
                <w:i/>
              </w:rPr>
              <w:t>Community Titles Act 2018</w:t>
            </w:r>
            <w:r>
              <w:t xml:space="preserve"> Pt. 14 Div. 21</w:t>
            </w:r>
          </w:p>
        </w:tc>
        <w:tc>
          <w:tcPr>
            <w:tcW w:w="1134" w:type="dxa"/>
            <w:tcBorders>
              <w:top w:val="nil"/>
              <w:left w:val="nil"/>
              <w:bottom w:val="nil"/>
              <w:right w:val="nil"/>
            </w:tcBorders>
            <w:shd w:val="clear" w:color="auto" w:fill="auto"/>
          </w:tcPr>
          <w:p>
            <w:pPr>
              <w:pStyle w:val="nTable"/>
              <w:spacing w:after="40"/>
            </w:pPr>
            <w:r>
              <w:t>32 of 2018</w:t>
            </w:r>
          </w:p>
        </w:tc>
        <w:tc>
          <w:tcPr>
            <w:tcW w:w="1134" w:type="dxa"/>
            <w:tcBorders>
              <w:top w:val="nil"/>
              <w:left w:val="nil"/>
              <w:bottom w:val="nil"/>
              <w:right w:val="nil"/>
            </w:tcBorders>
            <w:shd w:val="clear" w:color="auto" w:fill="auto"/>
          </w:tcPr>
          <w:p>
            <w:pPr>
              <w:pStyle w:val="nTable"/>
              <w:spacing w:after="40"/>
            </w:pPr>
            <w:r>
              <w:t>19 Nov 2018</w:t>
            </w:r>
          </w:p>
        </w:tc>
        <w:tc>
          <w:tcPr>
            <w:tcW w:w="2552" w:type="dxa"/>
            <w:tcBorders>
              <w:top w:val="nil"/>
              <w:left w:val="nil"/>
              <w:bottom w:val="nil"/>
            </w:tcBorders>
            <w:shd w:val="clear" w:color="auto" w:fill="auto"/>
          </w:tcPr>
          <w:p>
            <w:pPr>
              <w:pStyle w:val="nTable"/>
              <w:spacing w:after="40"/>
              <w:rPr>
                <w:snapToGrid w:val="0"/>
              </w:rPr>
            </w:pPr>
            <w:r>
              <w:t>30 Jun 2021 (see s. 2(b) and SL 2021/69 cl. 2)</w:t>
            </w:r>
          </w:p>
        </w:tc>
      </w:tr>
      <w:tr>
        <w:tblPrEx>
          <w:tblBorders>
            <w:top w:val="single" w:sz="4" w:space="0" w:color="auto"/>
            <w:bottom w:val="single" w:sz="4" w:space="0" w:color="auto"/>
            <w:insideH w:val="single" w:sz="4" w:space="0" w:color="auto"/>
          </w:tblBorders>
        </w:tblPrEx>
        <w:tc>
          <w:tcPr>
            <w:tcW w:w="2268" w:type="dxa"/>
            <w:tcBorders>
              <w:top w:val="nil"/>
              <w:bottom w:val="nil"/>
              <w:right w:val="nil"/>
            </w:tcBorders>
            <w:shd w:val="clear" w:color="auto" w:fill="auto"/>
          </w:tcPr>
          <w:p>
            <w:pPr>
              <w:pStyle w:val="nTable"/>
              <w:spacing w:after="40"/>
              <w:rPr>
                <w:i/>
              </w:rPr>
            </w:pPr>
            <w:r>
              <w:rPr>
                <w:i/>
              </w:rPr>
              <w:t xml:space="preserve">Consumer Protection Legislation Amendment Act 2019 </w:t>
            </w:r>
            <w:r>
              <w:t>Pt. 10</w:t>
            </w:r>
          </w:p>
        </w:tc>
        <w:tc>
          <w:tcPr>
            <w:tcW w:w="1134" w:type="dxa"/>
            <w:tcBorders>
              <w:top w:val="nil"/>
              <w:left w:val="nil"/>
              <w:bottom w:val="nil"/>
              <w:right w:val="nil"/>
            </w:tcBorders>
            <w:shd w:val="clear" w:color="auto" w:fill="auto"/>
          </w:tcPr>
          <w:p>
            <w:pPr>
              <w:pStyle w:val="nTable"/>
              <w:spacing w:after="40"/>
            </w:pPr>
            <w:r>
              <w:t>25 of 2019</w:t>
            </w:r>
          </w:p>
        </w:tc>
        <w:tc>
          <w:tcPr>
            <w:tcW w:w="1134" w:type="dxa"/>
            <w:tcBorders>
              <w:top w:val="nil"/>
              <w:left w:val="nil"/>
              <w:bottom w:val="nil"/>
              <w:right w:val="nil"/>
            </w:tcBorders>
            <w:shd w:val="clear" w:color="auto" w:fill="auto"/>
          </w:tcPr>
          <w:p>
            <w:pPr>
              <w:pStyle w:val="nTable"/>
              <w:spacing w:after="40"/>
            </w:pPr>
            <w:r>
              <w:t>24 Oct 2019</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blPrEx>
          <w:tblBorders>
            <w:top w:val="single" w:sz="4" w:space="0" w:color="auto"/>
            <w:bottom w:val="single" w:sz="4" w:space="0" w:color="auto"/>
            <w:insideH w:val="single" w:sz="4" w:space="0" w:color="auto"/>
          </w:tblBorders>
        </w:tblPrEx>
        <w:tc>
          <w:tcPr>
            <w:tcW w:w="2268" w:type="dxa"/>
            <w:tcBorders>
              <w:top w:val="nil"/>
              <w:bottom w:val="nil"/>
              <w:right w:val="nil"/>
            </w:tcBorders>
            <w:shd w:val="clear" w:color="auto" w:fill="auto"/>
          </w:tcPr>
          <w:p>
            <w:pPr>
              <w:pStyle w:val="nTable"/>
              <w:spacing w:after="40"/>
              <w:rPr>
                <w:i/>
              </w:rPr>
            </w:pPr>
            <w:r>
              <w:rPr>
                <w:i/>
              </w:rPr>
              <w:t xml:space="preserve">Mutual Recognition (Western Australia) Amendment Act 2022 </w:t>
            </w:r>
            <w:r>
              <w:t>Pt. 3 Div. 12</w:t>
            </w:r>
          </w:p>
        </w:tc>
        <w:tc>
          <w:tcPr>
            <w:tcW w:w="1134" w:type="dxa"/>
            <w:tcBorders>
              <w:top w:val="nil"/>
              <w:left w:val="nil"/>
              <w:bottom w:val="nil"/>
              <w:right w:val="nil"/>
            </w:tcBorders>
            <w:shd w:val="clear" w:color="auto" w:fill="auto"/>
          </w:tcPr>
          <w:p>
            <w:pPr>
              <w:pStyle w:val="nTable"/>
              <w:spacing w:after="40"/>
            </w:pPr>
            <w:r>
              <w:t>7 of 2022</w:t>
            </w:r>
          </w:p>
        </w:tc>
        <w:tc>
          <w:tcPr>
            <w:tcW w:w="1134" w:type="dxa"/>
            <w:tcBorders>
              <w:top w:val="nil"/>
              <w:left w:val="nil"/>
              <w:bottom w:val="nil"/>
              <w:right w:val="nil"/>
            </w:tcBorders>
            <w:shd w:val="clear" w:color="auto" w:fill="auto"/>
          </w:tcPr>
          <w:p>
            <w:pPr>
              <w:pStyle w:val="nTable"/>
              <w:spacing w:after="40"/>
            </w:pPr>
            <w:r>
              <w:t>29 Mar 2022</w:t>
            </w:r>
          </w:p>
        </w:tc>
        <w:tc>
          <w:tcPr>
            <w:tcW w:w="2552" w:type="dxa"/>
            <w:tcBorders>
              <w:top w:val="nil"/>
              <w:left w:val="nil"/>
              <w:bottom w:val="nil"/>
            </w:tcBorders>
            <w:shd w:val="clear" w:color="auto" w:fill="auto"/>
          </w:tcPr>
          <w:p>
            <w:pPr>
              <w:pStyle w:val="nTable"/>
              <w:spacing w:after="40"/>
              <w:rPr>
                <w:snapToGrid w:val="0"/>
              </w:rPr>
            </w:pPr>
            <w:r>
              <w:t>1 Jul 2022 (see s. 2(b) and SL 2022/80 cl. 2)</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right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left w:val="nil"/>
              <w:bottom w:val="single" w:sz="4" w:space="0" w:color="auto"/>
              <w:right w:val="nil"/>
            </w:tcBorders>
            <w:shd w:val="clear" w:color="auto" w:fill="auto"/>
          </w:tcPr>
          <w:p>
            <w:pPr>
              <w:pStyle w:val="nTable"/>
              <w:spacing w:after="40"/>
            </w:pPr>
            <w:r>
              <w:t>9 of 2022</w:t>
            </w:r>
          </w:p>
        </w:tc>
        <w:tc>
          <w:tcPr>
            <w:tcW w:w="1134" w:type="dxa"/>
            <w:tcBorders>
              <w:top w:val="nil"/>
              <w:left w:val="nil"/>
              <w:bottom w:val="single" w:sz="4" w:space="0" w:color="auto"/>
              <w:right w:val="nil"/>
            </w:tcBorders>
            <w:shd w:val="clear" w:color="auto" w:fill="auto"/>
          </w:tcPr>
          <w:p>
            <w:pPr>
              <w:pStyle w:val="nTable"/>
              <w:spacing w:after="40"/>
            </w:pPr>
            <w:r>
              <w:t>14 Apr 2022</w:t>
            </w:r>
          </w:p>
        </w:tc>
        <w:tc>
          <w:tcPr>
            <w:tcW w:w="2552" w:type="dxa"/>
            <w:tcBorders>
              <w:top w:val="nil"/>
              <w:left w:val="nil"/>
              <w:bottom w:val="single" w:sz="4" w:space="0" w:color="auto"/>
            </w:tcBorders>
            <w:shd w:val="clear" w:color="auto" w:fill="auto"/>
          </w:tcPr>
          <w:p>
            <w:pPr>
              <w:pStyle w:val="nTable"/>
              <w:spacing w:after="40"/>
            </w:pPr>
            <w:r>
              <w:t>1 Jul 2022 (see s. 2(c) and SL 2022/113 cl. 2)</w:t>
            </w:r>
          </w:p>
        </w:tc>
      </w:tr>
    </w:tbl>
    <w:p>
      <w:pPr>
        <w:pStyle w:val="nHeading3"/>
      </w:pPr>
      <w:bookmarkStart w:id="201" w:name="_Toc107496083"/>
      <w:r>
        <w:t>Other notes</w:t>
      </w:r>
      <w:bookmarkEnd w:id="201"/>
    </w:p>
    <w:p>
      <w:pPr>
        <w:pStyle w:val="nNote"/>
        <w:keepNext/>
        <w:spacing w:before="160"/>
        <w:rPr>
          <w:snapToGrid w:val="0"/>
        </w:rPr>
      </w:pPr>
      <w:r>
        <w:rPr>
          <w:snapToGrid w:val="0"/>
          <w:vertAlign w:val="superscript"/>
        </w:rPr>
        <w:t>1</w:t>
      </w:r>
      <w:r>
        <w:rPr>
          <w:snapToGrid w:val="0"/>
        </w:rPr>
        <w:tab/>
        <w:t xml:space="preserve">The appointed day is 1 Nov 1982, see </w:t>
      </w:r>
      <w:r>
        <w:rPr>
          <w:i/>
          <w:snapToGrid w:val="0"/>
        </w:rPr>
        <w:t>Gazette</w:t>
      </w:r>
      <w:r>
        <w:rPr>
          <w:snapToGrid w:val="0"/>
        </w:rPr>
        <w:t xml:space="preserve"> 29 Oct 1982 p. 4322.</w:t>
      </w:r>
    </w:p>
    <w:p>
      <w:pPr>
        <w:pStyle w:val="nNote"/>
        <w:rPr>
          <w:snapToGrid w:val="0"/>
        </w:rPr>
      </w:pPr>
      <w:r>
        <w:rPr>
          <w:snapToGrid w:val="0"/>
          <w:vertAlign w:val="superscript"/>
        </w:rPr>
        <w:t>2</w:t>
      </w:r>
      <w:r>
        <w:rPr>
          <w:snapToGrid w:val="0"/>
        </w:rPr>
        <w:tab/>
        <w:t xml:space="preserve">The </w:t>
      </w:r>
      <w:r>
        <w:rPr>
          <w:i/>
          <w:snapToGrid w:val="0"/>
        </w:rPr>
        <w:t>Real Estate Legislation (Fidelity Guarantee Funds) Amendment Act 2000</w:t>
      </w:r>
      <w:r>
        <w:rPr>
          <w:snapToGrid w:val="0"/>
        </w:rPr>
        <w:t xml:space="preserve"> s. 7(2) and (3) read as follows:</w:t>
      </w:r>
    </w:p>
    <w:p>
      <w:pPr>
        <w:pStyle w:val="BlankOpen"/>
        <w:rPr>
          <w:snapToGrid w:val="0"/>
        </w:rPr>
      </w:pPr>
    </w:p>
    <w:p>
      <w:pPr>
        <w:pStyle w:val="nzSubsection"/>
      </w:pPr>
      <w:r>
        <w:tab/>
        <w:t>(2)</w:t>
      </w:r>
      <w:r>
        <w:tab/>
        <w:t>A person may give notice of a claim under section 93(2) as amended by this section even if the time within which that notice was to be given under that section before that amendment had expired.</w:t>
      </w:r>
    </w:p>
    <w:p>
      <w:pPr>
        <w:pStyle w:val="nzSubsection"/>
      </w:pPr>
      <w:r>
        <w:tab/>
        <w:t>(3)</w:t>
      </w:r>
      <w:r>
        <w:tab/>
        <w:t>Where a person may give notice of a claim under section 93(2)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rPr>
          <w:snapToGrid w:val="0"/>
        </w:rPr>
      </w:pPr>
      <w:r>
        <w:rPr>
          <w:snapToGrid w:val="0"/>
          <w:vertAlign w:val="superscript"/>
        </w:rPr>
        <w:t>3</w:t>
      </w:r>
      <w:r>
        <w:rPr>
          <w:snapToGrid w:val="0"/>
        </w:rPr>
        <w:tab/>
        <w:t xml:space="preserve">Repealed by the </w:t>
      </w:r>
      <w:r>
        <w:rPr>
          <w:i/>
          <w:snapToGrid w:val="0"/>
        </w:rPr>
        <w:t xml:space="preserve">Real Estate and Business Agents Act 1978 </w:t>
      </w:r>
      <w:r>
        <w:rPr>
          <w:snapToGrid w:val="0"/>
        </w:rPr>
        <w:t>s. 5.</w:t>
      </w:r>
    </w:p>
    <w:p>
      <w:pPr>
        <w:pStyle w:val="nNote"/>
        <w:rPr>
          <w:snapToGrid w:val="0"/>
        </w:rPr>
      </w:pPr>
      <w:r>
        <w:rPr>
          <w:snapToGrid w:val="0"/>
          <w:vertAlign w:val="superscript"/>
        </w:rPr>
        <w:t>4</w:t>
      </w:r>
      <w:r>
        <w:rPr>
          <w:snapToGrid w:val="0"/>
        </w:rPr>
        <w:tab/>
        <w:t xml:space="preserve">Repealed by the </w:t>
      </w:r>
      <w:r>
        <w:rPr>
          <w:i/>
          <w:snapToGrid w:val="0"/>
        </w:rPr>
        <w:t>Land Administration Act 1997</w:t>
      </w:r>
      <w:r>
        <w:rPr>
          <w:snapToGrid w:val="0"/>
        </w:rPr>
        <w:t xml:space="preserve"> s. 281.</w:t>
      </w:r>
    </w:p>
    <w:p>
      <w:pPr>
        <w:pStyle w:val="nNote"/>
        <w:rPr>
          <w:snapToGrid w:val="0"/>
        </w:rPr>
      </w:pPr>
      <w:r>
        <w:rPr>
          <w:snapToGrid w:val="0"/>
          <w:vertAlign w:val="superscript"/>
        </w:rPr>
        <w:t>5</w:t>
      </w:r>
      <w:r>
        <w:rPr>
          <w:snapToGrid w:val="0"/>
        </w:rPr>
        <w:tab/>
        <w:t xml:space="preserve">The </w:t>
      </w:r>
      <w:r>
        <w:rPr>
          <w:i/>
          <w:snapToGrid w:val="0"/>
        </w:rPr>
        <w:t>Real Estate Legislation Amendment Act 1995</w:t>
      </w:r>
      <w:r>
        <w:rPr>
          <w:snapToGrid w:val="0"/>
        </w:rPr>
        <w:t xml:space="preserve"> s. 65(2) and 87 are saving and transitional provisions that are of no further effect.</w:t>
      </w:r>
    </w:p>
    <w:p>
      <w:pPr>
        <w:pStyle w:val="nNote"/>
      </w:pPr>
      <w:r>
        <w:rPr>
          <w:vertAlign w:val="superscript"/>
        </w:rPr>
        <w:t>6</w:t>
      </w:r>
      <w:r>
        <w:tab/>
        <w:t xml:space="preserve">The </w:t>
      </w:r>
      <w:r>
        <w:rPr>
          <w:i/>
        </w:rPr>
        <w:t>Corporations (Consequential Amendments) Act (No. 3) 2003</w:t>
      </w:r>
      <w:r>
        <w:t xml:space="preserve"> s. 2</w:t>
      </w:r>
      <w:r>
        <w:noBreakHyphen/>
        <w:t>4 contain validation provisions for certain acts and omissions occurring before 23 Apr 2003.</w:t>
      </w: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03" w:name="_Toc107315983"/>
      <w:bookmarkStart w:id="204" w:name="_Toc107316372"/>
      <w:bookmarkStart w:id="205" w:name="_Toc107496084"/>
      <w:r>
        <w:rPr>
          <w:sz w:val="28"/>
        </w:rPr>
        <w:lastRenderedPageBreak/>
        <w:t>Defined terms</w:t>
      </w:r>
      <w:bookmarkEnd w:id="203"/>
      <w:bookmarkEnd w:id="204"/>
      <w:bookmarkEnd w:id="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agent</w:t>
      </w:r>
      <w:r>
        <w:tab/>
        <w:t>49(5b)</w:t>
      </w:r>
    </w:p>
    <w:p>
      <w:pPr>
        <w:pStyle w:val="DefinedTerms"/>
      </w:pPr>
      <w:r>
        <w:t>appointed day</w:t>
      </w:r>
      <w:r>
        <w:tab/>
        <w:t>3(1), 26(2)</w:t>
      </w:r>
    </w:p>
    <w:p>
      <w:pPr>
        <w:pStyle w:val="DefinedTerms"/>
      </w:pPr>
      <w:r>
        <w:t>approved</w:t>
      </w:r>
      <w:r>
        <w:tab/>
        <w:t>3(1)</w:t>
      </w:r>
    </w:p>
    <w:p>
      <w:pPr>
        <w:pStyle w:val="DefinedTerms"/>
      </w:pPr>
      <w:r>
        <w:t>auditor</w:t>
      </w:r>
      <w:r>
        <w:tab/>
        <w:t>3(1)</w:t>
      </w:r>
    </w:p>
    <w:p>
      <w:pPr>
        <w:pStyle w:val="DefinedTerms"/>
      </w:pPr>
      <w:r>
        <w:t>authorised financial institution</w:t>
      </w:r>
      <w:r>
        <w:tab/>
        <w:t>48</w:t>
      </w:r>
    </w:p>
    <w:p>
      <w:pPr>
        <w:pStyle w:val="DefinedTerms"/>
      </w:pPr>
      <w:r>
        <w:t>Authority</w:t>
      </w:r>
      <w:r>
        <w:tab/>
        <w:t>Sch. 2 cl. 1(1)</w:t>
      </w:r>
    </w:p>
    <w:p>
      <w:pPr>
        <w:pStyle w:val="DefinedTerms"/>
      </w:pPr>
      <w:r>
        <w:t>bank</w:t>
      </w:r>
      <w:r>
        <w:tab/>
        <w:t>3(1)</w:t>
      </w:r>
    </w:p>
    <w:p>
      <w:pPr>
        <w:pStyle w:val="DefinedTerms"/>
      </w:pPr>
      <w:r>
        <w:t>bank account</w:t>
      </w:r>
      <w:r>
        <w:tab/>
        <w:t>48</w:t>
      </w:r>
    </w:p>
    <w:p>
      <w:pPr>
        <w:pStyle w:val="DefinedTerms"/>
      </w:pPr>
      <w:r>
        <w:t>banker</w:t>
      </w:r>
      <w:r>
        <w:tab/>
        <w:t>48</w:t>
      </w:r>
    </w:p>
    <w:p>
      <w:pPr>
        <w:pStyle w:val="DefinedTerms"/>
      </w:pPr>
      <w:r>
        <w:t>body corporate</w:t>
      </w:r>
      <w:r>
        <w:tab/>
        <w:t>36(3)</w:t>
      </w:r>
    </w:p>
    <w:p>
      <w:pPr>
        <w:pStyle w:val="DefinedTerms"/>
      </w:pPr>
      <w:r>
        <w:t>business</w:t>
      </w:r>
      <w:r>
        <w:tab/>
        <w:t>3(1)</w:t>
      </w:r>
    </w:p>
    <w:p>
      <w:pPr>
        <w:pStyle w:val="DefinedTerms"/>
      </w:pPr>
      <w:r>
        <w:t>business day</w:t>
      </w:r>
      <w:r>
        <w:tab/>
        <w:t>48</w:t>
      </w:r>
    </w:p>
    <w:p>
      <w:pPr>
        <w:pStyle w:val="DefinedTerms"/>
      </w:pPr>
      <w:r>
        <w:t>business licence</w:t>
      </w:r>
      <w:r>
        <w:tab/>
        <w:t>Sch. 1 cl. 6</w:t>
      </w:r>
    </w:p>
    <w:p>
      <w:pPr>
        <w:pStyle w:val="DefinedTerms"/>
      </w:pPr>
      <w:r>
        <w:t>business settlement agent</w:t>
      </w:r>
      <w:r>
        <w:tab/>
        <w:t>3(1)</w:t>
      </w:r>
    </w:p>
    <w:p>
      <w:pPr>
        <w:pStyle w:val="DefinedTerms"/>
      </w:pPr>
      <w:r>
        <w:t>business transaction</w:t>
      </w:r>
      <w:r>
        <w:tab/>
        <w:t>3(1)</w:t>
      </w:r>
    </w:p>
    <w:p>
      <w:pPr>
        <w:pStyle w:val="DefinedTerms"/>
      </w:pPr>
      <w:r>
        <w:t>code of conduct</w:t>
      </w:r>
      <w:r>
        <w:tab/>
        <w:t>3(1)</w:t>
      </w:r>
    </w:p>
    <w:p>
      <w:pPr>
        <w:pStyle w:val="DefinedTerms"/>
      </w:pPr>
      <w:r>
        <w:t>commencement day</w:t>
      </w:r>
      <w:r>
        <w:tab/>
        <w:t>124</w:t>
      </w:r>
    </w:p>
    <w:p>
      <w:pPr>
        <w:pStyle w:val="DefinedTerms"/>
      </w:pPr>
      <w:r>
        <w:t>Commissioner</w:t>
      </w:r>
      <w:r>
        <w:tab/>
        <w:t>3(1)</w:t>
      </w:r>
    </w:p>
    <w:p>
      <w:pPr>
        <w:pStyle w:val="DefinedTerms"/>
      </w:pPr>
      <w:r>
        <w:t>defalcation by a licensee</w:t>
      </w:r>
      <w:r>
        <w:tab/>
        <w:t>3(1)</w:t>
      </w:r>
    </w:p>
    <w:p>
      <w:pPr>
        <w:pStyle w:val="DefinedTerms"/>
      </w:pPr>
      <w:r>
        <w:t>department</w:t>
      </w:r>
      <w:r>
        <w:tab/>
        <w:t>3(1)</w:t>
      </w:r>
    </w:p>
    <w:p>
      <w:pPr>
        <w:pStyle w:val="DefinedTerms"/>
      </w:pPr>
      <w:r>
        <w:t>discharge of mortgage</w:t>
      </w:r>
      <w:r>
        <w:tab/>
        <w:t>46(7)</w:t>
      </w:r>
    </w:p>
    <w:p>
      <w:pPr>
        <w:pStyle w:val="DefinedTerms"/>
      </w:pPr>
      <w:r>
        <w:t>Fidelity Guarantee Account</w:t>
      </w:r>
      <w:r>
        <w:tab/>
        <w:t>3(1)</w:t>
      </w:r>
    </w:p>
    <w:p>
      <w:pPr>
        <w:pStyle w:val="DefinedTerms"/>
      </w:pPr>
      <w:r>
        <w:t>fidelity guarantee fee</w:t>
      </w:r>
      <w:r>
        <w:tab/>
        <w:t>3(1)</w:t>
      </w:r>
    </w:p>
    <w:p>
      <w:pPr>
        <w:pStyle w:val="DefinedTerms"/>
      </w:pPr>
      <w:r>
        <w:t>fit and proper</w:t>
      </w:r>
      <w:r>
        <w:tab/>
        <w:t>27(2)</w:t>
      </w:r>
    </w:p>
    <w:p>
      <w:pPr>
        <w:pStyle w:val="DefinedTerms"/>
      </w:pPr>
      <w:r>
        <w:t>former Board</w:t>
      </w:r>
      <w:r>
        <w:tab/>
        <w:t>124</w:t>
      </w:r>
    </w:p>
    <w:p>
      <w:pPr>
        <w:pStyle w:val="DefinedTerms"/>
      </w:pPr>
      <w:r>
        <w:t>former Registrar</w:t>
      </w:r>
      <w:r>
        <w:tab/>
        <w:t>124</w:t>
      </w:r>
    </w:p>
    <w:p>
      <w:pPr>
        <w:pStyle w:val="DefinedTerms"/>
      </w:pPr>
      <w:r>
        <w:t>General Purpose Account</w:t>
      </w:r>
      <w:r>
        <w:tab/>
        <w:t>3(1)</w:t>
      </w:r>
    </w:p>
    <w:p>
      <w:pPr>
        <w:pStyle w:val="DefinedTerms"/>
      </w:pPr>
      <w:r>
        <w:t>Interest Account</w:t>
      </w:r>
      <w:r>
        <w:tab/>
        <w:t>3(1)</w:t>
      </w:r>
    </w:p>
    <w:p>
      <w:pPr>
        <w:pStyle w:val="DefinedTerms"/>
      </w:pPr>
      <w:r>
        <w:t>land</w:t>
      </w:r>
      <w:r>
        <w:tab/>
        <w:t>3(1)</w:t>
      </w:r>
    </w:p>
    <w:p>
      <w:pPr>
        <w:pStyle w:val="DefinedTerms"/>
      </w:pPr>
      <w:r>
        <w:t>liability</w:t>
      </w:r>
      <w:r>
        <w:tab/>
        <w:t>124</w:t>
      </w:r>
    </w:p>
    <w:p>
      <w:pPr>
        <w:pStyle w:val="DefinedTerms"/>
      </w:pPr>
      <w:r>
        <w:t>licence</w:t>
      </w:r>
      <w:r>
        <w:tab/>
        <w:t>3(1)</w:t>
      </w:r>
    </w:p>
    <w:p>
      <w:pPr>
        <w:pStyle w:val="DefinedTerms"/>
      </w:pPr>
      <w:r>
        <w:t>licensed</w:t>
      </w:r>
      <w:r>
        <w:tab/>
        <w:t>3(1)</w:t>
      </w:r>
    </w:p>
    <w:p>
      <w:pPr>
        <w:pStyle w:val="DefinedTerms"/>
      </w:pPr>
      <w:r>
        <w:t>licensee</w:t>
      </w:r>
      <w:r>
        <w:tab/>
        <w:t>3(1), 34AA(1)</w:t>
      </w:r>
    </w:p>
    <w:p>
      <w:pPr>
        <w:pStyle w:val="DefinedTerms"/>
      </w:pPr>
      <w:r>
        <w:t>person aggrieved</w:t>
      </w:r>
      <w:r>
        <w:tab/>
        <w:t>23(2)</w:t>
      </w:r>
    </w:p>
    <w:p>
      <w:pPr>
        <w:pStyle w:val="DefinedTerms"/>
      </w:pPr>
      <w:r>
        <w:t>prescribed financial market</w:t>
      </w:r>
      <w:r>
        <w:tab/>
        <w:t>36(4)</w:t>
      </w:r>
    </w:p>
    <w:p>
      <w:pPr>
        <w:pStyle w:val="DefinedTerms"/>
      </w:pPr>
      <w:r>
        <w:t>real estate</w:t>
      </w:r>
      <w:r>
        <w:tab/>
        <w:t>3(1)</w:t>
      </w:r>
    </w:p>
    <w:p>
      <w:pPr>
        <w:pStyle w:val="DefinedTerms"/>
      </w:pPr>
      <w:r>
        <w:t>real estate settlement agent</w:t>
      </w:r>
      <w:r>
        <w:tab/>
        <w:t>3(1)</w:t>
      </w:r>
    </w:p>
    <w:p>
      <w:pPr>
        <w:pStyle w:val="DefinedTerms"/>
      </w:pPr>
      <w:r>
        <w:t>real estate transaction</w:t>
      </w:r>
      <w:r>
        <w:tab/>
        <w:t>3(1)</w:t>
      </w:r>
    </w:p>
    <w:p>
      <w:pPr>
        <w:pStyle w:val="DefinedTerms"/>
      </w:pPr>
      <w:r>
        <w:t>renewal</w:t>
      </w:r>
      <w:r>
        <w:tab/>
        <w:t>3(1)</w:t>
      </w:r>
    </w:p>
    <w:p>
      <w:pPr>
        <w:pStyle w:val="DefinedTerms"/>
      </w:pPr>
      <w:r>
        <w:lastRenderedPageBreak/>
        <w:t>request</w:t>
      </w:r>
      <w:r>
        <w:tab/>
        <w:t>49A(7)</w:t>
      </w:r>
    </w:p>
    <w:p>
      <w:pPr>
        <w:pStyle w:val="DefinedTerms"/>
      </w:pPr>
      <w:r>
        <w:t>reviewable decision</w:t>
      </w:r>
      <w:r>
        <w:tab/>
        <w:t>23(2)</w:t>
      </w:r>
    </w:p>
    <w:p>
      <w:pPr>
        <w:pStyle w:val="DefinedTerms"/>
      </w:pPr>
      <w:r>
        <w:t>reward</w:t>
      </w:r>
      <w:r>
        <w:tab/>
        <w:t>3(1)</w:t>
      </w:r>
    </w:p>
    <w:p>
      <w:pPr>
        <w:pStyle w:val="DefinedTerms"/>
      </w:pPr>
      <w:r>
        <w:t>right</w:t>
      </w:r>
      <w:r>
        <w:tab/>
        <w:t>124</w:t>
      </w:r>
    </w:p>
    <w:p>
      <w:pPr>
        <w:pStyle w:val="DefinedTerms"/>
      </w:pPr>
      <w:r>
        <w:t>separate account</w:t>
      </w:r>
      <w:r>
        <w:tab/>
        <w:t>48</w:t>
      </w:r>
    </w:p>
    <w:p>
      <w:pPr>
        <w:pStyle w:val="DefinedTerms"/>
      </w:pPr>
      <w:r>
        <w:t>settlement</w:t>
      </w:r>
      <w:r>
        <w:tab/>
        <w:t>3(1)</w:t>
      </w:r>
    </w:p>
    <w:p>
      <w:pPr>
        <w:pStyle w:val="DefinedTerms"/>
      </w:pPr>
      <w:r>
        <w:t>settlement agent</w:t>
      </w:r>
      <w:r>
        <w:tab/>
        <w:t>3(1), 4(1), 73(5)</w:t>
      </w:r>
    </w:p>
    <w:p>
      <w:pPr>
        <w:pStyle w:val="DefinedTerms"/>
      </w:pPr>
      <w:r>
        <w:t>settlement agents’ code of conduct</w:t>
      </w:r>
      <w:r>
        <w:tab/>
        <w:t>3(1)</w:t>
      </w:r>
    </w:p>
    <w:p>
      <w:pPr>
        <w:pStyle w:val="DefinedTerms"/>
      </w:pPr>
      <w:r>
        <w:t>specified</w:t>
      </w:r>
      <w:r>
        <w:tab/>
        <w:t>135(6)</w:t>
      </w:r>
    </w:p>
    <w:p>
      <w:pPr>
        <w:pStyle w:val="DefinedTerms"/>
      </w:pPr>
      <w:r>
        <w:t>supervisor</w:t>
      </w:r>
      <w:r>
        <w:tab/>
        <w:t>3(1)</w:t>
      </w:r>
    </w:p>
    <w:p>
      <w:pPr>
        <w:pStyle w:val="DefinedTerms"/>
      </w:pPr>
      <w:r>
        <w:t>transaction</w:t>
      </w:r>
      <w:r>
        <w:tab/>
        <w:t>3(1)</w:t>
      </w:r>
    </w:p>
    <w:p>
      <w:pPr>
        <w:pStyle w:val="DefinedTerms"/>
      </w:pPr>
      <w:r>
        <w:t>transitional matter</w:t>
      </w:r>
      <w:r>
        <w:tab/>
        <w:t>135(2)</w:t>
      </w:r>
    </w:p>
    <w:p>
      <w:pPr>
        <w:pStyle w:val="DefinedTerms"/>
      </w:pPr>
      <w:r>
        <w:t>Treasurer</w:t>
      </w:r>
      <w:r>
        <w:tab/>
        <w:t>3(1)</w:t>
      </w:r>
    </w:p>
    <w:p>
      <w:pPr>
        <w:pStyle w:val="DefinedTerms"/>
      </w:pPr>
      <w:r>
        <w:t>Treasury</w:t>
      </w:r>
      <w:r>
        <w:tab/>
        <w:t>3(1)</w:t>
      </w:r>
    </w:p>
    <w:p>
      <w:pPr>
        <w:pStyle w:val="DefinedTerms"/>
      </w:pPr>
      <w:r>
        <w:t>triennial certificate</w:t>
      </w:r>
      <w:r>
        <w:tab/>
        <w:t>3(1)</w:t>
      </w:r>
    </w:p>
    <w:p>
      <w:pPr>
        <w:pStyle w:val="DefinedTerms"/>
      </w:pPr>
      <w:r>
        <w:t>trust account</w:t>
      </w:r>
      <w:r>
        <w:tab/>
        <w:t>73(5)</w:t>
      </w:r>
    </w:p>
    <w:p>
      <w:pPr>
        <w:pStyle w:val="DefinedTerms"/>
      </w:pPr>
      <w:r>
        <w:t>trust accounts</w:t>
      </w:r>
      <w:r>
        <w:tab/>
        <w:t>48</w:t>
      </w:r>
    </w:p>
    <w:p>
      <w:pPr>
        <w:pStyle w:val="DefinedTerms"/>
      </w:pPr>
      <w:r>
        <w:t>trustee company</w:t>
      </w:r>
      <w:r>
        <w:tab/>
        <w:t>3(1)</w:t>
      </w:r>
    </w:p>
    <w:p>
      <w:pPr>
        <w:pStyle w:val="DefinedTerms"/>
      </w:pPr>
      <w:r>
        <w:t>vendor</w:t>
      </w:r>
      <w:r>
        <w:tab/>
        <w:t>49(5b)</w:t>
      </w:r>
    </w:p>
    <w:p>
      <w:pPr>
        <w:pStyle w:val="DefinedTerms"/>
      </w:pPr>
      <w:r>
        <w:t>year</w:t>
      </w:r>
      <w:r>
        <w:tab/>
        <w:t>48</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fldSimple w:instr=" Styleref &quot;Name of Act/Reg&quot; ">
              <w:r>
                <w:rPr>
                  <w:noProof/>
                </w:rPr>
                <w:t>Settlement Agents Act 1981</w:t>
              </w:r>
            </w:fldSimple>
          </w:p>
        </w:tc>
      </w:tr>
      <w:tr>
        <w:tc>
          <w:tcPr>
            <w:tcW w:w="1548" w:type="dxa"/>
          </w:tcPr>
          <w:p/>
        </w:tc>
        <w:tc>
          <w:tcPr>
            <w:tcW w:w="5612" w:type="dxa"/>
          </w:tcPr>
          <w:p/>
        </w:tc>
      </w:tr>
      <w:tr>
        <w:tc>
          <w:tcPr>
            <w:tcW w:w="1548" w:type="dxa"/>
          </w:tcPr>
          <w:p/>
        </w:tc>
        <w:tc>
          <w:tcPr>
            <w:tcW w:w="5612" w:type="dxa"/>
          </w:tcPr>
          <w:p/>
        </w:tc>
      </w:tr>
      <w:tr>
        <w:trPr>
          <w:cantSplit/>
        </w:trPr>
        <w:tc>
          <w:tcPr>
            <w:tcW w:w="7160" w:type="dxa"/>
            <w:gridSpan w:val="2"/>
          </w:tc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fldSimple w:instr=" Styleref &quot;Name of Act/Reg&quot; ">
              <w:r>
                <w:rPr>
                  <w:noProof/>
                </w:rPr>
                <w:t>Settlement Agents Act 1981</w:t>
              </w:r>
            </w:fldSimple>
          </w:p>
        </w:tc>
      </w:tr>
      <w:tr>
        <w:tc>
          <w:tcPr>
            <w:tcW w:w="5760" w:type="dxa"/>
          </w:tcPr>
          <w:p/>
        </w:tc>
        <w:tc>
          <w:tcPr>
            <w:tcW w:w="1400" w:type="dxa"/>
          </w:tcPr>
          <w:p/>
        </w:tc>
      </w:tr>
      <w:tr>
        <w:tc>
          <w:tcPr>
            <w:tcW w:w="5760" w:type="dxa"/>
          </w:tcPr>
          <w:p/>
        </w:tc>
        <w:tc>
          <w:tcPr>
            <w:tcW w:w="1400" w:type="dxa"/>
          </w:tcPr>
          <w:p/>
        </w:tc>
      </w:tr>
      <w:tr>
        <w:trPr>
          <w:cantSplit/>
        </w:trPr>
        <w:tc>
          <w:tcPr>
            <w:tcW w:w="7160" w:type="dxa"/>
            <w:gridSpan w:val="2"/>
          </w:tcPr>
          <w:p>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Settlement Agents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Act 1981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72"/>
      <w:gridCol w:w="14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Act 1981</w:t>
          </w:r>
          <w:r>
            <w:rPr>
              <w:b/>
              <w:i/>
            </w:rPr>
            <w:fldChar w:fldCharType="end"/>
          </w:r>
        </w:p>
      </w:tc>
    </w:tr>
    <w:tr>
      <w:trPr>
        <w:jc w:val="center"/>
      </w:trPr>
      <w:tc>
        <w:tcPr>
          <w:tcW w:w="5772" w:type="dxa"/>
          <w:vAlign w:val="bottom"/>
        </w:tcPr>
        <w:p>
          <w:pPr>
            <w:pStyle w:val="Header"/>
            <w:spacing w:before="40"/>
            <w:jc w:val="right"/>
          </w:pPr>
          <w:r>
            <w:fldChar w:fldCharType="begin"/>
          </w:r>
          <w:r>
            <w:instrText>styleref CharSchText</w:instrText>
          </w:r>
          <w:r>
            <w:fldChar w:fldCharType="end"/>
          </w:r>
        </w:p>
      </w:tc>
      <w:tc>
        <w:tcPr>
          <w:tcW w:w="149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 xml:space="preserve"> styleref CharSDivText </w:instrText>
          </w:r>
          <w:r>
            <w:fldChar w:fldCharType="end"/>
          </w:r>
        </w:p>
      </w:tc>
      <w:tc>
        <w:tcPr>
          <w:tcW w:w="149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6" w:name="Schedule"/>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Settlement Agents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6" w:name="DefinedTerms"/>
    <w:bookmarkEnd w:id="20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2CA44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A0D8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B9866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F6D09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5B4DD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FE98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C253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287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AC1A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DC5C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789C2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0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33552"/>
    <w:docVar w:name="WAFER_20140131151529" w:val="RemoveTocBookmarks,RemoveUnusedBookmarks,RemoveLanguageTags,UsedStyles,ResetPageSize,UpdateArrangement"/>
    <w:docVar w:name="WAFER_20140131151529_GUID" w:val="1406f87d-fb74-453b-b44a-77da7fcf9646"/>
    <w:docVar w:name="WAFER_20140131160732" w:val="RemoveTocBookmarks,RunningHeaders"/>
    <w:docVar w:name="WAFER_20140131160732_GUID" w:val="77461795-ed3d-474b-9ebc-1bcab078880b"/>
    <w:docVar w:name="WAFER_20140325103139" w:val="RemoveTocBookmarks,RemoveUnusedBookmarks,RemoveLanguageTags,UsedStyles,ResetPageSize,UpdateArrangement"/>
    <w:docVar w:name="WAFER_20140325103139_GUID" w:val="eb8dd6b4-b34d-4b7f-bb7d-6752bb47ae6f"/>
    <w:docVar w:name="WAFER_20140527170216" w:val="RemoveTocBookmarks,RemoveUnusedBookmarks,RemoveLanguageTags,UsedStyles,ResetPageSize,UpdateArrangement"/>
    <w:docVar w:name="WAFER_20140527170216_GUID" w:val="5e4f8e15-c4bb-4fff-a61c-788607e9a5e6"/>
    <w:docVar w:name="WAFER_20141015123050" w:val="RemoveTocBookmarks,RemoveUnusedBookmarks,RemoveLanguageTags,UsedStyles,ResetPageSize,UpdateArrangement"/>
    <w:docVar w:name="WAFER_20141015123050_GUID" w:val="a9b0bb80-6304-4ca2-9f3f-d62ec5e2a53b"/>
    <w:docVar w:name="WAFER_20141119103531" w:val="RemoveTocBookmarks,RunningHeaders"/>
    <w:docVar w:name="WAFER_20141119103531_GUID" w:val="f63e2abf-7c2f-4701-a08a-24f4b744f7dd"/>
    <w:docVar w:name="WAFER_20150306110947" w:val="ResetPageSize,UpdateArrangement,UpdateNTable"/>
    <w:docVar w:name="WAFER_20150306110947_GUID" w:val="533c6234-e6c5-430f-ab57-1abfaeee2e3d"/>
    <w:docVar w:name="WAFER_20150306125430" w:val="RemoveTocBookmarks,RemoveUnusedBookmarks,RemoveLanguageTags,UsedStyles,RemoveTrackChanges"/>
    <w:docVar w:name="WAFER_20150306125430_GUID" w:val="ee0719d0-67bd-4550-9265-368ce64dbb63"/>
    <w:docVar w:name="WAFER_20150306125445" w:val="RemoveTocBookmarks,RemoveLanguageTags,RemoveTrackChanges,RunningHeaders"/>
    <w:docVar w:name="WAFER_20150306125445_GUID" w:val="c0bb3cba-5302-4223-813d-90abc3f84d82"/>
    <w:docVar w:name="WAFER_20151109160253" w:val="UpdateStyles,UsedStyles"/>
    <w:docVar w:name="WAFER_20151109160253_GUID" w:val="0adaf651-b859-4348-a1ae-de65ce18a01a"/>
    <w:docVar w:name="WAFER_20151109160302" w:val="UpdateStyles,UsedStyles"/>
    <w:docVar w:name="WAFER_20151109160302_GUID" w:val="bb4c42a4-9349-4026-96f9-d17ec7189949"/>
    <w:docVar w:name="WAFER_20181121112741" w:val="RemoveTocBookmarks,RemoveUnusedBookmarks,RemoveLanguageTags,UsedStyles,ResetPageSize"/>
    <w:docVar w:name="WAFER_20181121112741_GUID" w:val="d9d7d2d7-b761-409c-9e7a-8715a607aa27"/>
    <w:docVar w:name="WAFER_20191219154930" w:val="RemoveTocBookmarks,RemoveUnusedBookmarks,RemoveLanguageTags,ResetPageSize,RunningHeaders,UpdateStyles,UsedStyles"/>
    <w:docVar w:name="WAFER_20191219154930_GUID" w:val="fdca1af1-efcd-4aa9-bad6-e9c5364fa522"/>
    <w:docVar w:name="WAFER_2020021016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2756_GUID" w:val="853db859-9be2-4e75-a486-b23ff0639081"/>
    <w:docVar w:name="WAFER_202002201123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303_GUID" w:val="e31cde7a-d37f-49de-9dd6-3fce48d69d82"/>
    <w:docVar w:name="WAFER_202106151327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52_GUID" w:val="8ea02628-bb97-489c-bf0e-a0d05c8c4237"/>
    <w:docVar w:name="WAFER_20210623110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0830_GUID" w:val="60993b14-e354-4a7a-94a2-6a0360a5de1c"/>
    <w:docVar w:name="WAFER_20210623110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0857_GUID" w:val="6a478109-4e5a-4e41-a2e7-9168d8cc0110"/>
    <w:docVar w:name="WAFER_202203300822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0082201_GUID" w:val="0db3a29d-dfed-405b-9d78-3ebfac37bbe3"/>
    <w:docVar w:name="WAFER_2022040813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35049_GUID" w:val="51402d66-0155-48e7-8dc9-0384b73b61ca"/>
    <w:docVar w:name="WAFER_20220613102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300_GUID" w:val="1f50ba3a-911e-4a64-9aae-8280de15945c"/>
    <w:docVar w:name="WAFER_202206281335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133552_GUID" w:val="2f00eb6d-3934-4f9f-8636-c9e6ab1d18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4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32819</Words>
  <Characters>156549</Characters>
  <Application>Microsoft Office Word</Application>
  <DocSecurity>0</DocSecurity>
  <Lines>4119</Lines>
  <Paragraphs>2104</Paragraphs>
  <ScaleCrop>false</ScaleCrop>
  <HeadingPairs>
    <vt:vector size="2" baseType="variant">
      <vt:variant>
        <vt:lpstr>Title</vt:lpstr>
      </vt:variant>
      <vt:variant>
        <vt:i4>1</vt:i4>
      </vt:variant>
    </vt:vector>
  </HeadingPairs>
  <TitlesOfParts>
    <vt:vector size="1" baseType="lpstr">
      <vt:lpstr>Settlement Agents Act 1981</vt:lpstr>
    </vt:vector>
  </TitlesOfParts>
  <Manager/>
  <Company/>
  <LinksUpToDate>false</LinksUpToDate>
  <CharactersWithSpaces>187264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Act 1981 - 07-k0-00</dc:title>
  <dc:subject/>
  <dc:creator/>
  <cp:keywords/>
  <dc:description/>
  <cp:lastModifiedBy>Master Repository Process</cp:lastModifiedBy>
  <cp:revision>4</cp:revision>
  <cp:lastPrinted>2015-03-06T04:55:00Z</cp:lastPrinted>
  <dcterms:created xsi:type="dcterms:W3CDTF">2022-06-30T07:54:00Z</dcterms:created>
  <dcterms:modified xsi:type="dcterms:W3CDTF">2022-06-30T07:54:00Z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1981</vt:lpwstr>
  </property>
  <property fmtid="{D5CDD505-2E9C-101B-9397-08002B2CF9AE}" pid="3" name="DocumentType">
    <vt:lpwstr>Act</vt:lpwstr>
  </property>
  <property fmtid="{D5CDD505-2E9C-101B-9397-08002B2CF9AE}" pid="4" name="OwlsUID">
    <vt:i4>744</vt:i4>
  </property>
  <property fmtid="{D5CDD505-2E9C-101B-9397-08002B2CF9AE}" pid="5" name="ReprintedAsAt">
    <vt:filetime>2015-03-12T16:00:00Z</vt:filetime>
  </property>
  <property fmtid="{D5CDD505-2E9C-101B-9397-08002B2CF9AE}" pid="6" name="ReprintNo">
    <vt:lpwstr>7</vt:lpwstr>
  </property>
  <property fmtid="{D5CDD505-2E9C-101B-9397-08002B2CF9AE}" pid="7" name="AsAtDate">
    <vt:lpwstr>01 Jul 2022</vt:lpwstr>
  </property>
  <property fmtid="{D5CDD505-2E9C-101B-9397-08002B2CF9AE}" pid="8" name="Suffix">
    <vt:lpwstr>07-k0-00</vt:lpwstr>
  </property>
  <property fmtid="{D5CDD505-2E9C-101B-9397-08002B2CF9AE}" pid="9" name="CommencementDate">
    <vt:lpwstr>20220701</vt:lpwstr>
  </property>
</Properties>
</file>