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_Toc107494040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_Toc107494041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_Toc107494042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_Toc107494043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_Toc107494044 \h </w:instrText>
      </w:r>
      <w:r>
        <w:fldChar w:fldCharType="separate"/>
      </w:r>
      <w:r>
        <w:t>8</w:t>
      </w:r>
      <w:r>
        <w:fldChar w:fldCharType="end"/>
      </w:r>
    </w:p>
    <w:p>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_Toc107494045 \h </w:instrText>
      </w:r>
      <w:r>
        <w:fldChar w:fldCharType="separate"/>
      </w:r>
      <w:r>
        <w:t>10</w:t>
      </w:r>
      <w:r>
        <w:fldChar w:fldCharType="end"/>
      </w:r>
    </w:p>
    <w:p>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_Toc107494046 \h </w:instrText>
      </w:r>
      <w:r>
        <w:fldChar w:fldCharType="separate"/>
      </w:r>
      <w:r>
        <w:t>11</w:t>
      </w:r>
      <w:r>
        <w:fldChar w:fldCharType="end"/>
      </w:r>
    </w:p>
    <w:p>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_Toc107494047 \h </w:instrText>
      </w:r>
      <w:r>
        <w:fldChar w:fldCharType="separate"/>
      </w:r>
      <w:r>
        <w:t>12</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_Toc107494048 \h </w:instrText>
      </w:r>
      <w:r>
        <w:fldChar w:fldCharType="separate"/>
      </w:r>
      <w:r>
        <w:t>12</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_Toc107494049 \h </w:instrText>
      </w:r>
      <w:r>
        <w:fldChar w:fldCharType="separate"/>
      </w:r>
      <w:r>
        <w:t>12</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_Toc107494050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_Toc107494052 \h </w:instrText>
      </w:r>
      <w:r>
        <w:fldChar w:fldCharType="separate"/>
      </w:r>
      <w:r>
        <w:t>14</w:t>
      </w:r>
      <w:r>
        <w:fldChar w:fldCharType="end"/>
      </w:r>
    </w:p>
    <w:p>
      <w:pPr>
        <w:pStyle w:val="TOC8"/>
        <w:rPr>
          <w:rFonts w:asciiTheme="minorHAnsi" w:eastAsiaTheme="minorEastAsia" w:hAnsiTheme="minorHAnsi" w:cstheme="minorBidi"/>
          <w:szCs w:val="22"/>
        </w:rPr>
      </w:pPr>
      <w:r>
        <w:t>9.</w:t>
      </w:r>
      <w:r>
        <w:tab/>
        <w:t>Fixing a hearing</w:t>
      </w:r>
      <w:r>
        <w:tab/>
      </w:r>
      <w:r>
        <w:fldChar w:fldCharType="begin"/>
      </w:r>
      <w:r>
        <w:instrText xml:space="preserve"> PAGEREF _Toc107494053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_Toc107494054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1B — Family violence restraining order</w:t>
      </w:r>
    </w:p>
    <w:p>
      <w:pPr>
        <w:pStyle w:val="TOC8"/>
        <w:rPr>
          <w:rFonts w:asciiTheme="minorHAnsi" w:eastAsiaTheme="minorEastAsia" w:hAnsiTheme="minorHAnsi" w:cstheme="minorBidi"/>
          <w:szCs w:val="22"/>
        </w:rPr>
      </w:pPr>
      <w:r>
        <w:t>10A.</w:t>
      </w:r>
      <w:r>
        <w:tab/>
        <w:t>Objects</w:t>
      </w:r>
      <w:r>
        <w:tab/>
      </w:r>
      <w:r>
        <w:fldChar w:fldCharType="begin"/>
      </w:r>
      <w:r>
        <w:instrText xml:space="preserve"> PAGEREF _Toc107494056 \h </w:instrText>
      </w:r>
      <w:r>
        <w:fldChar w:fldCharType="separate"/>
      </w:r>
      <w:r>
        <w:t>19</w:t>
      </w:r>
      <w:r>
        <w:fldChar w:fldCharType="end"/>
      </w:r>
    </w:p>
    <w:p>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_Toc107494057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10C.</w:t>
      </w:r>
      <w:r>
        <w:tab/>
        <w:t>FVRO to specify names of person bound, and person protected, by order</w:t>
      </w:r>
      <w:r>
        <w:tab/>
      </w:r>
      <w:r>
        <w:fldChar w:fldCharType="begin"/>
      </w:r>
      <w:r>
        <w:instrText xml:space="preserve"> PAGEREF _Toc107494058 \h </w:instrText>
      </w:r>
      <w:r>
        <w:fldChar w:fldCharType="separate"/>
      </w:r>
      <w:r>
        <w:t>21</w:t>
      </w:r>
      <w:r>
        <w:fldChar w:fldCharType="end"/>
      </w:r>
    </w:p>
    <w:p>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_Toc107494059 \h </w:instrText>
      </w:r>
      <w:r>
        <w:fldChar w:fldCharType="separate"/>
      </w:r>
      <w:r>
        <w:t>21</w:t>
      </w:r>
      <w:r>
        <w:fldChar w:fldCharType="end"/>
      </w:r>
    </w:p>
    <w:p>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_Toc107494060 \h </w:instrText>
      </w:r>
      <w:r>
        <w:fldChar w:fldCharType="separate"/>
      </w:r>
      <w:r>
        <w:t>22</w:t>
      </w:r>
      <w:r>
        <w:fldChar w:fldCharType="end"/>
      </w:r>
    </w:p>
    <w:p>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_Toc107494061 \h </w:instrText>
      </w:r>
      <w:r>
        <w:fldChar w:fldCharType="separate"/>
      </w:r>
      <w:r>
        <w:t>22</w:t>
      </w:r>
      <w:r>
        <w:fldChar w:fldCharType="end"/>
      </w:r>
    </w:p>
    <w:p>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_Toc107494062 \h </w:instrText>
      </w:r>
      <w:r>
        <w:fldChar w:fldCharType="separate"/>
      </w:r>
      <w:r>
        <w:t>24</w:t>
      </w:r>
      <w:r>
        <w:fldChar w:fldCharType="end"/>
      </w:r>
    </w:p>
    <w:p>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_Toc107494063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1C — Behaviour management order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10I.</w:t>
      </w:r>
      <w:r>
        <w:tab/>
        <w:t>Terms used</w:t>
      </w:r>
      <w:r>
        <w:tab/>
      </w:r>
      <w:r>
        <w:fldChar w:fldCharType="begin"/>
      </w:r>
      <w:r>
        <w:instrText xml:space="preserve"> PAGEREF _Toc107494066 \h </w:instrText>
      </w:r>
      <w:r>
        <w:fldChar w:fldCharType="separate"/>
      </w:r>
      <w:r>
        <w:t>27</w:t>
      </w:r>
      <w:r>
        <w:fldChar w:fldCharType="end"/>
      </w:r>
    </w:p>
    <w:p>
      <w:pPr>
        <w:pStyle w:val="TOC8"/>
        <w:rPr>
          <w:rFonts w:asciiTheme="minorHAnsi" w:eastAsiaTheme="minorEastAsia" w:hAnsiTheme="minorHAnsi" w:cstheme="minorBidi"/>
          <w:szCs w:val="22"/>
        </w:rPr>
      </w:pPr>
      <w:r>
        <w:t>10J.</w:t>
      </w:r>
      <w:r>
        <w:tab/>
        <w:t>Objects</w:t>
      </w:r>
      <w:r>
        <w:tab/>
      </w:r>
      <w:r>
        <w:fldChar w:fldCharType="begin"/>
      </w:r>
      <w:r>
        <w:instrText xml:space="preserve"> PAGEREF _Toc107494067 \h </w:instrText>
      </w:r>
      <w:r>
        <w:fldChar w:fldCharType="separate"/>
      </w:r>
      <w:r>
        <w:t>28</w:t>
      </w:r>
      <w:r>
        <w:fldChar w:fldCharType="end"/>
      </w:r>
    </w:p>
    <w:p>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_Toc107494068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Eligibility assessment order</w:t>
      </w:r>
    </w:p>
    <w:p>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_Toc107494070 \h </w:instrText>
      </w:r>
      <w:r>
        <w:fldChar w:fldCharType="separate"/>
      </w:r>
      <w:r>
        <w:t>28</w:t>
      </w:r>
      <w:r>
        <w:fldChar w:fldCharType="end"/>
      </w:r>
    </w:p>
    <w:p>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_Toc107494071 \h </w:instrText>
      </w:r>
      <w:r>
        <w:fldChar w:fldCharType="separate"/>
      </w:r>
      <w:r>
        <w:t>30</w:t>
      </w:r>
      <w:r>
        <w:fldChar w:fldCharType="end"/>
      </w:r>
    </w:p>
    <w:p>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_Toc107494072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_Toc107494074 \h </w:instrText>
      </w:r>
      <w:r>
        <w:fldChar w:fldCharType="separate"/>
      </w:r>
      <w:r>
        <w:t>32</w:t>
      </w:r>
      <w:r>
        <w:fldChar w:fldCharType="end"/>
      </w:r>
    </w:p>
    <w:p>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_Toc107494075 \h </w:instrText>
      </w:r>
      <w:r>
        <w:fldChar w:fldCharType="separate"/>
      </w:r>
      <w:r>
        <w:t>32</w:t>
      </w:r>
      <w:r>
        <w:fldChar w:fldCharType="end"/>
      </w:r>
    </w:p>
    <w:p>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_Toc107494076 \h </w:instrText>
      </w:r>
      <w:r>
        <w:fldChar w:fldCharType="separate"/>
      </w:r>
      <w:r>
        <w:t>33</w:t>
      </w:r>
      <w:r>
        <w:fldChar w:fldCharType="end"/>
      </w:r>
    </w:p>
    <w:p>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_Toc107494077 \h </w:instrText>
      </w:r>
      <w:r>
        <w:fldChar w:fldCharType="separate"/>
      </w:r>
      <w:r>
        <w:t>33</w:t>
      </w:r>
      <w:r>
        <w:fldChar w:fldCharType="end"/>
      </w:r>
    </w:p>
    <w:p>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_Toc107494078 \h </w:instrText>
      </w:r>
      <w:r>
        <w:fldChar w:fldCharType="separate"/>
      </w:r>
      <w:r>
        <w:t>34</w:t>
      </w:r>
      <w:r>
        <w:fldChar w:fldCharType="end"/>
      </w:r>
    </w:p>
    <w:p>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_Toc107494079 \h </w:instrText>
      </w:r>
      <w:r>
        <w:fldChar w:fldCharType="separate"/>
      </w:r>
      <w:r>
        <w:t>34</w:t>
      </w:r>
      <w:r>
        <w:fldChar w:fldCharType="end"/>
      </w:r>
    </w:p>
    <w:p>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_Toc107494080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_Toc107494082 \h </w:instrText>
      </w:r>
      <w:r>
        <w:fldChar w:fldCharType="separate"/>
      </w:r>
      <w:r>
        <w:t>36</w:t>
      </w:r>
      <w:r>
        <w:fldChar w:fldCharType="end"/>
      </w:r>
    </w:p>
    <w:p>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_Toc107494083 \h </w:instrText>
      </w:r>
      <w:r>
        <w:fldChar w:fldCharType="separate"/>
      </w:r>
      <w:r>
        <w:t>37</w:t>
      </w:r>
      <w:r>
        <w:fldChar w:fldCharType="end"/>
      </w:r>
    </w:p>
    <w:p>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_Toc107494084 \h </w:instrText>
      </w:r>
      <w:r>
        <w:fldChar w:fldCharType="separate"/>
      </w:r>
      <w:r>
        <w:t>37</w:t>
      </w:r>
      <w:r>
        <w:fldChar w:fldCharType="end"/>
      </w:r>
    </w:p>
    <w:p>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_Toc107494085 \h </w:instrText>
      </w:r>
      <w:r>
        <w:fldChar w:fldCharType="separate"/>
      </w:r>
      <w:r>
        <w:t>39</w:t>
      </w:r>
      <w:r>
        <w:fldChar w:fldCharType="end"/>
      </w:r>
    </w:p>
    <w:p>
      <w:pPr>
        <w:pStyle w:val="TOC8"/>
        <w:rPr>
          <w:rFonts w:asciiTheme="minorHAnsi" w:eastAsiaTheme="minorEastAsia" w:hAnsiTheme="minorHAnsi" w:cstheme="minorBidi"/>
          <w:szCs w:val="22"/>
        </w:rPr>
      </w:pPr>
      <w:r>
        <w:t>10Z.</w:t>
      </w:r>
      <w:r>
        <w:tab/>
        <w:t>Delegation</w:t>
      </w:r>
      <w:r>
        <w:tab/>
      </w:r>
      <w:r>
        <w:fldChar w:fldCharType="begin"/>
      </w:r>
      <w:r>
        <w:instrText xml:space="preserve"> PAGEREF _Toc107494086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Violence restraining order</w:t>
      </w:r>
    </w:p>
    <w:p>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_Toc107494088 \h </w:instrText>
      </w:r>
      <w:r>
        <w:fldChar w:fldCharType="separate"/>
      </w:r>
      <w:r>
        <w:t>40</w:t>
      </w:r>
      <w:r>
        <w:fldChar w:fldCharType="end"/>
      </w:r>
    </w:p>
    <w:p>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_Toc107494089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 generally</w:t>
      </w:r>
      <w:r>
        <w:tab/>
      </w:r>
      <w:r>
        <w:fldChar w:fldCharType="begin"/>
      </w:r>
      <w:r>
        <w:instrText xml:space="preserve"> PAGEREF _Toc107494090 \h </w:instrText>
      </w:r>
      <w:r>
        <w:fldChar w:fldCharType="separate"/>
      </w:r>
      <w:r>
        <w:t>41</w:t>
      </w:r>
      <w:r>
        <w:fldChar w:fldCharType="end"/>
      </w:r>
    </w:p>
    <w:p>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_Toc107494091 \h </w:instrText>
      </w:r>
      <w:r>
        <w:fldChar w:fldCharType="separate"/>
      </w:r>
      <w:r>
        <w:t>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_Toc107494092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2A — Provisions for FVRO and VRO</w:t>
      </w:r>
    </w:p>
    <w:p>
      <w:pPr>
        <w:pStyle w:val="TOC4"/>
        <w:tabs>
          <w:tab w:val="right" w:leader="dot" w:pos="7077"/>
        </w:tabs>
        <w:rPr>
          <w:rFonts w:asciiTheme="minorHAnsi" w:eastAsiaTheme="minorEastAsia" w:hAnsiTheme="minorHAnsi" w:cstheme="minorBidi"/>
          <w:b w:val="0"/>
          <w:szCs w:val="22"/>
        </w:rPr>
      </w:pPr>
      <w:r>
        <w:t>Division 1AA — Additional circumstances where orders may be made</w:t>
      </w:r>
    </w:p>
    <w:p>
      <w:pPr>
        <w:pStyle w:val="TOC8"/>
        <w:rPr>
          <w:rFonts w:asciiTheme="minorHAnsi" w:eastAsiaTheme="minorEastAsia" w:hAnsiTheme="minorHAnsi" w:cstheme="minorBidi"/>
          <w:szCs w:val="22"/>
        </w:rPr>
      </w:pPr>
      <w:r>
        <w:t>13A.</w:t>
      </w:r>
      <w:r>
        <w:tab/>
        <w:t>Cases involving violent offences</w:t>
      </w:r>
      <w:r>
        <w:tab/>
      </w:r>
      <w:r>
        <w:fldChar w:fldCharType="begin"/>
      </w:r>
      <w:r>
        <w:instrText xml:space="preserve"> PAGEREF _Toc107494095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 — Orders relating to firearms and explosives</w:t>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_Toc107494097 \h </w:instrText>
      </w:r>
      <w:r>
        <w:fldChar w:fldCharType="separate"/>
      </w:r>
      <w:r>
        <w:t>46</w:t>
      </w:r>
      <w:r>
        <w:fldChar w:fldCharType="end"/>
      </w:r>
    </w:p>
    <w:p>
      <w:pPr>
        <w:pStyle w:val="TOC8"/>
        <w:rPr>
          <w:rFonts w:asciiTheme="minorHAnsi" w:eastAsiaTheme="minorEastAsia" w:hAnsiTheme="minorHAnsi" w:cstheme="minorBidi"/>
          <w:szCs w:val="22"/>
        </w:rPr>
      </w:pPr>
      <w:r>
        <w:t>14A.</w:t>
      </w:r>
      <w:r>
        <w:tab/>
        <w:t>Explosives order</w:t>
      </w:r>
      <w:r>
        <w:tab/>
      </w:r>
      <w:r>
        <w:fldChar w:fldCharType="begin"/>
      </w:r>
      <w:r>
        <w:instrText xml:space="preserve"> PAGEREF _Toc107494098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1A — Duration of orders</w:t>
      </w:r>
    </w:p>
    <w:p>
      <w:pPr>
        <w:pStyle w:val="TOC8"/>
        <w:rPr>
          <w:rFonts w:asciiTheme="minorHAnsi" w:eastAsiaTheme="minorEastAsia" w:hAnsiTheme="minorHAnsi" w:cstheme="minorBidi"/>
          <w:szCs w:val="22"/>
        </w:rPr>
      </w:pPr>
      <w:r>
        <w:t>16</w:t>
      </w:r>
      <w:r>
        <w:rPr>
          <w:snapToGrid w:val="0"/>
        </w:rPr>
        <w:t>.</w:t>
      </w:r>
      <w:r>
        <w:rPr>
          <w:snapToGrid w:val="0"/>
        </w:rPr>
        <w:tab/>
        <w:t>Duration of FVRO or VRO generally</w:t>
      </w:r>
      <w:r>
        <w:tab/>
      </w:r>
      <w:r>
        <w:fldChar w:fldCharType="begin"/>
      </w:r>
      <w:r>
        <w:instrText xml:space="preserve"> PAGEREF _Toc107494100 \h </w:instrText>
      </w:r>
      <w:r>
        <w:fldChar w:fldCharType="separate"/>
      </w:r>
      <w:r>
        <w:t>49</w:t>
      </w:r>
      <w:r>
        <w:fldChar w:fldCharType="end"/>
      </w:r>
    </w:p>
    <w:p>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_Toc107494101 \h </w:instrText>
      </w:r>
      <w:r>
        <w:fldChar w:fldCharType="separate"/>
      </w:r>
      <w:r>
        <w:t>50</w:t>
      </w:r>
      <w:r>
        <w:fldChar w:fldCharType="end"/>
      </w:r>
    </w:p>
    <w:p>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_Toc107494102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_Toc107494104 \h </w:instrText>
      </w:r>
      <w:r>
        <w:fldChar w:fldCharType="separate"/>
      </w:r>
      <w:r>
        <w:t>52</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_Toc107494105 \h </w:instrText>
      </w:r>
      <w:r>
        <w:fldChar w:fldCharType="separate"/>
      </w:r>
      <w:r>
        <w:t>52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_Toc107494106 \h </w:instrText>
      </w:r>
      <w:r>
        <w:fldChar w:fldCharType="separate"/>
      </w:r>
      <w:r>
        <w:t>53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_Toc107494107 \h </w:instrText>
      </w:r>
      <w:r>
        <w:fldChar w:fldCharType="separate"/>
      </w:r>
      <w:r>
        <w:t>54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_Toc107494108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_Toc107494109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_Toc107494110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8"/>
        <w:rPr>
          <w:rFonts w:asciiTheme="minorHAnsi" w:eastAsiaTheme="minorEastAsia" w:hAnsiTheme="minorHAnsi" w:cstheme="minorBidi"/>
          <w:szCs w:val="22"/>
        </w:rPr>
      </w:pPr>
      <w:r>
        <w:t>24A.</w:t>
      </w:r>
      <w:r>
        <w:tab/>
        <w:t>Application for FVRO</w:t>
      </w:r>
      <w:r>
        <w:tab/>
      </w:r>
      <w:r>
        <w:fldChar w:fldCharType="begin"/>
      </w:r>
      <w:r>
        <w:instrText xml:space="preserve"> PAGEREF _Toc107494112 \h </w:instrText>
      </w:r>
      <w:r>
        <w:fldChar w:fldCharType="separate"/>
      </w:r>
      <w:r>
        <w:t>56</w:t>
      </w:r>
      <w:r>
        <w:fldChar w:fldCharType="end"/>
      </w:r>
    </w:p>
    <w:p>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_Toc107494113 \h </w:instrText>
      </w:r>
      <w:r>
        <w:fldChar w:fldCharType="separate"/>
      </w:r>
      <w:r>
        <w:t>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_Toc107494114 \h </w:instrText>
      </w:r>
      <w:r>
        <w:fldChar w:fldCharType="separate"/>
      </w:r>
      <w:r>
        <w:t>59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_Toc107494115 \h </w:instrText>
      </w:r>
      <w:r>
        <w:fldChar w:fldCharType="separate"/>
      </w:r>
      <w:r>
        <w:t>59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_Toc107494116 \h </w:instrText>
      </w:r>
      <w:r>
        <w:fldChar w:fldCharType="separate"/>
      </w:r>
      <w:r>
        <w:t>60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_Toc107494117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_Toc107494118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Police officers may make police orders where family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_Toc107494120 \h </w:instrText>
      </w:r>
      <w:r>
        <w:fldChar w:fldCharType="separate"/>
      </w:r>
      <w:r>
        <w:t>61</w:t>
      </w:r>
      <w:r>
        <w:fldChar w:fldCharType="end"/>
      </w:r>
    </w:p>
    <w:p>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_Toc107494121 \h </w:instrText>
      </w:r>
      <w:r>
        <w:fldChar w:fldCharType="separate"/>
      </w:r>
      <w:r>
        <w:t>62</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_Toc107494122 \h </w:instrText>
      </w:r>
      <w:r>
        <w:fldChar w:fldCharType="separate"/>
      </w:r>
      <w:r>
        <w:t>63</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_Toc107494123 \h </w:instrText>
      </w:r>
      <w:r>
        <w:fldChar w:fldCharType="separate"/>
      </w:r>
      <w:r>
        <w:t>64</w:t>
      </w:r>
      <w:r>
        <w:fldChar w:fldCharType="end"/>
      </w:r>
    </w:p>
    <w:p>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_Toc107494124 \h </w:instrText>
      </w:r>
      <w:r>
        <w:fldChar w:fldCharType="separate"/>
      </w:r>
      <w:r>
        <w:t>64</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_Toc107494125 \h </w:instrText>
      </w:r>
      <w:r>
        <w:fldChar w:fldCharType="separate"/>
      </w:r>
      <w:r>
        <w:t>65</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_Toc107494126 \h </w:instrText>
      </w:r>
      <w:r>
        <w:fldChar w:fldCharType="separate"/>
      </w:r>
      <w:r>
        <w:t>65</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_Toc107494127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_Toc107494129 \h </w:instrText>
      </w:r>
      <w:r>
        <w:fldChar w:fldCharType="separate"/>
      </w:r>
      <w:r>
        <w:t>66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_Toc107494130 \h </w:instrText>
      </w:r>
      <w:r>
        <w:fldChar w:fldCharType="separate"/>
      </w:r>
      <w:r>
        <w:t>66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_Toc107494131 \h </w:instrText>
      </w:r>
      <w:r>
        <w:fldChar w:fldCharType="separate"/>
      </w:r>
      <w:r>
        <w:t>67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_Toc107494132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_Toc107494134 \h </w:instrText>
      </w:r>
      <w:r>
        <w:fldChar w:fldCharType="separate"/>
      </w:r>
      <w:r>
        <w:t>71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 generally</w:t>
      </w:r>
      <w:r>
        <w:tab/>
      </w:r>
      <w:r>
        <w:fldChar w:fldCharType="begin"/>
      </w:r>
      <w:r>
        <w:instrText xml:space="preserve"> PAGEREF _Toc107494135 \h </w:instrText>
      </w:r>
      <w:r>
        <w:fldChar w:fldCharType="separate"/>
      </w:r>
      <w:r>
        <w:t>71</w:t>
      </w:r>
      <w:r>
        <w:fldChar w:fldCharType="end"/>
      </w:r>
    </w:p>
    <w:p>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_Toc107494136 \h </w:instrText>
      </w:r>
      <w:r>
        <w:fldChar w:fldCharType="separate"/>
      </w:r>
      <w:r>
        <w:t>73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_Toc107494137 \h </w:instrText>
      </w:r>
      <w:r>
        <w:fldChar w:fldCharType="separate"/>
      </w:r>
      <w:r>
        <w:t>73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MRO</w:t>
      </w:r>
      <w:r>
        <w:tab/>
      </w:r>
      <w:r>
        <w:fldChar w:fldCharType="begin"/>
      </w:r>
      <w:r>
        <w:instrText xml:space="preserve"> PAGEREF _Toc107494138 \h </w:instrText>
      </w:r>
      <w:r>
        <w:fldChar w:fldCharType="separate"/>
      </w:r>
      <w:r>
        <w:t>75</w:t>
      </w:r>
      <w:r>
        <w:fldChar w:fldCharType="end"/>
      </w:r>
    </w:p>
    <w:p>
      <w:pPr>
        <w:pStyle w:val="TOC8"/>
        <w:rPr>
          <w:rFonts w:asciiTheme="minorHAnsi" w:eastAsiaTheme="minorEastAsia" w:hAnsiTheme="minorHAnsi" w:cstheme="minorBidi"/>
          <w:szCs w:val="22"/>
        </w:rPr>
      </w:pPr>
      <w:r>
        <w:t>38.</w:t>
      </w:r>
      <w:r>
        <w:tab/>
        <w:t>Application for MRO</w:t>
      </w:r>
      <w:r>
        <w:tab/>
      </w:r>
      <w:r>
        <w:fldChar w:fldCharType="begin"/>
      </w:r>
      <w:r>
        <w:instrText xml:space="preserve"> PAGEREF _Toc107494139 \h </w:instrText>
      </w:r>
      <w:r>
        <w:fldChar w:fldCharType="separate"/>
      </w:r>
      <w:r>
        <w:t>75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_Toc107494140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_Toc107494143 \h </w:instrText>
      </w:r>
      <w:r>
        <w:fldChar w:fldCharType="separate"/>
      </w:r>
      <w:r>
        <w:t>77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_Toc107494144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_Toc107494146 \h </w:instrText>
      </w:r>
      <w:r>
        <w:fldChar w:fldCharType="separate"/>
      </w:r>
      <w:r>
        <w:t>78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_Toc107494147 \h </w:instrText>
      </w:r>
      <w:r>
        <w:fldChar w:fldCharType="separate"/>
      </w:r>
      <w:r>
        <w:t>79</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_Toc107494148 \h </w:instrText>
      </w:r>
      <w:r>
        <w:fldChar w:fldCharType="separate"/>
      </w:r>
      <w:r>
        <w:t>80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_Toc107494149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Evidence</w:t>
      </w:r>
    </w:p>
    <w:p>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_Toc107494151 \h </w:instrText>
      </w:r>
      <w:r>
        <w:fldChar w:fldCharType="separate"/>
      </w:r>
      <w:r>
        <w:t>83</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_Toc107494152 \h </w:instrText>
      </w:r>
      <w:r>
        <w:fldChar w:fldCharType="separate"/>
      </w:r>
      <w:r>
        <w:t>84</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_Toc107494153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Other provisions to protect applicants</w:t>
      </w:r>
    </w:p>
    <w:p>
      <w:pPr>
        <w:pStyle w:val="TOC8"/>
        <w:rPr>
          <w:rFonts w:asciiTheme="minorHAnsi" w:eastAsiaTheme="minorEastAsia" w:hAnsiTheme="minorHAnsi" w:cstheme="minorBidi"/>
          <w:szCs w:val="22"/>
        </w:rPr>
      </w:pPr>
      <w:r>
        <w:t>44D.</w:t>
      </w:r>
      <w:r>
        <w:tab/>
        <w:t>Support and other persons who may be present</w:t>
      </w:r>
      <w:r>
        <w:tab/>
      </w:r>
      <w:r>
        <w:fldChar w:fldCharType="begin"/>
      </w:r>
      <w:r>
        <w:instrText xml:space="preserve"> PAGEREF _Toc107494155 \h </w:instrText>
      </w:r>
      <w:r>
        <w:fldChar w:fldCharType="separate"/>
      </w:r>
      <w:r>
        <w:t>85</w:t>
      </w:r>
      <w:r>
        <w:fldChar w:fldCharType="end"/>
      </w:r>
    </w:p>
    <w:p>
      <w:pPr>
        <w:pStyle w:val="TOC8"/>
        <w:rPr>
          <w:rFonts w:asciiTheme="minorHAnsi" w:eastAsiaTheme="minorEastAsia" w:hAnsiTheme="minorHAnsi" w:cstheme="minorBidi"/>
          <w:szCs w:val="22"/>
        </w:rPr>
      </w:pPr>
      <w:r>
        <w:t>44E.</w:t>
      </w:r>
      <w:r>
        <w:tab/>
        <w:t>Use of closed circuit television or screening arrangements</w:t>
      </w:r>
      <w:r>
        <w:tab/>
      </w:r>
      <w:r>
        <w:fldChar w:fldCharType="begin"/>
      </w:r>
      <w:r>
        <w:instrText xml:space="preserve"> PAGEREF _Toc107494156 \h </w:instrText>
      </w:r>
      <w:r>
        <w:fldChar w:fldCharType="separate"/>
      </w:r>
      <w:r>
        <w:t>85</w:t>
      </w:r>
      <w:r>
        <w:fldChar w:fldCharType="end"/>
      </w:r>
    </w:p>
    <w:p>
      <w:pPr>
        <w:pStyle w:val="TOC8"/>
        <w:rPr>
          <w:rFonts w:asciiTheme="minorHAnsi" w:eastAsiaTheme="minorEastAsia" w:hAnsiTheme="minorHAnsi" w:cstheme="minorBidi"/>
          <w:szCs w:val="22"/>
        </w:rPr>
      </w:pPr>
      <w:r>
        <w:t>44F.</w:t>
      </w:r>
      <w:r>
        <w:tab/>
        <w:t>Additional provisions relating to FVROs</w:t>
      </w:r>
      <w:r>
        <w:tab/>
      </w:r>
      <w:r>
        <w:fldChar w:fldCharType="begin"/>
      </w:r>
      <w:r>
        <w:instrText xml:space="preserve"> PAGEREF _Toc107494157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_Toc107494159 \h </w:instrText>
      </w:r>
      <w:r>
        <w:fldChar w:fldCharType="separate"/>
      </w:r>
      <w:r>
        <w:t>88</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_Toc107494160 \h </w:instrText>
      </w:r>
      <w:r>
        <w:fldChar w:fldCharType="separate"/>
      </w:r>
      <w:r>
        <w:t>90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_Toc107494161 \h </w:instrText>
      </w:r>
      <w:r>
        <w:fldChar w:fldCharType="separate"/>
      </w:r>
      <w:r>
        <w:t>90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_Toc107494162 \h </w:instrText>
      </w:r>
      <w:r>
        <w:fldChar w:fldCharType="separate"/>
      </w:r>
      <w:r>
        <w:t>91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_Toc107494163 \h </w:instrText>
      </w:r>
      <w:r>
        <w:fldChar w:fldCharType="separate"/>
      </w:r>
      <w:r>
        <w:t>92</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_Toc107494164 \h </w:instrText>
      </w:r>
      <w:r>
        <w:fldChar w:fldCharType="separate"/>
      </w:r>
      <w:r>
        <w:t>93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_Toc107494165 \h </w:instrText>
      </w:r>
      <w:r>
        <w:fldChar w:fldCharType="separate"/>
      </w:r>
      <w:r>
        <w:t>94</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_Toc107494166 \h </w:instrText>
      </w:r>
      <w:r>
        <w:fldChar w:fldCharType="separate"/>
      </w:r>
      <w:r>
        <w:t>95</w:t>
      </w:r>
      <w:r>
        <w:fldChar w:fldCharType="end"/>
      </w:r>
    </w:p>
    <w:p>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_Toc107494167 \h </w:instrText>
      </w:r>
      <w:r>
        <w:fldChar w:fldCharType="separate"/>
      </w:r>
      <w:r>
        <w:t>96</w:t>
      </w:r>
      <w:r>
        <w:fldChar w:fldCharType="end"/>
      </w:r>
    </w:p>
    <w:p>
      <w:pPr>
        <w:pStyle w:val="TOC8"/>
        <w:rPr>
          <w:rFonts w:asciiTheme="minorHAnsi" w:eastAsiaTheme="minorEastAsia" w:hAnsiTheme="minorHAnsi" w:cstheme="minorBidi"/>
          <w:szCs w:val="22"/>
        </w:rPr>
      </w:pPr>
      <w:r>
        <w:t>49C.</w:t>
      </w:r>
      <w:r>
        <w:tab/>
        <w:t>Variation of application to allow a different order to be sought</w:t>
      </w:r>
      <w:r>
        <w:tab/>
      </w:r>
      <w:r>
        <w:fldChar w:fldCharType="begin"/>
      </w:r>
      <w:r>
        <w:instrText xml:space="preserve"> PAGEREF _Toc107494168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5A — Conferences</w:t>
      </w:r>
    </w:p>
    <w:p>
      <w:pPr>
        <w:pStyle w:val="TOC8"/>
        <w:rPr>
          <w:rFonts w:asciiTheme="minorHAnsi" w:eastAsiaTheme="minorEastAsia" w:hAnsiTheme="minorHAnsi" w:cstheme="minorBidi"/>
          <w:szCs w:val="22"/>
        </w:rPr>
      </w:pPr>
      <w:r>
        <w:t>49D.</w:t>
      </w:r>
      <w:r>
        <w:tab/>
        <w:t>Special conference procedures</w:t>
      </w:r>
      <w:r>
        <w:tab/>
      </w:r>
      <w:r>
        <w:fldChar w:fldCharType="begin"/>
      </w:r>
      <w:r>
        <w:instrText xml:space="preserve"> PAGEREF _Toc107494170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_Toc107494173 \h </w:instrText>
      </w:r>
      <w:r>
        <w:fldChar w:fldCharType="separate"/>
      </w:r>
      <w:r>
        <w:t>100</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_Toc107494174 \h </w:instrText>
      </w:r>
      <w:r>
        <w:fldChar w:fldCharType="separate"/>
      </w:r>
      <w:r>
        <w:t>100</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_Toc107494175 \h </w:instrText>
      </w:r>
      <w:r>
        <w:fldChar w:fldCharType="separate"/>
      </w:r>
      <w:r>
        <w:t>100</w:t>
      </w:r>
      <w:r>
        <w:fldChar w:fldCharType="end"/>
      </w:r>
    </w:p>
    <w:p>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_Toc107494176 \h </w:instrText>
      </w:r>
      <w:r>
        <w:fldChar w:fldCharType="separate"/>
      </w:r>
      <w:r>
        <w:t>101</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_Toc107494177 \h </w:instrText>
      </w:r>
      <w:r>
        <w:fldChar w:fldCharType="separate"/>
      </w:r>
      <w:r>
        <w:t>102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_Toc107494178 \h </w:instrText>
      </w:r>
      <w:r>
        <w:fldChar w:fldCharType="separate"/>
      </w:r>
      <w:r>
        <w:t>102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_Toc107494179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Telephone order made against child</w:t>
      </w:r>
      <w:r>
        <w:tab/>
      </w:r>
      <w:r>
        <w:fldChar w:fldCharType="begin"/>
      </w:r>
      <w:r>
        <w:instrText xml:space="preserve"> PAGEREF _Toc107494180 \h </w:instrText>
      </w:r>
      <w:r>
        <w:fldChar w:fldCharType="separate"/>
      </w:r>
      <w:r>
        <w:t>103</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_Toc107494181 \h </w:instrText>
      </w:r>
      <w:r>
        <w:fldChar w:fldCharType="separate"/>
      </w:r>
      <w:r>
        <w:t>104</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_Toc107494182 \h </w:instrText>
      </w:r>
      <w:r>
        <w:fldChar w:fldCharType="separate"/>
      </w:r>
      <w:r>
        <w:t>104</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_Toc107494183 \h </w:instrText>
      </w:r>
      <w:r>
        <w:fldChar w:fldCharType="separate"/>
      </w:r>
      <w:r>
        <w:t>105</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_Toc107494184 \h </w:instrText>
      </w:r>
      <w:r>
        <w:fldChar w:fldCharType="separate"/>
      </w:r>
      <w:r>
        <w:t>105</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_Toc107494185 \h </w:instrText>
      </w:r>
      <w:r>
        <w:fldChar w:fldCharType="separate"/>
      </w:r>
      <w:r>
        <w:t>105</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_Toc107494186 \h </w:instrText>
      </w:r>
      <w:r>
        <w:fldChar w:fldCharType="separate"/>
      </w:r>
      <w:r>
        <w:t>106</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_Toc107494187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_Toc107494189 \h </w:instrText>
      </w:r>
      <w:r>
        <w:fldChar w:fldCharType="separate"/>
      </w:r>
      <w:r>
        <w:t>107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_Toc107494190 \h </w:instrText>
      </w:r>
      <w:r>
        <w:fldChar w:fldCharType="separate"/>
      </w:r>
      <w:r>
        <w:t>107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_Toc107494191 \h </w:instrText>
      </w:r>
      <w:r>
        <w:fldChar w:fldCharType="separate"/>
      </w:r>
      <w:r>
        <w:t>109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_Toc107494192 \h </w:instrText>
      </w:r>
      <w:r>
        <w:fldChar w:fldCharType="separate"/>
      </w:r>
      <w:r>
        <w:t>109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_Toc107494193 \h </w:instrText>
      </w:r>
      <w:r>
        <w:fldChar w:fldCharType="separate"/>
      </w:r>
      <w:r>
        <w:t>110</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_Toc107494194 \h </w:instrText>
      </w:r>
      <w:r>
        <w:fldChar w:fldCharType="separate"/>
      </w:r>
      <w:r>
        <w:t>111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Substituted service</w:t>
      </w:r>
      <w:r>
        <w:tab/>
      </w:r>
      <w:r>
        <w:fldChar w:fldCharType="begin"/>
      </w:r>
      <w:r>
        <w:instrText xml:space="preserve"> PAGEREF _Toc107494195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_Toc107494197 \h </w:instrText>
      </w:r>
      <w:r>
        <w:fldChar w:fldCharType="separate"/>
      </w:r>
      <w:r>
        <w:t>113</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_Toc107494198 \h </w:instrText>
      </w:r>
      <w:r>
        <w:fldChar w:fldCharType="separate"/>
      </w:r>
      <w:r>
        <w:t>114</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_Toc107494199 \h </w:instrText>
      </w:r>
      <w:r>
        <w:fldChar w:fldCharType="separate"/>
      </w:r>
      <w:r>
        <w:t>116</w:t>
      </w:r>
      <w:r>
        <w:fldChar w:fldCharType="end"/>
      </w:r>
    </w:p>
    <w:p>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_Toc107494200 \h </w:instrText>
      </w:r>
      <w:r>
        <w:fldChar w:fldCharType="separate"/>
      </w:r>
      <w:r>
        <w:t>117</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_Toc107494201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_Toc107494203 \h </w:instrText>
      </w:r>
      <w:r>
        <w:fldChar w:fldCharType="separate"/>
      </w:r>
      <w:r>
        <w:t>118</w:t>
      </w:r>
      <w:r>
        <w:fldChar w:fldCharType="end"/>
      </w:r>
    </w:p>
    <w:p>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_Toc107494204 \h </w:instrText>
      </w:r>
      <w:r>
        <w:fldChar w:fldCharType="separate"/>
      </w:r>
      <w:r>
        <w:t>119</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_Toc107494205 \h </w:instrText>
      </w:r>
      <w:r>
        <w:fldChar w:fldCharType="separate"/>
      </w:r>
      <w:r>
        <w:t>120</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_Toc107494206 \h </w:instrText>
      </w:r>
      <w:r>
        <w:fldChar w:fldCharType="separate"/>
      </w:r>
      <w:r>
        <w:t>121</w:t>
      </w:r>
      <w:r>
        <w:fldChar w:fldCharType="end"/>
      </w:r>
    </w:p>
    <w:p>
      <w:pPr>
        <w:pStyle w:val="TOC8"/>
        <w:rPr>
          <w:rFonts w:asciiTheme="minorHAnsi" w:eastAsiaTheme="minorEastAsia" w:hAnsiTheme="minorHAnsi" w:cstheme="minorBidi"/>
          <w:szCs w:val="22"/>
        </w:rPr>
      </w:pPr>
      <w:r>
        <w:t>62E.</w:t>
      </w:r>
      <w:r>
        <w:tab/>
        <w:t>Seizure of firearms and explosives</w:t>
      </w:r>
      <w:r>
        <w:tab/>
      </w:r>
      <w:r>
        <w:fldChar w:fldCharType="begin"/>
      </w:r>
      <w:r>
        <w:instrText xml:space="preserve"> PAGEREF _Toc107494207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62F.</w:t>
      </w:r>
      <w:r>
        <w:tab/>
        <w:t>Detention of respondent during telephone hearing or while police order is being made</w:t>
      </w:r>
      <w:r>
        <w:tab/>
      </w:r>
      <w:r>
        <w:fldChar w:fldCharType="begin"/>
      </w:r>
      <w:r>
        <w:instrText xml:space="preserve"> PAGEREF _Toc107494208 \h </w:instrText>
      </w:r>
      <w:r>
        <w:fldChar w:fldCharType="separate"/>
      </w:r>
      <w:r>
        <w:t>123</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_Toc107494209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_Toc107494211 \h </w:instrText>
      </w:r>
      <w:r>
        <w:fldChar w:fldCharType="separate"/>
      </w:r>
      <w:r>
        <w:t>125</w:t>
      </w:r>
      <w:r>
        <w:fldChar w:fldCharType="end"/>
      </w:r>
    </w:p>
    <w:p>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_Toc107494212 \h </w:instrText>
      </w:r>
      <w:r>
        <w:fldChar w:fldCharType="separate"/>
      </w:r>
      <w:r>
        <w:t>129</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_Toc107494213 \h </w:instrText>
      </w:r>
      <w:r>
        <w:fldChar w:fldCharType="separate"/>
      </w:r>
      <w:r>
        <w:t>130</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_Toc107494214 \h </w:instrText>
      </w:r>
      <w:r>
        <w:fldChar w:fldCharType="separate"/>
      </w:r>
      <w:r>
        <w:t>131</w:t>
      </w:r>
      <w:r>
        <w:fldChar w:fldCharType="end"/>
      </w:r>
    </w:p>
    <w:p>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_Toc107494215 \h </w:instrText>
      </w:r>
      <w:r>
        <w:fldChar w:fldCharType="separate"/>
      </w:r>
      <w:r>
        <w:t>131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_Toc107494216 \h </w:instrText>
      </w:r>
      <w:r>
        <w:fldChar w:fldCharType="separate"/>
      </w:r>
      <w:r>
        <w:t>131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_Toc107494217 \h </w:instrText>
      </w:r>
      <w:r>
        <w:fldChar w:fldCharType="separate"/>
      </w:r>
      <w:r>
        <w:t>133</w:t>
      </w:r>
      <w:r>
        <w:fldChar w:fldCharType="end"/>
      </w:r>
    </w:p>
    <w:p>
      <w:pPr>
        <w:pStyle w:val="TOC8"/>
        <w:rPr>
          <w:rFonts w:asciiTheme="minorHAnsi" w:eastAsiaTheme="minorEastAsia" w:hAnsiTheme="minorHAnsi" w:cstheme="minorBidi"/>
          <w:szCs w:val="22"/>
        </w:rPr>
      </w:pPr>
      <w:r>
        <w:t>66.</w:t>
      </w:r>
      <w:r>
        <w:tab/>
        <w:t>Information about family orders</w:t>
      </w:r>
      <w:r>
        <w:tab/>
      </w:r>
      <w:r>
        <w:fldChar w:fldCharType="begin"/>
      </w:r>
      <w:r>
        <w:instrText xml:space="preserve"> PAGEREF _Toc107494218 \h </w:instrText>
      </w:r>
      <w:r>
        <w:fldChar w:fldCharType="separate"/>
      </w:r>
      <w:r>
        <w:t>133</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_Toc107494219 \h </w:instrText>
      </w:r>
      <w:r>
        <w:fldChar w:fldCharType="separate"/>
      </w:r>
      <w:r>
        <w:t>134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_Toc107494220 \h </w:instrText>
      </w:r>
      <w:r>
        <w:fldChar w:fldCharType="separate"/>
      </w:r>
      <w:r>
        <w:t>135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_Toc107494221 \h </w:instrText>
      </w:r>
      <w:r>
        <w:fldChar w:fldCharType="separate"/>
      </w:r>
      <w:r>
        <w:t>136</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_Toc107494222 \h </w:instrText>
      </w:r>
      <w:r>
        <w:fldChar w:fldCharType="separate"/>
      </w:r>
      <w:r>
        <w:t>136</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_Toc107494223 \h </w:instrText>
      </w:r>
      <w:r>
        <w:fldChar w:fldCharType="separate"/>
      </w:r>
      <w:r>
        <w:t>138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_Toc107494224 \h </w:instrText>
      </w:r>
      <w:r>
        <w:fldChar w:fldCharType="separate"/>
      </w:r>
      <w:r>
        <w:t>139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_Toc107494225 \h </w:instrText>
      </w:r>
      <w:r>
        <w:fldChar w:fldCharType="separate"/>
      </w:r>
      <w:r>
        <w:t>142</w:t>
      </w:r>
      <w:r>
        <w:fldChar w:fldCharType="end"/>
      </w:r>
    </w:p>
    <w:p>
      <w:pPr>
        <w:pStyle w:val="TOC8"/>
        <w:rPr>
          <w:rFonts w:asciiTheme="minorHAnsi" w:eastAsiaTheme="minorEastAsia" w:hAnsiTheme="minorHAnsi" w:cstheme="minorBidi"/>
          <w:szCs w:val="22"/>
        </w:rPr>
      </w:pPr>
      <w:r>
        <w:t>72A.</w:t>
      </w:r>
      <w:r>
        <w:tab/>
        <w:t>Forms</w:t>
      </w:r>
      <w:r>
        <w:tab/>
      </w:r>
      <w:r>
        <w:fldChar w:fldCharType="begin"/>
      </w:r>
      <w:r>
        <w:instrText xml:space="preserve"> PAGEREF _Toc107494226 \h </w:instrText>
      </w:r>
      <w:r>
        <w:fldChar w:fldCharType="separate"/>
      </w:r>
      <w:r>
        <w:t>142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_Toc107494227 \h </w:instrText>
      </w:r>
      <w:r>
        <w:fldChar w:fldCharType="separate"/>
      </w:r>
      <w:r>
        <w:t>143</w:t>
      </w:r>
      <w:r>
        <w:fldChar w:fldCharType="end"/>
      </w:r>
    </w:p>
    <w:p>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_Toc107494228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_Toc107494230 \h </w:instrText>
      </w:r>
      <w:r>
        <w:fldChar w:fldCharType="separate"/>
      </w:r>
      <w:r>
        <w:t>145</w:t>
      </w:r>
      <w:r>
        <w:fldChar w:fldCharType="end"/>
      </w:r>
    </w:p>
    <w:p>
      <w:pPr>
        <w:pStyle w:val="TOC8"/>
        <w:rPr>
          <w:rFonts w:asciiTheme="minorHAnsi" w:eastAsiaTheme="minorEastAsia" w:hAnsiTheme="minorHAnsi" w:cstheme="minorBidi"/>
          <w:szCs w:val="22"/>
        </w:rPr>
      </w:pPr>
      <w:r>
        <w:t>74A.</w:t>
      </w:r>
      <w:r>
        <w:tab/>
        <w:t xml:space="preserve">Interstate DVOs under </w:t>
      </w:r>
      <w:r>
        <w:rPr>
          <w:i/>
        </w:rPr>
        <w:t xml:space="preserve">Domestic Violence Orders (National Recognition) Act 2017 </w:t>
      </w:r>
      <w:r>
        <w:t>cannot be registered</w:t>
      </w:r>
      <w:r>
        <w:tab/>
      </w:r>
      <w:r>
        <w:fldChar w:fldCharType="begin"/>
      </w:r>
      <w:r>
        <w:instrText xml:space="preserve"> PAGEREF _Toc107494231 \h </w:instrText>
      </w:r>
      <w:r>
        <w:fldChar w:fldCharType="separate"/>
      </w:r>
      <w:r>
        <w:t>145</w:t>
      </w:r>
      <w:r>
        <w:fldChar w:fldCharType="end"/>
      </w:r>
    </w:p>
    <w:p>
      <w:pPr>
        <w:pStyle w:val="TOC8"/>
        <w:rPr>
          <w:rFonts w:asciiTheme="minorHAnsi" w:eastAsiaTheme="minorEastAsia" w:hAnsiTheme="minorHAnsi" w:cstheme="minorBidi"/>
          <w:szCs w:val="22"/>
        </w:rPr>
      </w:pPr>
      <w:r>
        <w:t>74B.</w:t>
      </w:r>
      <w:r>
        <w:tab/>
        <w:t xml:space="preserve">Interstate orders registered before commencement of </w:t>
      </w:r>
      <w:r>
        <w:rPr>
          <w:i/>
        </w:rPr>
        <w:t>Domestic Violence Orders (National Recognition) Act 2017</w:t>
      </w:r>
      <w:r>
        <w:tab/>
      </w:r>
      <w:r>
        <w:fldChar w:fldCharType="begin"/>
      </w:r>
      <w:r>
        <w:instrText xml:space="preserve"> PAGEREF _Toc107494232 \h </w:instrText>
      </w:r>
      <w:r>
        <w:fldChar w:fldCharType="separate"/>
      </w:r>
      <w:r>
        <w:t>145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_Toc107494233 \h </w:instrText>
      </w:r>
      <w:r>
        <w:fldChar w:fldCharType="separate"/>
      </w:r>
      <w:r>
        <w:t>146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_Toc107494234 \h </w:instrText>
      </w:r>
      <w:r>
        <w:fldChar w:fldCharType="separate"/>
      </w:r>
      <w:r>
        <w:t>147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_Toc107494235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78</w:t>
      </w:r>
      <w:r>
        <w:rPr>
          <w:snapToGrid w:val="0"/>
        </w:rPr>
        <w:t>.</w:t>
      </w:r>
      <w:r>
        <w:rPr>
          <w:snapToGrid w:val="0"/>
        </w:rPr>
        <w:tab/>
        <w:t>Variation or cancellation in another State or Territory</w:t>
      </w:r>
      <w:r>
        <w:tab/>
      </w:r>
      <w:r>
        <w:fldChar w:fldCharType="begin"/>
      </w:r>
      <w:r>
        <w:instrText xml:space="preserve"> PAGEREF _Toc107494236 \h </w:instrText>
      </w:r>
      <w:r>
        <w:fldChar w:fldCharType="separate"/>
      </w:r>
      <w:r>
        <w:t>148</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_Toc107494237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_Toc107494239 \h </w:instrText>
      </w:r>
      <w:r>
        <w:fldChar w:fldCharType="separate"/>
      </w:r>
      <w:r>
        <w:t>151</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_Toc107494240 \h </w:instrText>
      </w:r>
      <w:r>
        <w:fldChar w:fldCharType="separate"/>
      </w:r>
      <w:r>
        <w:t>151</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_Toc107494241 \h </w:instrText>
      </w:r>
      <w:r>
        <w:fldChar w:fldCharType="separate"/>
      </w:r>
      <w:r>
        <w:t>152</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_Toc107494242 \h </w:instrText>
      </w:r>
      <w:r>
        <w:fldChar w:fldCharType="separate"/>
      </w:r>
      <w:r>
        <w:t>152</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_Toc107494243 \h </w:instrText>
      </w:r>
      <w:r>
        <w:fldChar w:fldCharType="separate"/>
      </w:r>
      <w:r>
        <w:t>153</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_Toc107494244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_Toc107494246 \h </w:instrText>
      </w:r>
      <w:r>
        <w:fldChar w:fldCharType="separate"/>
      </w:r>
      <w:r>
        <w:t>155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_Toc107494247 \h </w:instrText>
      </w:r>
      <w:r>
        <w:fldChar w:fldCharType="separate"/>
      </w:r>
      <w:r>
        <w:t>158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_Toc107494248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NameofActReg"/>
        <w:spacing w:before="1400" w:after="880"/>
      </w:pPr>
      <w:r>
        <w:lastRenderedPageBreak/>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3" w:name="_Toc103862986"/>
      <w:bookmarkStart w:id="4" w:name="_Toc103863197"/>
      <w:bookmarkStart w:id="5" w:name="_Toc103865133"/>
      <w:bookmarkStart w:id="6" w:name="_Toc107325630"/>
      <w:bookmarkStart w:id="7" w:name="_Toc10749403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107494040"/>
      <w:r>
        <w:rPr>
          <w:rStyle w:val="CharSectno"/>
        </w:rPr>
        <w:t>1</w:t>
      </w:r>
      <w:r>
        <w:rPr>
          <w:snapToGrid w:val="0"/>
        </w:rPr>
        <w:t>.</w:t>
      </w:r>
      <w:r>
        <w:rPr>
          <w:snapToGrid w:val="0"/>
        </w:rPr>
        <w:tab/>
        <w:t>Short title</w:t>
      </w:r>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9" w:name="_Toc107494041"/>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0" w:name="_Toc107494042"/>
      <w:r>
        <w:rPr>
          <w:rStyle w:val="CharSectno"/>
        </w:rPr>
        <w:t>3</w:t>
      </w:r>
      <w:r>
        <w:rPr>
          <w:snapToGrid w:val="0"/>
        </w:rPr>
        <w:t>.</w:t>
      </w:r>
      <w:r>
        <w:rPr>
          <w:snapToGrid w:val="0"/>
        </w:rPr>
        <w:tab/>
        <w:t>Terms used</w:t>
      </w:r>
      <w:bookmarkEnd w:id="10"/>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lastRenderedPageBreak/>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lastRenderedPageBreak/>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lastRenderedPageBreak/>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lastRenderedPageBreak/>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 No. 9 of 2022 s. 424.]</w:t>
      </w:r>
    </w:p>
    <w:p>
      <w:pPr>
        <w:pStyle w:val="Heading5"/>
      </w:pPr>
      <w:bookmarkStart w:id="11" w:name="_Toc107494043"/>
      <w:r>
        <w:rPr>
          <w:rStyle w:val="CharSectno"/>
        </w:rPr>
        <w:t>4</w:t>
      </w:r>
      <w:r>
        <w:t>.</w:t>
      </w:r>
      <w:r>
        <w:tab/>
        <w:t>Terms used: family relationship and family member</w:t>
      </w:r>
      <w:bookmarkEnd w:id="11"/>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tab/>
        <w:t>(g)</w:t>
      </w:r>
      <w:r>
        <w:tab/>
        <w:t>one of whom is the former spouse or former de facto partner of the other person’s current spouse or current de facto partner.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lastRenderedPageBreak/>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12" w:name="_Toc107494044"/>
      <w:r>
        <w:rPr>
          <w:rStyle w:val="CharSectno"/>
        </w:rPr>
        <w:t>5</w:t>
      </w:r>
      <w:r>
        <w:t>.</w:t>
      </w:r>
      <w:r>
        <w:tab/>
        <w:t>Term used: family order</w:t>
      </w:r>
      <w:bookmarkEnd w:id="12"/>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lastRenderedPageBreak/>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p>
    <w:p>
      <w:pPr>
        <w:pStyle w:val="Heading5"/>
      </w:pPr>
      <w:bookmarkStart w:id="13" w:name="_Toc107494045"/>
      <w:r>
        <w:rPr>
          <w:rStyle w:val="CharSectno"/>
        </w:rPr>
        <w:lastRenderedPageBreak/>
        <w:t>5A</w:t>
      </w:r>
      <w:r>
        <w:t>.</w:t>
      </w:r>
      <w:r>
        <w:tab/>
        <w:t>Term used: family violence</w:t>
      </w:r>
      <w:bookmarkEnd w:id="13"/>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lastRenderedPageBreak/>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w:t>
      </w:r>
    </w:p>
    <w:p>
      <w:pPr>
        <w:pStyle w:val="Heading5"/>
      </w:pPr>
      <w:bookmarkStart w:id="14" w:name="_Toc107494046"/>
      <w:r>
        <w:rPr>
          <w:rStyle w:val="CharSectno"/>
        </w:rPr>
        <w:t>6</w:t>
      </w:r>
      <w:r>
        <w:t>.</w:t>
      </w:r>
      <w:r>
        <w:tab/>
        <w:t>Term used: personal violence</w:t>
      </w:r>
      <w:bookmarkEnd w:id="14"/>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Footnotesection"/>
      </w:pPr>
      <w:r>
        <w:lastRenderedPageBreak/>
        <w:tab/>
        <w:t>[Section 6 inserted: No. 38 of 2004 s. 7; amended: No. 5 of 2008 s. 91; No. 49 of 2016 s. 8.]</w:t>
      </w:r>
    </w:p>
    <w:p>
      <w:pPr>
        <w:pStyle w:val="Heading5"/>
      </w:pPr>
      <w:bookmarkStart w:id="15" w:name="_Toc107494047"/>
      <w:r>
        <w:rPr>
          <w:rStyle w:val="CharSectno"/>
        </w:rPr>
        <w:t>6A</w:t>
      </w:r>
      <w:r>
        <w:t>.</w:t>
      </w:r>
      <w:r>
        <w:tab/>
        <w:t>Term used: exposed</w:t>
      </w:r>
      <w:bookmarkEnd w:id="15"/>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16" w:name="_Toc107494048"/>
      <w:r>
        <w:rPr>
          <w:rStyle w:val="CharSectno"/>
        </w:rPr>
        <w:t>7</w:t>
      </w:r>
      <w:r>
        <w:t>.</w:t>
      </w:r>
      <w:r>
        <w:tab/>
        <w:t>Persons protected, and bound, by order to be natural persons</w:t>
      </w:r>
      <w:bookmarkEnd w:id="16"/>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17" w:name="_Toc107494049"/>
      <w:r>
        <w:rPr>
          <w:rStyle w:val="CharSectno"/>
        </w:rPr>
        <w:t>7A</w:t>
      </w:r>
      <w:r>
        <w:t>.</w:t>
      </w:r>
      <w:r>
        <w:tab/>
        <w:t>Orders under this Act imposing restraints</w:t>
      </w:r>
      <w:bookmarkEnd w:id="17"/>
    </w:p>
    <w:p>
      <w:pPr>
        <w:pStyle w:val="Subsection"/>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lastRenderedPageBreak/>
        <w:tab/>
        <w:t>(c)</w:t>
      </w:r>
      <w:r>
        <w:tab/>
        <w:t>an authorised magistrate hearing a telephone application; or</w:t>
      </w:r>
    </w:p>
    <w:p>
      <w:pPr>
        <w:pStyle w:val="Indenta"/>
      </w:pPr>
      <w:r>
        <w:tab/>
        <w:t>(d)</w:t>
      </w:r>
      <w:r>
        <w:tab/>
        <w:t>a court acting under section 63 or 63A; or</w:t>
      </w:r>
    </w:p>
    <w:p>
      <w:pPr>
        <w:pStyle w:val="Indenta"/>
      </w:pPr>
      <w:r>
        <w:tab/>
        <w:t>(e)</w:t>
      </w:r>
      <w:r>
        <w:tab/>
        <w:t xml:space="preserve">a police officer acting under Part 2 Division 3A; or </w:t>
      </w:r>
    </w:p>
    <w:p>
      <w:pPr>
        <w:pStyle w:val="Indenta"/>
      </w:pPr>
      <w:r>
        <w:tab/>
        <w:t>(f)</w:t>
      </w:r>
      <w:r>
        <w:tab/>
        <w:t>a registrar acting under Part 5A.</w:t>
      </w:r>
    </w:p>
    <w:p>
      <w:pPr>
        <w:pStyle w:val="Footnotesection"/>
      </w:pPr>
      <w:r>
        <w:tab/>
        <w:t>[Section 7A inserted: No. 38 of 2004 s. 8; amended: No. 59 of 2004 s. 124; No. 49 of 2016 s. 11; No. 30 of 2020 s. 55.]</w:t>
      </w:r>
    </w:p>
    <w:p>
      <w:pPr>
        <w:pStyle w:val="Heading5"/>
      </w:pPr>
      <w:bookmarkStart w:id="18" w:name="_Toc107494050"/>
      <w:r>
        <w:rPr>
          <w:rStyle w:val="CharSectno"/>
        </w:rPr>
        <w:t>8A</w:t>
      </w:r>
      <w:r>
        <w:t>.</w:t>
      </w:r>
      <w:r>
        <w:tab/>
      </w:r>
      <w:r>
        <w:rPr>
          <w:i/>
        </w:rPr>
        <w:t>Courts and Tribunals (Electronic Processes Facilitation) Act 2013</w:t>
      </w:r>
      <w:r>
        <w:t xml:space="preserve"> Part 2 applies</w:t>
      </w:r>
      <w:bookmarkEnd w:id="1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19" w:name="_Toc103862998"/>
      <w:bookmarkStart w:id="20" w:name="_Toc103863209"/>
      <w:bookmarkStart w:id="21" w:name="_Toc103865145"/>
      <w:bookmarkStart w:id="22" w:name="_Toc107325642"/>
      <w:bookmarkStart w:id="23" w:name="_Toc107494051"/>
      <w:r>
        <w:rPr>
          <w:rStyle w:val="CharPartNo"/>
        </w:rPr>
        <w:lastRenderedPageBreak/>
        <w:t>Part 1A</w:t>
      </w:r>
      <w:r>
        <w:rPr>
          <w:b w:val="0"/>
        </w:rPr>
        <w:t> </w:t>
      </w:r>
      <w:r>
        <w:t>—</w:t>
      </w:r>
      <w:r>
        <w:rPr>
          <w:b w:val="0"/>
        </w:rPr>
        <w:t> </w:t>
      </w:r>
      <w:r>
        <w:rPr>
          <w:rStyle w:val="CharPartText"/>
        </w:rPr>
        <w:t>Restraining orders generally</w:t>
      </w:r>
      <w:bookmarkEnd w:id="19"/>
      <w:bookmarkEnd w:id="20"/>
      <w:bookmarkEnd w:id="21"/>
      <w:bookmarkEnd w:id="22"/>
      <w:bookmarkEnd w:id="23"/>
    </w:p>
    <w:p>
      <w:pPr>
        <w:pStyle w:val="Footnoteheading"/>
        <w:tabs>
          <w:tab w:val="left" w:pos="851"/>
        </w:tabs>
      </w:pPr>
      <w:r>
        <w:tab/>
        <w:t>[Heading inserted: No. 38 of 2004 s. 9.]</w:t>
      </w:r>
    </w:p>
    <w:p>
      <w:pPr>
        <w:pStyle w:val="Heading5"/>
      </w:pPr>
      <w:bookmarkStart w:id="24" w:name="_Toc107494052"/>
      <w:r>
        <w:rPr>
          <w:rStyle w:val="CharSectno"/>
        </w:rPr>
        <w:t>8</w:t>
      </w:r>
      <w:r>
        <w:t>.</w:t>
      </w:r>
      <w:r>
        <w:tab/>
        <w:t>Explanation about orders to be given</w:t>
      </w:r>
      <w:bookmarkEnd w:id="24"/>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lastRenderedPageBreak/>
        <w:tab/>
        <w:t>(h)</w:t>
      </w:r>
      <w:r>
        <w:tab/>
        <w:t xml:space="preserve">if the order is an FVRO or VRO, the effects of sections 14, 14A and 62E relating to firearms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56.]</w:t>
      </w:r>
    </w:p>
    <w:p>
      <w:pPr>
        <w:pStyle w:val="Heading5"/>
      </w:pPr>
      <w:bookmarkStart w:id="25" w:name="_Toc107494053"/>
      <w:r>
        <w:rPr>
          <w:rStyle w:val="CharSectno"/>
        </w:rPr>
        <w:lastRenderedPageBreak/>
        <w:t>9</w:t>
      </w:r>
      <w:r>
        <w:t>.</w:t>
      </w:r>
      <w:r>
        <w:tab/>
        <w:t>Fixing a hearing</w:t>
      </w:r>
      <w:bookmarkEnd w:id="25"/>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26" w:name="_Toc107494054"/>
      <w:r>
        <w:rPr>
          <w:rStyle w:val="CharSectno"/>
        </w:rPr>
        <w:t>10</w:t>
      </w:r>
      <w:r>
        <w:rPr>
          <w:snapToGrid w:val="0"/>
        </w:rPr>
        <w:t>.</w:t>
      </w:r>
      <w:r>
        <w:rPr>
          <w:snapToGrid w:val="0"/>
        </w:rPr>
        <w:tab/>
        <w:t>Preparation and service of orders</w:t>
      </w:r>
      <w:bookmarkEnd w:id="26"/>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w:t>
      </w:r>
      <w:r>
        <w:lastRenderedPageBreak/>
        <w:t xml:space="preserve">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lastRenderedPageBreak/>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27" w:name="_Toc103863002"/>
      <w:bookmarkStart w:id="28" w:name="_Toc103863213"/>
      <w:bookmarkStart w:id="29" w:name="_Toc103865149"/>
      <w:bookmarkStart w:id="30" w:name="_Toc107325646"/>
      <w:bookmarkStart w:id="31" w:name="_Toc107494055"/>
      <w:r>
        <w:rPr>
          <w:rStyle w:val="CharPartNo"/>
        </w:rPr>
        <w:lastRenderedPageBreak/>
        <w:t>Part 1B</w:t>
      </w:r>
      <w:r>
        <w:rPr>
          <w:rStyle w:val="CharDivNo"/>
        </w:rPr>
        <w:t> </w:t>
      </w:r>
      <w:r>
        <w:t>—</w:t>
      </w:r>
      <w:r>
        <w:rPr>
          <w:rStyle w:val="CharDivText"/>
        </w:rPr>
        <w:t> </w:t>
      </w:r>
      <w:r>
        <w:rPr>
          <w:rStyle w:val="CharPartText"/>
        </w:rPr>
        <w:t>Family violence restraining order</w:t>
      </w:r>
      <w:bookmarkEnd w:id="27"/>
      <w:bookmarkEnd w:id="28"/>
      <w:bookmarkEnd w:id="29"/>
      <w:bookmarkEnd w:id="30"/>
      <w:bookmarkEnd w:id="31"/>
      <w:r>
        <w:t xml:space="preserve"> </w:t>
      </w:r>
    </w:p>
    <w:p>
      <w:pPr>
        <w:pStyle w:val="Footnoteheading"/>
      </w:pPr>
      <w:r>
        <w:tab/>
        <w:t>[Heading inserted: No. 49 of 2016 s. 14.]</w:t>
      </w:r>
    </w:p>
    <w:p>
      <w:pPr>
        <w:pStyle w:val="Heading5"/>
      </w:pPr>
      <w:bookmarkStart w:id="32" w:name="_Toc107494056"/>
      <w:r>
        <w:rPr>
          <w:rStyle w:val="CharSectno"/>
        </w:rPr>
        <w:t>10A</w:t>
      </w:r>
      <w:r>
        <w:t>.</w:t>
      </w:r>
      <w:r>
        <w:tab/>
        <w:t>Objects</w:t>
      </w:r>
      <w:bookmarkEnd w:id="32"/>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33" w:name="_Toc107494057"/>
      <w:r>
        <w:rPr>
          <w:rStyle w:val="CharSectno"/>
        </w:rPr>
        <w:t>10B</w:t>
      </w:r>
      <w:r>
        <w:t>.</w:t>
      </w:r>
      <w:r>
        <w:tab/>
        <w:t>Principles to be observed in performing functions in relation to FVROs</w:t>
      </w:r>
      <w:bookmarkEnd w:id="33"/>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lastRenderedPageBreak/>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lastRenderedPageBreak/>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34" w:name="_Toc107494058"/>
      <w:r>
        <w:rPr>
          <w:rStyle w:val="CharSectno"/>
        </w:rPr>
        <w:t>10C</w:t>
      </w:r>
      <w:r>
        <w:t>.</w:t>
      </w:r>
      <w:r>
        <w:tab/>
        <w:t>FVRO to specify names of person bound, and person protected, by order</w:t>
      </w:r>
      <w:bookmarkEnd w:id="34"/>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35" w:name="_Toc107494059"/>
      <w:r>
        <w:rPr>
          <w:rStyle w:val="CharSectno"/>
        </w:rPr>
        <w:t>10D</w:t>
      </w:r>
      <w:r>
        <w:t>.</w:t>
      </w:r>
      <w:r>
        <w:tab/>
        <w:t>When FVROs may be made</w:t>
      </w:r>
      <w:bookmarkEnd w:id="35"/>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36" w:name="_Toc107494060"/>
      <w:r>
        <w:rPr>
          <w:rStyle w:val="CharSectno"/>
        </w:rPr>
        <w:lastRenderedPageBreak/>
        <w:t>10E</w:t>
      </w:r>
      <w:r>
        <w:t>.</w:t>
      </w:r>
      <w:r>
        <w:tab/>
        <w:t>FVRO may be made for child in circumstances of family violence</w:t>
      </w:r>
      <w:bookmarkEnd w:id="36"/>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37" w:name="_Toc107494061"/>
      <w:r>
        <w:rPr>
          <w:rStyle w:val="CharSectno"/>
        </w:rPr>
        <w:t>10F</w:t>
      </w:r>
      <w:r>
        <w:t>.</w:t>
      </w:r>
      <w:r>
        <w:tab/>
        <w:t>Matters to be considered by court generally</w:t>
      </w:r>
      <w:bookmarkEnd w:id="37"/>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 xml:space="preserve">the need to ensure the wellbeing of children by protecting them from family violence, behaviour </w:t>
      </w:r>
      <w:r>
        <w:lastRenderedPageBreak/>
        <w:t>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 xml:space="preserve">The Commissioner of Police, is, where practicable, to provide to a court any information in the possession of the Police Force of </w:t>
      </w:r>
      <w:r>
        <w:lastRenderedPageBreak/>
        <w:t>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38" w:name="_Toc107494062"/>
      <w:r>
        <w:rPr>
          <w:rStyle w:val="CharSectno"/>
        </w:rPr>
        <w:t>10G</w:t>
      </w:r>
      <w:r>
        <w:t>.</w:t>
      </w:r>
      <w:r>
        <w:tab/>
        <w:t>Restraints on respondent</w:t>
      </w:r>
      <w:bookmarkEnd w:id="38"/>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lastRenderedPageBreak/>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lastRenderedPageBreak/>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39" w:name="_Toc107494063"/>
      <w:r>
        <w:rPr>
          <w:rStyle w:val="CharSectno"/>
        </w:rPr>
        <w:t>10H</w:t>
      </w:r>
      <w:r>
        <w:t>.</w:t>
      </w:r>
      <w:r>
        <w:tab/>
        <w:t>Conduct agreement</w:t>
      </w:r>
      <w:bookmarkEnd w:id="39"/>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40" w:name="_Toc103863011"/>
      <w:bookmarkStart w:id="41" w:name="_Toc103863222"/>
      <w:bookmarkStart w:id="42" w:name="_Toc103865158"/>
      <w:bookmarkStart w:id="43" w:name="_Toc107325655"/>
      <w:bookmarkStart w:id="44" w:name="_Toc107494064"/>
      <w:r>
        <w:rPr>
          <w:rStyle w:val="CharPartNo"/>
        </w:rPr>
        <w:lastRenderedPageBreak/>
        <w:t>Part 1C</w:t>
      </w:r>
      <w:r>
        <w:t> — </w:t>
      </w:r>
      <w:r>
        <w:rPr>
          <w:rStyle w:val="CharPartText"/>
        </w:rPr>
        <w:t>Behaviour management order</w:t>
      </w:r>
      <w:bookmarkEnd w:id="40"/>
      <w:bookmarkEnd w:id="41"/>
      <w:bookmarkEnd w:id="42"/>
      <w:bookmarkEnd w:id="43"/>
      <w:bookmarkEnd w:id="44"/>
    </w:p>
    <w:p>
      <w:pPr>
        <w:pStyle w:val="Footnoteheading"/>
      </w:pPr>
      <w:r>
        <w:tab/>
        <w:t>[Heading inserted: No. 49 of 2016 s. 14.]</w:t>
      </w:r>
    </w:p>
    <w:p>
      <w:pPr>
        <w:pStyle w:val="Heading3"/>
      </w:pPr>
      <w:bookmarkStart w:id="45" w:name="_Toc103863012"/>
      <w:bookmarkStart w:id="46" w:name="_Toc103863223"/>
      <w:bookmarkStart w:id="47" w:name="_Toc103865159"/>
      <w:bookmarkStart w:id="48" w:name="_Toc107325656"/>
      <w:bookmarkStart w:id="49" w:name="_Toc107494065"/>
      <w:r>
        <w:rPr>
          <w:rStyle w:val="CharDivNo"/>
        </w:rPr>
        <w:t>Division 1</w:t>
      </w:r>
      <w:r>
        <w:t> — </w:t>
      </w:r>
      <w:r>
        <w:rPr>
          <w:rStyle w:val="CharDivText"/>
        </w:rPr>
        <w:t>Preliminary</w:t>
      </w:r>
      <w:bookmarkEnd w:id="45"/>
      <w:bookmarkEnd w:id="46"/>
      <w:bookmarkEnd w:id="47"/>
      <w:bookmarkEnd w:id="48"/>
      <w:bookmarkEnd w:id="49"/>
    </w:p>
    <w:p>
      <w:pPr>
        <w:pStyle w:val="Footnoteheading"/>
      </w:pPr>
      <w:r>
        <w:tab/>
        <w:t>[Heading inserted: No. 49 of 2016 s. 14.]</w:t>
      </w:r>
    </w:p>
    <w:p>
      <w:pPr>
        <w:pStyle w:val="Heading5"/>
      </w:pPr>
      <w:bookmarkStart w:id="50" w:name="_Toc107494066"/>
      <w:r>
        <w:rPr>
          <w:rStyle w:val="CharSectno"/>
        </w:rPr>
        <w:t>10I</w:t>
      </w:r>
      <w:r>
        <w:t>.</w:t>
      </w:r>
      <w:r>
        <w:tab/>
        <w:t>Terms used</w:t>
      </w:r>
      <w:bookmarkEnd w:id="50"/>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51" w:name="_Toc107494067"/>
      <w:r>
        <w:rPr>
          <w:rStyle w:val="CharSectno"/>
        </w:rPr>
        <w:lastRenderedPageBreak/>
        <w:t>10J</w:t>
      </w:r>
      <w:r>
        <w:t>.</w:t>
      </w:r>
      <w:r>
        <w:tab/>
        <w:t>Objects</w:t>
      </w:r>
      <w:bookmarkEnd w:id="51"/>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52" w:name="_Toc107494068"/>
      <w:r>
        <w:rPr>
          <w:rStyle w:val="CharSectno"/>
        </w:rPr>
        <w:t>10K</w:t>
      </w:r>
      <w:r>
        <w:t>.</w:t>
      </w:r>
      <w:r>
        <w:tab/>
        <w:t>Application of Part</w:t>
      </w:r>
      <w:bookmarkEnd w:id="52"/>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53" w:name="_Toc103863016"/>
      <w:bookmarkStart w:id="54" w:name="_Toc103863227"/>
      <w:bookmarkStart w:id="55" w:name="_Toc103865163"/>
      <w:bookmarkStart w:id="56" w:name="_Toc107325660"/>
      <w:bookmarkStart w:id="57" w:name="_Toc107494069"/>
      <w:r>
        <w:rPr>
          <w:rStyle w:val="CharDivNo"/>
        </w:rPr>
        <w:t>Division 2</w:t>
      </w:r>
      <w:r>
        <w:t> — </w:t>
      </w:r>
      <w:r>
        <w:rPr>
          <w:rStyle w:val="CharDivText"/>
        </w:rPr>
        <w:t>Eligibility assessment order</w:t>
      </w:r>
      <w:bookmarkEnd w:id="53"/>
      <w:bookmarkEnd w:id="54"/>
      <w:bookmarkEnd w:id="55"/>
      <w:bookmarkEnd w:id="56"/>
      <w:bookmarkEnd w:id="57"/>
    </w:p>
    <w:p>
      <w:pPr>
        <w:pStyle w:val="Footnoteheading"/>
      </w:pPr>
      <w:r>
        <w:tab/>
        <w:t>[Heading inserted: No. 49 of 2016 s. 14.]</w:t>
      </w:r>
    </w:p>
    <w:p>
      <w:pPr>
        <w:pStyle w:val="Heading5"/>
      </w:pPr>
      <w:bookmarkStart w:id="58" w:name="_Toc107494070"/>
      <w:r>
        <w:rPr>
          <w:rStyle w:val="CharSectno"/>
        </w:rPr>
        <w:t>10L</w:t>
      </w:r>
      <w:r>
        <w:t>.</w:t>
      </w:r>
      <w:r>
        <w:tab/>
        <w:t>Making an eligibility assessment order</w:t>
      </w:r>
      <w:bookmarkEnd w:id="58"/>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lastRenderedPageBreak/>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lastRenderedPageBreak/>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59" w:name="_Toc107494071"/>
      <w:r>
        <w:rPr>
          <w:rStyle w:val="CharSectno"/>
        </w:rPr>
        <w:t>10M</w:t>
      </w:r>
      <w:r>
        <w:t>.</w:t>
      </w:r>
      <w:r>
        <w:tab/>
        <w:t>Order to attend behaviour change programme</w:t>
      </w:r>
      <w:bookmarkEnd w:id="59"/>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lastRenderedPageBreak/>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60" w:name="_Toc107494072"/>
      <w:r>
        <w:rPr>
          <w:rStyle w:val="CharSectno"/>
        </w:rPr>
        <w:t>10N</w:t>
      </w:r>
      <w:r>
        <w:t>.</w:t>
      </w:r>
      <w:r>
        <w:tab/>
        <w:t>Effect of appeal against final order</w:t>
      </w:r>
      <w:bookmarkEnd w:id="60"/>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61" w:name="_Toc103863020"/>
      <w:bookmarkStart w:id="62" w:name="_Toc103863231"/>
      <w:bookmarkStart w:id="63" w:name="_Toc103865167"/>
      <w:bookmarkStart w:id="64" w:name="_Toc107325664"/>
      <w:bookmarkStart w:id="65" w:name="_Toc107494073"/>
      <w:r>
        <w:rPr>
          <w:rStyle w:val="CharDivNo"/>
        </w:rPr>
        <w:lastRenderedPageBreak/>
        <w:t>Division 3</w:t>
      </w:r>
      <w:r>
        <w:t> — </w:t>
      </w:r>
      <w:r>
        <w:rPr>
          <w:rStyle w:val="CharDivText"/>
        </w:rPr>
        <w:t>Procedures relating to behaviour management order</w:t>
      </w:r>
      <w:bookmarkEnd w:id="61"/>
      <w:bookmarkEnd w:id="62"/>
      <w:bookmarkEnd w:id="63"/>
      <w:bookmarkEnd w:id="64"/>
      <w:bookmarkEnd w:id="65"/>
    </w:p>
    <w:p>
      <w:pPr>
        <w:pStyle w:val="Footnoteheading"/>
      </w:pPr>
      <w:r>
        <w:tab/>
        <w:t>[Heading inserted: No. 49 of 2016 s. 14.]</w:t>
      </w:r>
    </w:p>
    <w:p>
      <w:pPr>
        <w:pStyle w:val="Heading5"/>
      </w:pPr>
      <w:bookmarkStart w:id="66" w:name="_Toc107494074"/>
      <w:r>
        <w:rPr>
          <w:rStyle w:val="CharSectno"/>
        </w:rPr>
        <w:t>10O</w:t>
      </w:r>
      <w:r>
        <w:t>.</w:t>
      </w:r>
      <w:r>
        <w:tab/>
        <w:t>Notice of hearings</w:t>
      </w:r>
      <w:bookmarkEnd w:id="66"/>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67" w:name="_Toc107494075"/>
      <w:r>
        <w:rPr>
          <w:rStyle w:val="CharSectno"/>
        </w:rPr>
        <w:t>10P</w:t>
      </w:r>
      <w:r>
        <w:t>.</w:t>
      </w:r>
      <w:r>
        <w:tab/>
        <w:t>Approval of persons and of behaviour change programme</w:t>
      </w:r>
      <w:bookmarkEnd w:id="67"/>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lastRenderedPageBreak/>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68" w:name="_Toc107494076"/>
      <w:r>
        <w:rPr>
          <w:rStyle w:val="CharSectno"/>
        </w:rPr>
        <w:t>10Q</w:t>
      </w:r>
      <w:r>
        <w:t>.</w:t>
      </w:r>
      <w:r>
        <w:tab/>
        <w:t>Eligibility assessor may be required to attend hearing</w:t>
      </w:r>
      <w:bookmarkEnd w:id="68"/>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69" w:name="_Toc107494077"/>
      <w:r>
        <w:rPr>
          <w:rStyle w:val="CharSectno"/>
        </w:rPr>
        <w:t>10R</w:t>
      </w:r>
      <w:r>
        <w:t>.</w:t>
      </w:r>
      <w:r>
        <w:tab/>
        <w:t>Disputed eligibility assessment report</w:t>
      </w:r>
      <w:bookmarkEnd w:id="69"/>
    </w:p>
    <w:p>
      <w:pPr>
        <w:pStyle w:val="Subsection"/>
      </w:pPr>
      <w:r>
        <w:tab/>
        <w:t>(1)</w:t>
      </w:r>
      <w:r>
        <w:tab/>
        <w:t xml:space="preserve">If the respondent disputes any matter in an eligibility assessment report, the court must not take the disputed matter into </w:t>
      </w:r>
      <w:r>
        <w:lastRenderedPageBreak/>
        <w:t xml:space="preserve">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70" w:name="_Toc107494078"/>
      <w:r>
        <w:rPr>
          <w:rStyle w:val="CharSectno"/>
        </w:rPr>
        <w:t>10S</w:t>
      </w:r>
      <w:r>
        <w:t>.</w:t>
      </w:r>
      <w:r>
        <w:tab/>
        <w:t>Explanation of behaviour management orders</w:t>
      </w:r>
      <w:bookmarkEnd w:id="70"/>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71" w:name="_Toc107494079"/>
      <w:r>
        <w:rPr>
          <w:rStyle w:val="CharSectno"/>
        </w:rPr>
        <w:t>10T</w:t>
      </w:r>
      <w:r>
        <w:t>.</w:t>
      </w:r>
      <w:r>
        <w:tab/>
        <w:t>Variation or cancellation of behaviour management orders</w:t>
      </w:r>
      <w:bookmarkEnd w:id="71"/>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lastRenderedPageBreak/>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72" w:name="_Toc107494080"/>
      <w:r>
        <w:rPr>
          <w:rStyle w:val="CharSectno"/>
        </w:rPr>
        <w:t>10U</w:t>
      </w:r>
      <w:r>
        <w:t>.</w:t>
      </w:r>
      <w:r>
        <w:tab/>
        <w:t>Service of orders</w:t>
      </w:r>
      <w:bookmarkEnd w:id="72"/>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w:t>
      </w:r>
      <w:r>
        <w:lastRenderedPageBreak/>
        <w:t xml:space="preserve">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73" w:name="_Toc103863028"/>
      <w:bookmarkStart w:id="74" w:name="_Toc103863239"/>
      <w:bookmarkStart w:id="75" w:name="_Toc103865175"/>
      <w:bookmarkStart w:id="76" w:name="_Toc107325672"/>
      <w:bookmarkStart w:id="77" w:name="_Toc107494081"/>
      <w:r>
        <w:rPr>
          <w:rStyle w:val="CharDivNo"/>
        </w:rPr>
        <w:t>Division 4</w:t>
      </w:r>
      <w:r>
        <w:t> — </w:t>
      </w:r>
      <w:r>
        <w:rPr>
          <w:rStyle w:val="CharDivText"/>
        </w:rPr>
        <w:t>Other matters</w:t>
      </w:r>
      <w:bookmarkEnd w:id="73"/>
      <w:bookmarkEnd w:id="74"/>
      <w:bookmarkEnd w:id="75"/>
      <w:bookmarkEnd w:id="76"/>
      <w:bookmarkEnd w:id="77"/>
    </w:p>
    <w:p>
      <w:pPr>
        <w:pStyle w:val="Footnoteheading"/>
      </w:pPr>
      <w:r>
        <w:tab/>
        <w:t>[Heading inserted: No. 49 of 2016 s. 14.]</w:t>
      </w:r>
    </w:p>
    <w:p>
      <w:pPr>
        <w:pStyle w:val="Heading5"/>
      </w:pPr>
      <w:bookmarkStart w:id="78" w:name="_Toc107494082"/>
      <w:r>
        <w:rPr>
          <w:rStyle w:val="CharSectno"/>
        </w:rPr>
        <w:t>10V</w:t>
      </w:r>
      <w:r>
        <w:t>.</w:t>
      </w:r>
      <w:r>
        <w:tab/>
        <w:t>Respondent’s participation in behaviour change programme</w:t>
      </w:r>
      <w:bookmarkEnd w:id="78"/>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lastRenderedPageBreak/>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79" w:name="_Toc107494083"/>
      <w:r>
        <w:rPr>
          <w:rStyle w:val="CharSectno"/>
        </w:rPr>
        <w:t>10W</w:t>
      </w:r>
      <w:r>
        <w:t>.</w:t>
      </w:r>
      <w:r>
        <w:tab/>
        <w:t>Respondent’s contravention of behaviour management order</w:t>
      </w:r>
      <w:bookmarkEnd w:id="79"/>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80" w:name="_Toc107494084"/>
      <w:r>
        <w:rPr>
          <w:rStyle w:val="CharSectno"/>
        </w:rPr>
        <w:t>10X</w:t>
      </w:r>
      <w:r>
        <w:t>.</w:t>
      </w:r>
      <w:r>
        <w:tab/>
        <w:t>Confidentiality of interviews and reports</w:t>
      </w:r>
      <w:bookmarkEnd w:id="80"/>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lastRenderedPageBreak/>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81" w:name="_Toc107494085"/>
      <w:r>
        <w:rPr>
          <w:rStyle w:val="CharSectno"/>
        </w:rPr>
        <w:lastRenderedPageBreak/>
        <w:t>10Y</w:t>
      </w:r>
      <w:r>
        <w:t>.</w:t>
      </w:r>
      <w:r>
        <w:tab/>
        <w:t>Confidentiality of behaviour change programme</w:t>
      </w:r>
      <w:bookmarkEnd w:id="81"/>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82" w:name="_Toc107494086"/>
      <w:r>
        <w:rPr>
          <w:rStyle w:val="CharSectno"/>
        </w:rPr>
        <w:t>10Z</w:t>
      </w:r>
      <w:r>
        <w:t>.</w:t>
      </w:r>
      <w:r>
        <w:tab/>
        <w:t>Delegation</w:t>
      </w:r>
      <w:bookmarkEnd w:id="82"/>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83" w:name="_Toc103863034"/>
      <w:bookmarkStart w:id="84" w:name="_Toc103863245"/>
      <w:bookmarkStart w:id="85" w:name="_Toc103865181"/>
      <w:bookmarkStart w:id="86" w:name="_Toc107325678"/>
      <w:bookmarkStart w:id="87" w:name="_Toc107494087"/>
      <w:r>
        <w:rPr>
          <w:rStyle w:val="CharPartNo"/>
        </w:rPr>
        <w:lastRenderedPageBreak/>
        <w:t>Part 2</w:t>
      </w:r>
      <w:r>
        <w:rPr>
          <w:rStyle w:val="CharDivNo"/>
        </w:rPr>
        <w:t> </w:t>
      </w:r>
      <w:r>
        <w:t>—</w:t>
      </w:r>
      <w:r>
        <w:rPr>
          <w:rStyle w:val="CharDivText"/>
        </w:rPr>
        <w:t> </w:t>
      </w:r>
      <w:r>
        <w:rPr>
          <w:rStyle w:val="CharPartText"/>
        </w:rPr>
        <w:t>Violence restraining order</w:t>
      </w:r>
      <w:bookmarkEnd w:id="83"/>
      <w:bookmarkEnd w:id="84"/>
      <w:bookmarkEnd w:id="85"/>
      <w:bookmarkEnd w:id="86"/>
      <w:bookmarkEnd w:id="87"/>
      <w:r>
        <w:rPr>
          <w:rStyle w:val="CharPartText"/>
        </w:rPr>
        <w:t xml:space="preserve"> </w:t>
      </w:r>
    </w:p>
    <w:p>
      <w:pPr>
        <w:pStyle w:val="Ednotedivision"/>
      </w:pPr>
      <w:r>
        <w:tab/>
        <w:t>[Division heading deleted: No. 49 of 2016 s. 15.]</w:t>
      </w:r>
    </w:p>
    <w:p>
      <w:pPr>
        <w:pStyle w:val="Heading5"/>
      </w:pPr>
      <w:bookmarkStart w:id="88" w:name="_Toc107494088"/>
      <w:r>
        <w:rPr>
          <w:rStyle w:val="CharSectno"/>
        </w:rPr>
        <w:t>11</w:t>
      </w:r>
      <w:r>
        <w:t>.</w:t>
      </w:r>
      <w:r>
        <w:tab/>
        <w:t>VRO to specify names of person bound, and person protected, by order</w:t>
      </w:r>
      <w:bookmarkEnd w:id="88"/>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89" w:name="_Toc107494089"/>
      <w:r>
        <w:rPr>
          <w:rStyle w:val="CharSectno"/>
        </w:rPr>
        <w:t>11A</w:t>
      </w:r>
      <w:r>
        <w:t>.</w:t>
      </w:r>
      <w:r>
        <w:tab/>
        <w:t>When VROs may be made</w:t>
      </w:r>
      <w:bookmarkEnd w:id="89"/>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90" w:name="_Toc107494090"/>
      <w:r>
        <w:rPr>
          <w:rStyle w:val="CharSectno"/>
        </w:rPr>
        <w:lastRenderedPageBreak/>
        <w:t>12</w:t>
      </w:r>
      <w:r>
        <w:rPr>
          <w:snapToGrid w:val="0"/>
        </w:rPr>
        <w:t>.</w:t>
      </w:r>
      <w:r>
        <w:rPr>
          <w:snapToGrid w:val="0"/>
        </w:rPr>
        <w:tab/>
        <w:t>Matters to be considered by court generally</w:t>
      </w:r>
      <w:bookmarkEnd w:id="90"/>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lastRenderedPageBreak/>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91" w:name="_Toc107494091"/>
      <w:r>
        <w:rPr>
          <w:rStyle w:val="CharSectno"/>
        </w:rPr>
        <w:t>12A</w:t>
      </w:r>
      <w:r>
        <w:t>.</w:t>
      </w:r>
      <w:r>
        <w:tab/>
        <w:t>VROs not for persons in family relationship</w:t>
      </w:r>
      <w:bookmarkEnd w:id="91"/>
    </w:p>
    <w:p>
      <w:pPr>
        <w:pStyle w:val="Subsection"/>
      </w:pPr>
      <w:r>
        <w:tab/>
      </w:r>
      <w:r>
        <w:tab/>
        <w:t xml:space="preserve">A court is not to make a VRO unless it is satisfied that the person seeking to be protected by the order and the person </w:t>
      </w:r>
      <w:r>
        <w:lastRenderedPageBreak/>
        <w:t>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92" w:name="_Toc107494092"/>
      <w:r>
        <w:rPr>
          <w:rStyle w:val="CharSectno"/>
        </w:rPr>
        <w:t>13</w:t>
      </w:r>
      <w:r>
        <w:rPr>
          <w:snapToGrid w:val="0"/>
        </w:rPr>
        <w:t>.</w:t>
      </w:r>
      <w:r>
        <w:rPr>
          <w:snapToGrid w:val="0"/>
        </w:rPr>
        <w:tab/>
        <w:t>Restraints on respondent</w:t>
      </w:r>
      <w:bookmarkEnd w:id="92"/>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personal violence against the person seeking to be protected; or</w:t>
      </w:r>
    </w:p>
    <w:p>
      <w:pPr>
        <w:pStyle w:val="Indenta"/>
      </w:pPr>
      <w:r>
        <w:tab/>
        <w:t>(aa)</w:t>
      </w:r>
      <w:r>
        <w:tab/>
        <w:t>if the person seeking to be protected by the order is a child, exposing a child to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xml:space="preserve">, even if the </w:t>
      </w:r>
      <w:r>
        <w:rPr>
          <w:snapToGrid w:val="0"/>
        </w:rPr>
        <w:lastRenderedPageBreak/>
        <w:t>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93" w:name="_Toc103863040"/>
      <w:bookmarkStart w:id="94" w:name="_Toc103863251"/>
      <w:bookmarkStart w:id="95" w:name="_Toc103865187"/>
      <w:bookmarkStart w:id="96" w:name="_Toc107325684"/>
      <w:bookmarkStart w:id="97" w:name="_Toc107494093"/>
      <w:r>
        <w:rPr>
          <w:rStyle w:val="CharPartNo"/>
        </w:rPr>
        <w:lastRenderedPageBreak/>
        <w:t>Part 2A</w:t>
      </w:r>
      <w:r>
        <w:t> — </w:t>
      </w:r>
      <w:r>
        <w:rPr>
          <w:rStyle w:val="CharPartText"/>
        </w:rPr>
        <w:t>Provisions for FVRO and VRO</w:t>
      </w:r>
      <w:bookmarkEnd w:id="93"/>
      <w:bookmarkEnd w:id="94"/>
      <w:bookmarkEnd w:id="95"/>
      <w:bookmarkEnd w:id="96"/>
      <w:bookmarkEnd w:id="97"/>
    </w:p>
    <w:p>
      <w:pPr>
        <w:pStyle w:val="Footnoteheading"/>
      </w:pPr>
      <w:r>
        <w:tab/>
        <w:t>[Heading inserted: No. 49 of 2016 s. 22.]</w:t>
      </w:r>
    </w:p>
    <w:p>
      <w:pPr>
        <w:pStyle w:val="Heading3"/>
      </w:pPr>
      <w:bookmarkStart w:id="98" w:name="_Toc103863041"/>
      <w:bookmarkStart w:id="99" w:name="_Toc103863252"/>
      <w:bookmarkStart w:id="100" w:name="_Toc103865188"/>
      <w:bookmarkStart w:id="101" w:name="_Toc107325685"/>
      <w:bookmarkStart w:id="102" w:name="_Toc107494094"/>
      <w:r>
        <w:rPr>
          <w:rStyle w:val="CharDivNo"/>
        </w:rPr>
        <w:t>Division 1AA</w:t>
      </w:r>
      <w:r>
        <w:t> — </w:t>
      </w:r>
      <w:r>
        <w:rPr>
          <w:rStyle w:val="CharDivText"/>
        </w:rPr>
        <w:t>Additional circumstances where orders may be made</w:t>
      </w:r>
      <w:bookmarkEnd w:id="98"/>
      <w:bookmarkEnd w:id="99"/>
      <w:bookmarkEnd w:id="100"/>
      <w:bookmarkEnd w:id="101"/>
      <w:bookmarkEnd w:id="102"/>
    </w:p>
    <w:p>
      <w:pPr>
        <w:pStyle w:val="Footnoteheading"/>
      </w:pPr>
      <w:r>
        <w:tab/>
        <w:t>[Heading inserted: No. 30 of 2020 s. 57.]</w:t>
      </w:r>
    </w:p>
    <w:p>
      <w:pPr>
        <w:pStyle w:val="Heading5"/>
      </w:pPr>
      <w:bookmarkStart w:id="103" w:name="_Toc107494095"/>
      <w:r>
        <w:rPr>
          <w:rStyle w:val="CharSectno"/>
        </w:rPr>
        <w:t>13A</w:t>
      </w:r>
      <w:r>
        <w:t>.</w:t>
      </w:r>
      <w:r>
        <w:tab/>
        <w:t>Cases involving violent offences</w:t>
      </w:r>
      <w:bookmarkEnd w:id="103"/>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lastRenderedPageBreak/>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104" w:name="_Toc103863043"/>
      <w:bookmarkStart w:id="105" w:name="_Toc103863254"/>
      <w:bookmarkStart w:id="106" w:name="_Toc103865190"/>
      <w:bookmarkStart w:id="107" w:name="_Toc107325687"/>
      <w:bookmarkStart w:id="108" w:name="_Toc107494096"/>
      <w:r>
        <w:rPr>
          <w:rStyle w:val="CharDivNo"/>
        </w:rPr>
        <w:t>Division 1</w:t>
      </w:r>
      <w:r>
        <w:t> — </w:t>
      </w:r>
      <w:r>
        <w:rPr>
          <w:rStyle w:val="CharDivText"/>
        </w:rPr>
        <w:t>Orders relating to firearms and explosives</w:t>
      </w:r>
      <w:bookmarkEnd w:id="104"/>
      <w:bookmarkEnd w:id="105"/>
      <w:bookmarkEnd w:id="106"/>
      <w:bookmarkEnd w:id="107"/>
      <w:bookmarkEnd w:id="108"/>
    </w:p>
    <w:p>
      <w:pPr>
        <w:pStyle w:val="Footnoteheading"/>
      </w:pPr>
      <w:r>
        <w:tab/>
        <w:t>[Heading inserted: No. 49 of 2016 s. 22; amended: No. 30 of 2020 s. 58.]</w:t>
      </w:r>
    </w:p>
    <w:p>
      <w:pPr>
        <w:pStyle w:val="Heading5"/>
        <w:spacing w:before="120"/>
        <w:rPr>
          <w:snapToGrid w:val="0"/>
        </w:rPr>
      </w:pPr>
      <w:bookmarkStart w:id="109" w:name="_Toc107494097"/>
      <w:r>
        <w:rPr>
          <w:rStyle w:val="CharSectno"/>
        </w:rPr>
        <w:t>14</w:t>
      </w:r>
      <w:r>
        <w:rPr>
          <w:snapToGrid w:val="0"/>
        </w:rPr>
        <w:t>.</w:t>
      </w:r>
      <w:r>
        <w:rPr>
          <w:snapToGrid w:val="0"/>
        </w:rPr>
        <w:tab/>
        <w:t>Firearms order</w:t>
      </w:r>
      <w:bookmarkEnd w:id="109"/>
      <w:r>
        <w:rPr>
          <w:snapToGrid w:val="0"/>
        </w:rPr>
        <w:t xml:space="preserve"> </w:t>
      </w:r>
    </w:p>
    <w:p>
      <w:pPr>
        <w:pStyle w:val="Subsection"/>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120"/>
        <w:rPr>
          <w:snapToGrid w:val="0"/>
        </w:rPr>
      </w:pPr>
      <w:r>
        <w:rPr>
          <w:snapToGrid w:val="0"/>
        </w:rPr>
        <w:lastRenderedPageBreak/>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spacing w:before="120"/>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lastRenderedPageBreak/>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No. 38 of 2004 s. 55; No. 49 of 2016 s. 23.]</w:t>
      </w:r>
    </w:p>
    <w:p>
      <w:pPr>
        <w:pStyle w:val="Heading5"/>
      </w:pPr>
      <w:bookmarkStart w:id="110" w:name="_Toc107494098"/>
      <w:r>
        <w:rPr>
          <w:rStyle w:val="CharSectno"/>
        </w:rPr>
        <w:t>14A</w:t>
      </w:r>
      <w:r>
        <w:t>.</w:t>
      </w:r>
      <w:r>
        <w:tab/>
        <w:t>Explosives order</w:t>
      </w:r>
      <w:bookmarkEnd w:id="110"/>
      <w:r>
        <w:t xml:space="preserve"> </w:t>
      </w:r>
    </w:p>
    <w:p>
      <w:pPr>
        <w:pStyle w:val="Subsection"/>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111" w:name="_Toc103863046"/>
      <w:bookmarkStart w:id="112" w:name="_Toc103863257"/>
      <w:bookmarkStart w:id="113" w:name="_Toc103865193"/>
      <w:bookmarkStart w:id="114" w:name="_Toc107325690"/>
      <w:bookmarkStart w:id="115" w:name="_Toc107494099"/>
      <w:r>
        <w:rPr>
          <w:rStyle w:val="CharDivNo"/>
        </w:rPr>
        <w:lastRenderedPageBreak/>
        <w:t>Division 1A</w:t>
      </w:r>
      <w:r>
        <w:t> — </w:t>
      </w:r>
      <w:r>
        <w:rPr>
          <w:rStyle w:val="CharDivText"/>
        </w:rPr>
        <w:t>Duration of orders</w:t>
      </w:r>
      <w:bookmarkEnd w:id="111"/>
      <w:bookmarkEnd w:id="112"/>
      <w:bookmarkEnd w:id="113"/>
      <w:bookmarkEnd w:id="114"/>
      <w:bookmarkEnd w:id="115"/>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116" w:name="_Toc107494100"/>
      <w:r>
        <w:rPr>
          <w:rStyle w:val="CharSectno"/>
        </w:rPr>
        <w:t>16</w:t>
      </w:r>
      <w:r>
        <w:rPr>
          <w:snapToGrid w:val="0"/>
        </w:rPr>
        <w:t>.</w:t>
      </w:r>
      <w:r>
        <w:rPr>
          <w:snapToGrid w:val="0"/>
        </w:rPr>
        <w:tab/>
        <w:t>Duration of FVRO or VRO generally</w:t>
      </w:r>
      <w:bookmarkEnd w:id="116"/>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117" w:name="_Toc107494101"/>
      <w:r>
        <w:rPr>
          <w:rStyle w:val="CharSectno"/>
        </w:rPr>
        <w:lastRenderedPageBreak/>
        <w:t>16A</w:t>
      </w:r>
      <w:r>
        <w:t>.</w:t>
      </w:r>
      <w:r>
        <w:tab/>
        <w:t>Duration of FVRO</w:t>
      </w:r>
      <w:bookmarkEnd w:id="117"/>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 xml:space="preserve">in the case of an order made at a final order hearing or under section 10H, or any interim order which becomes a final order under section 32 — 2 years, or such longer </w:t>
      </w:r>
      <w:r>
        <w:lastRenderedPageBreak/>
        <w:t>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118" w:name="_Toc107494102"/>
      <w:r>
        <w:rPr>
          <w:rStyle w:val="CharSectno"/>
        </w:rPr>
        <w:t>16B</w:t>
      </w:r>
      <w:r>
        <w:t>.</w:t>
      </w:r>
      <w:r>
        <w:tab/>
        <w:t>Duration of VRO</w:t>
      </w:r>
      <w:bookmarkEnd w:id="118"/>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 xml:space="preserve">in the case of a telephone order which became a final order under section 32 — 3 months from when the </w:t>
      </w:r>
      <w:r>
        <w:lastRenderedPageBreak/>
        <w:t>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119" w:name="_Toc103863050"/>
      <w:bookmarkStart w:id="120" w:name="_Toc103863261"/>
      <w:bookmarkStart w:id="121" w:name="_Toc103865197"/>
      <w:bookmarkStart w:id="122" w:name="_Toc107325694"/>
      <w:bookmarkStart w:id="123" w:name="_Toc107494103"/>
      <w:r>
        <w:rPr>
          <w:rStyle w:val="CharDivNo"/>
        </w:rPr>
        <w:t>Division 2</w:t>
      </w:r>
      <w:r>
        <w:rPr>
          <w:snapToGrid w:val="0"/>
        </w:rPr>
        <w:t> — </w:t>
      </w:r>
      <w:r>
        <w:rPr>
          <w:rStyle w:val="CharDivText"/>
        </w:rPr>
        <w:t>Telephone applications</w:t>
      </w:r>
      <w:bookmarkEnd w:id="119"/>
      <w:bookmarkEnd w:id="120"/>
      <w:bookmarkEnd w:id="121"/>
      <w:bookmarkEnd w:id="122"/>
      <w:bookmarkEnd w:id="123"/>
      <w:r>
        <w:rPr>
          <w:rStyle w:val="CharDivText"/>
        </w:rPr>
        <w:t xml:space="preserve"> </w:t>
      </w:r>
    </w:p>
    <w:p>
      <w:pPr>
        <w:pStyle w:val="Heading5"/>
        <w:rPr>
          <w:snapToGrid w:val="0"/>
        </w:rPr>
      </w:pPr>
      <w:bookmarkStart w:id="124" w:name="_Toc107494104"/>
      <w:r>
        <w:rPr>
          <w:rStyle w:val="CharSectno"/>
        </w:rPr>
        <w:t>17</w:t>
      </w:r>
      <w:r>
        <w:rPr>
          <w:snapToGrid w:val="0"/>
        </w:rPr>
        <w:t>.</w:t>
      </w:r>
      <w:r>
        <w:rPr>
          <w:snapToGrid w:val="0"/>
        </w:rPr>
        <w:tab/>
        <w:t>Authorised magistrates</w:t>
      </w:r>
      <w:bookmarkEnd w:id="124"/>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No. 59 of 2004 s. 124.]</w:t>
      </w:r>
    </w:p>
    <w:p>
      <w:pPr>
        <w:pStyle w:val="Heading5"/>
      </w:pPr>
      <w:bookmarkStart w:id="125" w:name="_Toc107494105"/>
      <w:r>
        <w:rPr>
          <w:rStyle w:val="CharSectno"/>
        </w:rPr>
        <w:t>18</w:t>
      </w:r>
      <w:r>
        <w:t>.</w:t>
      </w:r>
      <w:r>
        <w:tab/>
        <w:t>Who can apply</w:t>
      </w:r>
      <w:bookmarkEnd w:id="125"/>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lastRenderedPageBreak/>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126" w:name="_Toc107494106"/>
      <w:r>
        <w:rPr>
          <w:rStyle w:val="CharSectno"/>
        </w:rPr>
        <w:t>19</w:t>
      </w:r>
      <w:r>
        <w:rPr>
          <w:snapToGrid w:val="0"/>
        </w:rPr>
        <w:t>.</w:t>
      </w:r>
      <w:r>
        <w:rPr>
          <w:snapToGrid w:val="0"/>
        </w:rPr>
        <w:tab/>
        <w:t>How to make telephone application</w:t>
      </w:r>
      <w:bookmarkEnd w:id="126"/>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127" w:name="_Toc107494107"/>
      <w:r>
        <w:rPr>
          <w:rStyle w:val="CharSectno"/>
        </w:rPr>
        <w:lastRenderedPageBreak/>
        <w:t>20</w:t>
      </w:r>
      <w:r>
        <w:rPr>
          <w:snapToGrid w:val="0"/>
        </w:rPr>
        <w:t>.</w:t>
      </w:r>
      <w:r>
        <w:rPr>
          <w:snapToGrid w:val="0"/>
        </w:rPr>
        <w:tab/>
        <w:t>When telephone application may be heard</w:t>
      </w:r>
      <w:bookmarkEnd w:id="127"/>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128" w:name="_Toc107494108"/>
      <w:r>
        <w:rPr>
          <w:rStyle w:val="CharSectno"/>
        </w:rPr>
        <w:t>21</w:t>
      </w:r>
      <w:r>
        <w:rPr>
          <w:snapToGrid w:val="0"/>
        </w:rPr>
        <w:t>.</w:t>
      </w:r>
      <w:r>
        <w:rPr>
          <w:snapToGrid w:val="0"/>
        </w:rPr>
        <w:tab/>
        <w:t>How hearing to be conducted</w:t>
      </w:r>
      <w:bookmarkEnd w:id="128"/>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lastRenderedPageBreak/>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129" w:name="_Toc107494109"/>
      <w:r>
        <w:rPr>
          <w:rStyle w:val="CharSectno"/>
        </w:rPr>
        <w:t>23</w:t>
      </w:r>
      <w:r>
        <w:rPr>
          <w:snapToGrid w:val="0"/>
        </w:rPr>
        <w:t>.</w:t>
      </w:r>
      <w:r>
        <w:rPr>
          <w:snapToGrid w:val="0"/>
        </w:rPr>
        <w:tab/>
        <w:t>Orders at telephone hearing</w:t>
      </w:r>
      <w:bookmarkEnd w:id="129"/>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130" w:name="_Toc107494110"/>
      <w:r>
        <w:rPr>
          <w:rStyle w:val="CharSectno"/>
        </w:rPr>
        <w:lastRenderedPageBreak/>
        <w:t>24</w:t>
      </w:r>
      <w:r>
        <w:rPr>
          <w:snapToGrid w:val="0"/>
        </w:rPr>
        <w:t>.</w:t>
      </w:r>
      <w:r>
        <w:rPr>
          <w:snapToGrid w:val="0"/>
        </w:rPr>
        <w:tab/>
        <w:t>Telephone order to be prepared and served</w:t>
      </w:r>
      <w:bookmarkEnd w:id="130"/>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131" w:name="_Toc103863058"/>
      <w:bookmarkStart w:id="132" w:name="_Toc103863269"/>
      <w:bookmarkStart w:id="133" w:name="_Toc103865205"/>
      <w:bookmarkStart w:id="134" w:name="_Toc107325702"/>
      <w:bookmarkStart w:id="135" w:name="_Toc107494111"/>
      <w:r>
        <w:rPr>
          <w:rStyle w:val="CharDivNo"/>
        </w:rPr>
        <w:t>Division 3</w:t>
      </w:r>
      <w:r>
        <w:rPr>
          <w:snapToGrid w:val="0"/>
        </w:rPr>
        <w:t> — </w:t>
      </w:r>
      <w:r>
        <w:rPr>
          <w:rStyle w:val="CharDivText"/>
        </w:rPr>
        <w:t>Applications in person to a court</w:t>
      </w:r>
      <w:bookmarkEnd w:id="131"/>
      <w:bookmarkEnd w:id="132"/>
      <w:bookmarkEnd w:id="133"/>
      <w:bookmarkEnd w:id="134"/>
      <w:bookmarkEnd w:id="135"/>
    </w:p>
    <w:p>
      <w:pPr>
        <w:pStyle w:val="Footnoteheading"/>
        <w:tabs>
          <w:tab w:val="left" w:pos="851"/>
        </w:tabs>
      </w:pPr>
      <w:r>
        <w:tab/>
        <w:t>[Heading amended: No. 38 of 2004 s. 18(7).]</w:t>
      </w:r>
    </w:p>
    <w:p>
      <w:pPr>
        <w:pStyle w:val="Heading5"/>
      </w:pPr>
      <w:bookmarkStart w:id="136" w:name="_Toc107494112"/>
      <w:r>
        <w:rPr>
          <w:rStyle w:val="CharSectno"/>
        </w:rPr>
        <w:t>24A</w:t>
      </w:r>
      <w:r>
        <w:t>.</w:t>
      </w:r>
      <w:r>
        <w:tab/>
        <w:t>Application for FVRO</w:t>
      </w:r>
      <w:bookmarkEnd w:id="136"/>
    </w:p>
    <w:p>
      <w:pPr>
        <w:pStyle w:val="Subsection"/>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lastRenderedPageBreak/>
        <w:tab/>
        <w:t>(b)</w:t>
      </w:r>
      <w:r>
        <w:tab/>
        <w:t>a police officer on behalf of the person seeking to be protected, regardless of the age of the person.</w:t>
      </w:r>
    </w:p>
    <w:p>
      <w:pPr>
        <w:pStyle w:val="Subsection"/>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lastRenderedPageBreak/>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137" w:name="_Toc107494113"/>
      <w:r>
        <w:rPr>
          <w:rStyle w:val="CharSectno"/>
        </w:rPr>
        <w:t>25</w:t>
      </w:r>
      <w:r>
        <w:t>.</w:t>
      </w:r>
      <w:r>
        <w:tab/>
        <w:t>Application for VRO</w:t>
      </w:r>
      <w:bookmarkEnd w:id="137"/>
    </w:p>
    <w:p>
      <w:pPr>
        <w:pStyle w:val="Subsection"/>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138" w:name="_Toc107494114"/>
      <w:r>
        <w:rPr>
          <w:rStyle w:val="CharSectno"/>
        </w:rPr>
        <w:lastRenderedPageBreak/>
        <w:t>26</w:t>
      </w:r>
      <w:r>
        <w:rPr>
          <w:snapToGrid w:val="0"/>
        </w:rPr>
        <w:t>.</w:t>
      </w:r>
      <w:r>
        <w:rPr>
          <w:snapToGrid w:val="0"/>
        </w:rPr>
        <w:tab/>
        <w:t>Applicant to choose whether to have hearing in absence of respondent</w:t>
      </w:r>
      <w:bookmarkEnd w:id="138"/>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139" w:name="_Toc107494115"/>
      <w:r>
        <w:rPr>
          <w:rStyle w:val="CharSectno"/>
        </w:rPr>
        <w:t>27</w:t>
      </w:r>
      <w:r>
        <w:rPr>
          <w:snapToGrid w:val="0"/>
        </w:rPr>
        <w:t>.</w:t>
      </w:r>
      <w:r>
        <w:rPr>
          <w:snapToGrid w:val="0"/>
        </w:rPr>
        <w:tab/>
        <w:t>Attendance at hearing in absence of respondent</w:t>
      </w:r>
      <w:bookmarkEnd w:id="139"/>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tabs>
          <w:tab w:val="clear" w:pos="879"/>
          <w:tab w:val="left" w:pos="1134"/>
        </w:tabs>
        <w:ind w:left="1134" w:hanging="1134"/>
      </w:pPr>
      <w:r>
        <w:tab/>
        <w:t>[(4a), (5)</w:t>
      </w:r>
      <w:r>
        <w:tab/>
        <w:t>deleted]</w:t>
      </w:r>
    </w:p>
    <w:p>
      <w:pPr>
        <w:pStyle w:val="Footnotesection"/>
      </w:pPr>
      <w:r>
        <w:lastRenderedPageBreak/>
        <w:tab/>
        <w:t>[Section 27 amended: No. 38 of 2004 s. 15; No. 5 of 2008 s. 93; No. 30 of 2020 s. 61.]</w:t>
      </w:r>
    </w:p>
    <w:p>
      <w:pPr>
        <w:pStyle w:val="Heading5"/>
        <w:rPr>
          <w:snapToGrid w:val="0"/>
        </w:rPr>
      </w:pPr>
      <w:bookmarkStart w:id="140" w:name="_Toc107494116"/>
      <w:r>
        <w:rPr>
          <w:rStyle w:val="CharSectno"/>
        </w:rPr>
        <w:t>28</w:t>
      </w:r>
      <w:r>
        <w:rPr>
          <w:snapToGrid w:val="0"/>
        </w:rPr>
        <w:t>.</w:t>
      </w:r>
      <w:r>
        <w:rPr>
          <w:snapToGrid w:val="0"/>
        </w:rPr>
        <w:tab/>
        <w:t>Affidavit evidence</w:t>
      </w:r>
      <w:bookmarkEnd w:id="140"/>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141" w:name="_Toc107494117"/>
      <w:r>
        <w:rPr>
          <w:rStyle w:val="CharSectno"/>
        </w:rPr>
        <w:t>29</w:t>
      </w:r>
      <w:r>
        <w:rPr>
          <w:snapToGrid w:val="0"/>
        </w:rPr>
        <w:t>.</w:t>
      </w:r>
      <w:r>
        <w:rPr>
          <w:snapToGrid w:val="0"/>
        </w:rPr>
        <w:tab/>
        <w:t>Order at hearing in absence of respondent</w:t>
      </w:r>
      <w:bookmarkEnd w:id="141"/>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142" w:name="_Toc107494118"/>
      <w:r>
        <w:rPr>
          <w:rStyle w:val="CharSectno"/>
        </w:rPr>
        <w:lastRenderedPageBreak/>
        <w:t>30</w:t>
      </w:r>
      <w:r>
        <w:rPr>
          <w:snapToGrid w:val="0"/>
        </w:rPr>
        <w:t>.</w:t>
      </w:r>
      <w:r>
        <w:rPr>
          <w:snapToGrid w:val="0"/>
        </w:rPr>
        <w:tab/>
        <w:t>Order to be prepared and served</w:t>
      </w:r>
      <w:bookmarkEnd w:id="142"/>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143" w:name="_Toc103863066"/>
      <w:bookmarkStart w:id="144" w:name="_Toc103863277"/>
      <w:bookmarkStart w:id="145" w:name="_Toc103865213"/>
      <w:bookmarkStart w:id="146" w:name="_Toc107325710"/>
      <w:bookmarkStart w:id="147" w:name="_Toc107494119"/>
      <w:r>
        <w:rPr>
          <w:rStyle w:val="CharDivNo"/>
        </w:rPr>
        <w:t>Division 3A</w:t>
      </w:r>
      <w:r>
        <w:t> — </w:t>
      </w:r>
      <w:r>
        <w:rPr>
          <w:rStyle w:val="CharDivText"/>
        </w:rPr>
        <w:t>Police officers may make police orders where family violence</w:t>
      </w:r>
      <w:bookmarkEnd w:id="143"/>
      <w:bookmarkEnd w:id="144"/>
      <w:bookmarkEnd w:id="145"/>
      <w:bookmarkEnd w:id="146"/>
      <w:bookmarkEnd w:id="147"/>
    </w:p>
    <w:p>
      <w:pPr>
        <w:pStyle w:val="Footnoteheading"/>
        <w:keepNext/>
        <w:keepLines/>
        <w:tabs>
          <w:tab w:val="left" w:pos="851"/>
        </w:tabs>
      </w:pPr>
      <w:r>
        <w:tab/>
        <w:t>[Heading inserted: No. 38 of 2004 s. 18(1); amended: No. 49 of 2016 s. 34.]</w:t>
      </w:r>
    </w:p>
    <w:p>
      <w:pPr>
        <w:pStyle w:val="Heading5"/>
        <w:spacing w:before="180"/>
      </w:pPr>
      <w:bookmarkStart w:id="148" w:name="_Toc107494120"/>
      <w:r>
        <w:rPr>
          <w:rStyle w:val="CharSectno"/>
        </w:rPr>
        <w:t>30A</w:t>
      </w:r>
      <w:r>
        <w:t>.</w:t>
      </w:r>
      <w:r>
        <w:tab/>
        <w:t>When police order may be made</w:t>
      </w:r>
      <w:bookmarkEnd w:id="148"/>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Next/>
        <w:keepLines/>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lastRenderedPageBreak/>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149" w:name="_Toc107494121"/>
      <w:r>
        <w:rPr>
          <w:rStyle w:val="CharSectno"/>
        </w:rPr>
        <w:t>30B</w:t>
      </w:r>
      <w:r>
        <w:t>.</w:t>
      </w:r>
      <w:r>
        <w:tab/>
        <w:t>Matters to be considered by police officer generally</w:t>
      </w:r>
      <w:bookmarkEnd w:id="149"/>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150" w:name="_Toc107494122"/>
      <w:r>
        <w:rPr>
          <w:rStyle w:val="CharSectno"/>
        </w:rPr>
        <w:lastRenderedPageBreak/>
        <w:t>30C</w:t>
      </w:r>
      <w:r>
        <w:t>.</w:t>
      </w:r>
      <w:r>
        <w:tab/>
        <w:t>Restraints that may be imposed</w:t>
      </w:r>
      <w:bookmarkEnd w:id="150"/>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151" w:name="_Toc107494123"/>
      <w:r>
        <w:rPr>
          <w:rStyle w:val="CharSectno"/>
        </w:rPr>
        <w:lastRenderedPageBreak/>
        <w:t>30D</w:t>
      </w:r>
      <w:r>
        <w:t>.</w:t>
      </w:r>
      <w:r>
        <w:tab/>
        <w:t>Police orders against children</w:t>
      </w:r>
      <w:bookmarkEnd w:id="151"/>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152" w:name="_Toc107494124"/>
      <w:r>
        <w:rPr>
          <w:rStyle w:val="CharSectno"/>
        </w:rPr>
        <w:t>30E</w:t>
      </w:r>
      <w:r>
        <w:t>.</w:t>
      </w:r>
      <w:r>
        <w:tab/>
        <w:t>Police order to be served and explained</w:t>
      </w:r>
      <w:bookmarkEnd w:id="152"/>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 xml:space="preserve">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w:t>
      </w:r>
      <w:r>
        <w:lastRenderedPageBreak/>
        <w:t>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153" w:name="_Toc107494125"/>
      <w:r>
        <w:rPr>
          <w:rStyle w:val="CharSectno"/>
        </w:rPr>
        <w:t>30F</w:t>
      </w:r>
      <w:r>
        <w:t>.</w:t>
      </w:r>
      <w:r>
        <w:tab/>
        <w:t>Duration of police orders</w:t>
      </w:r>
      <w:bookmarkEnd w:id="153"/>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154" w:name="_Toc107494126"/>
      <w:r>
        <w:rPr>
          <w:rStyle w:val="CharSectno"/>
        </w:rPr>
        <w:t>30H</w:t>
      </w:r>
      <w:r>
        <w:t>.</w:t>
      </w:r>
      <w:r>
        <w:tab/>
        <w:t>Order not to be renewed by police officer</w:t>
      </w:r>
      <w:bookmarkEnd w:id="154"/>
    </w:p>
    <w:p>
      <w:pPr>
        <w:pStyle w:val="Subsection"/>
      </w:pPr>
      <w:r>
        <w:tab/>
      </w:r>
      <w:r>
        <w:tab/>
        <w:t>The duration of a police order cannot be extended or renewed and another police order cannot be made in relation to the same facts.</w:t>
      </w:r>
    </w:p>
    <w:p>
      <w:pPr>
        <w:pStyle w:val="Footnotesection"/>
        <w:spacing w:before="100"/>
      </w:pPr>
      <w:r>
        <w:lastRenderedPageBreak/>
        <w:tab/>
        <w:t>[Section 30H inserted: No. 38 of 2004 s. 18(1).]</w:t>
      </w:r>
    </w:p>
    <w:p>
      <w:pPr>
        <w:pStyle w:val="Heading5"/>
      </w:pPr>
      <w:bookmarkStart w:id="155" w:name="_Toc107494127"/>
      <w:r>
        <w:rPr>
          <w:rStyle w:val="CharSectno"/>
        </w:rPr>
        <w:t>30I</w:t>
      </w:r>
      <w:r>
        <w:t>.</w:t>
      </w:r>
      <w:r>
        <w:tab/>
        <w:t>Review of Division</w:t>
      </w:r>
      <w:bookmarkEnd w:id="155"/>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156" w:name="_Toc103863075"/>
      <w:bookmarkStart w:id="157" w:name="_Toc103863286"/>
      <w:bookmarkStart w:id="158" w:name="_Toc103865222"/>
      <w:bookmarkStart w:id="159" w:name="_Toc107325719"/>
      <w:bookmarkStart w:id="160" w:name="_Toc107494128"/>
      <w:r>
        <w:rPr>
          <w:rStyle w:val="CharDivNo"/>
        </w:rPr>
        <w:t>Division 4</w:t>
      </w:r>
      <w:r>
        <w:rPr>
          <w:snapToGrid w:val="0"/>
        </w:rPr>
        <w:t> — </w:t>
      </w:r>
      <w:r>
        <w:rPr>
          <w:rStyle w:val="CharDivText"/>
        </w:rPr>
        <w:t>Procedure when interim order made</w:t>
      </w:r>
      <w:bookmarkEnd w:id="156"/>
      <w:bookmarkEnd w:id="157"/>
      <w:bookmarkEnd w:id="158"/>
      <w:bookmarkEnd w:id="159"/>
      <w:bookmarkEnd w:id="160"/>
      <w:r>
        <w:rPr>
          <w:rStyle w:val="CharDivText"/>
        </w:rPr>
        <w:t xml:space="preserve"> </w:t>
      </w:r>
    </w:p>
    <w:p>
      <w:pPr>
        <w:pStyle w:val="Heading5"/>
      </w:pPr>
      <w:bookmarkStart w:id="161" w:name="_Toc107494129"/>
      <w:r>
        <w:rPr>
          <w:rStyle w:val="CharSectno"/>
        </w:rPr>
        <w:t>31A</w:t>
      </w:r>
      <w:r>
        <w:t>.</w:t>
      </w:r>
      <w:r>
        <w:tab/>
        <w:t>Term used: respondent</w:t>
      </w:r>
      <w:bookmarkEnd w:id="161"/>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162" w:name="_Toc107494130"/>
      <w:r>
        <w:rPr>
          <w:rStyle w:val="CharSectno"/>
        </w:rPr>
        <w:t>31</w:t>
      </w:r>
      <w:r>
        <w:rPr>
          <w:snapToGrid w:val="0"/>
        </w:rPr>
        <w:t>.</w:t>
      </w:r>
      <w:r>
        <w:rPr>
          <w:snapToGrid w:val="0"/>
        </w:rPr>
        <w:tab/>
        <w:t>21 days for respondent to object</w:t>
      </w:r>
      <w:bookmarkEnd w:id="162"/>
      <w:r>
        <w:rPr>
          <w:snapToGrid w:val="0"/>
        </w:rPr>
        <w:t xml:space="preserve"> </w:t>
      </w:r>
    </w:p>
    <w:p>
      <w:pPr>
        <w:pStyle w:val="Subsection"/>
        <w:keepNext/>
        <w:rPr>
          <w:snapToGrid w:val="0"/>
        </w:rPr>
      </w:pPr>
      <w:r>
        <w:rPr>
          <w:snapToGrid w:val="0"/>
        </w:rPr>
        <w:tab/>
      </w:r>
      <w:r>
        <w:rPr>
          <w:snapToGrid w:val="0"/>
        </w:rPr>
        <w:tab/>
        <w:t xml:space="preserve">Within 21 days of being served with an interim order a respondent must complete the respondent’s endorsement copy </w:t>
      </w:r>
      <w:r>
        <w:rPr>
          <w:snapToGrid w:val="0"/>
        </w:rPr>
        <w:lastRenderedPageBreak/>
        <w:t>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163" w:name="_Toc107494131"/>
      <w:r>
        <w:rPr>
          <w:rStyle w:val="CharSectno"/>
        </w:rPr>
        <w:t>32</w:t>
      </w:r>
      <w:r>
        <w:rPr>
          <w:snapToGrid w:val="0"/>
        </w:rPr>
        <w:t>.</w:t>
      </w:r>
      <w:r>
        <w:rPr>
          <w:snapToGrid w:val="0"/>
        </w:rPr>
        <w:tab/>
        <w:t>Respondent does not object to final order being made</w:t>
      </w:r>
      <w:bookmarkEnd w:id="163"/>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lastRenderedPageBreak/>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lastRenderedPageBreak/>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No. 59 of 2004 s. 123; No. 32 of 2011 s. 12.] </w:t>
      </w:r>
    </w:p>
    <w:p>
      <w:pPr>
        <w:pStyle w:val="Heading5"/>
        <w:rPr>
          <w:snapToGrid w:val="0"/>
        </w:rPr>
      </w:pPr>
      <w:bookmarkStart w:id="164" w:name="_Toc107494132"/>
      <w:r>
        <w:rPr>
          <w:rStyle w:val="CharSectno"/>
        </w:rPr>
        <w:t>33</w:t>
      </w:r>
      <w:r>
        <w:rPr>
          <w:snapToGrid w:val="0"/>
        </w:rPr>
        <w:t>.</w:t>
      </w:r>
      <w:r>
        <w:rPr>
          <w:snapToGrid w:val="0"/>
        </w:rPr>
        <w:tab/>
        <w:t>Respondent objects to final order being made</w:t>
      </w:r>
      <w:bookmarkEnd w:id="164"/>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lastRenderedPageBreak/>
        <w:tab/>
        <w:t>(d)</w:t>
      </w:r>
      <w:r>
        <w:rPr>
          <w:snapToGrid w:val="0"/>
        </w:rPr>
        <w:tab/>
        <w:t xml:space="preserve">being in possession of a firearm that the respondent reasonably needs in order to carry on the respondent’s usual </w:t>
      </w:r>
      <w:r>
        <w:t>occupation; or</w:t>
      </w:r>
      <w:r>
        <w:rPr>
          <w:snapToGrid w:val="0"/>
        </w:rPr>
        <w:t xml:space="preserve"> </w:t>
      </w:r>
    </w:p>
    <w:p>
      <w:pPr>
        <w:pStyle w:val="Indenta"/>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pPr>
      <w:r>
        <w:tab/>
        <w:t>(3)</w:t>
      </w:r>
      <w:r>
        <w:tab/>
        <w:t>Subsections (1) and (2) apply subject to the referral of the matter to a conference under Part 5A.</w:t>
      </w:r>
    </w:p>
    <w:p>
      <w:pPr>
        <w:pStyle w:val="Footnotesection"/>
      </w:pPr>
      <w:r>
        <w:tab/>
        <w:t xml:space="preserve">[Section 33 amended: No. 59 of 2004 s. 123; No. 30 of 2020 s. 63.] </w:t>
      </w:r>
    </w:p>
    <w:p>
      <w:pPr>
        <w:pStyle w:val="Heading2"/>
      </w:pPr>
      <w:bookmarkStart w:id="165" w:name="_Toc103863080"/>
      <w:bookmarkStart w:id="166" w:name="_Toc103863291"/>
      <w:bookmarkStart w:id="167" w:name="_Toc103865227"/>
      <w:bookmarkStart w:id="168" w:name="_Toc107325724"/>
      <w:bookmarkStart w:id="169" w:name="_Toc107494133"/>
      <w:r>
        <w:rPr>
          <w:rStyle w:val="CharPartNo"/>
        </w:rPr>
        <w:lastRenderedPageBreak/>
        <w:t>Part 3</w:t>
      </w:r>
      <w:r>
        <w:rPr>
          <w:rStyle w:val="CharDivNo"/>
        </w:rPr>
        <w:t> </w:t>
      </w:r>
      <w:r>
        <w:t>—</w:t>
      </w:r>
      <w:r>
        <w:rPr>
          <w:rStyle w:val="CharDivText"/>
        </w:rPr>
        <w:t> </w:t>
      </w:r>
      <w:r>
        <w:rPr>
          <w:rStyle w:val="CharPartText"/>
        </w:rPr>
        <w:t>Misconduct restraining order</w:t>
      </w:r>
      <w:bookmarkEnd w:id="165"/>
      <w:bookmarkEnd w:id="166"/>
      <w:bookmarkEnd w:id="167"/>
      <w:bookmarkEnd w:id="168"/>
      <w:bookmarkEnd w:id="169"/>
      <w:r>
        <w:rPr>
          <w:rStyle w:val="CharPartText"/>
        </w:rPr>
        <w:t xml:space="preserve"> </w:t>
      </w:r>
    </w:p>
    <w:p>
      <w:pPr>
        <w:pStyle w:val="Heading5"/>
        <w:rPr>
          <w:snapToGrid w:val="0"/>
        </w:rPr>
      </w:pPr>
      <w:bookmarkStart w:id="170" w:name="_Toc107494134"/>
      <w:r>
        <w:rPr>
          <w:rStyle w:val="CharSectno"/>
        </w:rPr>
        <w:t>34</w:t>
      </w:r>
      <w:r>
        <w:rPr>
          <w:snapToGrid w:val="0"/>
        </w:rPr>
        <w:t>.</w:t>
      </w:r>
      <w:r>
        <w:rPr>
          <w:snapToGrid w:val="0"/>
        </w:rPr>
        <w:tab/>
        <w:t>Grounds for misconduct restraining order</w:t>
      </w:r>
      <w:bookmarkEnd w:id="170"/>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w:t>
      </w:r>
    </w:p>
    <w:p>
      <w:pPr>
        <w:pStyle w:val="Heading5"/>
        <w:rPr>
          <w:snapToGrid w:val="0"/>
        </w:rPr>
      </w:pPr>
      <w:bookmarkStart w:id="171" w:name="_Toc107494135"/>
      <w:r>
        <w:rPr>
          <w:rStyle w:val="CharSectno"/>
        </w:rPr>
        <w:t>35</w:t>
      </w:r>
      <w:r>
        <w:rPr>
          <w:snapToGrid w:val="0"/>
        </w:rPr>
        <w:t>.</w:t>
      </w:r>
      <w:r>
        <w:rPr>
          <w:snapToGrid w:val="0"/>
        </w:rPr>
        <w:tab/>
        <w:t>Matters to be considered by court generally</w:t>
      </w:r>
      <w:bookmarkEnd w:id="171"/>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lastRenderedPageBreak/>
        <w:tab/>
        <w:t>(3)</w:t>
      </w:r>
      <w:r>
        <w:rPr>
          <w:snapToGrid w:val="0"/>
        </w:rPr>
        <w:tab/>
        <w:t>A court is to have regard to the matters set out in subsection (1)(a) and (b) or (2)(a) and (b) as being of primary importance.</w:t>
      </w:r>
    </w:p>
    <w:p>
      <w:pPr>
        <w:pStyle w:val="Footnotesection"/>
        <w:ind w:left="890" w:hanging="890"/>
      </w:pPr>
      <w:r>
        <w:tab/>
        <w:t>[Section 35 amended: No. 38 of 2004 s. 19, 54, 55, 56 and 57(5); No. 49 of 2016 s. 41.]</w:t>
      </w:r>
    </w:p>
    <w:p>
      <w:pPr>
        <w:pStyle w:val="Heading5"/>
      </w:pPr>
      <w:bookmarkStart w:id="172" w:name="_Toc107494136"/>
      <w:r>
        <w:rPr>
          <w:rStyle w:val="CharSectno"/>
        </w:rPr>
        <w:t>35A</w:t>
      </w:r>
      <w:r>
        <w:t>.</w:t>
      </w:r>
      <w:r>
        <w:tab/>
        <w:t>MROs not for persons in family relationship</w:t>
      </w:r>
      <w:bookmarkEnd w:id="172"/>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173" w:name="_Toc107494137"/>
      <w:r>
        <w:rPr>
          <w:rStyle w:val="CharSectno"/>
        </w:rPr>
        <w:t>36</w:t>
      </w:r>
      <w:r>
        <w:rPr>
          <w:snapToGrid w:val="0"/>
        </w:rPr>
        <w:t>.</w:t>
      </w:r>
      <w:r>
        <w:rPr>
          <w:snapToGrid w:val="0"/>
        </w:rPr>
        <w:tab/>
        <w:t>Restraints on respondent</w:t>
      </w:r>
      <w:bookmarkEnd w:id="173"/>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lastRenderedPageBreak/>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w:t>
      </w:r>
      <w:r>
        <w:t>licence;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lastRenderedPageBreak/>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 (as those sections apply in relation to firearms and firearms licences).</w:t>
      </w:r>
    </w:p>
    <w:p>
      <w:pPr>
        <w:pStyle w:val="Subsection"/>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Footnotesection"/>
        <w:ind w:left="890" w:hanging="890"/>
      </w:pPr>
      <w:r>
        <w:tab/>
        <w:t>[Section 36 amended: No. 38 of 2004 s. 21, 43(4), 54 and 56; No. 49 of 2016 s. 43; No. 30 of 2020 s. 64.]</w:t>
      </w:r>
    </w:p>
    <w:p>
      <w:pPr>
        <w:pStyle w:val="Heading5"/>
        <w:rPr>
          <w:snapToGrid w:val="0"/>
        </w:rPr>
      </w:pPr>
      <w:bookmarkStart w:id="174" w:name="_Toc107494138"/>
      <w:r>
        <w:rPr>
          <w:rStyle w:val="CharSectno"/>
        </w:rPr>
        <w:t>37</w:t>
      </w:r>
      <w:r>
        <w:rPr>
          <w:snapToGrid w:val="0"/>
        </w:rPr>
        <w:t>.</w:t>
      </w:r>
      <w:r>
        <w:rPr>
          <w:snapToGrid w:val="0"/>
        </w:rPr>
        <w:tab/>
        <w:t>Duration of MRO</w:t>
      </w:r>
      <w:bookmarkEnd w:id="174"/>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175" w:name="_Toc107494139"/>
      <w:r>
        <w:rPr>
          <w:rStyle w:val="CharSectno"/>
        </w:rPr>
        <w:t>38</w:t>
      </w:r>
      <w:r>
        <w:t>.</w:t>
      </w:r>
      <w:r>
        <w:tab/>
        <w:t>Application for MRO</w:t>
      </w:r>
      <w:bookmarkEnd w:id="175"/>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lastRenderedPageBreak/>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176" w:name="_Toc107494140"/>
      <w:r>
        <w:rPr>
          <w:rStyle w:val="CharSectno"/>
        </w:rPr>
        <w:t>39</w:t>
      </w:r>
      <w:r>
        <w:rPr>
          <w:snapToGrid w:val="0"/>
        </w:rPr>
        <w:t>.</w:t>
      </w:r>
      <w:r>
        <w:rPr>
          <w:snapToGrid w:val="0"/>
        </w:rPr>
        <w:tab/>
      </w:r>
      <w:r>
        <w:t xml:space="preserve">Registrar </w:t>
      </w:r>
      <w:r>
        <w:rPr>
          <w:snapToGrid w:val="0"/>
        </w:rPr>
        <w:t>to fix hearing and issue summons</w:t>
      </w:r>
      <w:bookmarkEnd w:id="176"/>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177" w:name="_Toc103863088"/>
      <w:bookmarkStart w:id="178" w:name="_Toc103863299"/>
      <w:bookmarkStart w:id="179" w:name="_Toc103865235"/>
      <w:bookmarkStart w:id="180" w:name="_Toc107325732"/>
      <w:bookmarkStart w:id="181" w:name="_Toc107494141"/>
      <w:r>
        <w:rPr>
          <w:rStyle w:val="CharPartNo"/>
        </w:rPr>
        <w:lastRenderedPageBreak/>
        <w:t>Part 4</w:t>
      </w:r>
      <w:r>
        <w:t> — </w:t>
      </w:r>
      <w:r>
        <w:rPr>
          <w:rStyle w:val="CharPartText"/>
        </w:rPr>
        <w:t>Hearings and evidence</w:t>
      </w:r>
      <w:bookmarkEnd w:id="177"/>
      <w:bookmarkEnd w:id="178"/>
      <w:bookmarkEnd w:id="179"/>
      <w:bookmarkEnd w:id="180"/>
      <w:bookmarkEnd w:id="181"/>
    </w:p>
    <w:p>
      <w:pPr>
        <w:pStyle w:val="Footnoteheading"/>
        <w:tabs>
          <w:tab w:val="left" w:pos="851"/>
        </w:tabs>
      </w:pPr>
      <w:r>
        <w:tab/>
        <w:t>[Heading amended: No. 38 of 2004 s. 22.]</w:t>
      </w:r>
    </w:p>
    <w:p>
      <w:pPr>
        <w:pStyle w:val="Heading3"/>
        <w:rPr>
          <w:snapToGrid w:val="0"/>
        </w:rPr>
      </w:pPr>
      <w:bookmarkStart w:id="182" w:name="_Toc103863089"/>
      <w:bookmarkStart w:id="183" w:name="_Toc103863300"/>
      <w:bookmarkStart w:id="184" w:name="_Toc103865236"/>
      <w:bookmarkStart w:id="185" w:name="_Toc107325733"/>
      <w:bookmarkStart w:id="186" w:name="_Toc107494142"/>
      <w:r>
        <w:rPr>
          <w:rStyle w:val="CharDivNo"/>
        </w:rPr>
        <w:t>Division 1</w:t>
      </w:r>
      <w:r>
        <w:rPr>
          <w:snapToGrid w:val="0"/>
        </w:rPr>
        <w:t> — </w:t>
      </w:r>
      <w:r>
        <w:rPr>
          <w:rStyle w:val="CharDivText"/>
        </w:rPr>
        <w:t>Mention hearings</w:t>
      </w:r>
      <w:bookmarkEnd w:id="182"/>
      <w:bookmarkEnd w:id="183"/>
      <w:bookmarkEnd w:id="184"/>
      <w:bookmarkEnd w:id="185"/>
      <w:bookmarkEnd w:id="186"/>
      <w:r>
        <w:rPr>
          <w:rStyle w:val="CharDivText"/>
        </w:rPr>
        <w:t xml:space="preserve"> </w:t>
      </w:r>
    </w:p>
    <w:p>
      <w:pPr>
        <w:pStyle w:val="Heading5"/>
        <w:spacing w:before="200"/>
        <w:rPr>
          <w:snapToGrid w:val="0"/>
        </w:rPr>
      </w:pPr>
      <w:bookmarkStart w:id="187" w:name="_Toc107494143"/>
      <w:r>
        <w:rPr>
          <w:rStyle w:val="CharSectno"/>
        </w:rPr>
        <w:t>40</w:t>
      </w:r>
      <w:r>
        <w:rPr>
          <w:snapToGrid w:val="0"/>
        </w:rPr>
        <w:t>.</w:t>
      </w:r>
      <w:r>
        <w:rPr>
          <w:snapToGrid w:val="0"/>
        </w:rPr>
        <w:tab/>
        <w:t>Attendance at hearing</w:t>
      </w:r>
      <w:bookmarkEnd w:id="187"/>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188" w:name="_Toc107494144"/>
      <w:r>
        <w:rPr>
          <w:rStyle w:val="CharSectno"/>
        </w:rPr>
        <w:t>41</w:t>
      </w:r>
      <w:r>
        <w:rPr>
          <w:snapToGrid w:val="0"/>
        </w:rPr>
        <w:t>.</w:t>
      </w:r>
      <w:r>
        <w:rPr>
          <w:snapToGrid w:val="0"/>
        </w:rPr>
        <w:tab/>
        <w:t>Consent order or final order hearing to be fixed</w:t>
      </w:r>
      <w:bookmarkEnd w:id="188"/>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w:t>
      </w:r>
      <w:r>
        <w:rPr>
          <w:snapToGrid w:val="0"/>
        </w:rPr>
        <w:lastRenderedPageBreak/>
        <w:t>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189" w:name="_Toc103863092"/>
      <w:bookmarkStart w:id="190" w:name="_Toc103863303"/>
      <w:bookmarkStart w:id="191" w:name="_Toc103865239"/>
      <w:bookmarkStart w:id="192" w:name="_Toc107325736"/>
      <w:bookmarkStart w:id="193" w:name="_Toc107494145"/>
      <w:r>
        <w:rPr>
          <w:rStyle w:val="CharDivNo"/>
        </w:rPr>
        <w:t>Division 2</w:t>
      </w:r>
      <w:r>
        <w:rPr>
          <w:snapToGrid w:val="0"/>
        </w:rPr>
        <w:t> — </w:t>
      </w:r>
      <w:r>
        <w:rPr>
          <w:rStyle w:val="CharDivText"/>
        </w:rPr>
        <w:t>Final order hearings</w:t>
      </w:r>
      <w:bookmarkEnd w:id="189"/>
      <w:bookmarkEnd w:id="190"/>
      <w:bookmarkEnd w:id="191"/>
      <w:bookmarkEnd w:id="192"/>
      <w:bookmarkEnd w:id="193"/>
      <w:r>
        <w:rPr>
          <w:rStyle w:val="CharDivText"/>
        </w:rPr>
        <w:t xml:space="preserve"> </w:t>
      </w:r>
    </w:p>
    <w:p>
      <w:pPr>
        <w:pStyle w:val="Heading5"/>
        <w:rPr>
          <w:snapToGrid w:val="0"/>
        </w:rPr>
      </w:pPr>
      <w:bookmarkStart w:id="194" w:name="_Toc107494146"/>
      <w:r>
        <w:rPr>
          <w:rStyle w:val="CharSectno"/>
        </w:rPr>
        <w:t>42</w:t>
      </w:r>
      <w:r>
        <w:rPr>
          <w:snapToGrid w:val="0"/>
        </w:rPr>
        <w:t>.</w:t>
      </w:r>
      <w:r>
        <w:rPr>
          <w:snapToGrid w:val="0"/>
        </w:rPr>
        <w:tab/>
        <w:t>Attendance at final order hearing</w:t>
      </w:r>
      <w:bookmarkEnd w:id="194"/>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lastRenderedPageBreak/>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195" w:name="_Toc107494147"/>
      <w:r>
        <w:rPr>
          <w:rStyle w:val="CharSectno"/>
        </w:rPr>
        <w:t>43</w:t>
      </w:r>
      <w:r>
        <w:rPr>
          <w:snapToGrid w:val="0"/>
        </w:rPr>
        <w:t>.</w:t>
      </w:r>
      <w:r>
        <w:rPr>
          <w:snapToGrid w:val="0"/>
        </w:rPr>
        <w:tab/>
        <w:t>Making final order</w:t>
      </w:r>
      <w:bookmarkEnd w:id="195"/>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lastRenderedPageBreak/>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196" w:name="_Toc107494148"/>
      <w:r>
        <w:rPr>
          <w:rStyle w:val="CharSectno"/>
        </w:rPr>
        <w:t>43A</w:t>
      </w:r>
      <w:r>
        <w:t>.</w:t>
      </w:r>
      <w:r>
        <w:tab/>
        <w:t>Decision under s. 42 in default of appearance may be set aside</w:t>
      </w:r>
      <w:bookmarkEnd w:id="196"/>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lastRenderedPageBreak/>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w:t>
      </w:r>
      <w:r>
        <w:rPr>
          <w:snapToGrid w:val="0"/>
        </w:rPr>
        <w:lastRenderedPageBreak/>
        <w:t xml:space="preserve">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197" w:name="_Toc107494149"/>
      <w:r>
        <w:rPr>
          <w:rStyle w:val="CharSectno"/>
        </w:rPr>
        <w:t>44</w:t>
      </w:r>
      <w:r>
        <w:rPr>
          <w:snapToGrid w:val="0"/>
        </w:rPr>
        <w:t>.</w:t>
      </w:r>
      <w:r>
        <w:rPr>
          <w:snapToGrid w:val="0"/>
        </w:rPr>
        <w:tab/>
        <w:t>Order to be prepared and served</w:t>
      </w:r>
      <w:bookmarkEnd w:id="197"/>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198" w:name="_Toc103863097"/>
      <w:bookmarkStart w:id="199" w:name="_Toc103863308"/>
      <w:bookmarkStart w:id="200" w:name="_Toc103865244"/>
      <w:bookmarkStart w:id="201" w:name="_Toc107325741"/>
      <w:bookmarkStart w:id="202" w:name="_Toc107494150"/>
      <w:r>
        <w:rPr>
          <w:rStyle w:val="CharDivNo"/>
        </w:rPr>
        <w:lastRenderedPageBreak/>
        <w:t>Division 3</w:t>
      </w:r>
      <w:r>
        <w:t> — </w:t>
      </w:r>
      <w:r>
        <w:rPr>
          <w:rStyle w:val="CharDivText"/>
        </w:rPr>
        <w:t>Evidence</w:t>
      </w:r>
      <w:bookmarkEnd w:id="198"/>
      <w:bookmarkEnd w:id="199"/>
      <w:bookmarkEnd w:id="200"/>
      <w:bookmarkEnd w:id="201"/>
      <w:bookmarkEnd w:id="202"/>
    </w:p>
    <w:p>
      <w:pPr>
        <w:pStyle w:val="Footnoteheading"/>
        <w:keepNext/>
        <w:keepLines/>
        <w:tabs>
          <w:tab w:val="left" w:pos="851"/>
        </w:tabs>
      </w:pPr>
      <w:r>
        <w:tab/>
        <w:t>[Heading inserted: No. 38 of 2004 s. 26.]</w:t>
      </w:r>
    </w:p>
    <w:p>
      <w:pPr>
        <w:pStyle w:val="Heading5"/>
      </w:pPr>
      <w:bookmarkStart w:id="203" w:name="_Toc107494151"/>
      <w:r>
        <w:rPr>
          <w:rStyle w:val="CharSectno"/>
        </w:rPr>
        <w:t>44A</w:t>
      </w:r>
      <w:r>
        <w:t>.</w:t>
      </w:r>
      <w:r>
        <w:tab/>
        <w:t>Rules of evidence not to apply in certain circumstances</w:t>
      </w:r>
      <w:bookmarkEnd w:id="203"/>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204" w:name="_Toc107494152"/>
      <w:r>
        <w:rPr>
          <w:rStyle w:val="CharSectno"/>
        </w:rPr>
        <w:lastRenderedPageBreak/>
        <w:t>44B</w:t>
      </w:r>
      <w:r>
        <w:t>.</w:t>
      </w:r>
      <w:r>
        <w:tab/>
        <w:t>Access to affidavit evidence</w:t>
      </w:r>
      <w:bookmarkEnd w:id="204"/>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205" w:name="_Toc107494153"/>
      <w:r>
        <w:rPr>
          <w:rStyle w:val="CharSectno"/>
        </w:rPr>
        <w:t>44C</w:t>
      </w:r>
      <w:r>
        <w:t>.</w:t>
      </w:r>
      <w:r>
        <w:tab/>
        <w:t>Cross</w:t>
      </w:r>
      <w:r>
        <w:noBreakHyphen/>
        <w:t>examination of certain persons</w:t>
      </w:r>
      <w:bookmarkEnd w:id="205"/>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lastRenderedPageBreak/>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206" w:name="_Toc103863101"/>
      <w:bookmarkStart w:id="207" w:name="_Toc103863312"/>
      <w:bookmarkStart w:id="208" w:name="_Toc103865248"/>
      <w:bookmarkStart w:id="209" w:name="_Toc107325745"/>
      <w:bookmarkStart w:id="210" w:name="_Toc107494154"/>
      <w:r>
        <w:rPr>
          <w:rStyle w:val="CharDivNo"/>
        </w:rPr>
        <w:t>Division 4</w:t>
      </w:r>
      <w:r>
        <w:t> — </w:t>
      </w:r>
      <w:r>
        <w:rPr>
          <w:rStyle w:val="CharDivText"/>
        </w:rPr>
        <w:t>Other provisions to protect applicants</w:t>
      </w:r>
      <w:bookmarkEnd w:id="206"/>
      <w:bookmarkEnd w:id="207"/>
      <w:bookmarkEnd w:id="208"/>
      <w:bookmarkEnd w:id="209"/>
      <w:bookmarkEnd w:id="210"/>
    </w:p>
    <w:p>
      <w:pPr>
        <w:pStyle w:val="Footnoteheading"/>
        <w:keepNext/>
        <w:keepLines/>
        <w:tabs>
          <w:tab w:val="left" w:pos="851"/>
        </w:tabs>
      </w:pPr>
      <w:r>
        <w:tab/>
        <w:t>[Heading inserted: No. 30 of 2020 s. 67.]</w:t>
      </w:r>
    </w:p>
    <w:p>
      <w:pPr>
        <w:pStyle w:val="Heading5"/>
      </w:pPr>
      <w:bookmarkStart w:id="211" w:name="_Toc107494155"/>
      <w:r>
        <w:rPr>
          <w:rStyle w:val="CharSectno"/>
        </w:rPr>
        <w:t>44D</w:t>
      </w:r>
      <w:r>
        <w:t>.</w:t>
      </w:r>
      <w:r>
        <w:tab/>
        <w:t>Support and other persons who may be present</w:t>
      </w:r>
      <w:bookmarkEnd w:id="211"/>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212" w:name="_Toc107494156"/>
      <w:r>
        <w:rPr>
          <w:rStyle w:val="CharSectno"/>
        </w:rPr>
        <w:t>44E</w:t>
      </w:r>
      <w:r>
        <w:t>.</w:t>
      </w:r>
      <w:r>
        <w:tab/>
        <w:t>Use of closed circuit television or screening arrangements</w:t>
      </w:r>
      <w:bookmarkEnd w:id="212"/>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lastRenderedPageBreak/>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Criminal Law (Mentally Impaired Accused) Act 1996</w:t>
      </w:r>
      <w:r>
        <w:t xml:space="preserve"> section 8)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tab/>
        <w:t>(b)</w:t>
      </w:r>
      <w:r>
        <w:tab/>
        <w:t>at any stage of proceedings.</w:t>
      </w:r>
    </w:p>
    <w:p>
      <w:pPr>
        <w:pStyle w:val="Subsection"/>
      </w:pPr>
      <w:r>
        <w:lastRenderedPageBreak/>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w:t>
      </w:r>
    </w:p>
    <w:p>
      <w:pPr>
        <w:pStyle w:val="Heading5"/>
      </w:pPr>
      <w:bookmarkStart w:id="213" w:name="_Toc107494157"/>
      <w:r>
        <w:rPr>
          <w:rStyle w:val="CharSectno"/>
        </w:rPr>
        <w:t>44F</w:t>
      </w:r>
      <w:r>
        <w:t>.</w:t>
      </w:r>
      <w:r>
        <w:tab/>
        <w:t>Additional provisions relating to FVROs</w:t>
      </w:r>
      <w:bookmarkEnd w:id="213"/>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214" w:name="_Toc103863105"/>
      <w:bookmarkStart w:id="215" w:name="_Toc103863316"/>
      <w:bookmarkStart w:id="216" w:name="_Toc103865252"/>
      <w:bookmarkStart w:id="217" w:name="_Toc107325749"/>
      <w:bookmarkStart w:id="218" w:name="_Toc107494158"/>
      <w:r>
        <w:rPr>
          <w:rStyle w:val="CharPartNo"/>
        </w:rPr>
        <w:lastRenderedPageBreak/>
        <w:t>Part 5</w:t>
      </w:r>
      <w:r>
        <w:rPr>
          <w:rStyle w:val="CharDivNo"/>
        </w:rPr>
        <w:t> </w:t>
      </w:r>
      <w:r>
        <w:t>—</w:t>
      </w:r>
      <w:r>
        <w:rPr>
          <w:rStyle w:val="CharDivText"/>
        </w:rPr>
        <w:t> </w:t>
      </w:r>
      <w:r>
        <w:rPr>
          <w:rStyle w:val="CharPartText"/>
        </w:rPr>
        <w:t>Variation or cancellation</w:t>
      </w:r>
      <w:bookmarkEnd w:id="214"/>
      <w:bookmarkEnd w:id="215"/>
      <w:bookmarkEnd w:id="216"/>
      <w:bookmarkEnd w:id="217"/>
      <w:bookmarkEnd w:id="218"/>
    </w:p>
    <w:p>
      <w:pPr>
        <w:pStyle w:val="Heading5"/>
      </w:pPr>
      <w:bookmarkStart w:id="219" w:name="_Toc107494159"/>
      <w:r>
        <w:rPr>
          <w:rStyle w:val="CharSectno"/>
        </w:rPr>
        <w:t>45</w:t>
      </w:r>
      <w:r>
        <w:t>.</w:t>
      </w:r>
      <w:r>
        <w:tab/>
        <w:t>Application</w:t>
      </w:r>
      <w:bookmarkEnd w:id="219"/>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lastRenderedPageBreak/>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220" w:name="_Toc107494160"/>
      <w:r>
        <w:rPr>
          <w:rStyle w:val="CharSectno"/>
        </w:rPr>
        <w:lastRenderedPageBreak/>
        <w:t>45A</w:t>
      </w:r>
      <w:r>
        <w:t>.</w:t>
      </w:r>
      <w:r>
        <w:tab/>
        <w:t>Application by CEO (child welfare)</w:t>
      </w:r>
      <w:bookmarkEnd w:id="220"/>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221" w:name="_Toc107494161"/>
      <w:r>
        <w:rPr>
          <w:rStyle w:val="CharSectno"/>
        </w:rPr>
        <w:t>46</w:t>
      </w:r>
      <w:r>
        <w:rPr>
          <w:snapToGrid w:val="0"/>
        </w:rPr>
        <w:t>.</w:t>
      </w:r>
      <w:r>
        <w:rPr>
          <w:snapToGrid w:val="0"/>
        </w:rPr>
        <w:tab/>
        <w:t>Leave hearing</w:t>
      </w:r>
      <w:bookmarkEnd w:id="221"/>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keepNext/>
        <w:rPr>
          <w:snapToGrid w:val="0"/>
        </w:rPr>
      </w:pPr>
      <w:r>
        <w:rPr>
          <w:snapToGrid w:val="0"/>
        </w:rPr>
        <w:lastRenderedPageBreak/>
        <w:tab/>
        <w:t>(4)</w:t>
      </w:r>
      <w:r>
        <w:rPr>
          <w:snapToGrid w:val="0"/>
        </w:rPr>
        <w:tab/>
        <w:t>Subject to subsection (3), at a hearing fixed under subsection (1) the court — </w:t>
      </w:r>
    </w:p>
    <w:p>
      <w:pPr>
        <w:pStyle w:val="Indenta"/>
        <w:keepNext/>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222" w:name="_Toc107494162"/>
      <w:r>
        <w:rPr>
          <w:rStyle w:val="CharSectno"/>
        </w:rPr>
        <w:t>47</w:t>
      </w:r>
      <w:r>
        <w:rPr>
          <w:snapToGrid w:val="0"/>
        </w:rPr>
        <w:t>.</w:t>
      </w:r>
      <w:r>
        <w:rPr>
          <w:snapToGrid w:val="0"/>
        </w:rPr>
        <w:tab/>
      </w:r>
      <w:r>
        <w:t xml:space="preserve">Registrar </w:t>
      </w:r>
      <w:r>
        <w:rPr>
          <w:snapToGrid w:val="0"/>
        </w:rPr>
        <w:t>to issue summons</w:t>
      </w:r>
      <w:bookmarkEnd w:id="222"/>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lastRenderedPageBreak/>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223" w:name="_Toc107494163"/>
      <w:r>
        <w:rPr>
          <w:rStyle w:val="CharSectno"/>
        </w:rPr>
        <w:t>48</w:t>
      </w:r>
      <w:r>
        <w:rPr>
          <w:snapToGrid w:val="0"/>
        </w:rPr>
        <w:t>.</w:t>
      </w:r>
      <w:r>
        <w:rPr>
          <w:snapToGrid w:val="0"/>
        </w:rPr>
        <w:tab/>
        <w:t>Attendance at hearing</w:t>
      </w:r>
      <w:bookmarkEnd w:id="223"/>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lastRenderedPageBreak/>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224" w:name="_Toc107494164"/>
      <w:r>
        <w:rPr>
          <w:rStyle w:val="CharSectno"/>
        </w:rPr>
        <w:t>48A</w:t>
      </w:r>
      <w:r>
        <w:t>.</w:t>
      </w:r>
      <w:r>
        <w:tab/>
        <w:t>Ex parte application to cancel order by person protected by order</w:t>
      </w:r>
      <w:bookmarkEnd w:id="224"/>
    </w:p>
    <w:p>
      <w:pPr>
        <w:pStyle w:val="Subsection"/>
      </w:pPr>
      <w:r>
        <w:tab/>
        <w:t>(1)</w:t>
      </w:r>
      <w:r>
        <w:tab/>
        <w:t xml:space="preserve">In an application to cancel a restraining order made under section 45(1)(a) the applicant may indicate that he or she wishes </w:t>
      </w:r>
      <w:r>
        <w:lastRenderedPageBreak/>
        <w:t>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225" w:name="_Toc107494165"/>
      <w:r>
        <w:rPr>
          <w:rStyle w:val="CharSectno"/>
        </w:rPr>
        <w:t>49</w:t>
      </w:r>
      <w:r>
        <w:rPr>
          <w:snapToGrid w:val="0"/>
        </w:rPr>
        <w:t>.</w:t>
      </w:r>
      <w:r>
        <w:rPr>
          <w:snapToGrid w:val="0"/>
        </w:rPr>
        <w:tab/>
        <w:t>Variation or cancellation</w:t>
      </w:r>
      <w:bookmarkEnd w:id="225"/>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lastRenderedPageBreak/>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226" w:name="_Toc107494166"/>
      <w:r>
        <w:rPr>
          <w:rStyle w:val="CharSectno"/>
        </w:rPr>
        <w:t>49A</w:t>
      </w:r>
      <w:r>
        <w:t>.</w:t>
      </w:r>
      <w:r>
        <w:tab/>
        <w:t>Correcting minor errors in restraining orders</w:t>
      </w:r>
      <w:bookmarkEnd w:id="226"/>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227" w:name="_Toc107494167"/>
      <w:r>
        <w:rPr>
          <w:rStyle w:val="CharSectno"/>
        </w:rPr>
        <w:lastRenderedPageBreak/>
        <w:t>49B</w:t>
      </w:r>
      <w:r>
        <w:t>.</w:t>
      </w:r>
      <w:r>
        <w:tab/>
        <w:t>Matters to be considered by court generally</w:t>
      </w:r>
      <w:bookmarkEnd w:id="227"/>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228" w:name="_Toc107494168"/>
      <w:r>
        <w:rPr>
          <w:rStyle w:val="CharSectno"/>
        </w:rPr>
        <w:t>49C</w:t>
      </w:r>
      <w:r>
        <w:t>.</w:t>
      </w:r>
      <w:r>
        <w:tab/>
        <w:t>Variation of application to allow a different order to be sought</w:t>
      </w:r>
      <w:bookmarkEnd w:id="228"/>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229" w:name="_Toc103863116"/>
      <w:bookmarkStart w:id="230" w:name="_Toc103863327"/>
      <w:bookmarkStart w:id="231" w:name="_Toc103865263"/>
      <w:bookmarkStart w:id="232" w:name="_Toc107325760"/>
      <w:bookmarkStart w:id="233" w:name="_Toc107494169"/>
      <w:r>
        <w:rPr>
          <w:rStyle w:val="CharPartNo"/>
        </w:rPr>
        <w:lastRenderedPageBreak/>
        <w:t>Part 5A</w:t>
      </w:r>
      <w:r>
        <w:rPr>
          <w:rStyle w:val="CharDivNo"/>
        </w:rPr>
        <w:t> </w:t>
      </w:r>
      <w:r>
        <w:t>—</w:t>
      </w:r>
      <w:r>
        <w:rPr>
          <w:rStyle w:val="CharDivText"/>
        </w:rPr>
        <w:t> </w:t>
      </w:r>
      <w:r>
        <w:rPr>
          <w:rStyle w:val="CharPartText"/>
        </w:rPr>
        <w:t>Conferences</w:t>
      </w:r>
      <w:bookmarkEnd w:id="229"/>
      <w:bookmarkEnd w:id="230"/>
      <w:bookmarkEnd w:id="231"/>
      <w:bookmarkEnd w:id="232"/>
      <w:bookmarkEnd w:id="233"/>
    </w:p>
    <w:p>
      <w:pPr>
        <w:pStyle w:val="Footnoteheading"/>
        <w:tabs>
          <w:tab w:val="left" w:pos="851"/>
        </w:tabs>
        <w:spacing w:before="100"/>
      </w:pPr>
      <w:r>
        <w:tab/>
        <w:t>[Heading inserted: No. 30 of 2020 s. 72.]</w:t>
      </w:r>
    </w:p>
    <w:p>
      <w:pPr>
        <w:pStyle w:val="Heading5"/>
      </w:pPr>
      <w:bookmarkStart w:id="234" w:name="_Toc107494170"/>
      <w:r>
        <w:rPr>
          <w:rStyle w:val="CharSectno"/>
        </w:rPr>
        <w:t>49D</w:t>
      </w:r>
      <w:r>
        <w:t>.</w:t>
      </w:r>
      <w:r>
        <w:tab/>
        <w:t>Special conference procedures</w:t>
      </w:r>
      <w:bookmarkEnd w:id="234"/>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lastRenderedPageBreak/>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pPr>
      <w:r>
        <w:tab/>
        <w:t>(7)</w:t>
      </w:r>
      <w:r>
        <w:tab/>
        <w:t xml:space="preserve">The registrar conducting a conference must, before making an order that gives effect to an agreement proposed or reached at </w:t>
      </w:r>
      <w:r>
        <w:lastRenderedPageBreak/>
        <w:t>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235" w:name="_Toc103863118"/>
      <w:bookmarkStart w:id="236" w:name="_Toc103863329"/>
      <w:bookmarkStart w:id="237" w:name="_Toc103865265"/>
      <w:bookmarkStart w:id="238" w:name="_Toc107325762"/>
      <w:bookmarkStart w:id="239" w:name="_Toc107494171"/>
      <w:r>
        <w:rPr>
          <w:rStyle w:val="CharPartNo"/>
        </w:rPr>
        <w:lastRenderedPageBreak/>
        <w:t>Part 6</w:t>
      </w:r>
      <w:r>
        <w:t> — </w:t>
      </w:r>
      <w:r>
        <w:rPr>
          <w:rStyle w:val="CharPartText"/>
        </w:rPr>
        <w:t>General</w:t>
      </w:r>
      <w:bookmarkEnd w:id="235"/>
      <w:bookmarkEnd w:id="236"/>
      <w:bookmarkEnd w:id="237"/>
      <w:bookmarkEnd w:id="238"/>
      <w:bookmarkEnd w:id="239"/>
      <w:r>
        <w:rPr>
          <w:rStyle w:val="CharPartText"/>
        </w:rPr>
        <w:t xml:space="preserve"> </w:t>
      </w:r>
    </w:p>
    <w:p>
      <w:pPr>
        <w:pStyle w:val="Heading3"/>
      </w:pPr>
      <w:bookmarkStart w:id="240" w:name="_Toc103863119"/>
      <w:bookmarkStart w:id="241" w:name="_Toc103863330"/>
      <w:bookmarkStart w:id="242" w:name="_Toc103865266"/>
      <w:bookmarkStart w:id="243" w:name="_Toc107325763"/>
      <w:bookmarkStart w:id="244" w:name="_Toc107494172"/>
      <w:r>
        <w:rPr>
          <w:rStyle w:val="CharDivNo"/>
        </w:rPr>
        <w:t>Division 1</w:t>
      </w:r>
      <w:r>
        <w:t> — </w:t>
      </w:r>
      <w:r>
        <w:rPr>
          <w:rStyle w:val="CharDivText"/>
        </w:rPr>
        <w:t>Children</w:t>
      </w:r>
      <w:bookmarkEnd w:id="240"/>
      <w:bookmarkEnd w:id="241"/>
      <w:bookmarkEnd w:id="242"/>
      <w:bookmarkEnd w:id="243"/>
      <w:bookmarkEnd w:id="244"/>
    </w:p>
    <w:p>
      <w:pPr>
        <w:pStyle w:val="Footnoteheading"/>
        <w:tabs>
          <w:tab w:val="left" w:pos="851"/>
        </w:tabs>
        <w:spacing w:before="100"/>
      </w:pPr>
      <w:r>
        <w:tab/>
        <w:t>[Heading inserted: No. 38 of 2004 s. 35.]</w:t>
      </w:r>
    </w:p>
    <w:p>
      <w:pPr>
        <w:pStyle w:val="Heading5"/>
        <w:rPr>
          <w:snapToGrid w:val="0"/>
        </w:rPr>
      </w:pPr>
      <w:bookmarkStart w:id="245" w:name="_Toc107494173"/>
      <w:r>
        <w:rPr>
          <w:rStyle w:val="CharSectno"/>
        </w:rPr>
        <w:t>50</w:t>
      </w:r>
      <w:r>
        <w:rPr>
          <w:snapToGrid w:val="0"/>
        </w:rPr>
        <w:t>.</w:t>
      </w:r>
      <w:r>
        <w:rPr>
          <w:snapToGrid w:val="0"/>
        </w:rPr>
        <w:tab/>
        <w:t>No restraining orders against children under 10</w:t>
      </w:r>
      <w:bookmarkEnd w:id="245"/>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246" w:name="_Toc107494174"/>
      <w:r>
        <w:rPr>
          <w:rStyle w:val="CharSectno"/>
        </w:rPr>
        <w:t>50A</w:t>
      </w:r>
      <w:r>
        <w:t>.</w:t>
      </w:r>
      <w:r>
        <w:tab/>
        <w:t>Restraining order against child not to exceed 6 months</w:t>
      </w:r>
      <w:bookmarkEnd w:id="246"/>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247" w:name="_Toc107494175"/>
      <w:r>
        <w:rPr>
          <w:rStyle w:val="CharSectno"/>
        </w:rPr>
        <w:t>50B</w:t>
      </w:r>
      <w:r>
        <w:t>.</w:t>
      </w:r>
      <w:r>
        <w:tab/>
        <w:t>Child welfare laws not affected</w:t>
      </w:r>
      <w:bookmarkEnd w:id="247"/>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lastRenderedPageBreak/>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248" w:name="_Toc107494176"/>
      <w:r>
        <w:rPr>
          <w:rStyle w:val="CharSectno"/>
        </w:rPr>
        <w:t>50C</w:t>
      </w:r>
      <w:r>
        <w:t>.</w:t>
      </w:r>
      <w:r>
        <w:tab/>
        <w:t>CEO (child welfare) to be notified before certain FVROs or VROs are made</w:t>
      </w:r>
      <w:bookmarkEnd w:id="248"/>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249" w:name="_Toc107494177"/>
      <w:r>
        <w:rPr>
          <w:rStyle w:val="CharSectno"/>
        </w:rPr>
        <w:lastRenderedPageBreak/>
        <w:t>50D</w:t>
      </w:r>
      <w:r>
        <w:t>.</w:t>
      </w:r>
      <w:r>
        <w:tab/>
        <w:t>Intervention by CEO (child welfare)</w:t>
      </w:r>
      <w:bookmarkEnd w:id="249"/>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250" w:name="_Toc107494178"/>
      <w:r>
        <w:rPr>
          <w:rStyle w:val="CharSectno"/>
        </w:rPr>
        <w:t>51</w:t>
      </w:r>
      <w:r>
        <w:rPr>
          <w:snapToGrid w:val="0"/>
        </w:rPr>
        <w:t>.</w:t>
      </w:r>
      <w:r>
        <w:rPr>
          <w:snapToGrid w:val="0"/>
        </w:rPr>
        <w:tab/>
        <w:t>Responsible adult to attend</w:t>
      </w:r>
      <w:bookmarkEnd w:id="250"/>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251" w:name="_Toc107494179"/>
      <w:r>
        <w:rPr>
          <w:rStyle w:val="CharSectno"/>
        </w:rPr>
        <w:t>52</w:t>
      </w:r>
      <w:r>
        <w:rPr>
          <w:snapToGrid w:val="0"/>
        </w:rPr>
        <w:t>.</w:t>
      </w:r>
      <w:r>
        <w:rPr>
          <w:snapToGrid w:val="0"/>
        </w:rPr>
        <w:tab/>
        <w:t>Transfer between courts</w:t>
      </w:r>
      <w:bookmarkEnd w:id="251"/>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lastRenderedPageBreak/>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252" w:name="_Toc107494180"/>
      <w:r>
        <w:rPr>
          <w:rStyle w:val="CharSectno"/>
        </w:rPr>
        <w:t>53</w:t>
      </w:r>
      <w:r>
        <w:rPr>
          <w:snapToGrid w:val="0"/>
        </w:rPr>
        <w:t>.</w:t>
      </w:r>
      <w:r>
        <w:rPr>
          <w:snapToGrid w:val="0"/>
        </w:rPr>
        <w:tab/>
        <w:t>Telephone order made against child</w:t>
      </w:r>
      <w:bookmarkEnd w:id="252"/>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253" w:name="_Toc107494181"/>
      <w:r>
        <w:rPr>
          <w:rStyle w:val="CharSectno"/>
        </w:rPr>
        <w:lastRenderedPageBreak/>
        <w:t>53A</w:t>
      </w:r>
      <w:r>
        <w:t>.</w:t>
      </w:r>
      <w:r>
        <w:tab/>
        <w:t>Children not to give oral evidence without leave of court, other than in Children’s Court</w:t>
      </w:r>
      <w:bookmarkEnd w:id="253"/>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254" w:name="_Toc107494182"/>
      <w:r>
        <w:rPr>
          <w:rStyle w:val="CharSectno"/>
        </w:rPr>
        <w:t>53B</w:t>
      </w:r>
      <w:r>
        <w:t>.</w:t>
      </w:r>
      <w:r>
        <w:tab/>
        <w:t>Evidence of children</w:t>
      </w:r>
      <w:bookmarkEnd w:id="254"/>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255" w:name="_Toc107494183"/>
      <w:r>
        <w:rPr>
          <w:rStyle w:val="CharSectno"/>
        </w:rPr>
        <w:lastRenderedPageBreak/>
        <w:t>53C</w:t>
      </w:r>
      <w:r>
        <w:t>.</w:t>
      </w:r>
      <w:r>
        <w:tab/>
        <w:t>Child who gives evidence entitled to support</w:t>
      </w:r>
      <w:bookmarkEnd w:id="255"/>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256" w:name="_Toc107494184"/>
      <w:r>
        <w:rPr>
          <w:rStyle w:val="CharSectno"/>
        </w:rPr>
        <w:t>53D</w:t>
      </w:r>
      <w:r>
        <w:t>.</w:t>
      </w:r>
      <w:r>
        <w:tab/>
        <w:t>Cross</w:t>
      </w:r>
      <w:r>
        <w:noBreakHyphen/>
        <w:t>examination of child by unrepresented person</w:t>
      </w:r>
      <w:bookmarkEnd w:id="256"/>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257" w:name="_Toc107494185"/>
      <w:r>
        <w:rPr>
          <w:rStyle w:val="CharSectno"/>
        </w:rPr>
        <w:t>53E</w:t>
      </w:r>
      <w:r>
        <w:t>.</w:t>
      </w:r>
      <w:r>
        <w:tab/>
        <w:t>Admissibility of evidence of representations made by children</w:t>
      </w:r>
      <w:bookmarkEnd w:id="257"/>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lastRenderedPageBreak/>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258" w:name="_Toc107494186"/>
      <w:r>
        <w:rPr>
          <w:rStyle w:val="CharSectno"/>
        </w:rPr>
        <w:t>53F</w:t>
      </w:r>
      <w:r>
        <w:t>.</w:t>
      </w:r>
      <w:r>
        <w:tab/>
        <w:t>Summonsing of children</w:t>
      </w:r>
      <w:bookmarkEnd w:id="258"/>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259" w:name="_Toc107494187"/>
      <w:r>
        <w:rPr>
          <w:rStyle w:val="CharSectno"/>
        </w:rPr>
        <w:t>53G</w:t>
      </w:r>
      <w:r>
        <w:t>.</w:t>
      </w:r>
      <w:r>
        <w:tab/>
        <w:t>Arrangements for care and wellbeing of children bound by restraining orders</w:t>
      </w:r>
      <w:bookmarkEnd w:id="259"/>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260" w:name="_Toc103863135"/>
      <w:bookmarkStart w:id="261" w:name="_Toc103863346"/>
      <w:bookmarkStart w:id="262" w:name="_Toc103865282"/>
      <w:bookmarkStart w:id="263" w:name="_Toc107325779"/>
      <w:bookmarkStart w:id="264" w:name="_Toc107494188"/>
      <w:r>
        <w:rPr>
          <w:rStyle w:val="CharDivNo"/>
        </w:rPr>
        <w:lastRenderedPageBreak/>
        <w:t>Division 2</w:t>
      </w:r>
      <w:r>
        <w:rPr>
          <w:snapToGrid w:val="0"/>
        </w:rPr>
        <w:t> — </w:t>
      </w:r>
      <w:r>
        <w:rPr>
          <w:rStyle w:val="CharDivText"/>
        </w:rPr>
        <w:t>Service</w:t>
      </w:r>
      <w:bookmarkEnd w:id="260"/>
      <w:bookmarkEnd w:id="261"/>
      <w:bookmarkEnd w:id="262"/>
      <w:bookmarkEnd w:id="263"/>
      <w:bookmarkEnd w:id="264"/>
      <w:r>
        <w:rPr>
          <w:rStyle w:val="CharDivText"/>
        </w:rPr>
        <w:t xml:space="preserve"> </w:t>
      </w:r>
    </w:p>
    <w:p>
      <w:pPr>
        <w:pStyle w:val="Heading5"/>
        <w:rPr>
          <w:snapToGrid w:val="0"/>
        </w:rPr>
      </w:pPr>
      <w:bookmarkStart w:id="265" w:name="_Toc107494189"/>
      <w:r>
        <w:rPr>
          <w:rStyle w:val="CharSectno"/>
        </w:rPr>
        <w:t>54</w:t>
      </w:r>
      <w:r>
        <w:rPr>
          <w:snapToGrid w:val="0"/>
        </w:rPr>
        <w:t>.</w:t>
      </w:r>
      <w:r>
        <w:rPr>
          <w:snapToGrid w:val="0"/>
        </w:rPr>
        <w:tab/>
        <w:t>Service of summons</w:t>
      </w:r>
      <w:bookmarkEnd w:id="265"/>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266" w:name="_Toc107494190"/>
      <w:r>
        <w:rPr>
          <w:rStyle w:val="CharSectno"/>
        </w:rPr>
        <w:t>55</w:t>
      </w:r>
      <w:r>
        <w:rPr>
          <w:snapToGrid w:val="0"/>
        </w:rPr>
        <w:t>.</w:t>
      </w:r>
      <w:r>
        <w:rPr>
          <w:snapToGrid w:val="0"/>
        </w:rPr>
        <w:tab/>
        <w:t>Service of restraining order</w:t>
      </w:r>
      <w:bookmarkEnd w:id="266"/>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lastRenderedPageBreak/>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lastRenderedPageBreak/>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267" w:name="_Toc107494191"/>
      <w:r>
        <w:rPr>
          <w:rStyle w:val="CharSectno"/>
        </w:rPr>
        <w:t>56</w:t>
      </w:r>
      <w:r>
        <w:rPr>
          <w:snapToGrid w:val="0"/>
        </w:rPr>
        <w:t>.</w:t>
      </w:r>
      <w:r>
        <w:rPr>
          <w:snapToGrid w:val="0"/>
        </w:rPr>
        <w:tab/>
        <w:t>Delivery or notification</w:t>
      </w:r>
      <w:bookmarkEnd w:id="267"/>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268" w:name="_Toc107494192"/>
      <w:r>
        <w:rPr>
          <w:rStyle w:val="CharSectno"/>
        </w:rPr>
        <w:t>57</w:t>
      </w:r>
      <w:r>
        <w:rPr>
          <w:snapToGrid w:val="0"/>
        </w:rPr>
        <w:t>.</w:t>
      </w:r>
      <w:r>
        <w:rPr>
          <w:snapToGrid w:val="0"/>
        </w:rPr>
        <w:tab/>
        <w:t>Copy of document sufficient for service</w:t>
      </w:r>
      <w:bookmarkEnd w:id="268"/>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269" w:name="_Toc107494193"/>
      <w:r>
        <w:rPr>
          <w:rStyle w:val="CharSectno"/>
        </w:rPr>
        <w:lastRenderedPageBreak/>
        <w:t>58</w:t>
      </w:r>
      <w:r>
        <w:rPr>
          <w:snapToGrid w:val="0"/>
        </w:rPr>
        <w:t>.</w:t>
      </w:r>
      <w:r>
        <w:rPr>
          <w:snapToGrid w:val="0"/>
        </w:rPr>
        <w:tab/>
        <w:t>Proof of service</w:t>
      </w:r>
      <w:bookmarkEnd w:id="269"/>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270" w:name="_Toc107494194"/>
      <w:r>
        <w:rPr>
          <w:rStyle w:val="CharSectno"/>
        </w:rPr>
        <w:lastRenderedPageBreak/>
        <w:t>59</w:t>
      </w:r>
      <w:r>
        <w:t>.</w:t>
      </w:r>
      <w:r>
        <w:tab/>
        <w:t>Service of restraining order, certain people to be notified of</w:t>
      </w:r>
      <w:bookmarkEnd w:id="270"/>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271" w:name="_Toc107494195"/>
      <w:r>
        <w:rPr>
          <w:rStyle w:val="CharSectno"/>
        </w:rPr>
        <w:t>60</w:t>
      </w:r>
      <w:r>
        <w:rPr>
          <w:snapToGrid w:val="0"/>
        </w:rPr>
        <w:t>.</w:t>
      </w:r>
      <w:r>
        <w:rPr>
          <w:snapToGrid w:val="0"/>
        </w:rPr>
        <w:tab/>
        <w:t>Substituted service</w:t>
      </w:r>
      <w:bookmarkEnd w:id="271"/>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lastRenderedPageBreak/>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272" w:name="_Toc103863143"/>
      <w:bookmarkStart w:id="273" w:name="_Toc103863354"/>
      <w:bookmarkStart w:id="274" w:name="_Toc103865290"/>
      <w:bookmarkStart w:id="275" w:name="_Toc107325787"/>
      <w:bookmarkStart w:id="276" w:name="_Toc107494196"/>
      <w:r>
        <w:rPr>
          <w:rStyle w:val="CharDivNo"/>
        </w:rPr>
        <w:lastRenderedPageBreak/>
        <w:t>Division 3</w:t>
      </w:r>
      <w:r>
        <w:rPr>
          <w:snapToGrid w:val="0"/>
        </w:rPr>
        <w:t> — </w:t>
      </w:r>
      <w:r>
        <w:rPr>
          <w:rStyle w:val="CharDivText"/>
        </w:rPr>
        <w:t>Breach of restraining order or police order</w:t>
      </w:r>
      <w:bookmarkEnd w:id="272"/>
      <w:bookmarkEnd w:id="273"/>
      <w:bookmarkEnd w:id="274"/>
      <w:bookmarkEnd w:id="275"/>
      <w:bookmarkEnd w:id="276"/>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277" w:name="_Toc107494197"/>
      <w:r>
        <w:rPr>
          <w:rStyle w:val="CharSectno"/>
        </w:rPr>
        <w:t>61</w:t>
      </w:r>
      <w:r>
        <w:rPr>
          <w:snapToGrid w:val="0"/>
        </w:rPr>
        <w:t>.</w:t>
      </w:r>
      <w:r>
        <w:rPr>
          <w:snapToGrid w:val="0"/>
        </w:rPr>
        <w:tab/>
        <w:t>Breach of restraining order</w:t>
      </w:r>
      <w:bookmarkEnd w:id="277"/>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keepNext/>
        <w:spacing w:before="140"/>
      </w:pPr>
      <w:r>
        <w:lastRenderedPageBreak/>
        <w:tab/>
        <w:t>(5)</w:t>
      </w:r>
      <w:r>
        <w:tab/>
        <w:t>For the avoidance of doubt, subsection (4) does not affect the discretion of a court to decide whether or not any factor is an aggravating factor for the purposes of any offence.</w:t>
      </w:r>
    </w:p>
    <w:p>
      <w:pPr>
        <w:pStyle w:val="Subsection"/>
      </w:pPr>
      <w:r>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278" w:name="_Toc107494198"/>
      <w:r>
        <w:rPr>
          <w:rStyle w:val="CharSectno"/>
        </w:rPr>
        <w:t>61A</w:t>
      </w:r>
      <w:r>
        <w:t>.</w:t>
      </w:r>
      <w:r>
        <w:tab/>
        <w:t>Penalty for repeated breach of restraining order</w:t>
      </w:r>
      <w:bookmarkEnd w:id="278"/>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xml:space="preserve">) within the period of 2 years before </w:t>
      </w:r>
      <w:r>
        <w:lastRenderedPageBreak/>
        <w:t>the person’s conviction of the qualifying relevant offence.</w:t>
      </w:r>
    </w:p>
    <w:p>
      <w:pPr>
        <w:pStyle w:val="Subsection"/>
      </w:pPr>
      <w:r>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lastRenderedPageBreak/>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279" w:name="_Toc107494199"/>
      <w:r>
        <w:rPr>
          <w:rStyle w:val="CharSectno"/>
        </w:rPr>
        <w:t>61B</w:t>
      </w:r>
      <w:r>
        <w:t>.</w:t>
      </w:r>
      <w:r>
        <w:tab/>
        <w:t>Protected person aiding breach of restraining order or police order</w:t>
      </w:r>
      <w:bookmarkEnd w:id="279"/>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pPr>
      <w:r>
        <w:lastRenderedPageBreak/>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280" w:name="_Toc107494200"/>
      <w:r>
        <w:rPr>
          <w:rStyle w:val="CharSectno"/>
        </w:rPr>
        <w:t>61C</w:t>
      </w:r>
      <w:r>
        <w:t>.</w:t>
      </w:r>
      <w:r>
        <w:tab/>
        <w:t>Report under s. 10V to be considered in sentencing for breach of FVRO</w:t>
      </w:r>
      <w:bookmarkEnd w:id="280"/>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281" w:name="_Toc107494201"/>
      <w:r>
        <w:rPr>
          <w:rStyle w:val="CharSectno"/>
        </w:rPr>
        <w:t>62</w:t>
      </w:r>
      <w:r>
        <w:t>.</w:t>
      </w:r>
      <w:r>
        <w:tab/>
        <w:t>Defence</w:t>
      </w:r>
      <w:bookmarkEnd w:id="281"/>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lastRenderedPageBreak/>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282" w:name="_Toc103863149"/>
      <w:bookmarkStart w:id="283" w:name="_Toc103863360"/>
      <w:bookmarkStart w:id="284" w:name="_Toc103865296"/>
      <w:bookmarkStart w:id="285" w:name="_Toc107325793"/>
      <w:bookmarkStart w:id="286" w:name="_Toc107494202"/>
      <w:r>
        <w:rPr>
          <w:rStyle w:val="CharDivNo"/>
        </w:rPr>
        <w:t>Division 3A</w:t>
      </w:r>
      <w:r>
        <w:t> — </w:t>
      </w:r>
      <w:r>
        <w:rPr>
          <w:rStyle w:val="CharDivText"/>
        </w:rPr>
        <w:t>Police functions</w:t>
      </w:r>
      <w:bookmarkEnd w:id="282"/>
      <w:bookmarkEnd w:id="283"/>
      <w:bookmarkEnd w:id="284"/>
      <w:bookmarkEnd w:id="285"/>
      <w:bookmarkEnd w:id="286"/>
    </w:p>
    <w:p>
      <w:pPr>
        <w:pStyle w:val="Footnoteheading"/>
        <w:tabs>
          <w:tab w:val="left" w:pos="851"/>
        </w:tabs>
      </w:pPr>
      <w:r>
        <w:tab/>
        <w:t>[Heading inserted: No. 38 of 2004 s. 43(1).]</w:t>
      </w:r>
    </w:p>
    <w:p>
      <w:pPr>
        <w:pStyle w:val="Heading5"/>
      </w:pPr>
      <w:bookmarkStart w:id="287" w:name="_Toc107494203"/>
      <w:r>
        <w:rPr>
          <w:rStyle w:val="CharSectno"/>
        </w:rPr>
        <w:t>62A</w:t>
      </w:r>
      <w:r>
        <w:t>.</w:t>
      </w:r>
      <w:r>
        <w:tab/>
        <w:t>Investigation of suspected family violence</w:t>
      </w:r>
      <w:bookmarkEnd w:id="287"/>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288" w:name="_Toc107494204"/>
      <w:r>
        <w:rPr>
          <w:rStyle w:val="CharSectno"/>
        </w:rPr>
        <w:lastRenderedPageBreak/>
        <w:t>62B</w:t>
      </w:r>
      <w:r>
        <w:t>.</w:t>
      </w:r>
      <w:r>
        <w:tab/>
        <w:t>Entry and search of premises if family violence suspected</w:t>
      </w:r>
      <w:bookmarkEnd w:id="288"/>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lastRenderedPageBreak/>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289" w:name="_Toc107494205"/>
      <w:r>
        <w:rPr>
          <w:rStyle w:val="CharSectno"/>
        </w:rPr>
        <w:t>62C</w:t>
      </w:r>
      <w:r>
        <w:t>.</w:t>
      </w:r>
      <w:r>
        <w:tab/>
        <w:t>Action to be taken by police officer after investigating suspected family violence</w:t>
      </w:r>
      <w:bookmarkEnd w:id="289"/>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lastRenderedPageBreak/>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290" w:name="_Toc107494206"/>
      <w:r>
        <w:rPr>
          <w:rStyle w:val="CharSectno"/>
        </w:rPr>
        <w:t>62D</w:t>
      </w:r>
      <w:r>
        <w:t>.</w:t>
      </w:r>
      <w:r>
        <w:tab/>
        <w:t>Approval of senior officer</w:t>
      </w:r>
      <w:bookmarkEnd w:id="290"/>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lastRenderedPageBreak/>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291" w:name="_Toc107494207"/>
      <w:r>
        <w:rPr>
          <w:rStyle w:val="CharSectno"/>
        </w:rPr>
        <w:t>62E</w:t>
      </w:r>
      <w:r>
        <w:t>.</w:t>
      </w:r>
      <w:r>
        <w:tab/>
        <w:t>Seizure of firearms and explosives</w:t>
      </w:r>
      <w:bookmarkEnd w:id="291"/>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Indenta"/>
      </w:pPr>
      <w:r>
        <w:tab/>
        <w:t>(a)</w:t>
      </w:r>
      <w:r>
        <w:tab/>
        <w:t xml:space="preserve">enter a place where any explosives that are, or are reasonably suspected to be, in the possession of the person are reasonably suspected to be, and search for and seize the explosives; or </w:t>
      </w:r>
    </w:p>
    <w:p>
      <w:pPr>
        <w:pStyle w:val="Indenta"/>
      </w:pPr>
      <w:r>
        <w:lastRenderedPageBreak/>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pPr>
      <w:r>
        <w:tab/>
        <w:t>(2)</w:t>
      </w:r>
      <w:r>
        <w:tab/>
        <w:t>A firearm or firearms licence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76.]</w:t>
      </w:r>
    </w:p>
    <w:p>
      <w:pPr>
        <w:pStyle w:val="Footnotesection"/>
      </w:pPr>
      <w:r>
        <w:tab/>
        <w:t>[Section 62E. Modifications to be applied in order to give effect to Cross-border Justice Act 2008: section altered 1 Nov 2009. See endnote 1M.]</w:t>
      </w:r>
    </w:p>
    <w:p>
      <w:pPr>
        <w:pStyle w:val="Heading5"/>
      </w:pPr>
      <w:bookmarkStart w:id="292" w:name="_Toc107494208"/>
      <w:r>
        <w:rPr>
          <w:rStyle w:val="CharSectno"/>
        </w:rPr>
        <w:t>62F</w:t>
      </w:r>
      <w:r>
        <w:t>.</w:t>
      </w:r>
      <w:r>
        <w:tab/>
        <w:t>Detention of respondent during telephone hearing or while police order is being made</w:t>
      </w:r>
      <w:bookmarkEnd w:id="292"/>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keepNext/>
      </w:pPr>
      <w:r>
        <w:tab/>
        <w:t>(c)</w:t>
      </w:r>
      <w:r>
        <w:tab/>
        <w:t xml:space="preserve">order that person to remain in a place designated by the police officer, or accompany the police officer to a </w:t>
      </w:r>
      <w:r>
        <w:lastRenderedPageBreak/>
        <w:t xml:space="preserve">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lastRenderedPageBreak/>
        <w:tab/>
        <w:t>[Section 62F. Modifications to be applied in order to give effect to Cross-border Justice Act 2008: section altered 1 Nov 2009. See endnote 1M.]</w:t>
      </w:r>
    </w:p>
    <w:p>
      <w:pPr>
        <w:pStyle w:val="Heading5"/>
      </w:pPr>
      <w:bookmarkStart w:id="293" w:name="_Toc107494209"/>
      <w:r>
        <w:rPr>
          <w:rStyle w:val="CharSectno"/>
        </w:rPr>
        <w:t>62G</w:t>
      </w:r>
      <w:r>
        <w:t>.</w:t>
      </w:r>
      <w:r>
        <w:tab/>
        <w:t>Police officer may conduct hearing for applicant</w:t>
      </w:r>
      <w:bookmarkEnd w:id="293"/>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294" w:name="_Toc103863157"/>
      <w:bookmarkStart w:id="295" w:name="_Toc103863368"/>
      <w:bookmarkStart w:id="296" w:name="_Toc103865304"/>
      <w:bookmarkStart w:id="297" w:name="_Toc107325801"/>
      <w:bookmarkStart w:id="298" w:name="_Toc107494210"/>
      <w:r>
        <w:rPr>
          <w:rStyle w:val="CharDivNo"/>
        </w:rPr>
        <w:t>Division 4</w:t>
      </w:r>
      <w:r>
        <w:rPr>
          <w:snapToGrid w:val="0"/>
        </w:rPr>
        <w:t> — </w:t>
      </w:r>
      <w:r>
        <w:rPr>
          <w:rStyle w:val="CharDivText"/>
        </w:rPr>
        <w:t>General</w:t>
      </w:r>
      <w:bookmarkEnd w:id="294"/>
      <w:bookmarkEnd w:id="295"/>
      <w:bookmarkEnd w:id="296"/>
      <w:bookmarkEnd w:id="297"/>
      <w:bookmarkEnd w:id="298"/>
      <w:r>
        <w:rPr>
          <w:rStyle w:val="CharDivText"/>
        </w:rPr>
        <w:t xml:space="preserve"> </w:t>
      </w:r>
    </w:p>
    <w:p>
      <w:pPr>
        <w:pStyle w:val="Heading5"/>
        <w:rPr>
          <w:snapToGrid w:val="0"/>
        </w:rPr>
      </w:pPr>
      <w:bookmarkStart w:id="299" w:name="_Toc107494211"/>
      <w:r>
        <w:rPr>
          <w:rStyle w:val="CharSectno"/>
        </w:rPr>
        <w:t>63</w:t>
      </w:r>
      <w:r>
        <w:rPr>
          <w:snapToGrid w:val="0"/>
        </w:rPr>
        <w:t>.</w:t>
      </w:r>
      <w:r>
        <w:rPr>
          <w:snapToGrid w:val="0"/>
        </w:rPr>
        <w:tab/>
        <w:t>Making restraining orders during other proceedings</w:t>
      </w:r>
      <w:bookmarkEnd w:id="299"/>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lastRenderedPageBreak/>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298, 300, 301, 304(1), 313, 317, 317A, 323, 324, 333, 338A, 338B, 338C or 338E; or</w:t>
      </w:r>
    </w:p>
    <w:p>
      <w:pPr>
        <w:pStyle w:val="Indenti"/>
      </w:pPr>
      <w:r>
        <w:lastRenderedPageBreak/>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keepNext/>
      </w:pPr>
      <w:r>
        <w:lastRenderedPageBreak/>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300" w:name="_Toc107494212"/>
      <w:r>
        <w:rPr>
          <w:rStyle w:val="CharSectno"/>
        </w:rPr>
        <w:lastRenderedPageBreak/>
        <w:t>63A</w:t>
      </w:r>
      <w:r>
        <w:t>.</w:t>
      </w:r>
      <w:r>
        <w:tab/>
        <w:t>FVRO or VRO made if certain violent personal offences committed</w:t>
      </w:r>
      <w:bookmarkEnd w:id="300"/>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lastRenderedPageBreak/>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301" w:name="_Toc107494213"/>
      <w:r>
        <w:rPr>
          <w:rStyle w:val="CharSectno"/>
        </w:rPr>
        <w:t>63B</w:t>
      </w:r>
      <w:r>
        <w:t>.</w:t>
      </w:r>
      <w:r>
        <w:tab/>
        <w:t>Circumstances to be taken into account when sentencing for certain offences</w:t>
      </w:r>
      <w:bookmarkEnd w:id="301"/>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lastRenderedPageBreak/>
        <w:tab/>
        <w:t>[Section 63B inserted: No. 49 of 2016 s. 71; amended: No. 30 of 2020 s. 79.]</w:t>
      </w:r>
    </w:p>
    <w:p>
      <w:pPr>
        <w:pStyle w:val="Heading5"/>
      </w:pPr>
      <w:bookmarkStart w:id="302" w:name="_Toc107494214"/>
      <w:r>
        <w:rPr>
          <w:rStyle w:val="CharSectno"/>
        </w:rPr>
        <w:t>63C</w:t>
      </w:r>
      <w:r>
        <w:t>.</w:t>
      </w:r>
      <w:r>
        <w:tab/>
        <w:t>Criminal and civil liability not affected by restraining orders</w:t>
      </w:r>
      <w:bookmarkEnd w:id="30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303" w:name="_Toc107494215"/>
      <w:r>
        <w:rPr>
          <w:rStyle w:val="CharSectno"/>
        </w:rPr>
        <w:t>63D</w:t>
      </w:r>
      <w:r>
        <w:t>.</w:t>
      </w:r>
      <w:r>
        <w:tab/>
        <w:t>Court to give reasons for certain decisions</w:t>
      </w:r>
      <w:bookmarkEnd w:id="303"/>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304" w:name="_Toc107494216"/>
      <w:r>
        <w:rPr>
          <w:rStyle w:val="CharSectno"/>
        </w:rPr>
        <w:t>64</w:t>
      </w:r>
      <w:r>
        <w:rPr>
          <w:snapToGrid w:val="0"/>
        </w:rPr>
        <w:t>.</w:t>
      </w:r>
      <w:r>
        <w:rPr>
          <w:snapToGrid w:val="0"/>
        </w:rPr>
        <w:tab/>
        <w:t>Appeals</w:t>
      </w:r>
      <w:bookmarkEnd w:id="304"/>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lastRenderedPageBreak/>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lastRenderedPageBreak/>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305" w:name="_Toc107494217"/>
      <w:r>
        <w:rPr>
          <w:rStyle w:val="CharSectno"/>
        </w:rPr>
        <w:t>65</w:t>
      </w:r>
      <w:r>
        <w:rPr>
          <w:snapToGrid w:val="0"/>
        </w:rPr>
        <w:t>.</w:t>
      </w:r>
      <w:r>
        <w:rPr>
          <w:snapToGrid w:val="0"/>
        </w:rPr>
        <w:tab/>
        <w:t>Orders not to conflict with certain family orders</w:t>
      </w:r>
      <w:bookmarkEnd w:id="305"/>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306" w:name="_Toc107494218"/>
      <w:r>
        <w:rPr>
          <w:rStyle w:val="CharSectno"/>
        </w:rPr>
        <w:t>66</w:t>
      </w:r>
      <w:r>
        <w:t>.</w:t>
      </w:r>
      <w:r>
        <w:tab/>
        <w:t>Information about family orders</w:t>
      </w:r>
      <w:bookmarkEnd w:id="306"/>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pPr>
      <w:r>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lastRenderedPageBreak/>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307" w:name="_Toc107494219"/>
      <w:r>
        <w:rPr>
          <w:rStyle w:val="CharSectno"/>
        </w:rPr>
        <w:t>67</w:t>
      </w:r>
      <w:r>
        <w:t>.</w:t>
      </w:r>
      <w:r>
        <w:tab/>
        <w:t>Adjournments</w:t>
      </w:r>
      <w:bookmarkEnd w:id="307"/>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lastRenderedPageBreak/>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308" w:name="_Toc107494220"/>
      <w:r>
        <w:rPr>
          <w:rStyle w:val="CharSectno"/>
        </w:rPr>
        <w:t>68</w:t>
      </w:r>
      <w:r>
        <w:rPr>
          <w:snapToGrid w:val="0"/>
        </w:rPr>
        <w:t>.</w:t>
      </w:r>
      <w:r>
        <w:rPr>
          <w:snapToGrid w:val="0"/>
        </w:rPr>
        <w:tab/>
        <w:t>Orders may be extended to apply to other people</w:t>
      </w:r>
      <w:bookmarkEnd w:id="308"/>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309" w:name="_Toc107494221"/>
      <w:r>
        <w:rPr>
          <w:rStyle w:val="CharSectno"/>
        </w:rPr>
        <w:lastRenderedPageBreak/>
        <w:t>69</w:t>
      </w:r>
      <w:r>
        <w:rPr>
          <w:snapToGrid w:val="0"/>
        </w:rPr>
        <w:t>.</w:t>
      </w:r>
      <w:r>
        <w:rPr>
          <w:snapToGrid w:val="0"/>
        </w:rPr>
        <w:tab/>
        <w:t>Costs</w:t>
      </w:r>
      <w:bookmarkEnd w:id="309"/>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310" w:name="_Toc107494222"/>
      <w:r>
        <w:rPr>
          <w:rStyle w:val="CharSectno"/>
        </w:rPr>
        <w:t>70</w:t>
      </w:r>
      <w:r>
        <w:t>.</w:t>
      </w:r>
      <w:r>
        <w:tab/>
        <w:t>Information on identity of certain person restricted</w:t>
      </w:r>
      <w:bookmarkEnd w:id="310"/>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lastRenderedPageBreak/>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lastRenderedPageBreak/>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311" w:name="_Toc107494223"/>
      <w:r>
        <w:rPr>
          <w:rStyle w:val="CharSectno"/>
        </w:rPr>
        <w:t>70A</w:t>
      </w:r>
      <w:r>
        <w:t>.</w:t>
      </w:r>
      <w:r>
        <w:tab/>
        <w:t>Exchange of information</w:t>
      </w:r>
      <w:bookmarkEnd w:id="311"/>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w:t>
      </w:r>
      <w:r>
        <w:rPr>
          <w:snapToGrid w:val="0"/>
        </w:rPr>
        <w:lastRenderedPageBreak/>
        <w:t xml:space="preserve">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312" w:name="_Toc107494224"/>
      <w:r>
        <w:rPr>
          <w:rStyle w:val="CharSectno"/>
        </w:rPr>
        <w:t>71</w:t>
      </w:r>
      <w:r>
        <w:rPr>
          <w:snapToGrid w:val="0"/>
        </w:rPr>
        <w:t>.</w:t>
      </w:r>
      <w:r>
        <w:rPr>
          <w:snapToGrid w:val="0"/>
        </w:rPr>
        <w:tab/>
        <w:t>Notification when firearms order made</w:t>
      </w:r>
      <w:bookmarkEnd w:id="31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keepNex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w:t>
      </w:r>
      <w:r>
        <w:lastRenderedPageBreak/>
        <w:t>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lastRenderedPageBreak/>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 xml:space="preserve">licensee notified under subsection (4) or (5) who allows the restrained person to use or </w:t>
      </w:r>
      <w:r>
        <w:rPr>
          <w:snapToGrid w:val="0"/>
        </w:rPr>
        <w:lastRenderedPageBreak/>
        <w:t>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No. 50 of 2003 s. 90(3); No. 49 of 2016 s. 78.]</w:t>
      </w:r>
    </w:p>
    <w:p>
      <w:pPr>
        <w:pStyle w:val="Heading5"/>
        <w:rPr>
          <w:snapToGrid w:val="0"/>
        </w:rPr>
      </w:pPr>
      <w:bookmarkStart w:id="313" w:name="_Toc107494225"/>
      <w:r>
        <w:rPr>
          <w:rStyle w:val="CharSectno"/>
        </w:rPr>
        <w:t>72</w:t>
      </w:r>
      <w:r>
        <w:rPr>
          <w:snapToGrid w:val="0"/>
        </w:rPr>
        <w:t>.</w:t>
      </w:r>
      <w:r>
        <w:rPr>
          <w:snapToGrid w:val="0"/>
        </w:rPr>
        <w:tab/>
        <w:t>Practice and procedure generally</w:t>
      </w:r>
      <w:bookmarkEnd w:id="313"/>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No. 59 of 2004 s. 124.] </w:t>
      </w:r>
    </w:p>
    <w:p>
      <w:pPr>
        <w:pStyle w:val="Heading5"/>
      </w:pPr>
      <w:bookmarkStart w:id="314" w:name="_Toc107494226"/>
      <w:r>
        <w:rPr>
          <w:rStyle w:val="CharSectno"/>
        </w:rPr>
        <w:t>72A</w:t>
      </w:r>
      <w:r>
        <w:t>.</w:t>
      </w:r>
      <w:r>
        <w:tab/>
        <w:t>Forms</w:t>
      </w:r>
      <w:bookmarkEnd w:id="314"/>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315" w:name="_Toc107494227"/>
      <w:r>
        <w:rPr>
          <w:rStyle w:val="CharSectno"/>
        </w:rPr>
        <w:lastRenderedPageBreak/>
        <w:t>73</w:t>
      </w:r>
      <w:r>
        <w:rPr>
          <w:snapToGrid w:val="0"/>
        </w:rPr>
        <w:t>.</w:t>
      </w:r>
      <w:r>
        <w:rPr>
          <w:snapToGrid w:val="0"/>
        </w:rPr>
        <w:tab/>
        <w:t>Regulation making power</w:t>
      </w:r>
      <w:bookmarkEnd w:id="315"/>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 xml:space="preserve">the manner in which firearms and firearms </w:t>
      </w:r>
      <w:r>
        <w:t xml:space="preserve">licenses,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Footnotesection"/>
      </w:pPr>
      <w:r>
        <w:tab/>
        <w:t>[Section 73 amended: No. 38 of 2004 s. 49; No. 49 of 2016 s. 80; No. 30 of 2020 s. 82.]</w:t>
      </w:r>
    </w:p>
    <w:p>
      <w:pPr>
        <w:pStyle w:val="Heading5"/>
      </w:pPr>
      <w:bookmarkStart w:id="316" w:name="_Toc107494228"/>
      <w:r>
        <w:rPr>
          <w:rStyle w:val="CharSectno"/>
        </w:rPr>
        <w:t>73A</w:t>
      </w:r>
      <w:r>
        <w:t>.</w:t>
      </w:r>
      <w:r>
        <w:tab/>
        <w:t>Review of certain amendments relating to FVROs</w:t>
      </w:r>
      <w:bookmarkEnd w:id="316"/>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w:t>
      </w:r>
      <w:r>
        <w:lastRenderedPageBreak/>
        <w:t xml:space="preserve">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317" w:name="_Toc103863176"/>
      <w:bookmarkStart w:id="318" w:name="_Toc103863387"/>
      <w:bookmarkStart w:id="319" w:name="_Toc103865323"/>
      <w:bookmarkStart w:id="320" w:name="_Toc107325820"/>
      <w:bookmarkStart w:id="321" w:name="_Toc107494229"/>
      <w:r>
        <w:rPr>
          <w:rStyle w:val="CharPartNo"/>
        </w:rPr>
        <w:lastRenderedPageBreak/>
        <w:t>Part 7</w:t>
      </w:r>
      <w:r>
        <w:rPr>
          <w:rStyle w:val="CharDivNo"/>
        </w:rPr>
        <w:t> </w:t>
      </w:r>
      <w:r>
        <w:t>—</w:t>
      </w:r>
      <w:r>
        <w:rPr>
          <w:rStyle w:val="CharDivText"/>
        </w:rPr>
        <w:t> </w:t>
      </w:r>
      <w:r>
        <w:rPr>
          <w:rStyle w:val="CharPartText"/>
        </w:rPr>
        <w:t>Interstate restraining orders</w:t>
      </w:r>
      <w:bookmarkEnd w:id="317"/>
      <w:bookmarkEnd w:id="318"/>
      <w:bookmarkEnd w:id="319"/>
      <w:bookmarkEnd w:id="320"/>
      <w:bookmarkEnd w:id="321"/>
      <w:r>
        <w:rPr>
          <w:rStyle w:val="CharPartText"/>
        </w:rPr>
        <w:t xml:space="preserve"> </w:t>
      </w:r>
    </w:p>
    <w:p>
      <w:pPr>
        <w:pStyle w:val="Heading5"/>
        <w:rPr>
          <w:snapToGrid w:val="0"/>
        </w:rPr>
      </w:pPr>
      <w:bookmarkStart w:id="322" w:name="_Toc107494230"/>
      <w:r>
        <w:rPr>
          <w:rStyle w:val="CharSectno"/>
        </w:rPr>
        <w:t>74</w:t>
      </w:r>
      <w:r>
        <w:rPr>
          <w:snapToGrid w:val="0"/>
        </w:rPr>
        <w:t>.</w:t>
      </w:r>
      <w:r>
        <w:rPr>
          <w:snapToGrid w:val="0"/>
        </w:rPr>
        <w:tab/>
        <w:t>Terms used</w:t>
      </w:r>
      <w:bookmarkEnd w:id="32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323" w:name="_Toc107494231"/>
      <w:r>
        <w:rPr>
          <w:rStyle w:val="CharSectno"/>
        </w:rPr>
        <w:t>74A</w:t>
      </w:r>
      <w:r>
        <w:t>.</w:t>
      </w:r>
      <w:r>
        <w:tab/>
        <w:t xml:space="preserve">Interstate DVOs under </w:t>
      </w:r>
      <w:r>
        <w:rPr>
          <w:i/>
        </w:rPr>
        <w:t xml:space="preserve">Domestic Violence Orders (National Recognition) Act 2017 </w:t>
      </w:r>
      <w:r>
        <w:t>cannot be registered</w:t>
      </w:r>
      <w:bookmarkEnd w:id="323"/>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324" w:name="_Toc107494232"/>
      <w:r>
        <w:rPr>
          <w:rStyle w:val="CharSectno"/>
        </w:rPr>
        <w:t>74B</w:t>
      </w:r>
      <w:r>
        <w:t>.</w:t>
      </w:r>
      <w:r>
        <w:tab/>
        <w:t xml:space="preserve">Interstate orders registered before commencement of </w:t>
      </w:r>
      <w:r>
        <w:rPr>
          <w:i/>
        </w:rPr>
        <w:t>Domestic Violence Orders (National Recognition) Act 2017</w:t>
      </w:r>
      <w:bookmarkEnd w:id="324"/>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lastRenderedPageBreak/>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325" w:name="_Toc107494233"/>
      <w:r>
        <w:rPr>
          <w:rStyle w:val="CharSectno"/>
        </w:rPr>
        <w:t>75</w:t>
      </w:r>
      <w:r>
        <w:rPr>
          <w:snapToGrid w:val="0"/>
        </w:rPr>
        <w:t>.</w:t>
      </w:r>
      <w:r>
        <w:rPr>
          <w:snapToGrid w:val="0"/>
        </w:rPr>
        <w:tab/>
        <w:t>Application for registration of interstate order</w:t>
      </w:r>
      <w:bookmarkEnd w:id="325"/>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lastRenderedPageBreak/>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326" w:name="_Toc107494234"/>
      <w:r>
        <w:rPr>
          <w:rStyle w:val="CharSectno"/>
        </w:rPr>
        <w:t>76</w:t>
      </w:r>
      <w:r>
        <w:rPr>
          <w:snapToGrid w:val="0"/>
        </w:rPr>
        <w:t>.</w:t>
      </w:r>
      <w:r>
        <w:rPr>
          <w:snapToGrid w:val="0"/>
        </w:rPr>
        <w:tab/>
        <w:t>Registration</w:t>
      </w:r>
      <w:bookmarkEnd w:id="326"/>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327" w:name="_Toc107494235"/>
      <w:r>
        <w:rPr>
          <w:rStyle w:val="CharSectno"/>
        </w:rPr>
        <w:lastRenderedPageBreak/>
        <w:t>77</w:t>
      </w:r>
      <w:r>
        <w:rPr>
          <w:snapToGrid w:val="0"/>
        </w:rPr>
        <w:t>.</w:t>
      </w:r>
      <w:r>
        <w:rPr>
          <w:snapToGrid w:val="0"/>
        </w:rPr>
        <w:tab/>
        <w:t>Effect of registration</w:t>
      </w:r>
      <w:bookmarkEnd w:id="327"/>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328" w:name="_Toc107494236"/>
      <w:r>
        <w:rPr>
          <w:rStyle w:val="CharSectno"/>
        </w:rPr>
        <w:t>78</w:t>
      </w:r>
      <w:r>
        <w:rPr>
          <w:snapToGrid w:val="0"/>
        </w:rPr>
        <w:t>.</w:t>
      </w:r>
      <w:r>
        <w:rPr>
          <w:snapToGrid w:val="0"/>
        </w:rPr>
        <w:tab/>
        <w:t>Variation or cancellation in another State or Territory</w:t>
      </w:r>
      <w:bookmarkEnd w:id="32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lastRenderedPageBreak/>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329" w:name="_Toc107494237"/>
      <w:r>
        <w:rPr>
          <w:rStyle w:val="CharSectno"/>
        </w:rPr>
        <w:t>79</w:t>
      </w:r>
      <w:r>
        <w:t>.</w:t>
      </w:r>
      <w:r>
        <w:tab/>
        <w:t>Variation or cancellation in this State</w:t>
      </w:r>
      <w:bookmarkEnd w:id="329"/>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lastRenderedPageBreak/>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30" w:name="_Toc103863185"/>
      <w:bookmarkStart w:id="331" w:name="_Toc103863396"/>
      <w:bookmarkStart w:id="332" w:name="_Toc103865332"/>
      <w:bookmarkStart w:id="333" w:name="_Toc107325829"/>
      <w:bookmarkStart w:id="334" w:name="_Toc107494238"/>
      <w:r>
        <w:rPr>
          <w:rStyle w:val="CharPartNo"/>
        </w:rPr>
        <w:lastRenderedPageBreak/>
        <w:t>Part 7A</w:t>
      </w:r>
      <w:r>
        <w:rPr>
          <w:rStyle w:val="CharDivNo"/>
        </w:rPr>
        <w:t xml:space="preserve"> </w:t>
      </w:r>
      <w:r>
        <w:t>—</w:t>
      </w:r>
      <w:r>
        <w:rPr>
          <w:rStyle w:val="CharDivText"/>
        </w:rPr>
        <w:t xml:space="preserve"> </w:t>
      </w:r>
      <w:r>
        <w:rPr>
          <w:rStyle w:val="CharPartText"/>
        </w:rPr>
        <w:t>Foreign restraining orders</w:t>
      </w:r>
      <w:bookmarkEnd w:id="330"/>
      <w:bookmarkEnd w:id="331"/>
      <w:bookmarkEnd w:id="332"/>
      <w:bookmarkEnd w:id="333"/>
      <w:bookmarkEnd w:id="334"/>
    </w:p>
    <w:p>
      <w:pPr>
        <w:pStyle w:val="Footnoteheading"/>
      </w:pPr>
      <w:r>
        <w:tab/>
        <w:t>[Heading inserted: No. 11 of 1999 s. 7.]</w:t>
      </w:r>
    </w:p>
    <w:p>
      <w:pPr>
        <w:pStyle w:val="Heading5"/>
        <w:spacing w:before="120"/>
      </w:pPr>
      <w:bookmarkStart w:id="335" w:name="_Toc107494239"/>
      <w:r>
        <w:rPr>
          <w:rStyle w:val="CharSectno"/>
        </w:rPr>
        <w:t>79A</w:t>
      </w:r>
      <w:r>
        <w:t>.</w:t>
      </w:r>
      <w:r>
        <w:tab/>
        <w:t>Recognition of foreign restraining orders</w:t>
      </w:r>
      <w:bookmarkEnd w:id="335"/>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336" w:name="_Toc107494240"/>
      <w:r>
        <w:rPr>
          <w:rStyle w:val="CharSectno"/>
        </w:rPr>
        <w:t>79B</w:t>
      </w:r>
      <w:r>
        <w:t>.</w:t>
      </w:r>
      <w:r>
        <w:tab/>
        <w:t>Applying for registration of foreign restraining orders</w:t>
      </w:r>
      <w:bookmarkEnd w:id="336"/>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337" w:name="_Toc107494241"/>
      <w:r>
        <w:rPr>
          <w:rStyle w:val="CharSectno"/>
        </w:rPr>
        <w:lastRenderedPageBreak/>
        <w:t>79C</w:t>
      </w:r>
      <w:r>
        <w:t>.</w:t>
      </w:r>
      <w:r>
        <w:tab/>
        <w:t>Registration of foreign restraining orders</w:t>
      </w:r>
      <w:bookmarkEnd w:id="337"/>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338" w:name="_Toc107494242"/>
      <w:r>
        <w:rPr>
          <w:rStyle w:val="CharSectno"/>
        </w:rPr>
        <w:t>79D</w:t>
      </w:r>
      <w:r>
        <w:t>.</w:t>
      </w:r>
      <w:r>
        <w:tab/>
        <w:t>Effect of registration</w:t>
      </w:r>
      <w:bookmarkEnd w:id="338"/>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lastRenderedPageBreak/>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339" w:name="_Toc107494243"/>
      <w:r>
        <w:rPr>
          <w:rStyle w:val="CharSectno"/>
        </w:rPr>
        <w:t>79E</w:t>
      </w:r>
      <w:r>
        <w:t>.</w:t>
      </w:r>
      <w:r>
        <w:tab/>
        <w:t>Variation or cancellation in foreign country</w:t>
      </w:r>
      <w:bookmarkEnd w:id="339"/>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lastRenderedPageBreak/>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340" w:name="_Toc107494244"/>
      <w:r>
        <w:rPr>
          <w:rStyle w:val="CharSectno"/>
        </w:rPr>
        <w:t>79F</w:t>
      </w:r>
      <w:r>
        <w:t>.</w:t>
      </w:r>
      <w:r>
        <w:tab/>
        <w:t>Variation or cancellation in this State</w:t>
      </w:r>
      <w:bookmarkEnd w:id="340"/>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41" w:name="_Toc103863192"/>
      <w:bookmarkStart w:id="342" w:name="_Toc103863403"/>
      <w:bookmarkStart w:id="343" w:name="_Toc103865339"/>
      <w:bookmarkStart w:id="344" w:name="_Toc107325836"/>
      <w:bookmarkStart w:id="345" w:name="_Toc107494245"/>
      <w:r>
        <w:lastRenderedPageBreak/>
        <w:t>Notes</w:t>
      </w:r>
      <w:bookmarkEnd w:id="341"/>
      <w:bookmarkEnd w:id="342"/>
      <w:bookmarkEnd w:id="343"/>
      <w:bookmarkEnd w:id="344"/>
      <w:bookmarkEnd w:id="345"/>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46" w:name="_Toc107494246"/>
      <w:r>
        <w:t>Compilation table</w:t>
      </w:r>
      <w:bookmarkEnd w:id="346"/>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lastRenderedPageBreak/>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lastRenderedPageBreak/>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nil"/>
            </w:tcBorders>
            <w:shd w:val="clear" w:color="auto" w:fill="auto"/>
          </w:tcPr>
          <w:p>
            <w:pPr>
              <w:pStyle w:val="nTable"/>
              <w:spacing w:after="40"/>
            </w:pPr>
            <w:r>
              <w:t>30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single" w:sz="4" w:space="0" w:color="auto"/>
            </w:tcBorders>
            <w:shd w:val="clear" w:color="auto" w:fill="auto"/>
          </w:tcPr>
          <w:p>
            <w:pPr>
              <w:pStyle w:val="nTable"/>
              <w:spacing w:after="40"/>
            </w:pPr>
            <w:r>
              <w:t>9 of 2022</w:t>
            </w:r>
          </w:p>
        </w:tc>
        <w:tc>
          <w:tcPr>
            <w:tcW w:w="1134" w:type="dxa"/>
            <w:tcBorders>
              <w:top w:val="nil"/>
              <w:bottom w:val="single" w:sz="4" w:space="0" w:color="auto"/>
            </w:tcBorders>
            <w:shd w:val="clear" w:color="auto" w:fill="auto"/>
          </w:tcPr>
          <w:p>
            <w:pPr>
              <w:pStyle w:val="nTable"/>
              <w:spacing w:after="40"/>
            </w:pPr>
            <w:r>
              <w:t>14 Apr 2022</w:t>
            </w:r>
          </w:p>
        </w:tc>
        <w:tc>
          <w:tcPr>
            <w:tcW w:w="2552" w:type="dxa"/>
            <w:tcBorders>
              <w:top w:val="nil"/>
              <w:bottom w:val="single" w:sz="4" w:space="0" w:color="auto"/>
              <w:right w:val="nil"/>
            </w:tcBorders>
            <w:shd w:val="clear" w:color="auto" w:fill="auto"/>
          </w:tcPr>
          <w:p>
            <w:pPr>
              <w:pStyle w:val="nTable"/>
              <w:spacing w:after="40"/>
            </w:pPr>
            <w:r>
              <w:rPr>
                <w:snapToGrid w:val="0"/>
              </w:rPr>
              <w:t>1 Jul 2022 (see s. 2(c) and SL 2022/113 cl. 2)</w:t>
            </w:r>
          </w:p>
        </w:tc>
      </w:tr>
    </w:tbl>
    <w:p>
      <w:pPr>
        <w:pStyle w:val="nHeading3"/>
      </w:pPr>
      <w:bookmarkStart w:id="347" w:name="_Toc107494247"/>
      <w:r>
        <w:lastRenderedPageBreak/>
        <w:t>Uncommenced provisions table</w:t>
      </w:r>
      <w:bookmarkEnd w:id="347"/>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trPr>
          <w:cantSplit/>
          <w:tblHeader/>
        </w:trPr>
        <w:tc>
          <w:tcPr>
            <w:tcW w:w="2224"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pPr>
              <w:pStyle w:val="nStatement"/>
              <w:keepNext/>
              <w:spacing w:after="240"/>
            </w:pPr>
            <w:r>
              <w:rPr>
                <w:b/>
                <w:snapToGrid w:val="0"/>
              </w:rPr>
              <w:t>Number and year</w:t>
            </w:r>
          </w:p>
        </w:tc>
        <w:tc>
          <w:tcPr>
            <w:tcW w:w="1230" w:type="dxa"/>
            <w:tcBorders>
              <w:top w:val="single" w:sz="4" w:space="0" w:color="auto"/>
              <w:bottom w:val="single" w:sz="4" w:space="0" w:color="auto"/>
            </w:tcBorders>
          </w:tcPr>
          <w:p>
            <w:pPr>
              <w:pStyle w:val="nStatement"/>
              <w:keepNext/>
              <w:spacing w:after="240"/>
            </w:pPr>
            <w:r>
              <w:rPr>
                <w:b/>
                <w:snapToGrid w:val="0"/>
              </w:rPr>
              <w:t>Assent</w:t>
            </w:r>
          </w:p>
        </w:tc>
        <w:tc>
          <w:tcPr>
            <w:tcW w:w="2534"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24" w:type="dxa"/>
            <w:tcBorders>
              <w:top w:val="single" w:sz="4" w:space="0" w:color="auto"/>
              <w:bottom w:val="nil"/>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nil"/>
            </w:tcBorders>
          </w:tcPr>
          <w:p>
            <w:pPr>
              <w:pStyle w:val="nTable"/>
              <w:spacing w:after="40"/>
            </w:pPr>
            <w:r>
              <w:t>20 of 2013</w:t>
            </w:r>
          </w:p>
        </w:tc>
        <w:tc>
          <w:tcPr>
            <w:tcW w:w="1230" w:type="dxa"/>
            <w:tcBorders>
              <w:top w:val="single" w:sz="4" w:space="0" w:color="auto"/>
              <w:bottom w:val="nil"/>
            </w:tcBorders>
          </w:tcPr>
          <w:p>
            <w:pPr>
              <w:pStyle w:val="nTable"/>
              <w:spacing w:after="40"/>
            </w:pPr>
            <w:r>
              <w:t>4 Nov 2013</w:t>
            </w:r>
          </w:p>
        </w:tc>
        <w:tc>
          <w:tcPr>
            <w:tcW w:w="2534" w:type="dxa"/>
            <w:tcBorders>
              <w:top w:val="single" w:sz="4" w:space="0" w:color="auto"/>
              <w:bottom w:val="nil"/>
            </w:tcBorders>
          </w:tcPr>
          <w:p>
            <w:pPr>
              <w:pStyle w:val="nTable"/>
              <w:spacing w:after="40"/>
              <w:rPr>
                <w:snapToGrid w:val="0"/>
              </w:rPr>
            </w:pPr>
            <w:r>
              <w:rPr>
                <w:snapToGrid w:val="0"/>
              </w:rPr>
              <w:t>To be proclaimed (see s. 2(b))</w:t>
            </w:r>
          </w:p>
        </w:tc>
      </w:tr>
      <w:tr>
        <w:trPr>
          <w:cantSplit/>
        </w:trPr>
        <w:tc>
          <w:tcPr>
            <w:tcW w:w="2224" w:type="dxa"/>
            <w:tcBorders>
              <w:top w:val="nil"/>
              <w:bottom w:val="single" w:sz="4" w:space="0" w:color="auto"/>
            </w:tcBorders>
          </w:tcPr>
          <w:p>
            <w:pPr>
              <w:pStyle w:val="nTable"/>
              <w:spacing w:after="40"/>
            </w:pPr>
            <w:r>
              <w:rPr>
                <w:i/>
              </w:rPr>
              <w:t>Firearms Amendment Act 2022</w:t>
            </w:r>
            <w:r>
              <w:t xml:space="preserve"> Pt. 3 Div. 4</w:t>
            </w:r>
          </w:p>
        </w:tc>
        <w:tc>
          <w:tcPr>
            <w:tcW w:w="1109" w:type="dxa"/>
            <w:tcBorders>
              <w:top w:val="nil"/>
              <w:bottom w:val="single" w:sz="4" w:space="0" w:color="auto"/>
            </w:tcBorders>
          </w:tcPr>
          <w:p>
            <w:pPr>
              <w:pStyle w:val="nTable"/>
              <w:spacing w:after="40"/>
            </w:pPr>
            <w:r>
              <w:t>13 of 2022</w:t>
            </w:r>
          </w:p>
        </w:tc>
        <w:tc>
          <w:tcPr>
            <w:tcW w:w="1230" w:type="dxa"/>
            <w:tcBorders>
              <w:top w:val="nil"/>
              <w:bottom w:val="single" w:sz="4" w:space="0" w:color="auto"/>
            </w:tcBorders>
          </w:tcPr>
          <w:p>
            <w:pPr>
              <w:pStyle w:val="nTable"/>
              <w:spacing w:after="40"/>
            </w:pPr>
            <w:r>
              <w:t>18 May 2022</w:t>
            </w:r>
          </w:p>
        </w:tc>
        <w:tc>
          <w:tcPr>
            <w:tcW w:w="2534" w:type="dxa"/>
            <w:tcBorders>
              <w:top w:val="nil"/>
              <w:bottom w:val="single" w:sz="4" w:space="0" w:color="auto"/>
            </w:tcBorders>
          </w:tcPr>
          <w:p>
            <w:pPr>
              <w:pStyle w:val="nTable"/>
              <w:spacing w:after="40"/>
            </w:pPr>
            <w:r>
              <w:t>To be proclaimed (see s. 2(c))</w:t>
            </w:r>
          </w:p>
        </w:tc>
      </w:tr>
    </w:tbl>
    <w:p>
      <w:pPr>
        <w:pStyle w:val="nHeading3"/>
      </w:pPr>
      <w:bookmarkStart w:id="348" w:name="_Toc107494248"/>
      <w:r>
        <w:t>Other notes</w:t>
      </w:r>
      <w:bookmarkEnd w:id="348"/>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350" w:name="_Toc103863196"/>
      <w:bookmarkStart w:id="351" w:name="_Toc103863407"/>
      <w:bookmarkStart w:id="352" w:name="_Toc103865343"/>
      <w:bookmarkStart w:id="353" w:name="_Toc107325840"/>
      <w:bookmarkStart w:id="354" w:name="_Toc107494249"/>
      <w:r>
        <w:rPr>
          <w:sz w:val="28"/>
        </w:rPr>
        <w:lastRenderedPageBreak/>
        <w:t>Defined terms</w:t>
      </w:r>
      <w:bookmarkEnd w:id="350"/>
      <w:bookmarkEnd w:id="351"/>
      <w:bookmarkEnd w:id="352"/>
      <w:bookmarkEnd w:id="353"/>
      <w:bookmarkEnd w:id="3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affidavit</w:t>
      </w:r>
      <w:r>
        <w:tab/>
        <w:t>3(1)</w:t>
      </w:r>
    </w:p>
    <w:p>
      <w:pPr>
        <w:pStyle w:val="DefinedTerms"/>
      </w:pPr>
      <w:r>
        <w:t>aid</w:t>
      </w:r>
      <w:r>
        <w:tab/>
        <w:t>61B(1)</w:t>
      </w:r>
    </w:p>
    <w:p>
      <w:pPr>
        <w:pStyle w:val="DefinedTerms"/>
      </w:pPr>
      <w:r>
        <w:t>application</w:t>
      </w:r>
      <w:r>
        <w:tab/>
        <w:t>3(1)</w:t>
      </w:r>
    </w:p>
    <w:p>
      <w:pPr>
        <w:pStyle w:val="DefinedTerms"/>
      </w:pPr>
      <w:r>
        <w:t>assault</w:t>
      </w:r>
      <w:r>
        <w:tab/>
        <w:t>3(1)</w:t>
      </w:r>
    </w:p>
    <w:p>
      <w:pPr>
        <w:pStyle w:val="DefinedTerms"/>
      </w:pPr>
      <w:r>
        <w:t>authorised magistrate</w:t>
      </w:r>
      <w:r>
        <w:tab/>
        <w:t>3(1)</w:t>
      </w:r>
    </w:p>
    <w:p>
      <w:pPr>
        <w:pStyle w:val="DefinedTerms"/>
      </w:pPr>
      <w:r>
        <w:t>authorised person</w:t>
      </w:r>
      <w:r>
        <w:tab/>
        <w:t>3(1)</w:t>
      </w:r>
    </w:p>
    <w:p>
      <w:pPr>
        <w:pStyle w:val="DefinedTerms"/>
      </w:pPr>
      <w:r>
        <w:t>behaviour change order</w:t>
      </w:r>
      <w:r>
        <w:tab/>
        <w:t>10I, 10M(1)</w:t>
      </w:r>
    </w:p>
    <w:p>
      <w:pPr>
        <w:pStyle w:val="DefinedTerms"/>
      </w:pPr>
      <w:r>
        <w:t>behaviour change programme</w:t>
      </w:r>
      <w:r>
        <w:tab/>
        <w:t>10I, 10P(2)</w:t>
      </w:r>
    </w:p>
    <w:p>
      <w:pPr>
        <w:pStyle w:val="DefinedTerms"/>
      </w:pPr>
      <w:r>
        <w:t>behaviour change programme provider</w:t>
      </w:r>
      <w:r>
        <w:tab/>
        <w:t>10I, 10P(3)</w:t>
      </w:r>
    </w:p>
    <w:p>
      <w:pPr>
        <w:pStyle w:val="DefinedTerms"/>
      </w:pPr>
      <w:r>
        <w:t>behaviour management order</w:t>
      </w:r>
      <w:r>
        <w:tab/>
        <w:t>10I</w:t>
      </w:r>
    </w:p>
    <w:p>
      <w:pPr>
        <w:pStyle w:val="DefinedTerms"/>
      </w:pPr>
      <w:r>
        <w:t>bound person</w:t>
      </w:r>
      <w:r>
        <w:tab/>
        <w:t>61B(1)</w:t>
      </w:r>
    </w:p>
    <w:p>
      <w:pPr>
        <w:pStyle w:val="DefinedTerms"/>
      </w:pPr>
      <w:r>
        <w:t>CEO (child welfare)</w:t>
      </w:r>
      <w:r>
        <w:tab/>
        <w:t>3(1)</w:t>
      </w:r>
    </w:p>
    <w:p>
      <w:pPr>
        <w:pStyle w:val="DefinedTerms"/>
      </w:pPr>
      <w:r>
        <w:t>child</w:t>
      </w:r>
      <w:r>
        <w:tab/>
        <w:t>3(1)</w:t>
      </w:r>
    </w:p>
    <w:p>
      <w:pPr>
        <w:pStyle w:val="DefinedTerms"/>
      </w:pPr>
      <w:r>
        <w:t>child welfare law</w:t>
      </w:r>
      <w:r>
        <w:tab/>
        <w:t>50B(4)</w:t>
      </w:r>
    </w:p>
    <w:p>
      <w:pPr>
        <w:pStyle w:val="DefinedTerms"/>
      </w:pPr>
      <w:r>
        <w:t>child welfare officer</w:t>
      </w:r>
      <w:r>
        <w:tab/>
        <w:t>3(1)</w:t>
      </w:r>
    </w:p>
    <w:p>
      <w:pPr>
        <w:pStyle w:val="DefinedTerms"/>
      </w:pPr>
      <w:r>
        <w:t>co</w:t>
      </w:r>
      <w:r>
        <w:noBreakHyphen/>
        <w:t>licensee</w:t>
      </w:r>
      <w:r>
        <w:tab/>
        <w:t>71(2)</w:t>
      </w:r>
    </w:p>
    <w:p>
      <w:pPr>
        <w:pStyle w:val="DefinedTerms"/>
      </w:pPr>
      <w:r>
        <w:t>Commissioner of Police</w:t>
      </w:r>
      <w:r>
        <w:tab/>
        <w:t>3(1)</w:t>
      </w:r>
    </w:p>
    <w:p>
      <w:pPr>
        <w:pStyle w:val="DefinedTerms"/>
      </w:pPr>
      <w:r>
        <w:t>conduct agreement</w:t>
      </w:r>
      <w:r>
        <w:tab/>
        <w:t>10H(1)</w:t>
      </w:r>
    </w:p>
    <w:p>
      <w:pPr>
        <w:pStyle w:val="DefinedTerms"/>
      </w:pPr>
      <w:r>
        <w:t>conduct agreement order</w:t>
      </w:r>
      <w:r>
        <w:tab/>
        <w:t>3(1), 10H(1)</w:t>
      </w:r>
    </w:p>
    <w:p>
      <w:pPr>
        <w:pStyle w:val="DefinedTerms"/>
      </w:pPr>
      <w:r>
        <w:t>consent order</w:t>
      </w:r>
      <w:r>
        <w:tab/>
        <w:t>3(1)</w:t>
      </w:r>
    </w:p>
    <w:p>
      <w:pPr>
        <w:pStyle w:val="DefinedTerms"/>
      </w:pPr>
      <w:r>
        <w:t>conviction</w:t>
      </w:r>
      <w:r>
        <w:tab/>
        <w:t>61A(1)</w:t>
      </w:r>
    </w:p>
    <w:p>
      <w:pPr>
        <w:pStyle w:val="DefinedTerms"/>
      </w:pPr>
      <w:r>
        <w:t>corresponding law</w:t>
      </w:r>
      <w:r>
        <w:tab/>
        <w:t>3(1)</w:t>
      </w:r>
    </w:p>
    <w:p>
      <w:pPr>
        <w:pStyle w:val="DefinedTerms"/>
      </w:pPr>
      <w:r>
        <w:t>court</w:t>
      </w:r>
      <w:r>
        <w:tab/>
        <w:t>3(1), 10I</w:t>
      </w:r>
    </w:p>
    <w:p>
      <w:pPr>
        <w:pStyle w:val="DefinedTerms"/>
      </w:pPr>
      <w:r>
        <w:t>cyber</w:t>
      </w:r>
      <w:r>
        <w:noBreakHyphen/>
        <w:t>stalking</w:t>
      </w:r>
      <w:r>
        <w:tab/>
        <w:t>3(1)</w:t>
      </w:r>
    </w:p>
    <w:p>
      <w:pPr>
        <w:pStyle w:val="DefinedTerms"/>
      </w:pPr>
      <w:r>
        <w:t>distributes</w:t>
      </w:r>
      <w:r>
        <w:tab/>
        <w:t>3(1)</w:t>
      </w:r>
    </w:p>
    <w:p>
      <w:pPr>
        <w:pStyle w:val="DefinedTerms"/>
      </w:pPr>
      <w:r>
        <w:t>earlier order</w:t>
      </w:r>
      <w:r>
        <w:tab/>
        <w:t>32(5)</w:t>
      </w:r>
    </w:p>
    <w:p>
      <w:pPr>
        <w:pStyle w:val="DefinedTerms"/>
      </w:pPr>
      <w:r>
        <w:t>eligibility assessment interview</w:t>
      </w:r>
      <w:r>
        <w:tab/>
        <w:t>10I, 10L(1)</w:t>
      </w:r>
    </w:p>
    <w:p>
      <w:pPr>
        <w:pStyle w:val="DefinedTerms"/>
      </w:pPr>
      <w:r>
        <w:t>eligibility assessment order</w:t>
      </w:r>
      <w:r>
        <w:tab/>
        <w:t>10I</w:t>
      </w:r>
    </w:p>
    <w:p>
      <w:pPr>
        <w:pStyle w:val="DefinedTerms"/>
      </w:pPr>
      <w:r>
        <w:t>eligibility assessment report</w:t>
      </w:r>
      <w:r>
        <w:tab/>
        <w:t>10I, 10L(1)</w:t>
      </w:r>
    </w:p>
    <w:p>
      <w:pPr>
        <w:pStyle w:val="DefinedTerms"/>
      </w:pPr>
      <w:r>
        <w:t>eligibility assessor</w:t>
      </w:r>
      <w:r>
        <w:tab/>
        <w:t>10I, 10P(1)</w:t>
      </w:r>
    </w:p>
    <w:p>
      <w:pPr>
        <w:pStyle w:val="DefinedTerms"/>
      </w:pPr>
      <w:r>
        <w:t>explosive</w:t>
      </w:r>
      <w:r>
        <w:tab/>
        <w:t>3(1)</w:t>
      </w:r>
    </w:p>
    <w:p>
      <w:pPr>
        <w:pStyle w:val="DefinedTerms"/>
      </w:pPr>
      <w:r>
        <w:t>explosives licence</w:t>
      </w:r>
      <w:r>
        <w:tab/>
        <w:t>3(1)</w:t>
      </w:r>
    </w:p>
    <w:p>
      <w:pPr>
        <w:pStyle w:val="DefinedTerms"/>
      </w:pPr>
      <w:r>
        <w:t>exposed</w:t>
      </w:r>
      <w:r>
        <w:tab/>
        <w:t>3(1), 6A(1)</w:t>
      </w:r>
    </w:p>
    <w:p>
      <w:pPr>
        <w:pStyle w:val="DefinedTerms"/>
      </w:pPr>
      <w:r>
        <w:t>family court proceedings</w:t>
      </w:r>
      <w:r>
        <w:tab/>
        <w:t>3(1)</w:t>
      </w:r>
    </w:p>
    <w:p>
      <w:pPr>
        <w:pStyle w:val="DefinedTerms"/>
      </w:pPr>
      <w:r>
        <w:t>family member</w:t>
      </w:r>
      <w:r>
        <w:tab/>
        <w:t>3(1), 4(3)</w:t>
      </w:r>
    </w:p>
    <w:p>
      <w:pPr>
        <w:pStyle w:val="DefinedTerms"/>
      </w:pPr>
      <w:r>
        <w:t>family order</w:t>
      </w:r>
      <w:r>
        <w:tab/>
        <w:t>3(1), 5(1)</w:t>
      </w:r>
    </w:p>
    <w:p>
      <w:pPr>
        <w:pStyle w:val="DefinedTerms"/>
      </w:pPr>
      <w:r>
        <w:t>family relationship</w:t>
      </w:r>
      <w:r>
        <w:tab/>
        <w:t>4(1)</w:t>
      </w:r>
    </w:p>
    <w:p>
      <w:pPr>
        <w:pStyle w:val="DefinedTerms"/>
      </w:pPr>
      <w:r>
        <w:t>family violence</w:t>
      </w:r>
      <w:r>
        <w:tab/>
        <w:t>3(1), 5A(1)</w:t>
      </w:r>
    </w:p>
    <w:p>
      <w:pPr>
        <w:pStyle w:val="DefinedTerms"/>
      </w:pPr>
      <w:r>
        <w:t>family violence restraining order</w:t>
      </w:r>
      <w:r>
        <w:tab/>
        <w:t>3(1)</w:t>
      </w:r>
    </w:p>
    <w:p>
      <w:pPr>
        <w:pStyle w:val="DefinedTerms"/>
      </w:pPr>
      <w:r>
        <w:t>final order</w:t>
      </w:r>
      <w:r>
        <w:tab/>
        <w:t>3(1)</w:t>
      </w:r>
    </w:p>
    <w:p>
      <w:pPr>
        <w:pStyle w:val="DefinedTerms"/>
      </w:pPr>
      <w:r>
        <w:lastRenderedPageBreak/>
        <w:t>final order hearing</w:t>
      </w:r>
      <w:r>
        <w:tab/>
        <w:t>3(1)</w:t>
      </w:r>
    </w:p>
    <w:p>
      <w:pPr>
        <w:pStyle w:val="DefinedTerms"/>
      </w:pPr>
      <w:r>
        <w:t>firearm</w:t>
      </w:r>
      <w:r>
        <w:tab/>
        <w:t>3(1)</w:t>
      </w:r>
    </w:p>
    <w:p>
      <w:pPr>
        <w:pStyle w:val="DefinedTerms"/>
      </w:pPr>
      <w:r>
        <w:t>firearms licence</w:t>
      </w:r>
      <w:r>
        <w:tab/>
        <w:t>3(1)</w:t>
      </w:r>
    </w:p>
    <w:p>
      <w:pPr>
        <w:pStyle w:val="DefinedTerms"/>
      </w:pPr>
      <w:r>
        <w:t>firearms order</w:t>
      </w:r>
      <w:r>
        <w:tab/>
        <w:t>71(1)</w:t>
      </w:r>
    </w:p>
    <w:p>
      <w:pPr>
        <w:pStyle w:val="DefinedTerms"/>
      </w:pPr>
      <w:r>
        <w:t>fix a hearing</w:t>
      </w:r>
      <w:r>
        <w:tab/>
        <w:t>3(1)</w:t>
      </w:r>
    </w:p>
    <w:p>
      <w:pPr>
        <w:pStyle w:val="DefinedTerms"/>
      </w:pPr>
      <w:r>
        <w:t>foreign restraining order</w:t>
      </w:r>
      <w:r>
        <w:tab/>
        <w:t>3(1)</w:t>
      </w:r>
    </w:p>
    <w:p>
      <w:pPr>
        <w:pStyle w:val="DefinedTerms"/>
      </w:pPr>
      <w:r>
        <w:t>FVRO</w:t>
      </w:r>
      <w:r>
        <w:tab/>
        <w:t>3(2)</w:t>
      </w:r>
    </w:p>
    <w:p>
      <w:pPr>
        <w:pStyle w:val="DefinedTerms"/>
      </w:pPr>
      <w:r>
        <w:t>imagined personal relationship</w:t>
      </w:r>
      <w:r>
        <w:tab/>
        <w:t>3(1)</w:t>
      </w:r>
    </w:p>
    <w:p>
      <w:pPr>
        <w:pStyle w:val="DefinedTerms"/>
      </w:pPr>
      <w:r>
        <w:t>interested party</w:t>
      </w:r>
      <w:r>
        <w:tab/>
        <w:t>70A(1)</w:t>
      </w:r>
    </w:p>
    <w:p>
      <w:pPr>
        <w:pStyle w:val="DefinedTerms"/>
      </w:pPr>
      <w:r>
        <w:t>interim order</w:t>
      </w:r>
      <w:r>
        <w:tab/>
        <w:t>3(1)</w:t>
      </w:r>
    </w:p>
    <w:p>
      <w:pPr>
        <w:pStyle w:val="DefinedTerms"/>
      </w:pPr>
      <w:r>
        <w:t>interstate order</w:t>
      </w:r>
      <w:r>
        <w:tab/>
        <w:t>74</w:t>
      </w:r>
    </w:p>
    <w:p>
      <w:pPr>
        <w:pStyle w:val="DefinedTerms"/>
      </w:pPr>
      <w:r>
        <w:t>intimate image</w:t>
      </w:r>
      <w:r>
        <w:tab/>
        <w:t>3(1)</w:t>
      </w:r>
    </w:p>
    <w:p>
      <w:pPr>
        <w:pStyle w:val="DefinedTerms"/>
      </w:pPr>
      <w:r>
        <w:t>kidnapping, or depriving the liberty of</w:t>
      </w:r>
      <w:r>
        <w:tab/>
        <w:t>3(1)</w:t>
      </w:r>
    </w:p>
    <w:p>
      <w:pPr>
        <w:pStyle w:val="DefinedTerms"/>
      </w:pPr>
      <w:r>
        <w:t>mention hearing</w:t>
      </w:r>
      <w:r>
        <w:tab/>
        <w:t>3(1)</w:t>
      </w:r>
    </w:p>
    <w:p>
      <w:pPr>
        <w:pStyle w:val="DefinedTerms"/>
      </w:pPr>
      <w:r>
        <w:t>misconduct restraining order</w:t>
      </w:r>
      <w:r>
        <w:tab/>
        <w:t>3(1)</w:t>
      </w:r>
    </w:p>
    <w:p>
      <w:pPr>
        <w:pStyle w:val="DefinedTerms"/>
      </w:pPr>
      <w:r>
        <w:t>MRO</w:t>
      </w:r>
      <w:r>
        <w:tab/>
        <w:t>3(2)</w:t>
      </w:r>
    </w:p>
    <w:p>
      <w:pPr>
        <w:pStyle w:val="DefinedTerms"/>
      </w:pPr>
      <w:r>
        <w:t>order</w:t>
      </w:r>
      <w:r>
        <w:tab/>
        <w:t>61B(1)</w:t>
      </w:r>
    </w:p>
    <w:p>
      <w:pPr>
        <w:pStyle w:val="DefinedTerms"/>
      </w:pPr>
      <w:r>
        <w:t>other personal relationship</w:t>
      </w:r>
      <w:r>
        <w:tab/>
        <w:t>4(2)</w:t>
      </w:r>
    </w:p>
    <w:p>
      <w:pPr>
        <w:pStyle w:val="DefinedTerms"/>
      </w:pPr>
      <w:r>
        <w:t>person protected</w:t>
      </w:r>
      <w:r>
        <w:tab/>
        <w:t>3(1)</w:t>
      </w:r>
    </w:p>
    <w:p>
      <w:pPr>
        <w:pStyle w:val="DefinedTerms"/>
      </w:pPr>
      <w:r>
        <w:t>person seeking to be protected</w:t>
      </w:r>
      <w:r>
        <w:tab/>
        <w:t>3(1)</w:t>
      </w:r>
    </w:p>
    <w:p>
      <w:pPr>
        <w:pStyle w:val="DefinedTerms"/>
      </w:pPr>
      <w:r>
        <w:t>person who is bound</w:t>
      </w:r>
      <w:r>
        <w:tab/>
        <w:t>3(1)</w:t>
      </w:r>
    </w:p>
    <w:p>
      <w:pPr>
        <w:pStyle w:val="DefinedTerms"/>
      </w:pPr>
      <w:r>
        <w:t>personal violence</w:t>
      </w:r>
      <w:r>
        <w:tab/>
        <w:t>3(1), 6(2)</w:t>
      </w:r>
    </w:p>
    <w:p>
      <w:pPr>
        <w:pStyle w:val="DefinedTerms"/>
      </w:pPr>
      <w:r>
        <w:t>police order</w:t>
      </w:r>
      <w:r>
        <w:tab/>
        <w:t>3(1)</w:t>
      </w:r>
    </w:p>
    <w:p>
      <w:pPr>
        <w:pStyle w:val="DefinedTerms"/>
      </w:pPr>
      <w:r>
        <w:t>prepare and serve</w:t>
      </w:r>
      <w:r>
        <w:tab/>
        <w:t>3(1)</w:t>
      </w:r>
    </w:p>
    <w:p>
      <w:pPr>
        <w:pStyle w:val="DefinedTerms"/>
      </w:pPr>
      <w:r>
        <w:t>prescribed form</w:t>
      </w:r>
      <w:r>
        <w:tab/>
        <w:t>3(1)</w:t>
      </w:r>
    </w:p>
    <w:p>
      <w:pPr>
        <w:pStyle w:val="DefinedTerms"/>
      </w:pPr>
      <w:r>
        <w:t>prescribed information</w:t>
      </w:r>
      <w:r>
        <w:tab/>
        <w:t>70A(1)</w:t>
      </w:r>
    </w:p>
    <w:p>
      <w:pPr>
        <w:pStyle w:val="DefinedTerms"/>
      </w:pPr>
      <w:r>
        <w:t>previous relevant offences</w:t>
      </w:r>
      <w:r>
        <w:tab/>
        <w:t>61A(2)</w:t>
      </w:r>
    </w:p>
    <w:p>
      <w:pPr>
        <w:pStyle w:val="DefinedTerms"/>
      </w:pPr>
      <w:r>
        <w:t>prisoner</w:t>
      </w:r>
      <w:r>
        <w:tab/>
        <w:t>16A(1)</w:t>
      </w:r>
    </w:p>
    <w:p>
      <w:pPr>
        <w:pStyle w:val="DefinedTerms"/>
      </w:pPr>
      <w:r>
        <w:t>proceeding</w:t>
      </w:r>
      <w:r>
        <w:tab/>
        <w:t>10I</w:t>
      </w:r>
    </w:p>
    <w:p>
      <w:pPr>
        <w:pStyle w:val="DefinedTerms"/>
      </w:pPr>
      <w:r>
        <w:t>proceedings under this Act</w:t>
      </w:r>
      <w:r>
        <w:tab/>
        <w:t>3(1)</w:t>
      </w:r>
    </w:p>
    <w:p>
      <w:pPr>
        <w:pStyle w:val="DefinedTerms"/>
      </w:pPr>
      <w:r>
        <w:t>property</w:t>
      </w:r>
      <w:r>
        <w:tab/>
        <w:t>3(1)</w:t>
      </w:r>
    </w:p>
    <w:p>
      <w:pPr>
        <w:pStyle w:val="DefinedTerms"/>
      </w:pPr>
      <w:r>
        <w:t>protected person</w:t>
      </w:r>
      <w:r>
        <w:tab/>
        <w:t>61B(1)</w:t>
      </w:r>
    </w:p>
    <w:p>
      <w:pPr>
        <w:pStyle w:val="DefinedTerms"/>
      </w:pPr>
      <w:r>
        <w:t>Public Advocate</w:t>
      </w:r>
      <w:r>
        <w:tab/>
        <w:t>3(1)</w:t>
      </w:r>
    </w:p>
    <w:p>
      <w:pPr>
        <w:pStyle w:val="DefinedTerms"/>
      </w:pPr>
      <w:r>
        <w:t>qualifying relevant offence</w:t>
      </w:r>
      <w:r>
        <w:tab/>
        <w:t>61A(2)</w:t>
      </w:r>
    </w:p>
    <w:p>
      <w:pPr>
        <w:pStyle w:val="DefinedTerms"/>
      </w:pPr>
      <w:r>
        <w:t>registered</w:t>
      </w:r>
      <w:r>
        <w:tab/>
        <w:t>3(1)</w:t>
      </w:r>
    </w:p>
    <w:p>
      <w:pPr>
        <w:pStyle w:val="DefinedTerms"/>
      </w:pPr>
      <w:r>
        <w:t>registered order</w:t>
      </w:r>
      <w:r>
        <w:tab/>
        <w:t>74</w:t>
      </w:r>
    </w:p>
    <w:p>
      <w:pPr>
        <w:pStyle w:val="DefinedTerms"/>
      </w:pPr>
      <w:r>
        <w:t>registrar</w:t>
      </w:r>
      <w:r>
        <w:tab/>
        <w:t>3(1), 74</w:t>
      </w:r>
    </w:p>
    <w:p>
      <w:pPr>
        <w:pStyle w:val="DefinedTerms"/>
      </w:pPr>
      <w:r>
        <w:t>related</w:t>
      </w:r>
      <w:r>
        <w:tab/>
        <w:t>4(2)</w:t>
      </w:r>
    </w:p>
    <w:p>
      <w:pPr>
        <w:pStyle w:val="DefinedTerms"/>
      </w:pPr>
      <w:r>
        <w:t>relevant offence</w:t>
      </w:r>
      <w:r>
        <w:tab/>
        <w:t>61A(1)</w:t>
      </w:r>
    </w:p>
    <w:p>
      <w:pPr>
        <w:pStyle w:val="DefinedTerms"/>
      </w:pPr>
      <w:r>
        <w:t>remote communication</w:t>
      </w:r>
      <w:r>
        <w:tab/>
        <w:t>62D(8)</w:t>
      </w:r>
    </w:p>
    <w:p>
      <w:pPr>
        <w:pStyle w:val="DefinedTerms"/>
      </w:pPr>
      <w:r>
        <w:t>representation</w:t>
      </w:r>
      <w:r>
        <w:tab/>
        <w:t>44A(3), 53E(4)</w:t>
      </w:r>
    </w:p>
    <w:p>
      <w:pPr>
        <w:pStyle w:val="DefinedTerms"/>
      </w:pPr>
      <w:r>
        <w:t>respondent</w:t>
      </w:r>
      <w:r>
        <w:tab/>
        <w:t>3(1), 31A, 43A(1)</w:t>
      </w:r>
    </w:p>
    <w:p>
      <w:pPr>
        <w:pStyle w:val="DefinedTerms"/>
      </w:pPr>
      <w:r>
        <w:t>responsible person</w:t>
      </w:r>
      <w:r>
        <w:tab/>
        <w:t>71(1)</w:t>
      </w:r>
    </w:p>
    <w:p>
      <w:pPr>
        <w:pStyle w:val="DefinedTerms"/>
      </w:pPr>
      <w:r>
        <w:t>restrained person</w:t>
      </w:r>
      <w:r>
        <w:tab/>
        <w:t>71(1)</w:t>
      </w:r>
    </w:p>
    <w:p>
      <w:pPr>
        <w:pStyle w:val="DefinedTerms"/>
      </w:pPr>
      <w:r>
        <w:t>restraining order</w:t>
      </w:r>
      <w:r>
        <w:tab/>
        <w:t>3(1)</w:t>
      </w:r>
    </w:p>
    <w:p>
      <w:pPr>
        <w:pStyle w:val="DefinedTerms"/>
      </w:pPr>
      <w:r>
        <w:lastRenderedPageBreak/>
        <w:t>review date</w:t>
      </w:r>
      <w:r>
        <w:tab/>
        <w:t>73A(1)</w:t>
      </w:r>
    </w:p>
    <w:p>
      <w:pPr>
        <w:pStyle w:val="DefinedTerms"/>
      </w:pPr>
      <w:r>
        <w:t>satisfied</w:t>
      </w:r>
      <w:r>
        <w:tab/>
        <w:t>3(1)</w:t>
      </w:r>
    </w:p>
    <w:p>
      <w:pPr>
        <w:pStyle w:val="DefinedTerms"/>
      </w:pPr>
      <w:r>
        <w:t>senior officer</w:t>
      </w:r>
      <w:r>
        <w:tab/>
        <w:t>62D(8)</w:t>
      </w:r>
    </w:p>
    <w:p>
      <w:pPr>
        <w:pStyle w:val="DefinedTerms"/>
      </w:pPr>
      <w:r>
        <w:t>sexual assault</w:t>
      </w:r>
      <w:r>
        <w:tab/>
        <w:t>3(1)</w:t>
      </w:r>
    </w:p>
    <w:p>
      <w:pPr>
        <w:pStyle w:val="DefinedTerms"/>
      </w:pPr>
      <w:r>
        <w:t>specified</w:t>
      </w:r>
      <w:r>
        <w:tab/>
        <w:t>3(1)</w:t>
      </w:r>
    </w:p>
    <w:p>
      <w:pPr>
        <w:pStyle w:val="DefinedTerms"/>
      </w:pPr>
      <w:r>
        <w:t>stalking</w:t>
      </w:r>
      <w:r>
        <w:tab/>
        <w:t>3(1)</w:t>
      </w:r>
    </w:p>
    <w:p>
      <w:pPr>
        <w:pStyle w:val="DefinedTerms"/>
      </w:pPr>
      <w:r>
        <w:t>telephone application</w:t>
      </w:r>
      <w:r>
        <w:tab/>
        <w:t>3(1)</w:t>
      </w:r>
    </w:p>
    <w:p>
      <w:pPr>
        <w:pStyle w:val="DefinedTerms"/>
      </w:pPr>
      <w:r>
        <w:t>telephone order</w:t>
      </w:r>
      <w:r>
        <w:tab/>
        <w:t>3(1)</w:t>
      </w:r>
    </w:p>
    <w:p>
      <w:pPr>
        <w:pStyle w:val="DefinedTerms"/>
      </w:pPr>
      <w:r>
        <w:t>third party</w:t>
      </w:r>
      <w:r>
        <w:tab/>
        <w:t>68(1)</w:t>
      </w:r>
    </w:p>
    <w:p>
      <w:pPr>
        <w:pStyle w:val="DefinedTerms"/>
      </w:pPr>
      <w:r>
        <w:t>under this Act</w:t>
      </w:r>
      <w:r>
        <w:tab/>
        <w:t>70(4)</w:t>
      </w:r>
    </w:p>
    <w:p>
      <w:pPr>
        <w:pStyle w:val="DefinedTerms"/>
      </w:pPr>
      <w:r>
        <w:t>variation or cancellation order</w:t>
      </w:r>
      <w:r>
        <w:tab/>
        <w:t>10I, 10T(1)</w:t>
      </w:r>
    </w:p>
    <w:p>
      <w:pPr>
        <w:pStyle w:val="DefinedTerms"/>
      </w:pPr>
      <w:r>
        <w:t>victim</w:t>
      </w:r>
      <w:r>
        <w:tab/>
        <w:t>10V(2)</w:t>
      </w:r>
    </w:p>
    <w:p>
      <w:pPr>
        <w:pStyle w:val="DefinedTerms"/>
      </w:pPr>
      <w:r>
        <w:t>video link</w:t>
      </w:r>
      <w:r>
        <w:tab/>
        <w:t>53B(4)</w:t>
      </w:r>
    </w:p>
    <w:p>
      <w:pPr>
        <w:pStyle w:val="DefinedTerms"/>
      </w:pPr>
      <w:r>
        <w:t>violence restraining order</w:t>
      </w:r>
      <w:r>
        <w:tab/>
        <w:t>3(1)</w:t>
      </w:r>
    </w:p>
    <w:p>
      <w:pPr>
        <w:pStyle w:val="DefinedTerms"/>
      </w:pPr>
      <w:r>
        <w:t>violent personal offence</w:t>
      </w:r>
      <w:r>
        <w:tab/>
        <w:t>63A(1A), 63B(1)</w:t>
      </w:r>
    </w:p>
    <w:p>
      <w:pPr>
        <w:pStyle w:val="DefinedTerms"/>
      </w:pPr>
      <w:r>
        <w:t>VRO</w:t>
      </w:r>
      <w:r>
        <w:tab/>
        <w:t>3(2)</w:t>
      </w:r>
    </w:p>
    <w:p>
      <w:pPr>
        <w:pStyle w:val="DefinedTerms"/>
      </w:pPr>
      <w:r>
        <w:t>wellbeing</w:t>
      </w:r>
      <w:r>
        <w:tab/>
        <w:t>3(1)</w:t>
      </w:r>
    </w:p>
    <w:p>
      <w:pPr>
        <w:pStyle w:val="DefinedTerms"/>
      </w:pPr>
      <w:r>
        <w:t>written reasons</w:t>
      </w:r>
      <w:r>
        <w:tab/>
        <w:t>61A(8), 67(3A)</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9" w:name="Compilation"/>
    <w:bookmarkEnd w:id="3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5" w:name="DefinedTerms"/>
    <w:bookmarkEnd w:id="3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6" w:name="Coversheet"/>
    <w:bookmarkEnd w:id="3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49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41121"/>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BB8EF3-FF10-47BA-A107-95BB59E17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42301</Words>
  <Characters>195858</Characters>
  <Application>Microsoft Office Word</Application>
  <DocSecurity>0</DocSecurity>
  <Lines>5293</Lines>
  <Paragraphs>3175</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234984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1997 - 05-k0-02</dc:title>
  <dc:subject/>
  <dc:creator/>
  <cp:keywords/>
  <dc:description/>
  <cp:lastModifiedBy>Master Repository Process</cp:lastModifiedBy>
  <cp:revision>4</cp:revision>
  <cp:lastPrinted>2019-02-27T04:33:00Z</cp:lastPrinted>
  <dcterms:created xsi:type="dcterms:W3CDTF">2022-09-02T07:11:00Z</dcterms:created>
  <dcterms:modified xsi:type="dcterms:W3CDTF">2022-09-02T07:11:00Z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01 Jul 2022</vt:lpwstr>
  </property>
  <property fmtid="{D5CDD505-2E9C-101B-9397-08002B2CF9AE}" pid="8" name="Suffix">
    <vt:lpwstr>05-k0-02</vt:lpwstr>
  </property>
  <property fmtid="{D5CDD505-2E9C-101B-9397-08002B2CF9AE}" pid="9" name="CommencementDate">
    <vt:lpwstr>20220701</vt:lpwstr>
  </property>
</Properties>
</file>