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Education and Care Services National Law (Western Australia)</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Education and Care Services National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_Toc109832897 \h </w:instrText>
      </w:r>
      <w:r>
        <w:fldChar w:fldCharType="separate"/>
      </w:r>
      <w:r>
        <w:t>1</w:t>
      </w:r>
      <w:r>
        <w:fldChar w:fldCharType="end"/>
      </w:r>
    </w:p>
    <w:p>
      <w:pPr>
        <w:pStyle w:val="TOC8"/>
        <w:rPr>
          <w:rFonts w:asciiTheme="minorHAnsi" w:eastAsiaTheme="minorEastAsia" w:hAnsiTheme="minorHAnsi" w:cstheme="minorBidi"/>
          <w:szCs w:val="22"/>
        </w:rPr>
      </w:pPr>
      <w:r>
        <w:t>2.</w:t>
      </w:r>
      <w:r>
        <w:tab/>
        <w:t>Authorising provisions</w:t>
      </w:r>
      <w:r>
        <w:tab/>
      </w:r>
      <w:r>
        <w:fldChar w:fldCharType="begin"/>
      </w:r>
      <w:r>
        <w:instrText xml:space="preserve"> PAGEREF _Toc109832898 \h </w:instrText>
      </w:r>
      <w:r>
        <w:fldChar w:fldCharType="separate"/>
      </w:r>
      <w:r>
        <w:t>1</w:t>
      </w:r>
      <w:r>
        <w:fldChar w:fldCharType="end"/>
      </w:r>
    </w:p>
    <w:p>
      <w:pPr>
        <w:pStyle w:val="TOC8"/>
        <w:rPr>
          <w:rFonts w:asciiTheme="minorHAnsi" w:eastAsiaTheme="minorEastAsia" w:hAnsiTheme="minorHAnsi" w:cstheme="minorBidi"/>
          <w:szCs w:val="22"/>
        </w:rPr>
      </w:pPr>
      <w:r>
        <w:t>3.</w:t>
      </w:r>
      <w:r>
        <w:tab/>
        <w:t>Commencement</w:t>
      </w:r>
      <w:r>
        <w:tab/>
      </w:r>
      <w:r>
        <w:fldChar w:fldCharType="begin"/>
      </w:r>
      <w:r>
        <w:instrText xml:space="preserve"> PAGEREF _Toc109832899 \h </w:instrText>
      </w:r>
      <w:r>
        <w:fldChar w:fldCharType="separate"/>
      </w:r>
      <w:r>
        <w:t>1</w:t>
      </w:r>
      <w:r>
        <w:fldChar w:fldCharType="end"/>
      </w:r>
    </w:p>
    <w:p>
      <w:pPr>
        <w:pStyle w:val="TOC8"/>
        <w:rPr>
          <w:rFonts w:asciiTheme="minorHAnsi" w:eastAsiaTheme="minorEastAsia" w:hAnsiTheme="minorHAnsi" w:cstheme="minorBidi"/>
          <w:szCs w:val="22"/>
        </w:rPr>
      </w:pPr>
      <w:r>
        <w:t>4.</w:t>
      </w:r>
      <w:r>
        <w:tab/>
        <w:t>Definitions</w:t>
      </w:r>
      <w:r>
        <w:tab/>
      </w:r>
      <w:r>
        <w:fldChar w:fldCharType="begin"/>
      </w:r>
      <w:r>
        <w:instrText xml:space="preserve"> PAGEREF _Toc109832900 \h </w:instrText>
      </w:r>
      <w:r>
        <w:fldChar w:fldCharType="separate"/>
      </w:r>
      <w:r>
        <w:t>2</w:t>
      </w:r>
      <w:r>
        <w:fldChar w:fldCharType="end"/>
      </w:r>
    </w:p>
    <w:p>
      <w:pPr>
        <w:pStyle w:val="TOC8"/>
        <w:rPr>
          <w:rFonts w:asciiTheme="minorHAnsi" w:eastAsiaTheme="minorEastAsia" w:hAnsiTheme="minorHAnsi" w:cstheme="minorBidi"/>
          <w:szCs w:val="22"/>
        </w:rPr>
      </w:pPr>
      <w:r>
        <w:t>5.</w:t>
      </w:r>
      <w:r>
        <w:tab/>
        <w:t>Services that are not education and care services</w:t>
      </w:r>
      <w:r>
        <w:tab/>
      </w:r>
      <w:r>
        <w:fldChar w:fldCharType="begin"/>
      </w:r>
      <w:r>
        <w:instrText xml:space="preserve"> PAGEREF _Toc109832901 \h </w:instrText>
      </w:r>
      <w:r>
        <w:fldChar w:fldCharType="separate"/>
      </w:r>
      <w:r>
        <w:t>9</w:t>
      </w:r>
      <w:r>
        <w:fldChar w:fldCharType="end"/>
      </w:r>
    </w:p>
    <w:p>
      <w:pPr>
        <w:pStyle w:val="TOC8"/>
        <w:rPr>
          <w:rFonts w:asciiTheme="minorHAnsi" w:eastAsiaTheme="minorEastAsia" w:hAnsiTheme="minorHAnsi" w:cstheme="minorBidi"/>
          <w:szCs w:val="22"/>
        </w:rPr>
      </w:pPr>
      <w:r>
        <w:t>6.</w:t>
      </w:r>
      <w:r>
        <w:tab/>
        <w:t>Eligible association</w:t>
      </w:r>
      <w:r>
        <w:tab/>
      </w:r>
      <w:r>
        <w:fldChar w:fldCharType="begin"/>
      </w:r>
      <w:r>
        <w:instrText xml:space="preserve"> PAGEREF _Toc109832902 \h </w:instrText>
      </w:r>
      <w:r>
        <w:fldChar w:fldCharType="separate"/>
      </w:r>
      <w:r>
        <w:t>13</w:t>
      </w:r>
      <w:r>
        <w:fldChar w:fldCharType="end"/>
      </w:r>
    </w:p>
    <w:p>
      <w:pPr>
        <w:pStyle w:val="TOC8"/>
        <w:rPr>
          <w:rFonts w:asciiTheme="minorHAnsi" w:eastAsiaTheme="minorEastAsia" w:hAnsiTheme="minorHAnsi" w:cstheme="minorBidi"/>
          <w:szCs w:val="22"/>
        </w:rPr>
      </w:pPr>
      <w:r>
        <w:t>7.</w:t>
      </w:r>
      <w:r>
        <w:tab/>
        <w:t>Prescribed rating system</w:t>
      </w:r>
      <w:r>
        <w:tab/>
      </w:r>
      <w:r>
        <w:fldChar w:fldCharType="begin"/>
      </w:r>
      <w:r>
        <w:instrText xml:space="preserve"> PAGEREF _Toc109832903 \h </w:instrText>
      </w:r>
      <w:r>
        <w:fldChar w:fldCharType="separate"/>
      </w:r>
      <w:r>
        <w:t>13</w:t>
      </w:r>
      <w:r>
        <w:fldChar w:fldCharType="end"/>
      </w:r>
    </w:p>
    <w:p>
      <w:pPr>
        <w:pStyle w:val="TOC8"/>
        <w:rPr>
          <w:rFonts w:asciiTheme="minorHAnsi" w:eastAsiaTheme="minorEastAsia" w:hAnsiTheme="minorHAnsi" w:cstheme="minorBidi"/>
          <w:szCs w:val="22"/>
        </w:rPr>
      </w:pPr>
      <w:r>
        <w:t>8.</w:t>
      </w:r>
      <w:r>
        <w:tab/>
        <w:t>National Quality Standard</w:t>
      </w:r>
      <w:r>
        <w:tab/>
      </w:r>
      <w:r>
        <w:fldChar w:fldCharType="begin"/>
      </w:r>
      <w:r>
        <w:instrText xml:space="preserve"> PAGEREF _Toc109832904 \h </w:instrText>
      </w:r>
      <w:r>
        <w:fldChar w:fldCharType="separate"/>
      </w:r>
      <w:r>
        <w:t>13</w:t>
      </w:r>
      <w:r>
        <w:fldChar w:fldCharType="end"/>
      </w:r>
    </w:p>
    <w:p>
      <w:pPr>
        <w:pStyle w:val="TOC8"/>
        <w:rPr>
          <w:rFonts w:asciiTheme="minorHAnsi" w:eastAsiaTheme="minorEastAsia" w:hAnsiTheme="minorHAnsi" w:cstheme="minorBidi"/>
          <w:szCs w:val="22"/>
        </w:rPr>
      </w:pPr>
      <w:r>
        <w:t>9.</w:t>
      </w:r>
      <w:r>
        <w:tab/>
        <w:t>Prescribed entities</w:t>
      </w:r>
      <w:r>
        <w:tab/>
      </w:r>
      <w:r>
        <w:fldChar w:fldCharType="begin"/>
      </w:r>
      <w:r>
        <w:instrText xml:space="preserve"> PAGEREF _Toc109832905 \h </w:instrText>
      </w:r>
      <w:r>
        <w:fldChar w:fldCharType="separate"/>
      </w:r>
      <w:r>
        <w:t>13</w:t>
      </w:r>
      <w:r>
        <w:fldChar w:fldCharType="end"/>
      </w:r>
    </w:p>
    <w:p>
      <w:pPr>
        <w:pStyle w:val="TOC8"/>
        <w:rPr>
          <w:rFonts w:asciiTheme="minorHAnsi" w:eastAsiaTheme="minorEastAsia" w:hAnsiTheme="minorHAnsi" w:cstheme="minorBidi"/>
          <w:szCs w:val="22"/>
        </w:rPr>
      </w:pPr>
      <w:r>
        <w:t>10.</w:t>
      </w:r>
      <w:r>
        <w:tab/>
        <w:t xml:space="preserve">Meaning of </w:t>
      </w:r>
      <w:r>
        <w:rPr>
          <w:i/>
        </w:rPr>
        <w:t>actively working towards</w:t>
      </w:r>
      <w:r>
        <w:t xml:space="preserve"> a qualification</w:t>
      </w:r>
      <w:r>
        <w:tab/>
      </w:r>
      <w:r>
        <w:fldChar w:fldCharType="begin"/>
      </w:r>
      <w:r>
        <w:instrText xml:space="preserve"> PAGEREF _Toc109832906 \h </w:instrText>
      </w:r>
      <w:r>
        <w:fldChar w:fldCharType="separate"/>
      </w:r>
      <w:r>
        <w:t>14</w:t>
      </w:r>
      <w:r>
        <w:fldChar w:fldCharType="end"/>
      </w:r>
    </w:p>
    <w:p>
      <w:pPr>
        <w:pStyle w:val="TOC8"/>
        <w:rPr>
          <w:rFonts w:asciiTheme="minorHAnsi" w:eastAsiaTheme="minorEastAsia" w:hAnsiTheme="minorHAnsi" w:cstheme="minorBidi"/>
          <w:szCs w:val="22"/>
        </w:rPr>
      </w:pPr>
      <w:r>
        <w:t>11.</w:t>
      </w:r>
      <w:r>
        <w:tab/>
        <w:t xml:space="preserve">Meaning of </w:t>
      </w:r>
      <w:r>
        <w:rPr>
          <w:i/>
        </w:rPr>
        <w:t>in attendance</w:t>
      </w:r>
      <w:r>
        <w:t xml:space="preserve"> at a centre</w:t>
      </w:r>
      <w:r>
        <w:noBreakHyphen/>
        <w:t>based service</w:t>
      </w:r>
      <w:r>
        <w:tab/>
      </w:r>
      <w:r>
        <w:fldChar w:fldCharType="begin"/>
      </w:r>
      <w:r>
        <w:instrText xml:space="preserve"> PAGEREF _Toc109832907 \h </w:instrText>
      </w:r>
      <w:r>
        <w:fldChar w:fldCharType="separate"/>
      </w:r>
      <w:r>
        <w:t>14</w:t>
      </w:r>
      <w:r>
        <w:fldChar w:fldCharType="end"/>
      </w:r>
    </w:p>
    <w:p>
      <w:pPr>
        <w:pStyle w:val="TOC8"/>
        <w:rPr>
          <w:rFonts w:asciiTheme="minorHAnsi" w:eastAsiaTheme="minorEastAsia" w:hAnsiTheme="minorHAnsi" w:cstheme="minorBidi"/>
          <w:szCs w:val="22"/>
        </w:rPr>
      </w:pPr>
      <w:r>
        <w:t>12.</w:t>
      </w:r>
      <w:r>
        <w:tab/>
        <w:t xml:space="preserve">Meaning of </w:t>
      </w:r>
      <w:r>
        <w:rPr>
          <w:i/>
        </w:rPr>
        <w:t>serious incident</w:t>
      </w:r>
      <w:r>
        <w:tab/>
      </w:r>
      <w:r>
        <w:fldChar w:fldCharType="begin"/>
      </w:r>
      <w:r>
        <w:instrText xml:space="preserve"> PAGEREF _Toc109832908 \h </w:instrText>
      </w:r>
      <w:r>
        <w:fldChar w:fldCharType="separate"/>
      </w:r>
      <w:r>
        <w:t>15</w:t>
      </w:r>
      <w:r>
        <w:fldChar w:fldCharType="end"/>
      </w:r>
    </w:p>
    <w:p>
      <w:pPr>
        <w:pStyle w:val="TOC8"/>
        <w:rPr>
          <w:rFonts w:asciiTheme="minorHAnsi" w:eastAsiaTheme="minorEastAsia" w:hAnsiTheme="minorHAnsi" w:cstheme="minorBidi"/>
          <w:szCs w:val="22"/>
        </w:rPr>
      </w:pPr>
      <w:r>
        <w:t>13.</w:t>
      </w:r>
      <w:r>
        <w:tab/>
        <w:t xml:space="preserve">Meaning of </w:t>
      </w:r>
      <w:r>
        <w:rPr>
          <w:i/>
        </w:rPr>
        <w:t>working directly with children</w:t>
      </w:r>
      <w:r>
        <w:tab/>
      </w:r>
      <w:r>
        <w:fldChar w:fldCharType="begin"/>
      </w:r>
      <w:r>
        <w:instrText xml:space="preserve"> PAGEREF _Toc109832909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Chapter 2 — Approvals</w:t>
      </w:r>
    </w:p>
    <w:p>
      <w:pPr>
        <w:pStyle w:val="TOC4"/>
        <w:tabs>
          <w:tab w:val="right" w:leader="dot" w:pos="7077"/>
        </w:tabs>
        <w:rPr>
          <w:rFonts w:asciiTheme="minorHAnsi" w:eastAsiaTheme="minorEastAsia" w:hAnsiTheme="minorHAnsi" w:cstheme="minorBidi"/>
          <w:b w:val="0"/>
          <w:szCs w:val="22"/>
        </w:rPr>
      </w:pPr>
      <w:r>
        <w:t>Part 2.1 — Provider approvals</w:t>
      </w:r>
    </w:p>
    <w:p>
      <w:pPr>
        <w:pStyle w:val="TOC8"/>
        <w:rPr>
          <w:rFonts w:asciiTheme="minorHAnsi" w:eastAsiaTheme="minorEastAsia" w:hAnsiTheme="minorHAnsi" w:cstheme="minorBidi"/>
          <w:szCs w:val="22"/>
        </w:rPr>
      </w:pPr>
      <w:r>
        <w:t>14.</w:t>
      </w:r>
      <w:r>
        <w:tab/>
        <w:t>Application for provider approval by individual</w:t>
      </w:r>
      <w:r>
        <w:tab/>
      </w:r>
      <w:r>
        <w:fldChar w:fldCharType="begin"/>
      </w:r>
      <w:r>
        <w:instrText xml:space="preserve"> PAGEREF _Toc109832912 \h </w:instrText>
      </w:r>
      <w:r>
        <w:fldChar w:fldCharType="separate"/>
      </w:r>
      <w:r>
        <w:t>17</w:t>
      </w:r>
      <w:r>
        <w:fldChar w:fldCharType="end"/>
      </w:r>
    </w:p>
    <w:p>
      <w:pPr>
        <w:pStyle w:val="TOC8"/>
        <w:rPr>
          <w:rFonts w:asciiTheme="minorHAnsi" w:eastAsiaTheme="minorEastAsia" w:hAnsiTheme="minorHAnsi" w:cstheme="minorBidi"/>
          <w:szCs w:val="22"/>
        </w:rPr>
      </w:pPr>
      <w:r>
        <w:t>15.</w:t>
      </w:r>
      <w:r>
        <w:tab/>
        <w:t>Application for provider approval by person other than an individual</w:t>
      </w:r>
      <w:r>
        <w:tab/>
      </w:r>
      <w:r>
        <w:fldChar w:fldCharType="begin"/>
      </w:r>
      <w:r>
        <w:instrText xml:space="preserve"> PAGEREF _Toc109832913 \h </w:instrText>
      </w:r>
      <w:r>
        <w:fldChar w:fldCharType="separate"/>
      </w:r>
      <w:r>
        <w:t>19</w:t>
      </w:r>
      <w:r>
        <w:fldChar w:fldCharType="end"/>
      </w:r>
    </w:p>
    <w:p>
      <w:pPr>
        <w:pStyle w:val="TOC8"/>
        <w:rPr>
          <w:rFonts w:asciiTheme="minorHAnsi" w:eastAsiaTheme="minorEastAsia" w:hAnsiTheme="minorHAnsi" w:cstheme="minorBidi"/>
          <w:szCs w:val="22"/>
        </w:rPr>
      </w:pPr>
      <w:r>
        <w:t>16.</w:t>
      </w:r>
      <w:r>
        <w:tab/>
        <w:t>Matters relating to criminal history</w:t>
      </w:r>
      <w:r>
        <w:tab/>
      </w:r>
      <w:r>
        <w:fldChar w:fldCharType="begin"/>
      </w:r>
      <w:r>
        <w:instrText xml:space="preserve"> PAGEREF _Toc109832914 \h </w:instrText>
      </w:r>
      <w:r>
        <w:fldChar w:fldCharType="separate"/>
      </w:r>
      <w:r>
        <w:t>20</w:t>
      </w:r>
      <w:r>
        <w:fldChar w:fldCharType="end"/>
      </w:r>
    </w:p>
    <w:p>
      <w:pPr>
        <w:pStyle w:val="TOC8"/>
        <w:rPr>
          <w:rFonts w:asciiTheme="minorHAnsi" w:eastAsiaTheme="minorEastAsia" w:hAnsiTheme="minorHAnsi" w:cstheme="minorBidi"/>
          <w:szCs w:val="22"/>
        </w:rPr>
      </w:pPr>
      <w:r>
        <w:t>17.</w:t>
      </w:r>
      <w:r>
        <w:tab/>
        <w:t>Application for amendment of provider approval</w:t>
      </w:r>
      <w:r>
        <w:tab/>
      </w:r>
      <w:r>
        <w:fldChar w:fldCharType="begin"/>
      </w:r>
      <w:r>
        <w:instrText xml:space="preserve"> PAGEREF _Toc109832915 \h </w:instrText>
      </w:r>
      <w:r>
        <w:fldChar w:fldCharType="separate"/>
      </w:r>
      <w:r>
        <w:t>20</w:t>
      </w:r>
      <w:r>
        <w:fldChar w:fldCharType="end"/>
      </w:r>
    </w:p>
    <w:p>
      <w:pPr>
        <w:pStyle w:val="TOC8"/>
        <w:rPr>
          <w:rFonts w:asciiTheme="minorHAnsi" w:eastAsiaTheme="minorEastAsia" w:hAnsiTheme="minorHAnsi" w:cstheme="minorBidi"/>
          <w:szCs w:val="22"/>
        </w:rPr>
      </w:pPr>
      <w:r>
        <w:t>18.</w:t>
      </w:r>
      <w:r>
        <w:tab/>
        <w:t>Maximum period of suspension of provider approval</w:t>
      </w:r>
      <w:r>
        <w:tab/>
      </w:r>
      <w:r>
        <w:fldChar w:fldCharType="begin"/>
      </w:r>
      <w:r>
        <w:instrText xml:space="preserve"> PAGEREF _Toc109832916 \h </w:instrText>
      </w:r>
      <w:r>
        <w:fldChar w:fldCharType="separate"/>
      </w:r>
      <w:r>
        <w:t>21</w:t>
      </w:r>
      <w:r>
        <w:fldChar w:fldCharType="end"/>
      </w:r>
    </w:p>
    <w:p>
      <w:pPr>
        <w:pStyle w:val="TOC8"/>
        <w:rPr>
          <w:rFonts w:asciiTheme="minorHAnsi" w:eastAsiaTheme="minorEastAsia" w:hAnsiTheme="minorHAnsi" w:cstheme="minorBidi"/>
          <w:szCs w:val="22"/>
        </w:rPr>
      </w:pPr>
      <w:r>
        <w:lastRenderedPageBreak/>
        <w:t>19.</w:t>
      </w:r>
      <w:r>
        <w:tab/>
        <w:t>Application for voluntary suspension of provider approval</w:t>
      </w:r>
      <w:r>
        <w:tab/>
      </w:r>
      <w:r>
        <w:fldChar w:fldCharType="begin"/>
      </w:r>
      <w:r>
        <w:instrText xml:space="preserve"> PAGEREF _Toc109832917 \h </w:instrText>
      </w:r>
      <w:r>
        <w:fldChar w:fldCharType="separate"/>
      </w:r>
      <w:r>
        <w:t>21</w:t>
      </w:r>
      <w:r>
        <w:fldChar w:fldCharType="end"/>
      </w:r>
    </w:p>
    <w:p>
      <w:pPr>
        <w:pStyle w:val="TOC8"/>
        <w:rPr>
          <w:rFonts w:asciiTheme="minorHAnsi" w:eastAsiaTheme="minorEastAsia" w:hAnsiTheme="minorHAnsi" w:cstheme="minorBidi"/>
          <w:szCs w:val="22"/>
        </w:rPr>
      </w:pPr>
      <w:r>
        <w:t>20.</w:t>
      </w:r>
      <w:r>
        <w:tab/>
        <w:t>Application by individual executor for provider approval</w:t>
      </w:r>
      <w:r>
        <w:tab/>
      </w:r>
      <w:r>
        <w:fldChar w:fldCharType="begin"/>
      </w:r>
      <w:r>
        <w:instrText xml:space="preserve"> PAGEREF _Toc109832918 \h </w:instrText>
      </w:r>
      <w:r>
        <w:fldChar w:fldCharType="separate"/>
      </w:r>
      <w:r>
        <w:t>21</w:t>
      </w:r>
      <w:r>
        <w:fldChar w:fldCharType="end"/>
      </w:r>
    </w:p>
    <w:p>
      <w:pPr>
        <w:pStyle w:val="TOC8"/>
        <w:rPr>
          <w:rFonts w:asciiTheme="minorHAnsi" w:eastAsiaTheme="minorEastAsia" w:hAnsiTheme="minorHAnsi" w:cstheme="minorBidi"/>
          <w:szCs w:val="22"/>
        </w:rPr>
      </w:pPr>
      <w:r>
        <w:t>21.</w:t>
      </w:r>
      <w:r>
        <w:tab/>
        <w:t>Application by executor other than an individual for provider approval</w:t>
      </w:r>
      <w:r>
        <w:tab/>
      </w:r>
      <w:r>
        <w:fldChar w:fldCharType="begin"/>
      </w:r>
      <w:r>
        <w:instrText xml:space="preserve"> PAGEREF _Toc109832919 \h </w:instrText>
      </w:r>
      <w:r>
        <w:fldChar w:fldCharType="separate"/>
      </w:r>
      <w:r>
        <w:t>23</w:t>
      </w:r>
      <w:r>
        <w:fldChar w:fldCharType="end"/>
      </w:r>
    </w:p>
    <w:p>
      <w:pPr>
        <w:pStyle w:val="TOC8"/>
        <w:rPr>
          <w:rFonts w:asciiTheme="minorHAnsi" w:eastAsiaTheme="minorEastAsia" w:hAnsiTheme="minorHAnsi" w:cstheme="minorBidi"/>
          <w:szCs w:val="22"/>
        </w:rPr>
      </w:pPr>
      <w:r>
        <w:t>22.</w:t>
      </w:r>
      <w:r>
        <w:tab/>
        <w:t>Application by individual for provider approval on incapacity of approved provider</w:t>
      </w:r>
      <w:r>
        <w:tab/>
      </w:r>
      <w:r>
        <w:fldChar w:fldCharType="begin"/>
      </w:r>
      <w:r>
        <w:instrText xml:space="preserve"> PAGEREF _Toc109832920 \h </w:instrText>
      </w:r>
      <w:r>
        <w:fldChar w:fldCharType="separate"/>
      </w:r>
      <w:r>
        <w:t>24</w:t>
      </w:r>
      <w:r>
        <w:fldChar w:fldCharType="end"/>
      </w:r>
    </w:p>
    <w:p>
      <w:pPr>
        <w:pStyle w:val="TOC8"/>
        <w:rPr>
          <w:rFonts w:asciiTheme="minorHAnsi" w:eastAsiaTheme="minorEastAsia" w:hAnsiTheme="minorHAnsi" w:cstheme="minorBidi"/>
          <w:szCs w:val="22"/>
        </w:rPr>
      </w:pPr>
      <w:r>
        <w:t>23.</w:t>
      </w:r>
      <w:r>
        <w:tab/>
        <w:t>Application by person other than an individual for provider approval on incapacity of approved provider</w:t>
      </w:r>
      <w:r>
        <w:tab/>
      </w:r>
      <w:r>
        <w:fldChar w:fldCharType="begin"/>
      </w:r>
      <w:r>
        <w:instrText xml:space="preserve"> PAGEREF _Toc109832921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Part 2.2 — Service approvals</w:t>
      </w:r>
    </w:p>
    <w:p>
      <w:pPr>
        <w:pStyle w:val="TOC6"/>
        <w:tabs>
          <w:tab w:val="right" w:leader="dot" w:pos="7077"/>
        </w:tabs>
        <w:rPr>
          <w:rFonts w:asciiTheme="minorHAnsi" w:eastAsiaTheme="minorEastAsia" w:hAnsiTheme="minorHAnsi" w:cstheme="minorBidi"/>
          <w:b w:val="0"/>
          <w:sz w:val="22"/>
          <w:szCs w:val="22"/>
        </w:rPr>
      </w:pPr>
      <w:r>
        <w:t>Division 1 — Applications for service approvals</w:t>
      </w:r>
    </w:p>
    <w:p>
      <w:pPr>
        <w:pStyle w:val="TOC8"/>
        <w:rPr>
          <w:rFonts w:asciiTheme="minorHAnsi" w:eastAsiaTheme="minorEastAsia" w:hAnsiTheme="minorHAnsi" w:cstheme="minorBidi"/>
          <w:szCs w:val="22"/>
        </w:rPr>
      </w:pPr>
      <w:r>
        <w:t>24.</w:t>
      </w:r>
      <w:r>
        <w:tab/>
        <w:t>Application for service approval — centre</w:t>
      </w:r>
      <w:r>
        <w:noBreakHyphen/>
        <w:t>based service</w:t>
      </w:r>
      <w:r>
        <w:tab/>
      </w:r>
      <w:r>
        <w:fldChar w:fldCharType="begin"/>
      </w:r>
      <w:r>
        <w:instrText xml:space="preserve"> PAGEREF _Toc109832924 \h </w:instrText>
      </w:r>
      <w:r>
        <w:fldChar w:fldCharType="separate"/>
      </w:r>
      <w:r>
        <w:t>27</w:t>
      </w:r>
      <w:r>
        <w:fldChar w:fldCharType="end"/>
      </w:r>
    </w:p>
    <w:p>
      <w:pPr>
        <w:pStyle w:val="TOC8"/>
        <w:rPr>
          <w:rFonts w:asciiTheme="minorHAnsi" w:eastAsiaTheme="minorEastAsia" w:hAnsiTheme="minorHAnsi" w:cstheme="minorBidi"/>
          <w:szCs w:val="22"/>
        </w:rPr>
      </w:pPr>
      <w:r>
        <w:t>25.</w:t>
      </w:r>
      <w:r>
        <w:tab/>
        <w:t>Additional information about proposed education and care service premises</w:t>
      </w:r>
      <w:r>
        <w:tab/>
      </w:r>
      <w:r>
        <w:fldChar w:fldCharType="begin"/>
      </w:r>
      <w:r>
        <w:instrText xml:space="preserve"> PAGEREF _Toc109832925 \h </w:instrText>
      </w:r>
      <w:r>
        <w:fldChar w:fldCharType="separate"/>
      </w:r>
      <w:r>
        <w:t>28</w:t>
      </w:r>
      <w:r>
        <w:fldChar w:fldCharType="end"/>
      </w:r>
    </w:p>
    <w:p>
      <w:pPr>
        <w:pStyle w:val="TOC8"/>
        <w:rPr>
          <w:rFonts w:asciiTheme="minorHAnsi" w:eastAsiaTheme="minorEastAsia" w:hAnsiTheme="minorHAnsi" w:cstheme="minorBidi"/>
          <w:szCs w:val="22"/>
        </w:rPr>
      </w:pPr>
      <w:r>
        <w:t>25A.</w:t>
      </w:r>
      <w:r>
        <w:tab/>
        <w:t>Application for service approval for a centre</w:t>
      </w:r>
      <w:r>
        <w:noBreakHyphen/>
        <w:t>based service — relocation of existing centre</w:t>
      </w:r>
      <w:r>
        <w:noBreakHyphen/>
        <w:t>based service</w:t>
      </w:r>
      <w:r>
        <w:tab/>
      </w:r>
      <w:r>
        <w:fldChar w:fldCharType="begin"/>
      </w:r>
      <w:r>
        <w:instrText xml:space="preserve"> PAGEREF _Toc109832926 \h </w:instrText>
      </w:r>
      <w:r>
        <w:fldChar w:fldCharType="separate"/>
      </w:r>
      <w:r>
        <w:t>31</w:t>
      </w:r>
      <w:r>
        <w:fldChar w:fldCharType="end"/>
      </w:r>
    </w:p>
    <w:p>
      <w:pPr>
        <w:pStyle w:val="TOC8"/>
        <w:rPr>
          <w:rFonts w:asciiTheme="minorHAnsi" w:eastAsiaTheme="minorEastAsia" w:hAnsiTheme="minorHAnsi" w:cstheme="minorBidi"/>
          <w:szCs w:val="22"/>
        </w:rPr>
      </w:pPr>
      <w:r>
        <w:t>26.</w:t>
      </w:r>
      <w:r>
        <w:tab/>
        <w:t>Application for service approval — family day care service</w:t>
      </w:r>
      <w:r>
        <w:tab/>
      </w:r>
      <w:r>
        <w:fldChar w:fldCharType="begin"/>
      </w:r>
      <w:r>
        <w:instrText xml:space="preserve"> PAGEREF _Toc109832927 \h </w:instrText>
      </w:r>
      <w:r>
        <w:fldChar w:fldCharType="separate"/>
      </w:r>
      <w:r>
        <w:t>31</w:t>
      </w:r>
      <w:r>
        <w:fldChar w:fldCharType="end"/>
      </w:r>
    </w:p>
    <w:p>
      <w:pPr>
        <w:pStyle w:val="TOC8"/>
        <w:rPr>
          <w:rFonts w:asciiTheme="minorHAnsi" w:eastAsiaTheme="minorEastAsia" w:hAnsiTheme="minorHAnsi" w:cstheme="minorBidi"/>
          <w:szCs w:val="22"/>
        </w:rPr>
      </w:pPr>
      <w:r>
        <w:t>27.</w:t>
      </w:r>
      <w:r>
        <w:tab/>
        <w:t>Additional matters to have regard to in determining application for service approval</w:t>
      </w:r>
      <w:r>
        <w:tab/>
      </w:r>
      <w:r>
        <w:fldChar w:fldCharType="begin"/>
      </w:r>
      <w:r>
        <w:instrText xml:space="preserve"> PAGEREF _Toc109832928 \h </w:instrText>
      </w:r>
      <w:r>
        <w:fldChar w:fldCharType="separate"/>
      </w:r>
      <w:r>
        <w:t>33</w:t>
      </w:r>
      <w:r>
        <w:fldChar w:fldCharType="end"/>
      </w:r>
    </w:p>
    <w:p>
      <w:pPr>
        <w:pStyle w:val="TOC8"/>
        <w:rPr>
          <w:rFonts w:asciiTheme="minorHAnsi" w:eastAsiaTheme="minorEastAsia" w:hAnsiTheme="minorHAnsi" w:cstheme="minorBidi"/>
          <w:szCs w:val="22"/>
        </w:rPr>
      </w:pPr>
      <w:r>
        <w:t>28.</w:t>
      </w:r>
      <w:r>
        <w:tab/>
        <w:t>Additional grounds for refusal to grant service approval</w:t>
      </w:r>
      <w:r>
        <w:tab/>
      </w:r>
      <w:r>
        <w:fldChar w:fldCharType="begin"/>
      </w:r>
      <w:r>
        <w:instrText xml:space="preserve"> PAGEREF _Toc109832929 \h </w:instrText>
      </w:r>
      <w:r>
        <w:fldChar w:fldCharType="separate"/>
      </w:r>
      <w:r>
        <w:t>34</w:t>
      </w:r>
      <w:r>
        <w:fldChar w:fldCharType="end"/>
      </w:r>
    </w:p>
    <w:p>
      <w:pPr>
        <w:pStyle w:val="TOC8"/>
        <w:rPr>
          <w:rFonts w:asciiTheme="minorHAnsi" w:eastAsiaTheme="minorEastAsia" w:hAnsiTheme="minorHAnsi" w:cstheme="minorBidi"/>
          <w:szCs w:val="22"/>
        </w:rPr>
      </w:pPr>
      <w:r>
        <w:t>29.</w:t>
      </w:r>
      <w:r>
        <w:tab/>
        <w:t>Condition on service approval — insurance</w:t>
      </w:r>
      <w:r>
        <w:tab/>
      </w:r>
      <w:r>
        <w:fldChar w:fldCharType="begin"/>
      </w:r>
      <w:r>
        <w:instrText xml:space="preserve"> PAGEREF _Toc109832930 \h </w:instrText>
      </w:r>
      <w:r>
        <w:fldChar w:fldCharType="separate"/>
      </w:r>
      <w:r>
        <w:t>34</w:t>
      </w:r>
      <w:r>
        <w:fldChar w:fldCharType="end"/>
      </w:r>
    </w:p>
    <w:p>
      <w:pPr>
        <w:pStyle w:val="TOC8"/>
        <w:rPr>
          <w:rFonts w:asciiTheme="minorHAnsi" w:eastAsiaTheme="minorEastAsia" w:hAnsiTheme="minorHAnsi" w:cstheme="minorBidi"/>
          <w:szCs w:val="22"/>
        </w:rPr>
      </w:pPr>
      <w:r>
        <w:t>30.</w:t>
      </w:r>
      <w:r>
        <w:tab/>
        <w:t>Condition on service approval — family day care educator insurance</w:t>
      </w:r>
      <w:r>
        <w:tab/>
      </w:r>
      <w:r>
        <w:fldChar w:fldCharType="begin"/>
      </w:r>
      <w:r>
        <w:instrText xml:space="preserve"> PAGEREF _Toc109832931 \h </w:instrText>
      </w:r>
      <w:r>
        <w:fldChar w:fldCharType="separate"/>
      </w:r>
      <w:r>
        <w:t>35</w:t>
      </w:r>
      <w:r>
        <w:fldChar w:fldCharType="end"/>
      </w:r>
    </w:p>
    <w:p>
      <w:pPr>
        <w:pStyle w:val="TOC8"/>
        <w:rPr>
          <w:rFonts w:asciiTheme="minorHAnsi" w:eastAsiaTheme="minorEastAsia" w:hAnsiTheme="minorHAnsi" w:cstheme="minorBidi"/>
          <w:szCs w:val="22"/>
        </w:rPr>
      </w:pPr>
      <w:r>
        <w:t>31.</w:t>
      </w:r>
      <w:r>
        <w:tab/>
        <w:t>Condition on service approval — quality improvement plan</w:t>
      </w:r>
      <w:r>
        <w:tab/>
      </w:r>
      <w:r>
        <w:fldChar w:fldCharType="begin"/>
      </w:r>
      <w:r>
        <w:instrText xml:space="preserve"> PAGEREF _Toc109832932 \h </w:instrText>
      </w:r>
      <w:r>
        <w:fldChar w:fldCharType="separate"/>
      </w:r>
      <w:r>
        <w:t>35</w:t>
      </w:r>
      <w:r>
        <w:fldChar w:fldCharType="end"/>
      </w:r>
    </w:p>
    <w:p>
      <w:pPr>
        <w:pStyle w:val="TOC8"/>
        <w:rPr>
          <w:rFonts w:asciiTheme="minorHAnsi" w:eastAsiaTheme="minorEastAsia" w:hAnsiTheme="minorHAnsi" w:cstheme="minorBidi"/>
          <w:szCs w:val="22"/>
        </w:rPr>
      </w:pPr>
      <w:r>
        <w:t>32.</w:t>
      </w:r>
      <w:r>
        <w:tab/>
        <w:t>Condition on service approval — entitlement to occupy premises</w:t>
      </w:r>
      <w:r>
        <w:tab/>
      </w:r>
      <w:r>
        <w:fldChar w:fldCharType="begin"/>
      </w:r>
      <w:r>
        <w:instrText xml:space="preserve"> PAGEREF _Toc109832933 \h </w:instrText>
      </w:r>
      <w:r>
        <w:fldChar w:fldCharType="separate"/>
      </w:r>
      <w:r>
        <w:t>36</w:t>
      </w:r>
      <w:r>
        <w:fldChar w:fldCharType="end"/>
      </w:r>
    </w:p>
    <w:p>
      <w:pPr>
        <w:pStyle w:val="TOC8"/>
        <w:rPr>
          <w:rFonts w:asciiTheme="minorHAnsi" w:eastAsiaTheme="minorEastAsia" w:hAnsiTheme="minorHAnsi" w:cstheme="minorBidi"/>
          <w:szCs w:val="22"/>
        </w:rPr>
      </w:pPr>
      <w:r>
        <w:t>32A.</w:t>
      </w:r>
      <w:r>
        <w:tab/>
        <w:t>Condition on service approval — maximum number of family day care educators</w:t>
      </w:r>
      <w:r>
        <w:tab/>
      </w:r>
      <w:r>
        <w:fldChar w:fldCharType="begin"/>
      </w:r>
      <w:r>
        <w:instrText xml:space="preserve"> PAGEREF _Toc109832934 \h </w:instrText>
      </w:r>
      <w:r>
        <w:fldChar w:fldCharType="separate"/>
      </w:r>
      <w:r>
        <w:t>36</w:t>
      </w:r>
      <w:r>
        <w:fldChar w:fldCharType="end"/>
      </w:r>
    </w:p>
    <w:p>
      <w:pPr>
        <w:pStyle w:val="TOC8"/>
        <w:rPr>
          <w:rFonts w:asciiTheme="minorHAnsi" w:eastAsiaTheme="minorEastAsia" w:hAnsiTheme="minorHAnsi" w:cstheme="minorBidi"/>
          <w:szCs w:val="22"/>
        </w:rPr>
      </w:pPr>
      <w:r>
        <w:t>33.</w:t>
      </w:r>
      <w:r>
        <w:tab/>
        <w:t>Annual fees</w:t>
      </w:r>
      <w:r>
        <w:tab/>
      </w:r>
      <w:r>
        <w:fldChar w:fldCharType="begin"/>
      </w:r>
      <w:r>
        <w:instrText xml:space="preserve"> PAGEREF _Toc109832935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Amendment of service approval and notice of change to nominated supervisor</w:t>
      </w:r>
    </w:p>
    <w:p>
      <w:pPr>
        <w:pStyle w:val="TOC8"/>
        <w:rPr>
          <w:rFonts w:asciiTheme="minorHAnsi" w:eastAsiaTheme="minorEastAsia" w:hAnsiTheme="minorHAnsi" w:cstheme="minorBidi"/>
          <w:szCs w:val="22"/>
        </w:rPr>
      </w:pPr>
      <w:r>
        <w:t>34.</w:t>
      </w:r>
      <w:r>
        <w:tab/>
        <w:t>Prescribed information for application to amend service approval</w:t>
      </w:r>
      <w:r>
        <w:tab/>
      </w:r>
      <w:r>
        <w:fldChar w:fldCharType="begin"/>
      </w:r>
      <w:r>
        <w:instrText xml:space="preserve"> PAGEREF _Toc109832937 \h </w:instrText>
      </w:r>
      <w:r>
        <w:fldChar w:fldCharType="separate"/>
      </w:r>
      <w:r>
        <w:t>36</w:t>
      </w:r>
      <w:r>
        <w:fldChar w:fldCharType="end"/>
      </w:r>
    </w:p>
    <w:p>
      <w:pPr>
        <w:pStyle w:val="TOC8"/>
        <w:rPr>
          <w:rFonts w:asciiTheme="minorHAnsi" w:eastAsiaTheme="minorEastAsia" w:hAnsiTheme="minorHAnsi" w:cstheme="minorBidi"/>
          <w:szCs w:val="22"/>
        </w:rPr>
      </w:pPr>
      <w:r>
        <w:t>35.</w:t>
      </w:r>
      <w:r>
        <w:tab/>
        <w:t>Notice of addition of new nominated supervisor</w:t>
      </w:r>
      <w:r>
        <w:tab/>
      </w:r>
      <w:r>
        <w:fldChar w:fldCharType="begin"/>
      </w:r>
      <w:r>
        <w:instrText xml:space="preserve"> PAGEREF _Toc109832938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Division 3 — Transfer of service approval</w:t>
      </w:r>
    </w:p>
    <w:p>
      <w:pPr>
        <w:pStyle w:val="TOC8"/>
        <w:rPr>
          <w:rFonts w:asciiTheme="minorHAnsi" w:eastAsiaTheme="minorEastAsia" w:hAnsiTheme="minorHAnsi" w:cstheme="minorBidi"/>
          <w:szCs w:val="22"/>
        </w:rPr>
      </w:pPr>
      <w:r>
        <w:t>36.</w:t>
      </w:r>
      <w:r>
        <w:tab/>
        <w:t>Notice of transfer of service approval — centre</w:t>
      </w:r>
      <w:r>
        <w:noBreakHyphen/>
        <w:t>based service</w:t>
      </w:r>
      <w:r>
        <w:tab/>
      </w:r>
      <w:r>
        <w:fldChar w:fldCharType="begin"/>
      </w:r>
      <w:r>
        <w:instrText xml:space="preserve"> PAGEREF _Toc109832940 \h </w:instrText>
      </w:r>
      <w:r>
        <w:fldChar w:fldCharType="separate"/>
      </w:r>
      <w:r>
        <w:t>38</w:t>
      </w:r>
      <w:r>
        <w:fldChar w:fldCharType="end"/>
      </w:r>
    </w:p>
    <w:p>
      <w:pPr>
        <w:pStyle w:val="TOC8"/>
        <w:rPr>
          <w:rFonts w:asciiTheme="minorHAnsi" w:eastAsiaTheme="minorEastAsia" w:hAnsiTheme="minorHAnsi" w:cstheme="minorBidi"/>
          <w:szCs w:val="22"/>
        </w:rPr>
      </w:pPr>
      <w:r>
        <w:t>37.</w:t>
      </w:r>
      <w:r>
        <w:tab/>
        <w:t>Notice of transfer of service approval — family day care service</w:t>
      </w:r>
      <w:r>
        <w:tab/>
      </w:r>
      <w:r>
        <w:fldChar w:fldCharType="begin"/>
      </w:r>
      <w:r>
        <w:instrText xml:space="preserve"> PAGEREF _Toc109832941 \h </w:instrText>
      </w:r>
      <w:r>
        <w:fldChar w:fldCharType="separate"/>
      </w:r>
      <w:r>
        <w:t>39</w:t>
      </w:r>
      <w:r>
        <w:fldChar w:fldCharType="end"/>
      </w:r>
    </w:p>
    <w:p>
      <w:pPr>
        <w:pStyle w:val="TOC8"/>
        <w:rPr>
          <w:rFonts w:asciiTheme="minorHAnsi" w:eastAsiaTheme="minorEastAsia" w:hAnsiTheme="minorHAnsi" w:cstheme="minorBidi"/>
          <w:szCs w:val="22"/>
        </w:rPr>
      </w:pPr>
      <w:r>
        <w:t>38.</w:t>
      </w:r>
      <w:r>
        <w:tab/>
        <w:t>Notification of decision to intervene in transfer of service approval</w:t>
      </w:r>
      <w:r>
        <w:tab/>
      </w:r>
      <w:r>
        <w:fldChar w:fldCharType="begin"/>
      </w:r>
      <w:r>
        <w:instrText xml:space="preserve"> PAGEREF _Toc109832942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Division 4 — Suspension of service approval</w:t>
      </w:r>
    </w:p>
    <w:p>
      <w:pPr>
        <w:pStyle w:val="TOC8"/>
        <w:rPr>
          <w:rFonts w:asciiTheme="minorHAnsi" w:eastAsiaTheme="minorEastAsia" w:hAnsiTheme="minorHAnsi" w:cstheme="minorBidi"/>
          <w:szCs w:val="22"/>
        </w:rPr>
      </w:pPr>
      <w:r>
        <w:t>39.</w:t>
      </w:r>
      <w:r>
        <w:tab/>
        <w:t>Maximum period of suspension of service approval</w:t>
      </w:r>
      <w:r>
        <w:tab/>
      </w:r>
      <w:r>
        <w:fldChar w:fldCharType="begin"/>
      </w:r>
      <w:r>
        <w:instrText xml:space="preserve"> PAGEREF _Toc109832944 \h </w:instrText>
      </w:r>
      <w:r>
        <w:fldChar w:fldCharType="separate"/>
      </w:r>
      <w:r>
        <w:t>40</w:t>
      </w:r>
      <w:r>
        <w:fldChar w:fldCharType="end"/>
      </w:r>
    </w:p>
    <w:p>
      <w:pPr>
        <w:pStyle w:val="TOC8"/>
        <w:rPr>
          <w:rFonts w:asciiTheme="minorHAnsi" w:eastAsiaTheme="minorEastAsia" w:hAnsiTheme="minorHAnsi" w:cstheme="minorBidi"/>
          <w:szCs w:val="22"/>
        </w:rPr>
      </w:pPr>
      <w:r>
        <w:t>40.</w:t>
      </w:r>
      <w:r>
        <w:tab/>
        <w:t>Application for voluntary suspension of service approval</w:t>
      </w:r>
      <w:r>
        <w:tab/>
      </w:r>
      <w:r>
        <w:fldChar w:fldCharType="begin"/>
      </w:r>
      <w:r>
        <w:instrText xml:space="preserve"> PAGEREF _Toc109832945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Division 5 — Service waiver</w:t>
      </w:r>
    </w:p>
    <w:p>
      <w:pPr>
        <w:pStyle w:val="TOC8"/>
        <w:rPr>
          <w:rFonts w:asciiTheme="minorHAnsi" w:eastAsiaTheme="minorEastAsia" w:hAnsiTheme="minorHAnsi" w:cstheme="minorBidi"/>
          <w:szCs w:val="22"/>
        </w:rPr>
      </w:pPr>
      <w:r>
        <w:t>41.</w:t>
      </w:r>
      <w:r>
        <w:tab/>
        <w:t>Service waiver — prescribed elements</w:t>
      </w:r>
      <w:r>
        <w:tab/>
      </w:r>
      <w:r>
        <w:fldChar w:fldCharType="begin"/>
      </w:r>
      <w:r>
        <w:instrText xml:space="preserve"> PAGEREF _Toc109832947 \h </w:instrText>
      </w:r>
      <w:r>
        <w:fldChar w:fldCharType="separate"/>
      </w:r>
      <w:r>
        <w:t>40</w:t>
      </w:r>
      <w:r>
        <w:fldChar w:fldCharType="end"/>
      </w:r>
    </w:p>
    <w:p>
      <w:pPr>
        <w:pStyle w:val="TOC8"/>
        <w:rPr>
          <w:rFonts w:asciiTheme="minorHAnsi" w:eastAsiaTheme="minorEastAsia" w:hAnsiTheme="minorHAnsi" w:cstheme="minorBidi"/>
          <w:szCs w:val="22"/>
        </w:rPr>
      </w:pPr>
      <w:r>
        <w:t>42.</w:t>
      </w:r>
      <w:r>
        <w:tab/>
        <w:t>Prescribed information — application for service waiver</w:t>
      </w:r>
      <w:r>
        <w:tab/>
      </w:r>
      <w:r>
        <w:fldChar w:fldCharType="begin"/>
      </w:r>
      <w:r>
        <w:instrText xml:space="preserve"> PAGEREF _Toc109832948 \h </w:instrText>
      </w:r>
      <w:r>
        <w:fldChar w:fldCharType="separate"/>
      </w:r>
      <w:r>
        <w:t>41</w:t>
      </w:r>
      <w:r>
        <w:fldChar w:fldCharType="end"/>
      </w:r>
    </w:p>
    <w:p>
      <w:pPr>
        <w:pStyle w:val="TOC8"/>
        <w:rPr>
          <w:rFonts w:asciiTheme="minorHAnsi" w:eastAsiaTheme="minorEastAsia" w:hAnsiTheme="minorHAnsi" w:cstheme="minorBidi"/>
          <w:szCs w:val="22"/>
        </w:rPr>
      </w:pPr>
      <w:r>
        <w:t>43.</w:t>
      </w:r>
      <w:r>
        <w:tab/>
        <w:t>Prescribed period — revocation of service waiver</w:t>
      </w:r>
      <w:r>
        <w:tab/>
      </w:r>
      <w:r>
        <w:fldChar w:fldCharType="begin"/>
      </w:r>
      <w:r>
        <w:instrText xml:space="preserve"> PAGEREF _Toc109832949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Division 6 — Temporary waiver</w:t>
      </w:r>
    </w:p>
    <w:p>
      <w:pPr>
        <w:pStyle w:val="TOC8"/>
        <w:rPr>
          <w:rFonts w:asciiTheme="minorHAnsi" w:eastAsiaTheme="minorEastAsia" w:hAnsiTheme="minorHAnsi" w:cstheme="minorBidi"/>
          <w:szCs w:val="22"/>
        </w:rPr>
      </w:pPr>
      <w:r>
        <w:t>44.</w:t>
      </w:r>
      <w:r>
        <w:tab/>
        <w:t>Temporary waiver — prescribed elements</w:t>
      </w:r>
      <w:r>
        <w:tab/>
      </w:r>
      <w:r>
        <w:fldChar w:fldCharType="begin"/>
      </w:r>
      <w:r>
        <w:instrText xml:space="preserve"> PAGEREF _Toc109832951 \h </w:instrText>
      </w:r>
      <w:r>
        <w:fldChar w:fldCharType="separate"/>
      </w:r>
      <w:r>
        <w:t>43</w:t>
      </w:r>
      <w:r>
        <w:fldChar w:fldCharType="end"/>
      </w:r>
    </w:p>
    <w:p>
      <w:pPr>
        <w:pStyle w:val="TOC8"/>
        <w:rPr>
          <w:rFonts w:asciiTheme="minorHAnsi" w:eastAsiaTheme="minorEastAsia" w:hAnsiTheme="minorHAnsi" w:cstheme="minorBidi"/>
          <w:szCs w:val="22"/>
        </w:rPr>
      </w:pPr>
      <w:r>
        <w:t>45.</w:t>
      </w:r>
      <w:r>
        <w:tab/>
        <w:t>Application for temporary waiver</w:t>
      </w:r>
      <w:r>
        <w:tab/>
      </w:r>
      <w:r>
        <w:fldChar w:fldCharType="begin"/>
      </w:r>
      <w:r>
        <w:instrText xml:space="preserve"> PAGEREF _Toc109832952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Chapter 3 — Assessments and ratings</w:t>
      </w:r>
    </w:p>
    <w:p>
      <w:pPr>
        <w:pStyle w:val="TOC4"/>
        <w:tabs>
          <w:tab w:val="right" w:leader="dot" w:pos="7077"/>
        </w:tabs>
        <w:rPr>
          <w:rFonts w:asciiTheme="minorHAnsi" w:eastAsiaTheme="minorEastAsia" w:hAnsiTheme="minorHAnsi" w:cstheme="minorBidi"/>
          <w:b w:val="0"/>
          <w:szCs w:val="22"/>
        </w:rPr>
      </w:pPr>
      <w:r>
        <w:t>Part 3.1 — Quality improvement plans</w:t>
      </w:r>
    </w:p>
    <w:p>
      <w:pPr>
        <w:pStyle w:val="TOC8"/>
        <w:rPr>
          <w:rFonts w:asciiTheme="minorHAnsi" w:eastAsiaTheme="minorEastAsia" w:hAnsiTheme="minorHAnsi" w:cstheme="minorBidi"/>
          <w:szCs w:val="22"/>
        </w:rPr>
      </w:pPr>
      <w:r>
        <w:t>55.</w:t>
      </w:r>
      <w:r>
        <w:tab/>
        <w:t>Quality improvement plans</w:t>
      </w:r>
      <w:r>
        <w:tab/>
      </w:r>
      <w:r>
        <w:fldChar w:fldCharType="begin"/>
      </w:r>
      <w:r>
        <w:instrText xml:space="preserve"> PAGEREF _Toc109832955 \h </w:instrText>
      </w:r>
      <w:r>
        <w:fldChar w:fldCharType="separate"/>
      </w:r>
      <w:r>
        <w:t>45</w:t>
      </w:r>
      <w:r>
        <w:fldChar w:fldCharType="end"/>
      </w:r>
    </w:p>
    <w:p>
      <w:pPr>
        <w:pStyle w:val="TOC8"/>
        <w:rPr>
          <w:rFonts w:asciiTheme="minorHAnsi" w:eastAsiaTheme="minorEastAsia" w:hAnsiTheme="minorHAnsi" w:cstheme="minorBidi"/>
          <w:szCs w:val="22"/>
        </w:rPr>
      </w:pPr>
      <w:r>
        <w:t>56.</w:t>
      </w:r>
      <w:r>
        <w:tab/>
        <w:t>Review and revision of quality improvement plans</w:t>
      </w:r>
      <w:r>
        <w:tab/>
      </w:r>
      <w:r>
        <w:fldChar w:fldCharType="begin"/>
      </w:r>
      <w:r>
        <w:instrText xml:space="preserve"> PAGEREF _Toc109832956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Part 3.2 — Prescribed rating levels</w:t>
      </w:r>
    </w:p>
    <w:p>
      <w:pPr>
        <w:pStyle w:val="TOC8"/>
        <w:rPr>
          <w:rFonts w:asciiTheme="minorHAnsi" w:eastAsiaTheme="minorEastAsia" w:hAnsiTheme="minorHAnsi" w:cstheme="minorBidi"/>
          <w:szCs w:val="22"/>
        </w:rPr>
      </w:pPr>
      <w:r>
        <w:t>57.</w:t>
      </w:r>
      <w:r>
        <w:tab/>
        <w:t>Rating levels</w:t>
      </w:r>
      <w:r>
        <w:tab/>
      </w:r>
      <w:r>
        <w:fldChar w:fldCharType="begin"/>
      </w:r>
      <w:r>
        <w:instrText xml:space="preserve"> PAGEREF _Toc109832958 \h </w:instrText>
      </w:r>
      <w:r>
        <w:fldChar w:fldCharType="separate"/>
      </w:r>
      <w:r>
        <w:t>46</w:t>
      </w:r>
      <w:r>
        <w:fldChar w:fldCharType="end"/>
      </w:r>
    </w:p>
    <w:p>
      <w:pPr>
        <w:pStyle w:val="TOC8"/>
        <w:rPr>
          <w:rFonts w:asciiTheme="minorHAnsi" w:eastAsiaTheme="minorEastAsia" w:hAnsiTheme="minorHAnsi" w:cstheme="minorBidi"/>
          <w:szCs w:val="22"/>
        </w:rPr>
      </w:pPr>
      <w:r>
        <w:t>58.</w:t>
      </w:r>
      <w:r>
        <w:tab/>
        <w:t>Prescribed provisional rating</w:t>
      </w:r>
      <w:r>
        <w:tab/>
      </w:r>
      <w:r>
        <w:fldChar w:fldCharType="begin"/>
      </w:r>
      <w:r>
        <w:instrText xml:space="preserve"> PAGEREF _Toc109832959 \h </w:instrText>
      </w:r>
      <w:r>
        <w:fldChar w:fldCharType="separate"/>
      </w:r>
      <w:r>
        <w:t>47</w:t>
      </w:r>
      <w:r>
        <w:fldChar w:fldCharType="end"/>
      </w:r>
    </w:p>
    <w:p>
      <w:pPr>
        <w:pStyle w:val="TOC8"/>
        <w:rPr>
          <w:rFonts w:asciiTheme="minorHAnsi" w:eastAsiaTheme="minorEastAsia" w:hAnsiTheme="minorHAnsi" w:cstheme="minorBidi"/>
          <w:szCs w:val="22"/>
        </w:rPr>
      </w:pPr>
      <w:r>
        <w:t>59.</w:t>
      </w:r>
      <w:r>
        <w:tab/>
        <w:t>Significant Improvement Required</w:t>
      </w:r>
      <w:r>
        <w:tab/>
      </w:r>
      <w:r>
        <w:fldChar w:fldCharType="begin"/>
      </w:r>
      <w:r>
        <w:instrText xml:space="preserve"> PAGEREF _Toc109832960 \h </w:instrText>
      </w:r>
      <w:r>
        <w:fldChar w:fldCharType="separate"/>
      </w:r>
      <w:r>
        <w:t>47</w:t>
      </w:r>
      <w:r>
        <w:fldChar w:fldCharType="end"/>
      </w:r>
    </w:p>
    <w:p>
      <w:pPr>
        <w:pStyle w:val="TOC8"/>
        <w:rPr>
          <w:rFonts w:asciiTheme="minorHAnsi" w:eastAsiaTheme="minorEastAsia" w:hAnsiTheme="minorHAnsi" w:cstheme="minorBidi"/>
          <w:szCs w:val="22"/>
        </w:rPr>
      </w:pPr>
      <w:r>
        <w:t>60.</w:t>
      </w:r>
      <w:r>
        <w:tab/>
        <w:t>Working Towards National Quality Standard</w:t>
      </w:r>
      <w:r>
        <w:tab/>
      </w:r>
      <w:r>
        <w:fldChar w:fldCharType="begin"/>
      </w:r>
      <w:r>
        <w:instrText xml:space="preserve"> PAGEREF _Toc109832961 \h </w:instrText>
      </w:r>
      <w:r>
        <w:fldChar w:fldCharType="separate"/>
      </w:r>
      <w:r>
        <w:t>47</w:t>
      </w:r>
      <w:r>
        <w:fldChar w:fldCharType="end"/>
      </w:r>
    </w:p>
    <w:p>
      <w:pPr>
        <w:pStyle w:val="TOC8"/>
        <w:rPr>
          <w:rFonts w:asciiTheme="minorHAnsi" w:eastAsiaTheme="minorEastAsia" w:hAnsiTheme="minorHAnsi" w:cstheme="minorBidi"/>
          <w:szCs w:val="22"/>
        </w:rPr>
      </w:pPr>
      <w:r>
        <w:t>61.</w:t>
      </w:r>
      <w:r>
        <w:tab/>
        <w:t>Meeting National Quality Standard</w:t>
      </w:r>
      <w:r>
        <w:tab/>
      </w:r>
      <w:r>
        <w:fldChar w:fldCharType="begin"/>
      </w:r>
      <w:r>
        <w:instrText xml:space="preserve"> PAGEREF _Toc109832962 \h </w:instrText>
      </w:r>
      <w:r>
        <w:fldChar w:fldCharType="separate"/>
      </w:r>
      <w:r>
        <w:t>48</w:t>
      </w:r>
      <w:r>
        <w:fldChar w:fldCharType="end"/>
      </w:r>
    </w:p>
    <w:p>
      <w:pPr>
        <w:pStyle w:val="TOC8"/>
        <w:rPr>
          <w:rFonts w:asciiTheme="minorHAnsi" w:eastAsiaTheme="minorEastAsia" w:hAnsiTheme="minorHAnsi" w:cstheme="minorBidi"/>
          <w:szCs w:val="22"/>
        </w:rPr>
      </w:pPr>
      <w:r>
        <w:t>62.</w:t>
      </w:r>
      <w:r>
        <w:tab/>
        <w:t>Exceeding National Quality Standard</w:t>
      </w:r>
      <w:r>
        <w:tab/>
      </w:r>
      <w:r>
        <w:fldChar w:fldCharType="begin"/>
      </w:r>
      <w:r>
        <w:instrText xml:space="preserve"> PAGEREF _Toc109832963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3.3 — Assessment</w:t>
      </w:r>
    </w:p>
    <w:p>
      <w:pPr>
        <w:pStyle w:val="TOC6"/>
        <w:tabs>
          <w:tab w:val="right" w:leader="dot" w:pos="7077"/>
        </w:tabs>
        <w:rPr>
          <w:rFonts w:asciiTheme="minorHAnsi" w:eastAsiaTheme="minorEastAsia" w:hAnsiTheme="minorHAnsi" w:cstheme="minorBidi"/>
          <w:b w:val="0"/>
          <w:sz w:val="22"/>
          <w:szCs w:val="22"/>
        </w:rPr>
      </w:pPr>
      <w:r>
        <w:t>Division 1 — Assessment</w:t>
      </w:r>
    </w:p>
    <w:p>
      <w:pPr>
        <w:pStyle w:val="TOC8"/>
        <w:rPr>
          <w:rFonts w:asciiTheme="minorHAnsi" w:eastAsiaTheme="minorEastAsia" w:hAnsiTheme="minorHAnsi" w:cstheme="minorBidi"/>
          <w:szCs w:val="22"/>
        </w:rPr>
      </w:pPr>
      <w:r>
        <w:t>63.</w:t>
      </w:r>
      <w:r>
        <w:tab/>
        <w:t>Assessing approved education and care services</w:t>
      </w:r>
      <w:r>
        <w:tab/>
      </w:r>
      <w:r>
        <w:fldChar w:fldCharType="begin"/>
      </w:r>
      <w:r>
        <w:instrText xml:space="preserve"> PAGEREF _Toc109832966 \h </w:instrText>
      </w:r>
      <w:r>
        <w:fldChar w:fldCharType="separate"/>
      </w:r>
      <w:r>
        <w:t>50</w:t>
      </w:r>
      <w:r>
        <w:fldChar w:fldCharType="end"/>
      </w:r>
    </w:p>
    <w:p>
      <w:pPr>
        <w:pStyle w:val="TOC8"/>
        <w:rPr>
          <w:rFonts w:asciiTheme="minorHAnsi" w:eastAsiaTheme="minorEastAsia" w:hAnsiTheme="minorHAnsi" w:cstheme="minorBidi"/>
          <w:szCs w:val="22"/>
        </w:rPr>
      </w:pPr>
      <w:r>
        <w:t>64.</w:t>
      </w:r>
      <w:r>
        <w:tab/>
        <w:t>Matters for determination of rating</w:t>
      </w:r>
      <w:r>
        <w:tab/>
      </w:r>
      <w:r>
        <w:fldChar w:fldCharType="begin"/>
      </w:r>
      <w:r>
        <w:instrText xml:space="preserve"> PAGEREF _Toc109832967 \h </w:instrText>
      </w:r>
      <w:r>
        <w:fldChar w:fldCharType="separate"/>
      </w:r>
      <w:r>
        <w:t>52</w:t>
      </w:r>
      <w:r>
        <w:fldChar w:fldCharType="end"/>
      </w:r>
    </w:p>
    <w:p>
      <w:pPr>
        <w:pStyle w:val="TOC8"/>
        <w:rPr>
          <w:rFonts w:asciiTheme="minorHAnsi" w:eastAsiaTheme="minorEastAsia" w:hAnsiTheme="minorHAnsi" w:cstheme="minorBidi"/>
          <w:szCs w:val="22"/>
        </w:rPr>
      </w:pPr>
      <w:r>
        <w:t>65.</w:t>
      </w:r>
      <w:r>
        <w:tab/>
        <w:t>Assessment and rating of new education and care services</w:t>
      </w:r>
      <w:r>
        <w:tab/>
      </w:r>
      <w:r>
        <w:fldChar w:fldCharType="begin"/>
      </w:r>
      <w:r>
        <w:instrText xml:space="preserve"> PAGEREF _Toc109832968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Division 2 — Reassessment</w:t>
      </w:r>
    </w:p>
    <w:p>
      <w:pPr>
        <w:pStyle w:val="TOC8"/>
        <w:rPr>
          <w:rFonts w:asciiTheme="minorHAnsi" w:eastAsiaTheme="minorEastAsia" w:hAnsiTheme="minorHAnsi" w:cstheme="minorBidi"/>
          <w:szCs w:val="22"/>
        </w:rPr>
      </w:pPr>
      <w:r>
        <w:t>66.</w:t>
      </w:r>
      <w:r>
        <w:tab/>
        <w:t>Application for reassessment</w:t>
      </w:r>
      <w:r>
        <w:tab/>
      </w:r>
      <w:r>
        <w:fldChar w:fldCharType="begin"/>
      </w:r>
      <w:r>
        <w:instrText xml:space="preserve"> PAGEREF _Toc109832970 \h </w:instrText>
      </w:r>
      <w:r>
        <w:fldChar w:fldCharType="separate"/>
      </w:r>
      <w:r>
        <w:t>52</w:t>
      </w:r>
      <w:r>
        <w:fldChar w:fldCharType="end"/>
      </w:r>
    </w:p>
    <w:p>
      <w:pPr>
        <w:pStyle w:val="TOC8"/>
        <w:rPr>
          <w:rFonts w:asciiTheme="minorHAnsi" w:eastAsiaTheme="minorEastAsia" w:hAnsiTheme="minorHAnsi" w:cstheme="minorBidi"/>
          <w:szCs w:val="22"/>
        </w:rPr>
      </w:pPr>
      <w:r>
        <w:t>67.</w:t>
      </w:r>
      <w:r>
        <w:tab/>
        <w:t>Reassessment by Regulatory Authority</w:t>
      </w:r>
      <w:r>
        <w:tab/>
      </w:r>
      <w:r>
        <w:fldChar w:fldCharType="begin"/>
      </w:r>
      <w:r>
        <w:instrText xml:space="preserve"> PAGEREF _Toc109832971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Part 3.4 — Review of ratings</w:t>
      </w:r>
    </w:p>
    <w:p>
      <w:pPr>
        <w:pStyle w:val="TOC6"/>
        <w:tabs>
          <w:tab w:val="right" w:leader="dot" w:pos="7077"/>
        </w:tabs>
        <w:rPr>
          <w:rFonts w:asciiTheme="minorHAnsi" w:eastAsiaTheme="minorEastAsia" w:hAnsiTheme="minorHAnsi" w:cstheme="minorBidi"/>
          <w:b w:val="0"/>
          <w:sz w:val="22"/>
          <w:szCs w:val="22"/>
        </w:rPr>
      </w:pPr>
      <w:r>
        <w:t>Division 1 — Review of ratings by Regulatory Authority</w:t>
      </w:r>
    </w:p>
    <w:p>
      <w:pPr>
        <w:pStyle w:val="TOC8"/>
        <w:rPr>
          <w:rFonts w:asciiTheme="minorHAnsi" w:eastAsiaTheme="minorEastAsia" w:hAnsiTheme="minorHAnsi" w:cstheme="minorBidi"/>
          <w:szCs w:val="22"/>
        </w:rPr>
      </w:pPr>
      <w:r>
        <w:t>68.</w:t>
      </w:r>
      <w:r>
        <w:tab/>
        <w:t>Prescribed information for request for review of rating</w:t>
      </w:r>
      <w:r>
        <w:tab/>
      </w:r>
      <w:r>
        <w:fldChar w:fldCharType="begin"/>
      </w:r>
      <w:r>
        <w:instrText xml:space="preserve"> PAGEREF _Toc109832974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Division 2 — Review of ratings by Ratings Review Panel</w:t>
      </w:r>
    </w:p>
    <w:p>
      <w:pPr>
        <w:pStyle w:val="TOC8"/>
        <w:rPr>
          <w:rFonts w:asciiTheme="minorHAnsi" w:eastAsiaTheme="minorEastAsia" w:hAnsiTheme="minorHAnsi" w:cstheme="minorBidi"/>
          <w:szCs w:val="22"/>
        </w:rPr>
      </w:pPr>
      <w:r>
        <w:t>69.</w:t>
      </w:r>
      <w:r>
        <w:tab/>
        <w:t>Application for further review by Ratings Review Panel</w:t>
      </w:r>
      <w:r>
        <w:tab/>
      </w:r>
      <w:r>
        <w:fldChar w:fldCharType="begin"/>
      </w:r>
      <w:r>
        <w:instrText xml:space="preserve"> PAGEREF _Toc109832976 \h </w:instrText>
      </w:r>
      <w:r>
        <w:fldChar w:fldCharType="separate"/>
      </w:r>
      <w:r>
        <w:t>54</w:t>
      </w:r>
      <w:r>
        <w:fldChar w:fldCharType="end"/>
      </w:r>
    </w:p>
    <w:p>
      <w:pPr>
        <w:pStyle w:val="TOC8"/>
        <w:rPr>
          <w:rFonts w:asciiTheme="minorHAnsi" w:eastAsiaTheme="minorEastAsia" w:hAnsiTheme="minorHAnsi" w:cstheme="minorBidi"/>
          <w:szCs w:val="22"/>
        </w:rPr>
      </w:pPr>
      <w:r>
        <w:t>70.</w:t>
      </w:r>
      <w:r>
        <w:tab/>
        <w:t>Prescribed areas of expertise or expert knowledge of Ratings Review Panel pool</w:t>
      </w:r>
      <w:r>
        <w:tab/>
      </w:r>
      <w:r>
        <w:fldChar w:fldCharType="begin"/>
      </w:r>
      <w:r>
        <w:instrText xml:space="preserve"> PAGEREF _Toc109832977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Part 3.5 — Highest rating</w:t>
      </w:r>
    </w:p>
    <w:p>
      <w:pPr>
        <w:pStyle w:val="TOC8"/>
        <w:rPr>
          <w:rFonts w:asciiTheme="minorHAnsi" w:eastAsiaTheme="minorEastAsia" w:hAnsiTheme="minorHAnsi" w:cstheme="minorBidi"/>
          <w:szCs w:val="22"/>
        </w:rPr>
      </w:pPr>
      <w:r>
        <w:t>70A.</w:t>
      </w:r>
      <w:r>
        <w:tab/>
        <w:t>Prescribed rating levels for application for highest rating</w:t>
      </w:r>
      <w:r>
        <w:tab/>
      </w:r>
      <w:r>
        <w:fldChar w:fldCharType="begin"/>
      </w:r>
      <w:r>
        <w:instrText xml:space="preserve"> PAGEREF _Toc109832979 \h </w:instrText>
      </w:r>
      <w:r>
        <w:fldChar w:fldCharType="separate"/>
      </w:r>
      <w:r>
        <w:t>55</w:t>
      </w:r>
      <w:r>
        <w:fldChar w:fldCharType="end"/>
      </w:r>
    </w:p>
    <w:p>
      <w:pPr>
        <w:pStyle w:val="TOC8"/>
        <w:rPr>
          <w:rFonts w:asciiTheme="minorHAnsi" w:eastAsiaTheme="minorEastAsia" w:hAnsiTheme="minorHAnsi" w:cstheme="minorBidi"/>
          <w:szCs w:val="22"/>
        </w:rPr>
      </w:pPr>
      <w:r>
        <w:t>71.</w:t>
      </w:r>
      <w:r>
        <w:tab/>
        <w:t>Application or reapplication for the highest rating</w:t>
      </w:r>
      <w:r>
        <w:tab/>
      </w:r>
      <w:r>
        <w:fldChar w:fldCharType="begin"/>
      </w:r>
      <w:r>
        <w:instrText xml:space="preserve"> PAGEREF _Toc109832980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Part 3.6 — Offences</w:t>
      </w:r>
    </w:p>
    <w:p>
      <w:pPr>
        <w:pStyle w:val="TOC8"/>
        <w:rPr>
          <w:rFonts w:asciiTheme="minorHAnsi" w:eastAsiaTheme="minorEastAsia" w:hAnsiTheme="minorHAnsi" w:cstheme="minorBidi"/>
          <w:szCs w:val="22"/>
        </w:rPr>
      </w:pPr>
      <w:r>
        <w:t>72.</w:t>
      </w:r>
      <w:r>
        <w:tab/>
        <w:t>Offences in relation to giving false or misleading statements about ratings</w:t>
      </w:r>
      <w:r>
        <w:tab/>
      </w:r>
      <w:r>
        <w:fldChar w:fldCharType="begin"/>
      </w:r>
      <w:r>
        <w:instrText xml:space="preserve"> PAGEREF _Toc109832982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Chapter 4 — Operational requirements</w:t>
      </w:r>
    </w:p>
    <w:p>
      <w:pPr>
        <w:pStyle w:val="TOC4"/>
        <w:tabs>
          <w:tab w:val="right" w:leader="dot" w:pos="7077"/>
        </w:tabs>
        <w:rPr>
          <w:rFonts w:asciiTheme="minorHAnsi" w:eastAsiaTheme="minorEastAsia" w:hAnsiTheme="minorHAnsi" w:cstheme="minorBidi"/>
          <w:b w:val="0"/>
          <w:szCs w:val="22"/>
        </w:rPr>
      </w:pPr>
      <w:r>
        <w:t>Part 4.1AA — Location of principal office</w:t>
      </w:r>
    </w:p>
    <w:p>
      <w:pPr>
        <w:pStyle w:val="TOC8"/>
        <w:rPr>
          <w:rFonts w:asciiTheme="minorHAnsi" w:eastAsiaTheme="minorEastAsia" w:hAnsiTheme="minorHAnsi" w:cstheme="minorBidi"/>
          <w:szCs w:val="22"/>
        </w:rPr>
      </w:pPr>
      <w:r>
        <w:t>72A.</w:t>
      </w:r>
      <w:r>
        <w:tab/>
        <w:t>Location of principal office of family day care service</w:t>
      </w:r>
      <w:r>
        <w:tab/>
      </w:r>
      <w:r>
        <w:fldChar w:fldCharType="begin"/>
      </w:r>
      <w:r>
        <w:instrText xml:space="preserve"> PAGEREF _Toc109832985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Part 4.1 — Educational program and practice</w:t>
      </w:r>
    </w:p>
    <w:p>
      <w:pPr>
        <w:pStyle w:val="TOC8"/>
        <w:rPr>
          <w:rFonts w:asciiTheme="minorHAnsi" w:eastAsiaTheme="minorEastAsia" w:hAnsiTheme="minorHAnsi" w:cstheme="minorBidi"/>
          <w:szCs w:val="22"/>
        </w:rPr>
      </w:pPr>
      <w:r>
        <w:t>73.</w:t>
      </w:r>
      <w:r>
        <w:tab/>
        <w:t>Educational program</w:t>
      </w:r>
      <w:r>
        <w:tab/>
      </w:r>
      <w:r>
        <w:fldChar w:fldCharType="begin"/>
      </w:r>
      <w:r>
        <w:instrText xml:space="preserve"> PAGEREF _Toc109832987 \h </w:instrText>
      </w:r>
      <w:r>
        <w:fldChar w:fldCharType="separate"/>
      </w:r>
      <w:r>
        <w:t>59</w:t>
      </w:r>
      <w:r>
        <w:fldChar w:fldCharType="end"/>
      </w:r>
    </w:p>
    <w:p>
      <w:pPr>
        <w:pStyle w:val="TOC8"/>
        <w:rPr>
          <w:rFonts w:asciiTheme="minorHAnsi" w:eastAsiaTheme="minorEastAsia" w:hAnsiTheme="minorHAnsi" w:cstheme="minorBidi"/>
          <w:szCs w:val="22"/>
        </w:rPr>
      </w:pPr>
      <w:r>
        <w:t>74.</w:t>
      </w:r>
      <w:r>
        <w:tab/>
        <w:t>Documenting of child assessments or evaluations for delivery of educational program</w:t>
      </w:r>
      <w:r>
        <w:tab/>
      </w:r>
      <w:r>
        <w:fldChar w:fldCharType="begin"/>
      </w:r>
      <w:r>
        <w:instrText xml:space="preserve"> PAGEREF _Toc109832988 \h </w:instrText>
      </w:r>
      <w:r>
        <w:fldChar w:fldCharType="separate"/>
      </w:r>
      <w:r>
        <w:t>59</w:t>
      </w:r>
      <w:r>
        <w:fldChar w:fldCharType="end"/>
      </w:r>
    </w:p>
    <w:p>
      <w:pPr>
        <w:pStyle w:val="TOC8"/>
        <w:rPr>
          <w:rFonts w:asciiTheme="minorHAnsi" w:eastAsiaTheme="minorEastAsia" w:hAnsiTheme="minorHAnsi" w:cstheme="minorBidi"/>
          <w:szCs w:val="22"/>
        </w:rPr>
      </w:pPr>
      <w:r>
        <w:lastRenderedPageBreak/>
        <w:t>75.</w:t>
      </w:r>
      <w:r>
        <w:tab/>
        <w:t>Information about educational program to be kept available</w:t>
      </w:r>
      <w:r>
        <w:tab/>
      </w:r>
      <w:r>
        <w:fldChar w:fldCharType="begin"/>
      </w:r>
      <w:r>
        <w:instrText xml:space="preserve"> PAGEREF _Toc109832989 \h </w:instrText>
      </w:r>
      <w:r>
        <w:fldChar w:fldCharType="separate"/>
      </w:r>
      <w:r>
        <w:t>60</w:t>
      </w:r>
      <w:r>
        <w:fldChar w:fldCharType="end"/>
      </w:r>
    </w:p>
    <w:p>
      <w:pPr>
        <w:pStyle w:val="TOC8"/>
        <w:rPr>
          <w:rFonts w:asciiTheme="minorHAnsi" w:eastAsiaTheme="minorEastAsia" w:hAnsiTheme="minorHAnsi" w:cstheme="minorBidi"/>
          <w:szCs w:val="22"/>
        </w:rPr>
      </w:pPr>
      <w:r>
        <w:t>76.</w:t>
      </w:r>
      <w:r>
        <w:tab/>
        <w:t>Information about educational program to be given to parents</w:t>
      </w:r>
      <w:r>
        <w:tab/>
      </w:r>
      <w:r>
        <w:fldChar w:fldCharType="begin"/>
      </w:r>
      <w:r>
        <w:instrText xml:space="preserve"> PAGEREF _Toc109832990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Part 4.2 — Children’s health and safety</w:t>
      </w:r>
    </w:p>
    <w:p>
      <w:pPr>
        <w:pStyle w:val="TOC6"/>
        <w:tabs>
          <w:tab w:val="right" w:leader="dot" w:pos="7077"/>
        </w:tabs>
        <w:rPr>
          <w:rFonts w:asciiTheme="minorHAnsi" w:eastAsiaTheme="minorEastAsia" w:hAnsiTheme="minorHAnsi" w:cstheme="minorBidi"/>
          <w:b w:val="0"/>
          <w:sz w:val="22"/>
          <w:szCs w:val="22"/>
        </w:rPr>
      </w:pPr>
      <w:r>
        <w:t>Division 1 — Health, safety and wellbeing of children</w:t>
      </w:r>
    </w:p>
    <w:p>
      <w:pPr>
        <w:pStyle w:val="TOC8"/>
        <w:rPr>
          <w:rFonts w:asciiTheme="minorHAnsi" w:eastAsiaTheme="minorEastAsia" w:hAnsiTheme="minorHAnsi" w:cstheme="minorBidi"/>
          <w:szCs w:val="22"/>
        </w:rPr>
      </w:pPr>
      <w:r>
        <w:t>77.</w:t>
      </w:r>
      <w:r>
        <w:tab/>
        <w:t>Health, hygiene and safe food practices</w:t>
      </w:r>
      <w:r>
        <w:tab/>
      </w:r>
      <w:r>
        <w:fldChar w:fldCharType="begin"/>
      </w:r>
      <w:r>
        <w:instrText xml:space="preserve"> PAGEREF _Toc109832993 \h </w:instrText>
      </w:r>
      <w:r>
        <w:fldChar w:fldCharType="separate"/>
      </w:r>
      <w:r>
        <w:t>61</w:t>
      </w:r>
      <w:r>
        <w:fldChar w:fldCharType="end"/>
      </w:r>
    </w:p>
    <w:p>
      <w:pPr>
        <w:pStyle w:val="TOC8"/>
        <w:rPr>
          <w:rFonts w:asciiTheme="minorHAnsi" w:eastAsiaTheme="minorEastAsia" w:hAnsiTheme="minorHAnsi" w:cstheme="minorBidi"/>
          <w:szCs w:val="22"/>
        </w:rPr>
      </w:pPr>
      <w:r>
        <w:t>78.</w:t>
      </w:r>
      <w:r>
        <w:tab/>
        <w:t>Food and beverages</w:t>
      </w:r>
      <w:r>
        <w:tab/>
      </w:r>
      <w:r>
        <w:fldChar w:fldCharType="begin"/>
      </w:r>
      <w:r>
        <w:instrText xml:space="preserve"> PAGEREF _Toc109832994 \h </w:instrText>
      </w:r>
      <w:r>
        <w:fldChar w:fldCharType="separate"/>
      </w:r>
      <w:r>
        <w:t>62</w:t>
      </w:r>
      <w:r>
        <w:fldChar w:fldCharType="end"/>
      </w:r>
    </w:p>
    <w:p>
      <w:pPr>
        <w:pStyle w:val="TOC8"/>
        <w:rPr>
          <w:rFonts w:asciiTheme="minorHAnsi" w:eastAsiaTheme="minorEastAsia" w:hAnsiTheme="minorHAnsi" w:cstheme="minorBidi"/>
          <w:szCs w:val="22"/>
        </w:rPr>
      </w:pPr>
      <w:r>
        <w:t>79.</w:t>
      </w:r>
      <w:r>
        <w:tab/>
        <w:t>Service providing food and beverages</w:t>
      </w:r>
      <w:r>
        <w:tab/>
      </w:r>
      <w:r>
        <w:fldChar w:fldCharType="begin"/>
      </w:r>
      <w:r>
        <w:instrText xml:space="preserve"> PAGEREF _Toc109832995 \h </w:instrText>
      </w:r>
      <w:r>
        <w:fldChar w:fldCharType="separate"/>
      </w:r>
      <w:r>
        <w:t>63</w:t>
      </w:r>
      <w:r>
        <w:fldChar w:fldCharType="end"/>
      </w:r>
    </w:p>
    <w:p>
      <w:pPr>
        <w:pStyle w:val="TOC8"/>
        <w:rPr>
          <w:rFonts w:asciiTheme="minorHAnsi" w:eastAsiaTheme="minorEastAsia" w:hAnsiTheme="minorHAnsi" w:cstheme="minorBidi"/>
          <w:szCs w:val="22"/>
        </w:rPr>
      </w:pPr>
      <w:r>
        <w:t>80.</w:t>
      </w:r>
      <w:r>
        <w:tab/>
        <w:t>Weekly menu</w:t>
      </w:r>
      <w:r>
        <w:tab/>
      </w:r>
      <w:r>
        <w:fldChar w:fldCharType="begin"/>
      </w:r>
      <w:r>
        <w:instrText xml:space="preserve"> PAGEREF _Toc109832996 \h </w:instrText>
      </w:r>
      <w:r>
        <w:fldChar w:fldCharType="separate"/>
      </w:r>
      <w:r>
        <w:t>65</w:t>
      </w:r>
      <w:r>
        <w:fldChar w:fldCharType="end"/>
      </w:r>
    </w:p>
    <w:p>
      <w:pPr>
        <w:pStyle w:val="TOC8"/>
        <w:rPr>
          <w:rFonts w:asciiTheme="minorHAnsi" w:eastAsiaTheme="minorEastAsia" w:hAnsiTheme="minorHAnsi" w:cstheme="minorBidi"/>
          <w:szCs w:val="22"/>
        </w:rPr>
      </w:pPr>
      <w:r>
        <w:t>81.</w:t>
      </w:r>
      <w:r>
        <w:tab/>
        <w:t>Sleep and rest</w:t>
      </w:r>
      <w:r>
        <w:tab/>
      </w:r>
      <w:r>
        <w:fldChar w:fldCharType="begin"/>
      </w:r>
      <w:r>
        <w:instrText xml:space="preserve"> PAGEREF _Toc109832997 \h </w:instrText>
      </w:r>
      <w:r>
        <w:fldChar w:fldCharType="separate"/>
      </w:r>
      <w:r>
        <w:t>66</w:t>
      </w:r>
      <w:r>
        <w:fldChar w:fldCharType="end"/>
      </w:r>
    </w:p>
    <w:p>
      <w:pPr>
        <w:pStyle w:val="TOC8"/>
        <w:rPr>
          <w:rFonts w:asciiTheme="minorHAnsi" w:eastAsiaTheme="minorEastAsia" w:hAnsiTheme="minorHAnsi" w:cstheme="minorBidi"/>
          <w:szCs w:val="22"/>
        </w:rPr>
      </w:pPr>
      <w:r>
        <w:t>82.</w:t>
      </w:r>
      <w:r>
        <w:tab/>
        <w:t>Tobacco, drug and alcohol</w:t>
      </w:r>
      <w:r>
        <w:noBreakHyphen/>
        <w:t>free environment</w:t>
      </w:r>
      <w:r>
        <w:tab/>
      </w:r>
      <w:r>
        <w:fldChar w:fldCharType="begin"/>
      </w:r>
      <w:r>
        <w:instrText xml:space="preserve"> PAGEREF _Toc109832998 \h </w:instrText>
      </w:r>
      <w:r>
        <w:fldChar w:fldCharType="separate"/>
      </w:r>
      <w:r>
        <w:t>67</w:t>
      </w:r>
      <w:r>
        <w:fldChar w:fldCharType="end"/>
      </w:r>
    </w:p>
    <w:p>
      <w:pPr>
        <w:pStyle w:val="TOC8"/>
        <w:rPr>
          <w:rFonts w:asciiTheme="minorHAnsi" w:eastAsiaTheme="minorEastAsia" w:hAnsiTheme="minorHAnsi" w:cstheme="minorBidi"/>
          <w:szCs w:val="22"/>
        </w:rPr>
      </w:pPr>
      <w:r>
        <w:t>83.</w:t>
      </w:r>
      <w:r>
        <w:tab/>
        <w:t>Staff members and family day care educators not to be affected by alcohol or drugs</w:t>
      </w:r>
      <w:r>
        <w:tab/>
      </w:r>
      <w:r>
        <w:fldChar w:fldCharType="begin"/>
      </w:r>
      <w:r>
        <w:instrText xml:space="preserve"> PAGEREF _Toc109832999 \h </w:instrText>
      </w:r>
      <w:r>
        <w:fldChar w:fldCharType="separate"/>
      </w:r>
      <w:r>
        <w:t>67</w:t>
      </w:r>
      <w:r>
        <w:fldChar w:fldCharType="end"/>
      </w:r>
    </w:p>
    <w:p>
      <w:pPr>
        <w:pStyle w:val="TOC8"/>
        <w:rPr>
          <w:rFonts w:asciiTheme="minorHAnsi" w:eastAsiaTheme="minorEastAsia" w:hAnsiTheme="minorHAnsi" w:cstheme="minorBidi"/>
          <w:szCs w:val="22"/>
        </w:rPr>
      </w:pPr>
      <w:r>
        <w:t>84.</w:t>
      </w:r>
      <w:r>
        <w:tab/>
        <w:t>Awareness of child protection law</w:t>
      </w:r>
      <w:r>
        <w:tab/>
      </w:r>
      <w:r>
        <w:fldChar w:fldCharType="begin"/>
      </w:r>
      <w:r>
        <w:instrText xml:space="preserve"> PAGEREF _Toc109833000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Division 2 — Incidents, injury, trauma and illness</w:t>
      </w:r>
    </w:p>
    <w:p>
      <w:pPr>
        <w:pStyle w:val="TOC8"/>
        <w:rPr>
          <w:rFonts w:asciiTheme="minorHAnsi" w:eastAsiaTheme="minorEastAsia" w:hAnsiTheme="minorHAnsi" w:cstheme="minorBidi"/>
          <w:szCs w:val="22"/>
        </w:rPr>
      </w:pPr>
      <w:r>
        <w:t>85.</w:t>
      </w:r>
      <w:r>
        <w:tab/>
        <w:t>Incident, injury, trauma and illness policies and procedures</w:t>
      </w:r>
      <w:r>
        <w:tab/>
      </w:r>
      <w:r>
        <w:fldChar w:fldCharType="begin"/>
      </w:r>
      <w:r>
        <w:instrText xml:space="preserve"> PAGEREF _Toc109833002 \h </w:instrText>
      </w:r>
      <w:r>
        <w:fldChar w:fldCharType="separate"/>
      </w:r>
      <w:r>
        <w:t>68</w:t>
      </w:r>
      <w:r>
        <w:fldChar w:fldCharType="end"/>
      </w:r>
    </w:p>
    <w:p>
      <w:pPr>
        <w:pStyle w:val="TOC8"/>
        <w:rPr>
          <w:rFonts w:asciiTheme="minorHAnsi" w:eastAsiaTheme="minorEastAsia" w:hAnsiTheme="minorHAnsi" w:cstheme="minorBidi"/>
          <w:szCs w:val="22"/>
        </w:rPr>
      </w:pPr>
      <w:r>
        <w:t>86.</w:t>
      </w:r>
      <w:r>
        <w:tab/>
        <w:t>Notification to parents of incident, injury, trauma and illness</w:t>
      </w:r>
      <w:r>
        <w:tab/>
      </w:r>
      <w:r>
        <w:fldChar w:fldCharType="begin"/>
      </w:r>
      <w:r>
        <w:instrText xml:space="preserve"> PAGEREF _Toc109833003 \h </w:instrText>
      </w:r>
      <w:r>
        <w:fldChar w:fldCharType="separate"/>
      </w:r>
      <w:r>
        <w:t>69</w:t>
      </w:r>
      <w:r>
        <w:fldChar w:fldCharType="end"/>
      </w:r>
    </w:p>
    <w:p>
      <w:pPr>
        <w:pStyle w:val="TOC8"/>
        <w:rPr>
          <w:rFonts w:asciiTheme="minorHAnsi" w:eastAsiaTheme="minorEastAsia" w:hAnsiTheme="minorHAnsi" w:cstheme="minorBidi"/>
          <w:szCs w:val="22"/>
        </w:rPr>
      </w:pPr>
      <w:r>
        <w:t>87.</w:t>
      </w:r>
      <w:r>
        <w:tab/>
        <w:t>Incident, injury, trauma and illness record</w:t>
      </w:r>
      <w:r>
        <w:tab/>
      </w:r>
      <w:r>
        <w:fldChar w:fldCharType="begin"/>
      </w:r>
      <w:r>
        <w:instrText xml:space="preserve"> PAGEREF _Toc109833004 \h </w:instrText>
      </w:r>
      <w:r>
        <w:fldChar w:fldCharType="separate"/>
      </w:r>
      <w:r>
        <w:t>69</w:t>
      </w:r>
      <w:r>
        <w:fldChar w:fldCharType="end"/>
      </w:r>
    </w:p>
    <w:p>
      <w:pPr>
        <w:pStyle w:val="TOC8"/>
        <w:rPr>
          <w:rFonts w:asciiTheme="minorHAnsi" w:eastAsiaTheme="minorEastAsia" w:hAnsiTheme="minorHAnsi" w:cstheme="minorBidi"/>
          <w:szCs w:val="22"/>
        </w:rPr>
      </w:pPr>
      <w:r>
        <w:t>88.</w:t>
      </w:r>
      <w:r>
        <w:tab/>
        <w:t>Infectious diseases</w:t>
      </w:r>
      <w:r>
        <w:tab/>
      </w:r>
      <w:r>
        <w:fldChar w:fldCharType="begin"/>
      </w:r>
      <w:r>
        <w:instrText xml:space="preserve"> PAGEREF _Toc109833005 \h </w:instrText>
      </w:r>
      <w:r>
        <w:fldChar w:fldCharType="separate"/>
      </w:r>
      <w:r>
        <w:t>71</w:t>
      </w:r>
      <w:r>
        <w:fldChar w:fldCharType="end"/>
      </w:r>
    </w:p>
    <w:p>
      <w:pPr>
        <w:pStyle w:val="TOC8"/>
        <w:rPr>
          <w:rFonts w:asciiTheme="minorHAnsi" w:eastAsiaTheme="minorEastAsia" w:hAnsiTheme="minorHAnsi" w:cstheme="minorBidi"/>
          <w:szCs w:val="22"/>
        </w:rPr>
      </w:pPr>
      <w:r>
        <w:t>89.</w:t>
      </w:r>
      <w:r>
        <w:tab/>
        <w:t>First aid kits</w:t>
      </w:r>
      <w:r>
        <w:tab/>
      </w:r>
      <w:r>
        <w:fldChar w:fldCharType="begin"/>
      </w:r>
      <w:r>
        <w:instrText xml:space="preserve"> PAGEREF _Toc109833006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Division 3 — Medical conditions policy</w:t>
      </w:r>
    </w:p>
    <w:p>
      <w:pPr>
        <w:pStyle w:val="TOC8"/>
        <w:rPr>
          <w:rFonts w:asciiTheme="minorHAnsi" w:eastAsiaTheme="minorEastAsia" w:hAnsiTheme="minorHAnsi" w:cstheme="minorBidi"/>
          <w:szCs w:val="22"/>
        </w:rPr>
      </w:pPr>
      <w:r>
        <w:t>90.</w:t>
      </w:r>
      <w:r>
        <w:tab/>
        <w:t>Medical conditions policy</w:t>
      </w:r>
      <w:r>
        <w:tab/>
      </w:r>
      <w:r>
        <w:fldChar w:fldCharType="begin"/>
      </w:r>
      <w:r>
        <w:instrText xml:space="preserve"> PAGEREF _Toc109833008 \h </w:instrText>
      </w:r>
      <w:r>
        <w:fldChar w:fldCharType="separate"/>
      </w:r>
      <w:r>
        <w:t>72</w:t>
      </w:r>
      <w:r>
        <w:fldChar w:fldCharType="end"/>
      </w:r>
    </w:p>
    <w:p>
      <w:pPr>
        <w:pStyle w:val="TOC8"/>
        <w:rPr>
          <w:rFonts w:asciiTheme="minorHAnsi" w:eastAsiaTheme="minorEastAsia" w:hAnsiTheme="minorHAnsi" w:cstheme="minorBidi"/>
          <w:szCs w:val="22"/>
        </w:rPr>
      </w:pPr>
      <w:r>
        <w:t>91.</w:t>
      </w:r>
      <w:r>
        <w:tab/>
        <w:t>Medical conditions policy to be provided to parents</w:t>
      </w:r>
      <w:r>
        <w:tab/>
      </w:r>
      <w:r>
        <w:fldChar w:fldCharType="begin"/>
      </w:r>
      <w:r>
        <w:instrText xml:space="preserve"> PAGEREF _Toc109833009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Division 4 — Administration of medication</w:t>
      </w:r>
    </w:p>
    <w:p>
      <w:pPr>
        <w:pStyle w:val="TOC8"/>
        <w:rPr>
          <w:rFonts w:asciiTheme="minorHAnsi" w:eastAsiaTheme="minorEastAsia" w:hAnsiTheme="minorHAnsi" w:cstheme="minorBidi"/>
          <w:szCs w:val="22"/>
        </w:rPr>
      </w:pPr>
      <w:r>
        <w:t>92.</w:t>
      </w:r>
      <w:r>
        <w:tab/>
        <w:t>Medication record</w:t>
      </w:r>
      <w:r>
        <w:tab/>
      </w:r>
      <w:r>
        <w:fldChar w:fldCharType="begin"/>
      </w:r>
      <w:r>
        <w:instrText xml:space="preserve"> PAGEREF _Toc109833011 \h </w:instrText>
      </w:r>
      <w:r>
        <w:fldChar w:fldCharType="separate"/>
      </w:r>
      <w:r>
        <w:t>75</w:t>
      </w:r>
      <w:r>
        <w:fldChar w:fldCharType="end"/>
      </w:r>
    </w:p>
    <w:p>
      <w:pPr>
        <w:pStyle w:val="TOC8"/>
        <w:rPr>
          <w:rFonts w:asciiTheme="minorHAnsi" w:eastAsiaTheme="minorEastAsia" w:hAnsiTheme="minorHAnsi" w:cstheme="minorBidi"/>
          <w:szCs w:val="22"/>
        </w:rPr>
      </w:pPr>
      <w:r>
        <w:t>93.</w:t>
      </w:r>
      <w:r>
        <w:tab/>
        <w:t>Administration of medication</w:t>
      </w:r>
      <w:r>
        <w:tab/>
      </w:r>
      <w:r>
        <w:fldChar w:fldCharType="begin"/>
      </w:r>
      <w:r>
        <w:instrText xml:space="preserve"> PAGEREF _Toc109833012 \h </w:instrText>
      </w:r>
      <w:r>
        <w:fldChar w:fldCharType="separate"/>
      </w:r>
      <w:r>
        <w:t>76</w:t>
      </w:r>
      <w:r>
        <w:fldChar w:fldCharType="end"/>
      </w:r>
    </w:p>
    <w:p>
      <w:pPr>
        <w:pStyle w:val="TOC8"/>
        <w:rPr>
          <w:rFonts w:asciiTheme="minorHAnsi" w:eastAsiaTheme="minorEastAsia" w:hAnsiTheme="minorHAnsi" w:cstheme="minorBidi"/>
          <w:szCs w:val="22"/>
        </w:rPr>
      </w:pPr>
      <w:r>
        <w:t>94.</w:t>
      </w:r>
      <w:r>
        <w:tab/>
        <w:t>Exception to authorisation requirement — anaphylaxis or asthma emergency</w:t>
      </w:r>
      <w:r>
        <w:tab/>
      </w:r>
      <w:r>
        <w:fldChar w:fldCharType="begin"/>
      </w:r>
      <w:r>
        <w:instrText xml:space="preserve"> PAGEREF _Toc109833013 \h </w:instrText>
      </w:r>
      <w:r>
        <w:fldChar w:fldCharType="separate"/>
      </w:r>
      <w:r>
        <w:t>77</w:t>
      </w:r>
      <w:r>
        <w:fldChar w:fldCharType="end"/>
      </w:r>
    </w:p>
    <w:p>
      <w:pPr>
        <w:pStyle w:val="TOC8"/>
        <w:rPr>
          <w:rFonts w:asciiTheme="minorHAnsi" w:eastAsiaTheme="minorEastAsia" w:hAnsiTheme="minorHAnsi" w:cstheme="minorBidi"/>
          <w:szCs w:val="22"/>
        </w:rPr>
      </w:pPr>
      <w:r>
        <w:t>95.</w:t>
      </w:r>
      <w:r>
        <w:tab/>
        <w:t>Procedure for administration of medication</w:t>
      </w:r>
      <w:r>
        <w:tab/>
      </w:r>
      <w:r>
        <w:fldChar w:fldCharType="begin"/>
      </w:r>
      <w:r>
        <w:instrText xml:space="preserve"> PAGEREF _Toc109833014 \h </w:instrText>
      </w:r>
      <w:r>
        <w:fldChar w:fldCharType="separate"/>
      </w:r>
      <w:r>
        <w:t>78</w:t>
      </w:r>
      <w:r>
        <w:fldChar w:fldCharType="end"/>
      </w:r>
    </w:p>
    <w:p>
      <w:pPr>
        <w:pStyle w:val="TOC8"/>
        <w:rPr>
          <w:rFonts w:asciiTheme="minorHAnsi" w:eastAsiaTheme="minorEastAsia" w:hAnsiTheme="minorHAnsi" w:cstheme="minorBidi"/>
          <w:szCs w:val="22"/>
        </w:rPr>
      </w:pPr>
      <w:r>
        <w:t>96.</w:t>
      </w:r>
      <w:r>
        <w:tab/>
        <w:t>Self</w:t>
      </w:r>
      <w:r>
        <w:noBreakHyphen/>
        <w:t>administration of medication</w:t>
      </w:r>
      <w:r>
        <w:tab/>
      </w:r>
      <w:r>
        <w:fldChar w:fldCharType="begin"/>
      </w:r>
      <w:r>
        <w:instrText xml:space="preserve"> PAGEREF _Toc109833015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Division 5 — Emergencies and communication</w:t>
      </w:r>
    </w:p>
    <w:p>
      <w:pPr>
        <w:pStyle w:val="TOC8"/>
        <w:rPr>
          <w:rFonts w:asciiTheme="minorHAnsi" w:eastAsiaTheme="minorEastAsia" w:hAnsiTheme="minorHAnsi" w:cstheme="minorBidi"/>
          <w:szCs w:val="22"/>
        </w:rPr>
      </w:pPr>
      <w:r>
        <w:t>97.</w:t>
      </w:r>
      <w:r>
        <w:tab/>
        <w:t>Emergency and evacuation procedures</w:t>
      </w:r>
      <w:r>
        <w:tab/>
      </w:r>
      <w:r>
        <w:fldChar w:fldCharType="begin"/>
      </w:r>
      <w:r>
        <w:instrText xml:space="preserve"> PAGEREF _Toc109833017 \h </w:instrText>
      </w:r>
      <w:r>
        <w:fldChar w:fldCharType="separate"/>
      </w:r>
      <w:r>
        <w:t>79</w:t>
      </w:r>
      <w:r>
        <w:fldChar w:fldCharType="end"/>
      </w:r>
    </w:p>
    <w:p>
      <w:pPr>
        <w:pStyle w:val="TOC8"/>
        <w:rPr>
          <w:rFonts w:asciiTheme="minorHAnsi" w:eastAsiaTheme="minorEastAsia" w:hAnsiTheme="minorHAnsi" w:cstheme="minorBidi"/>
          <w:szCs w:val="22"/>
        </w:rPr>
      </w:pPr>
      <w:r>
        <w:t>98.</w:t>
      </w:r>
      <w:r>
        <w:tab/>
        <w:t>Telephone or other communication equipment</w:t>
      </w:r>
      <w:r>
        <w:tab/>
      </w:r>
      <w:r>
        <w:fldChar w:fldCharType="begin"/>
      </w:r>
      <w:r>
        <w:instrText xml:space="preserve"> PAGEREF _Toc109833018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Collection of children from premises and excursions</w:t>
      </w:r>
    </w:p>
    <w:p>
      <w:pPr>
        <w:pStyle w:val="TOC8"/>
        <w:rPr>
          <w:rFonts w:asciiTheme="minorHAnsi" w:eastAsiaTheme="minorEastAsia" w:hAnsiTheme="minorHAnsi" w:cstheme="minorBidi"/>
          <w:szCs w:val="22"/>
        </w:rPr>
      </w:pPr>
      <w:r>
        <w:t>99.</w:t>
      </w:r>
      <w:r>
        <w:tab/>
        <w:t>Children leaving the education and care service premises</w:t>
      </w:r>
      <w:r>
        <w:tab/>
      </w:r>
      <w:r>
        <w:fldChar w:fldCharType="begin"/>
      </w:r>
      <w:r>
        <w:instrText xml:space="preserve"> PAGEREF _Toc109833020 \h </w:instrText>
      </w:r>
      <w:r>
        <w:fldChar w:fldCharType="separate"/>
      </w:r>
      <w:r>
        <w:t>81</w:t>
      </w:r>
      <w:r>
        <w:fldChar w:fldCharType="end"/>
      </w:r>
    </w:p>
    <w:p>
      <w:pPr>
        <w:pStyle w:val="TOC8"/>
        <w:rPr>
          <w:rFonts w:asciiTheme="minorHAnsi" w:eastAsiaTheme="minorEastAsia" w:hAnsiTheme="minorHAnsi" w:cstheme="minorBidi"/>
          <w:szCs w:val="22"/>
        </w:rPr>
      </w:pPr>
      <w:r>
        <w:t>100.</w:t>
      </w:r>
      <w:r>
        <w:tab/>
        <w:t>Risk assessment must be conducted before excursion</w:t>
      </w:r>
      <w:r>
        <w:tab/>
      </w:r>
      <w:r>
        <w:fldChar w:fldCharType="begin"/>
      </w:r>
      <w:r>
        <w:instrText xml:space="preserve"> PAGEREF _Toc109833021 \h </w:instrText>
      </w:r>
      <w:r>
        <w:fldChar w:fldCharType="separate"/>
      </w:r>
      <w:r>
        <w:t>81</w:t>
      </w:r>
      <w:r>
        <w:fldChar w:fldCharType="end"/>
      </w:r>
    </w:p>
    <w:p>
      <w:pPr>
        <w:pStyle w:val="TOC8"/>
        <w:rPr>
          <w:rFonts w:asciiTheme="minorHAnsi" w:eastAsiaTheme="minorEastAsia" w:hAnsiTheme="minorHAnsi" w:cstheme="minorBidi"/>
          <w:szCs w:val="22"/>
        </w:rPr>
      </w:pPr>
      <w:r>
        <w:t>101.</w:t>
      </w:r>
      <w:r>
        <w:tab/>
        <w:t>Conduct of risk assessment for excursion</w:t>
      </w:r>
      <w:r>
        <w:tab/>
      </w:r>
      <w:r>
        <w:fldChar w:fldCharType="begin"/>
      </w:r>
      <w:r>
        <w:instrText xml:space="preserve"> PAGEREF _Toc109833022 \h </w:instrText>
      </w:r>
      <w:r>
        <w:fldChar w:fldCharType="separate"/>
      </w:r>
      <w:r>
        <w:t>82</w:t>
      </w:r>
      <w:r>
        <w:fldChar w:fldCharType="end"/>
      </w:r>
    </w:p>
    <w:p>
      <w:pPr>
        <w:pStyle w:val="TOC8"/>
        <w:rPr>
          <w:rFonts w:asciiTheme="minorHAnsi" w:eastAsiaTheme="minorEastAsia" w:hAnsiTheme="minorHAnsi" w:cstheme="minorBidi"/>
          <w:szCs w:val="22"/>
        </w:rPr>
      </w:pPr>
      <w:r>
        <w:t>102.</w:t>
      </w:r>
      <w:r>
        <w:tab/>
        <w:t>Authorisation for excursions</w:t>
      </w:r>
      <w:r>
        <w:tab/>
      </w:r>
      <w:r>
        <w:fldChar w:fldCharType="begin"/>
      </w:r>
      <w:r>
        <w:instrText xml:space="preserve"> PAGEREF _Toc109833023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t>Division 7 — Transportation of children other than as part of excursion</w:t>
      </w:r>
    </w:p>
    <w:p>
      <w:pPr>
        <w:pStyle w:val="TOC8"/>
        <w:rPr>
          <w:rFonts w:asciiTheme="minorHAnsi" w:eastAsiaTheme="minorEastAsia" w:hAnsiTheme="minorHAnsi" w:cstheme="minorBidi"/>
          <w:szCs w:val="22"/>
        </w:rPr>
      </w:pPr>
      <w:r>
        <w:t>102A.</w:t>
      </w:r>
      <w:r>
        <w:tab/>
        <w:t>Application of Division</w:t>
      </w:r>
      <w:r>
        <w:tab/>
      </w:r>
      <w:r>
        <w:fldChar w:fldCharType="begin"/>
      </w:r>
      <w:r>
        <w:instrText xml:space="preserve"> PAGEREF _Toc109833025 \h </w:instrText>
      </w:r>
      <w:r>
        <w:fldChar w:fldCharType="separate"/>
      </w:r>
      <w:r>
        <w:t>85</w:t>
      </w:r>
      <w:r>
        <w:fldChar w:fldCharType="end"/>
      </w:r>
    </w:p>
    <w:p>
      <w:pPr>
        <w:pStyle w:val="TOC8"/>
        <w:rPr>
          <w:rFonts w:asciiTheme="minorHAnsi" w:eastAsiaTheme="minorEastAsia" w:hAnsiTheme="minorHAnsi" w:cstheme="minorBidi"/>
          <w:szCs w:val="22"/>
        </w:rPr>
      </w:pPr>
      <w:r>
        <w:t>102B.</w:t>
      </w:r>
      <w:r>
        <w:tab/>
        <w:t>Transport risk assessment must be conducted before service transports child</w:t>
      </w:r>
      <w:r>
        <w:tab/>
      </w:r>
      <w:r>
        <w:fldChar w:fldCharType="begin"/>
      </w:r>
      <w:r>
        <w:instrText xml:space="preserve"> PAGEREF _Toc109833026 \h </w:instrText>
      </w:r>
      <w:r>
        <w:fldChar w:fldCharType="separate"/>
      </w:r>
      <w:r>
        <w:t>85</w:t>
      </w:r>
      <w:r>
        <w:fldChar w:fldCharType="end"/>
      </w:r>
    </w:p>
    <w:p>
      <w:pPr>
        <w:pStyle w:val="TOC8"/>
        <w:rPr>
          <w:rFonts w:asciiTheme="minorHAnsi" w:eastAsiaTheme="minorEastAsia" w:hAnsiTheme="minorHAnsi" w:cstheme="minorBidi"/>
          <w:szCs w:val="22"/>
        </w:rPr>
      </w:pPr>
      <w:r>
        <w:t>102C.</w:t>
      </w:r>
      <w:r>
        <w:tab/>
        <w:t>Conduct of risk assessment for transporting of children by education and care service</w:t>
      </w:r>
      <w:r>
        <w:tab/>
      </w:r>
      <w:r>
        <w:fldChar w:fldCharType="begin"/>
      </w:r>
      <w:r>
        <w:instrText xml:space="preserve"> PAGEREF _Toc109833027 \h </w:instrText>
      </w:r>
      <w:r>
        <w:fldChar w:fldCharType="separate"/>
      </w:r>
      <w:r>
        <w:t>86</w:t>
      </w:r>
      <w:r>
        <w:fldChar w:fldCharType="end"/>
      </w:r>
    </w:p>
    <w:p>
      <w:pPr>
        <w:pStyle w:val="TOC8"/>
        <w:rPr>
          <w:rFonts w:asciiTheme="minorHAnsi" w:eastAsiaTheme="minorEastAsia" w:hAnsiTheme="minorHAnsi" w:cstheme="minorBidi"/>
          <w:szCs w:val="22"/>
        </w:rPr>
      </w:pPr>
      <w:r>
        <w:t>102D.</w:t>
      </w:r>
      <w:r>
        <w:tab/>
        <w:t>Authorisation for service to transport children</w:t>
      </w:r>
      <w:r>
        <w:tab/>
      </w:r>
      <w:r>
        <w:fldChar w:fldCharType="begin"/>
      </w:r>
      <w:r>
        <w:instrText xml:space="preserve"> PAGEREF _Toc109833028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Part 4.3 — Physical environment</w:t>
      </w:r>
    </w:p>
    <w:p>
      <w:pPr>
        <w:pStyle w:val="TOC6"/>
        <w:tabs>
          <w:tab w:val="right" w:leader="dot" w:pos="7077"/>
        </w:tabs>
        <w:rPr>
          <w:rFonts w:asciiTheme="minorHAnsi" w:eastAsiaTheme="minorEastAsia" w:hAnsiTheme="minorHAnsi" w:cstheme="minorBidi"/>
          <w:b w:val="0"/>
          <w:sz w:val="22"/>
          <w:szCs w:val="22"/>
        </w:rPr>
      </w:pPr>
      <w:r>
        <w:t>Division 1 — Centre</w:t>
      </w:r>
      <w:r>
        <w:noBreakHyphen/>
        <w:t>based services and family day care services</w:t>
      </w:r>
    </w:p>
    <w:p>
      <w:pPr>
        <w:pStyle w:val="TOC8"/>
        <w:rPr>
          <w:rFonts w:asciiTheme="minorHAnsi" w:eastAsiaTheme="minorEastAsia" w:hAnsiTheme="minorHAnsi" w:cstheme="minorBidi"/>
          <w:szCs w:val="22"/>
        </w:rPr>
      </w:pPr>
      <w:r>
        <w:t>103.</w:t>
      </w:r>
      <w:r>
        <w:tab/>
        <w:t>Premises, furniture and equipment to be safe, clean and in good repair</w:t>
      </w:r>
      <w:r>
        <w:tab/>
      </w:r>
      <w:r>
        <w:fldChar w:fldCharType="begin"/>
      </w:r>
      <w:r>
        <w:instrText xml:space="preserve"> PAGEREF _Toc109833031 \h </w:instrText>
      </w:r>
      <w:r>
        <w:fldChar w:fldCharType="separate"/>
      </w:r>
      <w:r>
        <w:t>89</w:t>
      </w:r>
      <w:r>
        <w:fldChar w:fldCharType="end"/>
      </w:r>
    </w:p>
    <w:p>
      <w:pPr>
        <w:pStyle w:val="TOC8"/>
        <w:rPr>
          <w:rFonts w:asciiTheme="minorHAnsi" w:eastAsiaTheme="minorEastAsia" w:hAnsiTheme="minorHAnsi" w:cstheme="minorBidi"/>
          <w:szCs w:val="22"/>
        </w:rPr>
      </w:pPr>
      <w:r>
        <w:t>104.</w:t>
      </w:r>
      <w:r>
        <w:tab/>
        <w:t>Fencing</w:t>
      </w:r>
      <w:r>
        <w:tab/>
      </w:r>
      <w:r>
        <w:fldChar w:fldCharType="begin"/>
      </w:r>
      <w:r>
        <w:instrText xml:space="preserve"> PAGEREF _Toc109833032 \h </w:instrText>
      </w:r>
      <w:r>
        <w:fldChar w:fldCharType="separate"/>
      </w:r>
      <w:r>
        <w:t>89</w:t>
      </w:r>
      <w:r>
        <w:fldChar w:fldCharType="end"/>
      </w:r>
    </w:p>
    <w:p>
      <w:pPr>
        <w:pStyle w:val="TOC8"/>
        <w:rPr>
          <w:rFonts w:asciiTheme="minorHAnsi" w:eastAsiaTheme="minorEastAsia" w:hAnsiTheme="minorHAnsi" w:cstheme="minorBidi"/>
          <w:szCs w:val="22"/>
        </w:rPr>
      </w:pPr>
      <w:r>
        <w:t>105.</w:t>
      </w:r>
      <w:r>
        <w:tab/>
        <w:t>Furniture, materials and equipment</w:t>
      </w:r>
      <w:r>
        <w:tab/>
      </w:r>
      <w:r>
        <w:fldChar w:fldCharType="begin"/>
      </w:r>
      <w:r>
        <w:instrText xml:space="preserve"> PAGEREF _Toc109833033 \h </w:instrText>
      </w:r>
      <w:r>
        <w:fldChar w:fldCharType="separate"/>
      </w:r>
      <w:r>
        <w:t>90</w:t>
      </w:r>
      <w:r>
        <w:fldChar w:fldCharType="end"/>
      </w:r>
    </w:p>
    <w:p>
      <w:pPr>
        <w:pStyle w:val="TOC8"/>
        <w:rPr>
          <w:rFonts w:asciiTheme="minorHAnsi" w:eastAsiaTheme="minorEastAsia" w:hAnsiTheme="minorHAnsi" w:cstheme="minorBidi"/>
          <w:szCs w:val="22"/>
        </w:rPr>
      </w:pPr>
      <w:r>
        <w:t>106.</w:t>
      </w:r>
      <w:r>
        <w:tab/>
        <w:t>Laundry and hygiene facilities</w:t>
      </w:r>
      <w:r>
        <w:tab/>
      </w:r>
      <w:r>
        <w:fldChar w:fldCharType="begin"/>
      </w:r>
      <w:r>
        <w:instrText xml:space="preserve"> PAGEREF _Toc109833034 \h </w:instrText>
      </w:r>
      <w:r>
        <w:fldChar w:fldCharType="separate"/>
      </w:r>
      <w:r>
        <w:t>90</w:t>
      </w:r>
      <w:r>
        <w:fldChar w:fldCharType="end"/>
      </w:r>
    </w:p>
    <w:p>
      <w:pPr>
        <w:pStyle w:val="TOC8"/>
        <w:rPr>
          <w:rFonts w:asciiTheme="minorHAnsi" w:eastAsiaTheme="minorEastAsia" w:hAnsiTheme="minorHAnsi" w:cstheme="minorBidi"/>
          <w:szCs w:val="22"/>
        </w:rPr>
      </w:pPr>
      <w:r>
        <w:t>107.</w:t>
      </w:r>
      <w:r>
        <w:tab/>
        <w:t>Space requirements — indoor space</w:t>
      </w:r>
      <w:r>
        <w:tab/>
      </w:r>
      <w:r>
        <w:fldChar w:fldCharType="begin"/>
      </w:r>
      <w:r>
        <w:instrText xml:space="preserve"> PAGEREF _Toc109833035 \h </w:instrText>
      </w:r>
      <w:r>
        <w:fldChar w:fldCharType="separate"/>
      </w:r>
      <w:r>
        <w:t>91</w:t>
      </w:r>
      <w:r>
        <w:fldChar w:fldCharType="end"/>
      </w:r>
    </w:p>
    <w:p>
      <w:pPr>
        <w:pStyle w:val="TOC8"/>
        <w:rPr>
          <w:rFonts w:asciiTheme="minorHAnsi" w:eastAsiaTheme="minorEastAsia" w:hAnsiTheme="minorHAnsi" w:cstheme="minorBidi"/>
          <w:szCs w:val="22"/>
        </w:rPr>
      </w:pPr>
      <w:r>
        <w:t>108.</w:t>
      </w:r>
      <w:r>
        <w:tab/>
        <w:t>Space requirements — outdoor space</w:t>
      </w:r>
      <w:r>
        <w:tab/>
      </w:r>
      <w:r>
        <w:fldChar w:fldCharType="begin"/>
      </w:r>
      <w:r>
        <w:instrText xml:space="preserve"> PAGEREF _Toc109833036 \h </w:instrText>
      </w:r>
      <w:r>
        <w:fldChar w:fldCharType="separate"/>
      </w:r>
      <w:r>
        <w:t>92</w:t>
      </w:r>
      <w:r>
        <w:fldChar w:fldCharType="end"/>
      </w:r>
    </w:p>
    <w:p>
      <w:pPr>
        <w:pStyle w:val="TOC8"/>
        <w:rPr>
          <w:rFonts w:asciiTheme="minorHAnsi" w:eastAsiaTheme="minorEastAsia" w:hAnsiTheme="minorHAnsi" w:cstheme="minorBidi"/>
          <w:szCs w:val="22"/>
        </w:rPr>
      </w:pPr>
      <w:r>
        <w:t>109.</w:t>
      </w:r>
      <w:r>
        <w:tab/>
        <w:t>Toilet and hygiene facilities</w:t>
      </w:r>
      <w:r>
        <w:tab/>
      </w:r>
      <w:r>
        <w:fldChar w:fldCharType="begin"/>
      </w:r>
      <w:r>
        <w:instrText xml:space="preserve"> PAGEREF _Toc109833037 \h </w:instrText>
      </w:r>
      <w:r>
        <w:fldChar w:fldCharType="separate"/>
      </w:r>
      <w:r>
        <w:t>93</w:t>
      </w:r>
      <w:r>
        <w:fldChar w:fldCharType="end"/>
      </w:r>
    </w:p>
    <w:p>
      <w:pPr>
        <w:pStyle w:val="TOC8"/>
        <w:rPr>
          <w:rFonts w:asciiTheme="minorHAnsi" w:eastAsiaTheme="minorEastAsia" w:hAnsiTheme="minorHAnsi" w:cstheme="minorBidi"/>
          <w:szCs w:val="22"/>
        </w:rPr>
      </w:pPr>
      <w:r>
        <w:t>110.</w:t>
      </w:r>
      <w:r>
        <w:tab/>
        <w:t>Ventilation and natural light</w:t>
      </w:r>
      <w:r>
        <w:tab/>
      </w:r>
      <w:r>
        <w:fldChar w:fldCharType="begin"/>
      </w:r>
      <w:r>
        <w:instrText xml:space="preserve"> PAGEREF _Toc109833038 \h </w:instrText>
      </w:r>
      <w:r>
        <w:fldChar w:fldCharType="separate"/>
      </w:r>
      <w:r>
        <w:t>94</w:t>
      </w:r>
      <w:r>
        <w:fldChar w:fldCharType="end"/>
      </w:r>
    </w:p>
    <w:p>
      <w:pPr>
        <w:pStyle w:val="TOC6"/>
        <w:tabs>
          <w:tab w:val="right" w:leader="dot" w:pos="7077"/>
        </w:tabs>
        <w:rPr>
          <w:rFonts w:asciiTheme="minorHAnsi" w:eastAsiaTheme="minorEastAsia" w:hAnsiTheme="minorHAnsi" w:cstheme="minorBidi"/>
          <w:b w:val="0"/>
          <w:sz w:val="22"/>
          <w:szCs w:val="22"/>
        </w:rPr>
      </w:pPr>
      <w:r>
        <w:t>Division 2 — Additional requirements for centre</w:t>
      </w:r>
      <w:r>
        <w:noBreakHyphen/>
        <w:t>based services</w:t>
      </w:r>
    </w:p>
    <w:p>
      <w:pPr>
        <w:pStyle w:val="TOC8"/>
        <w:rPr>
          <w:rFonts w:asciiTheme="minorHAnsi" w:eastAsiaTheme="minorEastAsia" w:hAnsiTheme="minorHAnsi" w:cstheme="minorBidi"/>
          <w:szCs w:val="22"/>
        </w:rPr>
      </w:pPr>
      <w:r>
        <w:t>111.</w:t>
      </w:r>
      <w:r>
        <w:tab/>
        <w:t>Administrative space</w:t>
      </w:r>
      <w:r>
        <w:tab/>
      </w:r>
      <w:r>
        <w:fldChar w:fldCharType="begin"/>
      </w:r>
      <w:r>
        <w:instrText xml:space="preserve"> PAGEREF _Toc109833040 \h </w:instrText>
      </w:r>
      <w:r>
        <w:fldChar w:fldCharType="separate"/>
      </w:r>
      <w:r>
        <w:t>94</w:t>
      </w:r>
      <w:r>
        <w:fldChar w:fldCharType="end"/>
      </w:r>
    </w:p>
    <w:p>
      <w:pPr>
        <w:pStyle w:val="TOC8"/>
        <w:rPr>
          <w:rFonts w:asciiTheme="minorHAnsi" w:eastAsiaTheme="minorEastAsia" w:hAnsiTheme="minorHAnsi" w:cstheme="minorBidi"/>
          <w:szCs w:val="22"/>
        </w:rPr>
      </w:pPr>
      <w:r>
        <w:t>112.</w:t>
      </w:r>
      <w:r>
        <w:tab/>
        <w:t>Nappy change facilities</w:t>
      </w:r>
      <w:r>
        <w:tab/>
      </w:r>
      <w:r>
        <w:fldChar w:fldCharType="begin"/>
      </w:r>
      <w:r>
        <w:instrText xml:space="preserve"> PAGEREF _Toc109833041 \h </w:instrText>
      </w:r>
      <w:r>
        <w:fldChar w:fldCharType="separate"/>
      </w:r>
      <w:r>
        <w:t>94</w:t>
      </w:r>
      <w:r>
        <w:fldChar w:fldCharType="end"/>
      </w:r>
    </w:p>
    <w:p>
      <w:pPr>
        <w:pStyle w:val="TOC8"/>
        <w:rPr>
          <w:rFonts w:asciiTheme="minorHAnsi" w:eastAsiaTheme="minorEastAsia" w:hAnsiTheme="minorHAnsi" w:cstheme="minorBidi"/>
          <w:szCs w:val="22"/>
        </w:rPr>
      </w:pPr>
      <w:r>
        <w:t>113.</w:t>
      </w:r>
      <w:r>
        <w:tab/>
        <w:t>Outdoor space — natural environment</w:t>
      </w:r>
      <w:r>
        <w:tab/>
      </w:r>
      <w:r>
        <w:fldChar w:fldCharType="begin"/>
      </w:r>
      <w:r>
        <w:instrText xml:space="preserve"> PAGEREF _Toc109833042 \h </w:instrText>
      </w:r>
      <w:r>
        <w:fldChar w:fldCharType="separate"/>
      </w:r>
      <w:r>
        <w:t>95</w:t>
      </w:r>
      <w:r>
        <w:fldChar w:fldCharType="end"/>
      </w:r>
    </w:p>
    <w:p>
      <w:pPr>
        <w:pStyle w:val="TOC8"/>
        <w:rPr>
          <w:rFonts w:asciiTheme="minorHAnsi" w:eastAsiaTheme="minorEastAsia" w:hAnsiTheme="minorHAnsi" w:cstheme="minorBidi"/>
          <w:szCs w:val="22"/>
        </w:rPr>
      </w:pPr>
      <w:r>
        <w:t>114.</w:t>
      </w:r>
      <w:r>
        <w:tab/>
        <w:t>Outdoor space — shade</w:t>
      </w:r>
      <w:r>
        <w:tab/>
      </w:r>
      <w:r>
        <w:fldChar w:fldCharType="begin"/>
      </w:r>
      <w:r>
        <w:instrText xml:space="preserve"> PAGEREF _Toc109833043 \h </w:instrText>
      </w:r>
      <w:r>
        <w:fldChar w:fldCharType="separate"/>
      </w:r>
      <w:r>
        <w:t>95</w:t>
      </w:r>
      <w:r>
        <w:fldChar w:fldCharType="end"/>
      </w:r>
    </w:p>
    <w:p>
      <w:pPr>
        <w:pStyle w:val="TOC8"/>
        <w:rPr>
          <w:rFonts w:asciiTheme="minorHAnsi" w:eastAsiaTheme="minorEastAsia" w:hAnsiTheme="minorHAnsi" w:cstheme="minorBidi"/>
          <w:szCs w:val="22"/>
        </w:rPr>
      </w:pPr>
      <w:r>
        <w:t>115.</w:t>
      </w:r>
      <w:r>
        <w:tab/>
        <w:t>Premises designed to facilitate supervision</w:t>
      </w:r>
      <w:r>
        <w:tab/>
      </w:r>
      <w:r>
        <w:fldChar w:fldCharType="begin"/>
      </w:r>
      <w:r>
        <w:instrText xml:space="preserve"> PAGEREF _Toc109833044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Division 3 — Additional provisions for family day care services</w:t>
      </w:r>
    </w:p>
    <w:p>
      <w:pPr>
        <w:pStyle w:val="TOC8"/>
        <w:rPr>
          <w:rFonts w:asciiTheme="minorHAnsi" w:eastAsiaTheme="minorEastAsia" w:hAnsiTheme="minorHAnsi" w:cstheme="minorBidi"/>
          <w:szCs w:val="22"/>
        </w:rPr>
      </w:pPr>
      <w:r>
        <w:t>116.</w:t>
      </w:r>
      <w:r>
        <w:tab/>
        <w:t>Assessments of family day care residences and approved family day care venues</w:t>
      </w:r>
      <w:r>
        <w:tab/>
      </w:r>
      <w:r>
        <w:fldChar w:fldCharType="begin"/>
      </w:r>
      <w:r>
        <w:instrText xml:space="preserve"> PAGEREF _Toc109833046 \h </w:instrText>
      </w:r>
      <w:r>
        <w:fldChar w:fldCharType="separate"/>
      </w:r>
      <w:r>
        <w:t>96</w:t>
      </w:r>
      <w:r>
        <w:fldChar w:fldCharType="end"/>
      </w:r>
    </w:p>
    <w:p>
      <w:pPr>
        <w:pStyle w:val="TOC8"/>
        <w:rPr>
          <w:rFonts w:asciiTheme="minorHAnsi" w:eastAsiaTheme="minorEastAsia" w:hAnsiTheme="minorHAnsi" w:cstheme="minorBidi"/>
          <w:szCs w:val="22"/>
        </w:rPr>
      </w:pPr>
      <w:r>
        <w:lastRenderedPageBreak/>
        <w:t>117.</w:t>
      </w:r>
      <w:r>
        <w:tab/>
        <w:t>Glass</w:t>
      </w:r>
      <w:r>
        <w:tab/>
      </w:r>
      <w:r>
        <w:fldChar w:fldCharType="begin"/>
      </w:r>
      <w:r>
        <w:instrText xml:space="preserve"> PAGEREF _Toc109833047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Part 4.3A — Minimum requirements for persons in day</w:t>
      </w:r>
      <w:r>
        <w:noBreakHyphen/>
        <w:t>to</w:t>
      </w:r>
      <w:r>
        <w:noBreakHyphen/>
        <w:t>day charge and nominated supervisors</w:t>
      </w:r>
    </w:p>
    <w:p>
      <w:pPr>
        <w:pStyle w:val="TOC8"/>
        <w:rPr>
          <w:rFonts w:asciiTheme="minorHAnsi" w:eastAsiaTheme="minorEastAsia" w:hAnsiTheme="minorHAnsi" w:cstheme="minorBidi"/>
          <w:szCs w:val="22"/>
        </w:rPr>
      </w:pPr>
      <w:r>
        <w:t>117A.</w:t>
      </w:r>
      <w:r>
        <w:tab/>
        <w:t>Placing a person in day</w:t>
      </w:r>
      <w:r>
        <w:noBreakHyphen/>
        <w:t>to</w:t>
      </w:r>
      <w:r>
        <w:noBreakHyphen/>
        <w:t>day charge</w:t>
      </w:r>
      <w:r>
        <w:tab/>
      </w:r>
      <w:r>
        <w:fldChar w:fldCharType="begin"/>
      </w:r>
      <w:r>
        <w:instrText xml:space="preserve"> PAGEREF _Toc109833049 \h </w:instrText>
      </w:r>
      <w:r>
        <w:fldChar w:fldCharType="separate"/>
      </w:r>
      <w:r>
        <w:t>99</w:t>
      </w:r>
      <w:r>
        <w:fldChar w:fldCharType="end"/>
      </w:r>
    </w:p>
    <w:p>
      <w:pPr>
        <w:pStyle w:val="TOC8"/>
        <w:rPr>
          <w:rFonts w:asciiTheme="minorHAnsi" w:eastAsiaTheme="minorEastAsia" w:hAnsiTheme="minorHAnsi" w:cstheme="minorBidi"/>
          <w:szCs w:val="22"/>
        </w:rPr>
      </w:pPr>
      <w:r>
        <w:t>117B.</w:t>
      </w:r>
      <w:r>
        <w:tab/>
        <w:t>Minimum requirements for a person in day</w:t>
      </w:r>
      <w:r>
        <w:noBreakHyphen/>
        <w:t>to</w:t>
      </w:r>
      <w:r>
        <w:noBreakHyphen/>
        <w:t>day charge</w:t>
      </w:r>
      <w:r>
        <w:tab/>
      </w:r>
      <w:r>
        <w:fldChar w:fldCharType="begin"/>
      </w:r>
      <w:r>
        <w:instrText xml:space="preserve"> PAGEREF _Toc109833050 \h </w:instrText>
      </w:r>
      <w:r>
        <w:fldChar w:fldCharType="separate"/>
      </w:r>
      <w:r>
        <w:t>99</w:t>
      </w:r>
      <w:r>
        <w:fldChar w:fldCharType="end"/>
      </w:r>
    </w:p>
    <w:p>
      <w:pPr>
        <w:pStyle w:val="TOC8"/>
        <w:rPr>
          <w:rFonts w:asciiTheme="minorHAnsi" w:eastAsiaTheme="minorEastAsia" w:hAnsiTheme="minorHAnsi" w:cstheme="minorBidi"/>
          <w:szCs w:val="22"/>
        </w:rPr>
      </w:pPr>
      <w:r>
        <w:t>117C.</w:t>
      </w:r>
      <w:r>
        <w:tab/>
        <w:t>Minimum requirements for a nominated supervisor</w:t>
      </w:r>
      <w:r>
        <w:tab/>
      </w:r>
      <w:r>
        <w:fldChar w:fldCharType="begin"/>
      </w:r>
      <w:r>
        <w:instrText xml:space="preserve"> PAGEREF _Toc109833051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Part 4.4 — Staffing arrangements</w:t>
      </w:r>
    </w:p>
    <w:p>
      <w:pPr>
        <w:pStyle w:val="TOC6"/>
        <w:tabs>
          <w:tab w:val="right" w:leader="dot" w:pos="7077"/>
        </w:tabs>
        <w:rPr>
          <w:rFonts w:asciiTheme="minorHAnsi" w:eastAsiaTheme="minorEastAsia" w:hAnsiTheme="minorHAnsi" w:cstheme="minorBidi"/>
          <w:b w:val="0"/>
          <w:sz w:val="22"/>
          <w:szCs w:val="22"/>
        </w:rPr>
      </w:pPr>
      <w:r>
        <w:t>Division 1 — Educational leader</w:t>
      </w:r>
    </w:p>
    <w:p>
      <w:pPr>
        <w:pStyle w:val="TOC8"/>
        <w:rPr>
          <w:rFonts w:asciiTheme="minorHAnsi" w:eastAsiaTheme="minorEastAsia" w:hAnsiTheme="minorHAnsi" w:cstheme="minorBidi"/>
          <w:szCs w:val="22"/>
        </w:rPr>
      </w:pPr>
      <w:r>
        <w:t>118.</w:t>
      </w:r>
      <w:r>
        <w:tab/>
        <w:t>Educational leader</w:t>
      </w:r>
      <w:r>
        <w:tab/>
      </w:r>
      <w:r>
        <w:fldChar w:fldCharType="begin"/>
      </w:r>
      <w:r>
        <w:instrText xml:space="preserve"> PAGEREF _Toc109833054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Division 2 — Age and supervision requirements</w:t>
      </w:r>
    </w:p>
    <w:p>
      <w:pPr>
        <w:pStyle w:val="TOC8"/>
        <w:rPr>
          <w:rFonts w:asciiTheme="minorHAnsi" w:eastAsiaTheme="minorEastAsia" w:hAnsiTheme="minorHAnsi" w:cstheme="minorBidi"/>
          <w:szCs w:val="22"/>
        </w:rPr>
      </w:pPr>
      <w:r>
        <w:t>119.</w:t>
      </w:r>
      <w:r>
        <w:tab/>
        <w:t>Family day care educator and family day care educator assistant to be at least 18 years old</w:t>
      </w:r>
      <w:r>
        <w:tab/>
      </w:r>
      <w:r>
        <w:fldChar w:fldCharType="begin"/>
      </w:r>
      <w:r>
        <w:instrText xml:space="preserve"> PAGEREF _Toc109833056 \h </w:instrText>
      </w:r>
      <w:r>
        <w:fldChar w:fldCharType="separate"/>
      </w:r>
      <w:r>
        <w:t>102</w:t>
      </w:r>
      <w:r>
        <w:fldChar w:fldCharType="end"/>
      </w:r>
    </w:p>
    <w:p>
      <w:pPr>
        <w:pStyle w:val="TOC8"/>
        <w:rPr>
          <w:rFonts w:asciiTheme="minorHAnsi" w:eastAsiaTheme="minorEastAsia" w:hAnsiTheme="minorHAnsi" w:cstheme="minorBidi"/>
          <w:szCs w:val="22"/>
        </w:rPr>
      </w:pPr>
      <w:r>
        <w:t>120.</w:t>
      </w:r>
      <w:r>
        <w:tab/>
        <w:t>Educators who are under 18 to be supervised</w:t>
      </w:r>
      <w:r>
        <w:tab/>
      </w:r>
      <w:r>
        <w:fldChar w:fldCharType="begin"/>
      </w:r>
      <w:r>
        <w:instrText xml:space="preserve"> PAGEREF _Toc109833057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t>Division 3 — Minimum number of educators and family day care co</w:t>
      </w:r>
      <w:r>
        <w:noBreakHyphen/>
        <w:t>ordinators required</w:t>
      </w:r>
    </w:p>
    <w:p>
      <w:pPr>
        <w:pStyle w:val="TOC8"/>
        <w:rPr>
          <w:rFonts w:asciiTheme="minorHAnsi" w:eastAsiaTheme="minorEastAsia" w:hAnsiTheme="minorHAnsi" w:cstheme="minorBidi"/>
          <w:szCs w:val="22"/>
        </w:rPr>
      </w:pPr>
      <w:r>
        <w:t>121.</w:t>
      </w:r>
      <w:r>
        <w:tab/>
        <w:t>Application of Division 3</w:t>
      </w:r>
      <w:r>
        <w:tab/>
      </w:r>
      <w:r>
        <w:fldChar w:fldCharType="begin"/>
      </w:r>
      <w:r>
        <w:instrText xml:space="preserve"> PAGEREF _Toc109833059 \h </w:instrText>
      </w:r>
      <w:r>
        <w:fldChar w:fldCharType="separate"/>
      </w:r>
      <w:r>
        <w:t>103</w:t>
      </w:r>
      <w:r>
        <w:fldChar w:fldCharType="end"/>
      </w:r>
    </w:p>
    <w:p>
      <w:pPr>
        <w:pStyle w:val="TOC8"/>
        <w:rPr>
          <w:rFonts w:asciiTheme="minorHAnsi" w:eastAsiaTheme="minorEastAsia" w:hAnsiTheme="minorHAnsi" w:cstheme="minorBidi"/>
          <w:szCs w:val="22"/>
        </w:rPr>
      </w:pPr>
      <w:r>
        <w:t>122.</w:t>
      </w:r>
      <w:r>
        <w:tab/>
        <w:t>Educators must be working directly with children to be included in ratios</w:t>
      </w:r>
      <w:r>
        <w:tab/>
      </w:r>
      <w:r>
        <w:fldChar w:fldCharType="begin"/>
      </w:r>
      <w:r>
        <w:instrText xml:space="preserve"> PAGEREF _Toc109833060 \h </w:instrText>
      </w:r>
      <w:r>
        <w:fldChar w:fldCharType="separate"/>
      </w:r>
      <w:r>
        <w:t>103</w:t>
      </w:r>
      <w:r>
        <w:fldChar w:fldCharType="end"/>
      </w:r>
    </w:p>
    <w:p>
      <w:pPr>
        <w:pStyle w:val="TOC8"/>
        <w:rPr>
          <w:rFonts w:asciiTheme="minorHAnsi" w:eastAsiaTheme="minorEastAsia" w:hAnsiTheme="minorHAnsi" w:cstheme="minorBidi"/>
          <w:szCs w:val="22"/>
        </w:rPr>
      </w:pPr>
      <w:r>
        <w:t>123.</w:t>
      </w:r>
      <w:r>
        <w:tab/>
        <w:t>Educator to child ratios — centre</w:t>
      </w:r>
      <w:r>
        <w:noBreakHyphen/>
        <w:t>based services</w:t>
      </w:r>
      <w:r>
        <w:tab/>
      </w:r>
      <w:r>
        <w:fldChar w:fldCharType="begin"/>
      </w:r>
      <w:r>
        <w:instrText xml:space="preserve"> PAGEREF _Toc109833061 \h </w:instrText>
      </w:r>
      <w:r>
        <w:fldChar w:fldCharType="separate"/>
      </w:r>
      <w:r>
        <w:t>103</w:t>
      </w:r>
      <w:r>
        <w:fldChar w:fldCharType="end"/>
      </w:r>
    </w:p>
    <w:p>
      <w:pPr>
        <w:pStyle w:val="TOC8"/>
        <w:rPr>
          <w:rFonts w:asciiTheme="minorHAnsi" w:eastAsiaTheme="minorEastAsia" w:hAnsiTheme="minorHAnsi" w:cstheme="minorBidi"/>
          <w:szCs w:val="22"/>
        </w:rPr>
      </w:pPr>
      <w:r>
        <w:t>123A.</w:t>
      </w:r>
      <w:r>
        <w:tab/>
        <w:t>Family day care co</w:t>
      </w:r>
      <w:r>
        <w:noBreakHyphen/>
        <w:t>ordinator to educator ratios — family day care service</w:t>
      </w:r>
      <w:r>
        <w:tab/>
      </w:r>
      <w:r>
        <w:fldChar w:fldCharType="begin"/>
      </w:r>
      <w:r>
        <w:instrText xml:space="preserve"> PAGEREF _Toc109833062 \h </w:instrText>
      </w:r>
      <w:r>
        <w:fldChar w:fldCharType="separate"/>
      </w:r>
      <w:r>
        <w:t>106</w:t>
      </w:r>
      <w:r>
        <w:fldChar w:fldCharType="end"/>
      </w:r>
    </w:p>
    <w:p>
      <w:pPr>
        <w:pStyle w:val="TOC8"/>
        <w:rPr>
          <w:rFonts w:asciiTheme="minorHAnsi" w:eastAsiaTheme="minorEastAsia" w:hAnsiTheme="minorHAnsi" w:cstheme="minorBidi"/>
          <w:szCs w:val="22"/>
        </w:rPr>
      </w:pPr>
      <w:r>
        <w:t>124.</w:t>
      </w:r>
      <w:r>
        <w:tab/>
        <w:t>Number of children who can be educated and cared for — family day care educator</w:t>
      </w:r>
      <w:r>
        <w:tab/>
      </w:r>
      <w:r>
        <w:fldChar w:fldCharType="begin"/>
      </w:r>
      <w:r>
        <w:instrText xml:space="preserve"> PAGEREF _Toc109833063 \h </w:instrText>
      </w:r>
      <w:r>
        <w:fldChar w:fldCharType="separate"/>
      </w:r>
      <w:r>
        <w:t>106</w:t>
      </w:r>
      <w:r>
        <w:fldChar w:fldCharType="end"/>
      </w:r>
    </w:p>
    <w:p>
      <w:pPr>
        <w:pStyle w:val="TOC6"/>
        <w:tabs>
          <w:tab w:val="right" w:leader="dot" w:pos="7077"/>
        </w:tabs>
        <w:rPr>
          <w:rFonts w:asciiTheme="minorHAnsi" w:eastAsiaTheme="minorEastAsia" w:hAnsiTheme="minorHAnsi" w:cstheme="minorBidi"/>
          <w:b w:val="0"/>
          <w:sz w:val="22"/>
          <w:szCs w:val="22"/>
        </w:rPr>
      </w:pPr>
      <w:r>
        <w:t>Division 4 — Educational qualifications for educators</w:t>
      </w:r>
    </w:p>
    <w:p>
      <w:pPr>
        <w:pStyle w:val="TOC8"/>
        <w:rPr>
          <w:rFonts w:asciiTheme="minorHAnsi" w:eastAsiaTheme="minorEastAsia" w:hAnsiTheme="minorHAnsi" w:cstheme="minorBidi"/>
          <w:szCs w:val="22"/>
        </w:rPr>
      </w:pPr>
      <w:r>
        <w:t>125.</w:t>
      </w:r>
      <w:r>
        <w:tab/>
        <w:t>Application of Division 4</w:t>
      </w:r>
      <w:r>
        <w:tab/>
      </w:r>
      <w:r>
        <w:fldChar w:fldCharType="begin"/>
      </w:r>
      <w:r>
        <w:instrText xml:space="preserve"> PAGEREF _Toc109833065 \h </w:instrText>
      </w:r>
      <w:r>
        <w:fldChar w:fldCharType="separate"/>
      </w:r>
      <w:r>
        <w:t>108</w:t>
      </w:r>
      <w:r>
        <w:fldChar w:fldCharType="end"/>
      </w:r>
    </w:p>
    <w:p>
      <w:pPr>
        <w:pStyle w:val="TOC8"/>
        <w:rPr>
          <w:rFonts w:asciiTheme="minorHAnsi" w:eastAsiaTheme="minorEastAsia" w:hAnsiTheme="minorHAnsi" w:cstheme="minorBidi"/>
          <w:szCs w:val="22"/>
        </w:rPr>
      </w:pPr>
      <w:r>
        <w:t>126.</w:t>
      </w:r>
      <w:r>
        <w:tab/>
        <w:t>Centre</w:t>
      </w:r>
      <w:r>
        <w:noBreakHyphen/>
        <w:t>based services — general educator qualifications</w:t>
      </w:r>
      <w:r>
        <w:tab/>
      </w:r>
      <w:r>
        <w:fldChar w:fldCharType="begin"/>
      </w:r>
      <w:r>
        <w:instrText xml:space="preserve"> PAGEREF _Toc109833066 \h </w:instrText>
      </w:r>
      <w:r>
        <w:fldChar w:fldCharType="separate"/>
      </w:r>
      <w:r>
        <w:t>108</w:t>
      </w:r>
      <w:r>
        <w:fldChar w:fldCharType="end"/>
      </w:r>
    </w:p>
    <w:p>
      <w:pPr>
        <w:pStyle w:val="TOC8"/>
        <w:rPr>
          <w:rFonts w:asciiTheme="minorHAnsi" w:eastAsiaTheme="minorEastAsia" w:hAnsiTheme="minorHAnsi" w:cstheme="minorBidi"/>
          <w:szCs w:val="22"/>
        </w:rPr>
      </w:pPr>
      <w:r>
        <w:t>127.</w:t>
      </w:r>
      <w:r>
        <w:tab/>
        <w:t>Family day care educator qualifications</w:t>
      </w:r>
      <w:r>
        <w:tab/>
      </w:r>
      <w:r>
        <w:fldChar w:fldCharType="begin"/>
      </w:r>
      <w:r>
        <w:instrText xml:space="preserve"> PAGEREF _Toc109833067 \h </w:instrText>
      </w:r>
      <w:r>
        <w:fldChar w:fldCharType="separate"/>
      </w:r>
      <w:r>
        <w:t>110</w:t>
      </w:r>
      <w:r>
        <w:fldChar w:fldCharType="end"/>
      </w:r>
    </w:p>
    <w:p>
      <w:pPr>
        <w:pStyle w:val="TOC8"/>
        <w:rPr>
          <w:rFonts w:asciiTheme="minorHAnsi" w:eastAsiaTheme="minorEastAsia" w:hAnsiTheme="minorHAnsi" w:cstheme="minorBidi"/>
          <w:szCs w:val="22"/>
        </w:rPr>
      </w:pPr>
      <w:r>
        <w:t>128.</w:t>
      </w:r>
      <w:r>
        <w:tab/>
        <w:t>Family day care co</w:t>
      </w:r>
      <w:r>
        <w:noBreakHyphen/>
        <w:t>ordinator qualifications</w:t>
      </w:r>
      <w:r>
        <w:tab/>
      </w:r>
      <w:r>
        <w:fldChar w:fldCharType="begin"/>
      </w:r>
      <w:r>
        <w:instrText xml:space="preserve"> PAGEREF _Toc109833068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Division 5 — Requirements for educators who are early childhood teachers</w:t>
      </w:r>
    </w:p>
    <w:p>
      <w:pPr>
        <w:pStyle w:val="TOC8"/>
        <w:rPr>
          <w:rFonts w:asciiTheme="minorHAnsi" w:eastAsiaTheme="minorEastAsia" w:hAnsiTheme="minorHAnsi" w:cstheme="minorBidi"/>
          <w:szCs w:val="22"/>
        </w:rPr>
      </w:pPr>
      <w:r>
        <w:t>129.</w:t>
      </w:r>
      <w:r>
        <w:tab/>
        <w:t>Application of Division 5</w:t>
      </w:r>
      <w:r>
        <w:tab/>
      </w:r>
      <w:r>
        <w:fldChar w:fldCharType="begin"/>
      </w:r>
      <w:r>
        <w:instrText xml:space="preserve"> PAGEREF _Toc109833070 \h </w:instrText>
      </w:r>
      <w:r>
        <w:fldChar w:fldCharType="separate"/>
      </w:r>
      <w:r>
        <w:t>110</w:t>
      </w:r>
      <w:r>
        <w:fldChar w:fldCharType="end"/>
      </w:r>
    </w:p>
    <w:p>
      <w:pPr>
        <w:pStyle w:val="TOC8"/>
        <w:rPr>
          <w:rFonts w:asciiTheme="minorHAnsi" w:eastAsiaTheme="minorEastAsia" w:hAnsiTheme="minorHAnsi" w:cstheme="minorBidi"/>
          <w:szCs w:val="22"/>
        </w:rPr>
      </w:pPr>
      <w:r>
        <w:t>130.</w:t>
      </w:r>
      <w:r>
        <w:tab/>
        <w:t>Requirement for early childhood teacher — centre</w:t>
      </w:r>
      <w:r>
        <w:noBreakHyphen/>
        <w:t>based services — fewer than 25 approved places</w:t>
      </w:r>
      <w:r>
        <w:tab/>
      </w:r>
      <w:r>
        <w:fldChar w:fldCharType="begin"/>
      </w:r>
      <w:r>
        <w:instrText xml:space="preserve"> PAGEREF _Toc109833071 \h </w:instrText>
      </w:r>
      <w:r>
        <w:fldChar w:fldCharType="separate"/>
      </w:r>
      <w:r>
        <w:t>110</w:t>
      </w:r>
      <w:r>
        <w:fldChar w:fldCharType="end"/>
      </w:r>
    </w:p>
    <w:p>
      <w:pPr>
        <w:pStyle w:val="TOC8"/>
        <w:rPr>
          <w:rFonts w:asciiTheme="minorHAnsi" w:eastAsiaTheme="minorEastAsia" w:hAnsiTheme="minorHAnsi" w:cstheme="minorBidi"/>
          <w:szCs w:val="22"/>
        </w:rPr>
      </w:pPr>
      <w:r>
        <w:lastRenderedPageBreak/>
        <w:t>131.</w:t>
      </w:r>
      <w:r>
        <w:tab/>
        <w:t>Requirement for early childhood teacher — centre</w:t>
      </w:r>
      <w:r>
        <w:noBreakHyphen/>
        <w:t>based services — 25 or more approved places but fewer than 25 children</w:t>
      </w:r>
      <w:r>
        <w:tab/>
      </w:r>
      <w:r>
        <w:fldChar w:fldCharType="begin"/>
      </w:r>
      <w:r>
        <w:instrText xml:space="preserve"> PAGEREF _Toc109833072 \h </w:instrText>
      </w:r>
      <w:r>
        <w:fldChar w:fldCharType="separate"/>
      </w:r>
      <w:r>
        <w:t>111</w:t>
      </w:r>
      <w:r>
        <w:fldChar w:fldCharType="end"/>
      </w:r>
    </w:p>
    <w:p>
      <w:pPr>
        <w:pStyle w:val="TOC8"/>
        <w:rPr>
          <w:rFonts w:asciiTheme="minorHAnsi" w:eastAsiaTheme="minorEastAsia" w:hAnsiTheme="minorHAnsi" w:cstheme="minorBidi"/>
          <w:szCs w:val="22"/>
        </w:rPr>
      </w:pPr>
      <w:r>
        <w:t>132.</w:t>
      </w:r>
      <w:r>
        <w:tab/>
        <w:t>Requirement for early childhood teacher — centre</w:t>
      </w:r>
      <w:r>
        <w:noBreakHyphen/>
        <w:t>based services — 25 to 59 children</w:t>
      </w:r>
      <w:r>
        <w:tab/>
      </w:r>
      <w:r>
        <w:fldChar w:fldCharType="begin"/>
      </w:r>
      <w:r>
        <w:instrText xml:space="preserve"> PAGEREF _Toc109833073 \h </w:instrText>
      </w:r>
      <w:r>
        <w:fldChar w:fldCharType="separate"/>
      </w:r>
      <w:r>
        <w:t>111</w:t>
      </w:r>
      <w:r>
        <w:fldChar w:fldCharType="end"/>
      </w:r>
    </w:p>
    <w:p>
      <w:pPr>
        <w:pStyle w:val="TOC8"/>
        <w:rPr>
          <w:rFonts w:asciiTheme="minorHAnsi" w:eastAsiaTheme="minorEastAsia" w:hAnsiTheme="minorHAnsi" w:cstheme="minorBidi"/>
          <w:szCs w:val="22"/>
        </w:rPr>
      </w:pPr>
      <w:r>
        <w:t>133.</w:t>
      </w:r>
      <w:r>
        <w:tab/>
        <w:t>Requirement for early childhood teacher — centre</w:t>
      </w:r>
      <w:r>
        <w:noBreakHyphen/>
        <w:t>based services — 60 to 80 children</w:t>
      </w:r>
      <w:r>
        <w:tab/>
      </w:r>
      <w:r>
        <w:fldChar w:fldCharType="begin"/>
      </w:r>
      <w:r>
        <w:instrText xml:space="preserve"> PAGEREF _Toc109833074 \h </w:instrText>
      </w:r>
      <w:r>
        <w:fldChar w:fldCharType="separate"/>
      </w:r>
      <w:r>
        <w:t>112</w:t>
      </w:r>
      <w:r>
        <w:fldChar w:fldCharType="end"/>
      </w:r>
    </w:p>
    <w:p>
      <w:pPr>
        <w:pStyle w:val="TOC8"/>
        <w:rPr>
          <w:rFonts w:asciiTheme="minorHAnsi" w:eastAsiaTheme="minorEastAsia" w:hAnsiTheme="minorHAnsi" w:cstheme="minorBidi"/>
          <w:szCs w:val="22"/>
        </w:rPr>
      </w:pPr>
      <w:r>
        <w:t>134.</w:t>
      </w:r>
      <w:r>
        <w:tab/>
        <w:t>Requirement for early childhood teacher — centre</w:t>
      </w:r>
      <w:r>
        <w:noBreakHyphen/>
        <w:t>based services — more than 80 children</w:t>
      </w:r>
      <w:r>
        <w:tab/>
      </w:r>
      <w:r>
        <w:fldChar w:fldCharType="begin"/>
      </w:r>
      <w:r>
        <w:instrText xml:space="preserve"> PAGEREF _Toc109833075 \h </w:instrText>
      </w:r>
      <w:r>
        <w:fldChar w:fldCharType="separate"/>
      </w:r>
      <w:r>
        <w:t>113</w:t>
      </w:r>
      <w:r>
        <w:fldChar w:fldCharType="end"/>
      </w:r>
    </w:p>
    <w:p>
      <w:pPr>
        <w:pStyle w:val="TOC8"/>
        <w:rPr>
          <w:rFonts w:asciiTheme="minorHAnsi" w:eastAsiaTheme="minorEastAsia" w:hAnsiTheme="minorHAnsi" w:cstheme="minorBidi"/>
          <w:szCs w:val="22"/>
        </w:rPr>
      </w:pPr>
      <w:r>
        <w:t>135.</w:t>
      </w:r>
      <w:r>
        <w:tab/>
        <w:t>Illness or absence of early childhood teacher or suitably qualified person</w:t>
      </w:r>
      <w:r>
        <w:tab/>
      </w:r>
      <w:r>
        <w:fldChar w:fldCharType="begin"/>
      </w:r>
      <w:r>
        <w:instrText xml:space="preserve"> PAGEREF _Toc109833076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Division 6 — First aid qualifications</w:t>
      </w:r>
    </w:p>
    <w:p>
      <w:pPr>
        <w:pStyle w:val="TOC8"/>
        <w:rPr>
          <w:rFonts w:asciiTheme="minorHAnsi" w:eastAsiaTheme="minorEastAsia" w:hAnsiTheme="minorHAnsi" w:cstheme="minorBidi"/>
          <w:szCs w:val="22"/>
        </w:rPr>
      </w:pPr>
      <w:r>
        <w:t>136.</w:t>
      </w:r>
      <w:r>
        <w:tab/>
        <w:t>First aid qualifications</w:t>
      </w:r>
      <w:r>
        <w:tab/>
      </w:r>
      <w:r>
        <w:fldChar w:fldCharType="begin"/>
      </w:r>
      <w:r>
        <w:instrText xml:space="preserve"> PAGEREF _Toc109833078 \h </w:instrText>
      </w:r>
      <w:r>
        <w:fldChar w:fldCharType="separate"/>
      </w:r>
      <w:r>
        <w:t>115</w:t>
      </w:r>
      <w:r>
        <w:fldChar w:fldCharType="end"/>
      </w:r>
    </w:p>
    <w:p>
      <w:pPr>
        <w:pStyle w:val="TOC6"/>
        <w:tabs>
          <w:tab w:val="right" w:leader="dot" w:pos="7077"/>
        </w:tabs>
        <w:rPr>
          <w:rFonts w:asciiTheme="minorHAnsi" w:eastAsiaTheme="minorEastAsia" w:hAnsiTheme="minorHAnsi" w:cstheme="minorBidi"/>
          <w:b w:val="0"/>
          <w:sz w:val="22"/>
          <w:szCs w:val="22"/>
        </w:rPr>
      </w:pPr>
      <w:r>
        <w:t>Division 7 — Approval and determination of qualifications</w:t>
      </w:r>
    </w:p>
    <w:p>
      <w:pPr>
        <w:pStyle w:val="TOC8"/>
        <w:rPr>
          <w:rFonts w:asciiTheme="minorHAnsi" w:eastAsiaTheme="minorEastAsia" w:hAnsiTheme="minorHAnsi" w:cstheme="minorBidi"/>
          <w:szCs w:val="22"/>
        </w:rPr>
      </w:pPr>
      <w:r>
        <w:t>137.</w:t>
      </w:r>
      <w:r>
        <w:tab/>
        <w:t>Approval of qualifications</w:t>
      </w:r>
      <w:r>
        <w:tab/>
      </w:r>
      <w:r>
        <w:fldChar w:fldCharType="begin"/>
      </w:r>
      <w:r>
        <w:instrText xml:space="preserve"> PAGEREF _Toc109833080 \h </w:instrText>
      </w:r>
      <w:r>
        <w:fldChar w:fldCharType="separate"/>
      </w:r>
      <w:r>
        <w:t>118</w:t>
      </w:r>
      <w:r>
        <w:fldChar w:fldCharType="end"/>
      </w:r>
    </w:p>
    <w:p>
      <w:pPr>
        <w:pStyle w:val="TOC8"/>
        <w:rPr>
          <w:rFonts w:asciiTheme="minorHAnsi" w:eastAsiaTheme="minorEastAsia" w:hAnsiTheme="minorHAnsi" w:cstheme="minorBidi"/>
          <w:szCs w:val="22"/>
        </w:rPr>
      </w:pPr>
      <w:r>
        <w:t>138.</w:t>
      </w:r>
      <w:r>
        <w:tab/>
        <w:t>Application for qualification to be assessed for inclusion on the list of approved qualifications</w:t>
      </w:r>
      <w:r>
        <w:tab/>
      </w:r>
      <w:r>
        <w:fldChar w:fldCharType="begin"/>
      </w:r>
      <w:r>
        <w:instrText xml:space="preserve"> PAGEREF _Toc109833081 \h </w:instrText>
      </w:r>
      <w:r>
        <w:fldChar w:fldCharType="separate"/>
      </w:r>
      <w:r>
        <w:t>119</w:t>
      </w:r>
      <w:r>
        <w:fldChar w:fldCharType="end"/>
      </w:r>
    </w:p>
    <w:p>
      <w:pPr>
        <w:pStyle w:val="TOC8"/>
        <w:rPr>
          <w:rFonts w:asciiTheme="minorHAnsi" w:eastAsiaTheme="minorEastAsia" w:hAnsiTheme="minorHAnsi" w:cstheme="minorBidi"/>
          <w:szCs w:val="22"/>
        </w:rPr>
      </w:pPr>
      <w:r>
        <w:t>139.</w:t>
      </w:r>
      <w:r>
        <w:tab/>
        <w:t>Application for determination of equivalent qualification</w:t>
      </w:r>
      <w:r>
        <w:tab/>
      </w:r>
      <w:r>
        <w:fldChar w:fldCharType="begin"/>
      </w:r>
      <w:r>
        <w:instrText xml:space="preserve"> PAGEREF _Toc109833082 \h </w:instrText>
      </w:r>
      <w:r>
        <w:fldChar w:fldCharType="separate"/>
      </w:r>
      <w:r>
        <w:t>120</w:t>
      </w:r>
      <w:r>
        <w:fldChar w:fldCharType="end"/>
      </w:r>
    </w:p>
    <w:p>
      <w:pPr>
        <w:pStyle w:val="TOC8"/>
        <w:rPr>
          <w:rFonts w:asciiTheme="minorHAnsi" w:eastAsiaTheme="minorEastAsia" w:hAnsiTheme="minorHAnsi" w:cstheme="minorBidi"/>
          <w:szCs w:val="22"/>
        </w:rPr>
      </w:pPr>
      <w:r>
        <w:t>140.</w:t>
      </w:r>
      <w:r>
        <w:tab/>
        <w:t>Application for determination of an equivalent qualification</w:t>
      </w:r>
      <w:r>
        <w:tab/>
      </w:r>
      <w:r>
        <w:fldChar w:fldCharType="begin"/>
      </w:r>
      <w:r>
        <w:instrText xml:space="preserve"> PAGEREF _Toc109833083 \h </w:instrText>
      </w:r>
      <w:r>
        <w:fldChar w:fldCharType="separate"/>
      </w:r>
      <w:r>
        <w:t>120</w:t>
      </w:r>
      <w:r>
        <w:fldChar w:fldCharType="end"/>
      </w:r>
    </w:p>
    <w:p>
      <w:pPr>
        <w:pStyle w:val="TOC8"/>
        <w:rPr>
          <w:rFonts w:asciiTheme="minorHAnsi" w:eastAsiaTheme="minorEastAsia" w:hAnsiTheme="minorHAnsi" w:cstheme="minorBidi"/>
          <w:szCs w:val="22"/>
        </w:rPr>
      </w:pPr>
      <w:r>
        <w:t>141.</w:t>
      </w:r>
      <w:r>
        <w:tab/>
        <w:t>Additional information for application for determination of equivalent qualification</w:t>
      </w:r>
      <w:r>
        <w:tab/>
      </w:r>
      <w:r>
        <w:fldChar w:fldCharType="begin"/>
      </w:r>
      <w:r>
        <w:instrText xml:space="preserve"> PAGEREF _Toc109833084 \h </w:instrText>
      </w:r>
      <w:r>
        <w:fldChar w:fldCharType="separate"/>
      </w:r>
      <w:r>
        <w:t>123</w:t>
      </w:r>
      <w:r>
        <w:fldChar w:fldCharType="end"/>
      </w:r>
    </w:p>
    <w:p>
      <w:pPr>
        <w:pStyle w:val="TOC8"/>
        <w:rPr>
          <w:rFonts w:asciiTheme="minorHAnsi" w:eastAsiaTheme="minorEastAsia" w:hAnsiTheme="minorHAnsi" w:cstheme="minorBidi"/>
          <w:szCs w:val="22"/>
        </w:rPr>
      </w:pPr>
      <w:r>
        <w:t>142.</w:t>
      </w:r>
      <w:r>
        <w:tab/>
        <w:t>Translations of documents</w:t>
      </w:r>
      <w:r>
        <w:tab/>
      </w:r>
      <w:r>
        <w:fldChar w:fldCharType="begin"/>
      </w:r>
      <w:r>
        <w:instrText xml:space="preserve"> PAGEREF _Toc109833085 \h </w:instrText>
      </w:r>
      <w:r>
        <w:fldChar w:fldCharType="separate"/>
      </w:r>
      <w:r>
        <w:t>124</w:t>
      </w:r>
      <w:r>
        <w:fldChar w:fldCharType="end"/>
      </w:r>
    </w:p>
    <w:p>
      <w:pPr>
        <w:pStyle w:val="TOC8"/>
        <w:rPr>
          <w:rFonts w:asciiTheme="minorHAnsi" w:eastAsiaTheme="minorEastAsia" w:hAnsiTheme="minorHAnsi" w:cstheme="minorBidi"/>
          <w:szCs w:val="22"/>
        </w:rPr>
      </w:pPr>
      <w:r>
        <w:t>143.</w:t>
      </w:r>
      <w:r>
        <w:tab/>
        <w:t>Certification of documents</w:t>
      </w:r>
      <w:r>
        <w:tab/>
      </w:r>
      <w:r>
        <w:fldChar w:fldCharType="begin"/>
      </w:r>
      <w:r>
        <w:instrText xml:space="preserve"> PAGEREF _Toc109833086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7A — Minimum requirements for a family day care educator</w:t>
      </w:r>
    </w:p>
    <w:p>
      <w:pPr>
        <w:pStyle w:val="TOC8"/>
        <w:rPr>
          <w:rFonts w:asciiTheme="minorHAnsi" w:eastAsiaTheme="minorEastAsia" w:hAnsiTheme="minorHAnsi" w:cstheme="minorBidi"/>
          <w:szCs w:val="22"/>
        </w:rPr>
      </w:pPr>
      <w:r>
        <w:t>143A.</w:t>
      </w:r>
      <w:r>
        <w:tab/>
        <w:t>Minimum requirements for a family day care educator</w:t>
      </w:r>
      <w:r>
        <w:tab/>
      </w:r>
      <w:r>
        <w:fldChar w:fldCharType="begin"/>
      </w:r>
      <w:r>
        <w:instrText xml:space="preserve"> PAGEREF _Toc109833088 \h </w:instrText>
      </w:r>
      <w:r>
        <w:fldChar w:fldCharType="separate"/>
      </w:r>
      <w:r>
        <w:t>125</w:t>
      </w:r>
      <w:r>
        <w:fldChar w:fldCharType="end"/>
      </w:r>
    </w:p>
    <w:p>
      <w:pPr>
        <w:pStyle w:val="TOC8"/>
        <w:rPr>
          <w:rFonts w:asciiTheme="minorHAnsi" w:eastAsiaTheme="minorEastAsia" w:hAnsiTheme="minorHAnsi" w:cstheme="minorBidi"/>
          <w:szCs w:val="22"/>
        </w:rPr>
      </w:pPr>
      <w:r>
        <w:t>143B.</w:t>
      </w:r>
      <w:r>
        <w:tab/>
        <w:t>Ongoing management of family day care educators</w:t>
      </w:r>
      <w:r>
        <w:tab/>
      </w:r>
      <w:r>
        <w:fldChar w:fldCharType="begin"/>
      </w:r>
      <w:r>
        <w:instrText xml:space="preserve"> PAGEREF _Toc109833089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t>Division 8 — Family day care educator assistant</w:t>
      </w:r>
    </w:p>
    <w:p>
      <w:pPr>
        <w:pStyle w:val="TOC8"/>
        <w:rPr>
          <w:rFonts w:asciiTheme="minorHAnsi" w:eastAsiaTheme="minorEastAsia" w:hAnsiTheme="minorHAnsi" w:cstheme="minorBidi"/>
          <w:szCs w:val="22"/>
        </w:rPr>
      </w:pPr>
      <w:r>
        <w:t>144.</w:t>
      </w:r>
      <w:r>
        <w:tab/>
        <w:t>Family day care educator assistant</w:t>
      </w:r>
      <w:r>
        <w:tab/>
      </w:r>
      <w:r>
        <w:fldChar w:fldCharType="begin"/>
      </w:r>
      <w:r>
        <w:instrText xml:space="preserve"> PAGEREF _Toc109833091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t>Division 9 — Staff and educator records — centre</w:t>
      </w:r>
      <w:r>
        <w:noBreakHyphen/>
        <w:t>based services</w:t>
      </w:r>
    </w:p>
    <w:p>
      <w:pPr>
        <w:pStyle w:val="TOC8"/>
        <w:rPr>
          <w:rFonts w:asciiTheme="minorHAnsi" w:eastAsiaTheme="minorEastAsia" w:hAnsiTheme="minorHAnsi" w:cstheme="minorBidi"/>
          <w:szCs w:val="22"/>
        </w:rPr>
      </w:pPr>
      <w:r>
        <w:t>145.</w:t>
      </w:r>
      <w:r>
        <w:tab/>
        <w:t>Staff record</w:t>
      </w:r>
      <w:r>
        <w:tab/>
      </w:r>
      <w:r>
        <w:fldChar w:fldCharType="begin"/>
      </w:r>
      <w:r>
        <w:instrText xml:space="preserve"> PAGEREF _Toc109833093 \h </w:instrText>
      </w:r>
      <w:r>
        <w:fldChar w:fldCharType="separate"/>
      </w:r>
      <w:r>
        <w:t>128</w:t>
      </w:r>
      <w:r>
        <w:fldChar w:fldCharType="end"/>
      </w:r>
    </w:p>
    <w:p>
      <w:pPr>
        <w:pStyle w:val="TOC8"/>
        <w:rPr>
          <w:rFonts w:asciiTheme="minorHAnsi" w:eastAsiaTheme="minorEastAsia" w:hAnsiTheme="minorHAnsi" w:cstheme="minorBidi"/>
          <w:szCs w:val="22"/>
        </w:rPr>
      </w:pPr>
      <w:r>
        <w:t>146.</w:t>
      </w:r>
      <w:r>
        <w:tab/>
        <w:t>Nominated supervisor</w:t>
      </w:r>
      <w:r>
        <w:tab/>
      </w:r>
      <w:r>
        <w:fldChar w:fldCharType="begin"/>
      </w:r>
      <w:r>
        <w:instrText xml:space="preserve"> PAGEREF _Toc109833094 \h </w:instrText>
      </w:r>
      <w:r>
        <w:fldChar w:fldCharType="separate"/>
      </w:r>
      <w:r>
        <w:t>128</w:t>
      </w:r>
      <w:r>
        <w:fldChar w:fldCharType="end"/>
      </w:r>
    </w:p>
    <w:p>
      <w:pPr>
        <w:pStyle w:val="TOC8"/>
        <w:rPr>
          <w:rFonts w:asciiTheme="minorHAnsi" w:eastAsiaTheme="minorEastAsia" w:hAnsiTheme="minorHAnsi" w:cstheme="minorBidi"/>
          <w:szCs w:val="22"/>
        </w:rPr>
      </w:pPr>
      <w:r>
        <w:t>147.</w:t>
      </w:r>
      <w:r>
        <w:tab/>
        <w:t>Staff members</w:t>
      </w:r>
      <w:r>
        <w:tab/>
      </w:r>
      <w:r>
        <w:fldChar w:fldCharType="begin"/>
      </w:r>
      <w:r>
        <w:instrText xml:space="preserve"> PAGEREF _Toc109833095 \h </w:instrText>
      </w:r>
      <w:r>
        <w:fldChar w:fldCharType="separate"/>
      </w:r>
      <w:r>
        <w:t>129</w:t>
      </w:r>
      <w:r>
        <w:fldChar w:fldCharType="end"/>
      </w:r>
    </w:p>
    <w:p>
      <w:pPr>
        <w:pStyle w:val="TOC8"/>
        <w:rPr>
          <w:rFonts w:asciiTheme="minorHAnsi" w:eastAsiaTheme="minorEastAsia" w:hAnsiTheme="minorHAnsi" w:cstheme="minorBidi"/>
          <w:szCs w:val="22"/>
        </w:rPr>
      </w:pPr>
      <w:r>
        <w:t>148.</w:t>
      </w:r>
      <w:r>
        <w:tab/>
        <w:t>Educational leader</w:t>
      </w:r>
      <w:r>
        <w:tab/>
      </w:r>
      <w:r>
        <w:fldChar w:fldCharType="begin"/>
      </w:r>
      <w:r>
        <w:instrText xml:space="preserve"> PAGEREF _Toc109833096 \h </w:instrText>
      </w:r>
      <w:r>
        <w:fldChar w:fldCharType="separate"/>
      </w:r>
      <w:r>
        <w:t>130</w:t>
      </w:r>
      <w:r>
        <w:fldChar w:fldCharType="end"/>
      </w:r>
    </w:p>
    <w:p>
      <w:pPr>
        <w:pStyle w:val="TOC8"/>
        <w:rPr>
          <w:rFonts w:asciiTheme="minorHAnsi" w:eastAsiaTheme="minorEastAsia" w:hAnsiTheme="minorHAnsi" w:cstheme="minorBidi"/>
          <w:szCs w:val="22"/>
        </w:rPr>
      </w:pPr>
      <w:r>
        <w:lastRenderedPageBreak/>
        <w:t>149.</w:t>
      </w:r>
      <w:r>
        <w:tab/>
        <w:t>Volunteers and students</w:t>
      </w:r>
      <w:r>
        <w:tab/>
      </w:r>
      <w:r>
        <w:fldChar w:fldCharType="begin"/>
      </w:r>
      <w:r>
        <w:instrText xml:space="preserve"> PAGEREF _Toc109833097 \h </w:instrText>
      </w:r>
      <w:r>
        <w:fldChar w:fldCharType="separate"/>
      </w:r>
      <w:r>
        <w:t>130</w:t>
      </w:r>
      <w:r>
        <w:fldChar w:fldCharType="end"/>
      </w:r>
    </w:p>
    <w:p>
      <w:pPr>
        <w:pStyle w:val="TOC8"/>
        <w:rPr>
          <w:rFonts w:asciiTheme="minorHAnsi" w:eastAsiaTheme="minorEastAsia" w:hAnsiTheme="minorHAnsi" w:cstheme="minorBidi"/>
          <w:szCs w:val="22"/>
        </w:rPr>
      </w:pPr>
      <w:r>
        <w:t>150.</w:t>
      </w:r>
      <w:r>
        <w:tab/>
        <w:t>Responsible person</w:t>
      </w:r>
      <w:r>
        <w:tab/>
      </w:r>
      <w:r>
        <w:fldChar w:fldCharType="begin"/>
      </w:r>
      <w:r>
        <w:instrText xml:space="preserve"> PAGEREF _Toc109833098 \h </w:instrText>
      </w:r>
      <w:r>
        <w:fldChar w:fldCharType="separate"/>
      </w:r>
      <w:r>
        <w:t>131</w:t>
      </w:r>
      <w:r>
        <w:fldChar w:fldCharType="end"/>
      </w:r>
    </w:p>
    <w:p>
      <w:pPr>
        <w:pStyle w:val="TOC8"/>
        <w:rPr>
          <w:rFonts w:asciiTheme="minorHAnsi" w:eastAsiaTheme="minorEastAsia" w:hAnsiTheme="minorHAnsi" w:cstheme="minorBidi"/>
          <w:szCs w:val="22"/>
        </w:rPr>
      </w:pPr>
      <w:r>
        <w:t>151.</w:t>
      </w:r>
      <w:r>
        <w:tab/>
        <w:t>Record of educators working directly with children</w:t>
      </w:r>
      <w:r>
        <w:tab/>
      </w:r>
      <w:r>
        <w:fldChar w:fldCharType="begin"/>
      </w:r>
      <w:r>
        <w:instrText xml:space="preserve"> PAGEREF _Toc109833099 \h </w:instrText>
      </w:r>
      <w:r>
        <w:fldChar w:fldCharType="separate"/>
      </w:r>
      <w:r>
        <w:t>131</w:t>
      </w:r>
      <w:r>
        <w:fldChar w:fldCharType="end"/>
      </w:r>
    </w:p>
    <w:p>
      <w:pPr>
        <w:pStyle w:val="TOC8"/>
        <w:rPr>
          <w:rFonts w:asciiTheme="minorHAnsi" w:eastAsiaTheme="minorEastAsia" w:hAnsiTheme="minorHAnsi" w:cstheme="minorBidi"/>
          <w:szCs w:val="22"/>
        </w:rPr>
      </w:pPr>
      <w:r>
        <w:t>152.</w:t>
      </w:r>
      <w:r>
        <w:tab/>
        <w:t>Record of access to early childhood teachers</w:t>
      </w:r>
      <w:r>
        <w:tab/>
      </w:r>
      <w:r>
        <w:fldChar w:fldCharType="begin"/>
      </w:r>
      <w:r>
        <w:instrText xml:space="preserve"> PAGEREF _Toc109833100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Division 10 — Register of family day care educators, co</w:t>
      </w:r>
      <w:r>
        <w:noBreakHyphen/>
        <w:t>ordinators and assistants and records of family day care service</w:t>
      </w:r>
    </w:p>
    <w:p>
      <w:pPr>
        <w:pStyle w:val="TOC8"/>
        <w:rPr>
          <w:rFonts w:asciiTheme="minorHAnsi" w:eastAsiaTheme="minorEastAsia" w:hAnsiTheme="minorHAnsi" w:cstheme="minorBidi"/>
          <w:szCs w:val="22"/>
        </w:rPr>
      </w:pPr>
      <w:r>
        <w:t>153.</w:t>
      </w:r>
      <w:r>
        <w:tab/>
        <w:t>Register of family day care educators, co-ordinators and educator assistants</w:t>
      </w:r>
      <w:r>
        <w:tab/>
      </w:r>
      <w:r>
        <w:fldChar w:fldCharType="begin"/>
      </w:r>
      <w:r>
        <w:instrText xml:space="preserve"> PAGEREF _Toc109833102 \h </w:instrText>
      </w:r>
      <w:r>
        <w:fldChar w:fldCharType="separate"/>
      </w:r>
      <w:r>
        <w:t>132</w:t>
      </w:r>
      <w:r>
        <w:fldChar w:fldCharType="end"/>
      </w:r>
    </w:p>
    <w:p>
      <w:pPr>
        <w:pStyle w:val="TOC8"/>
        <w:rPr>
          <w:rFonts w:asciiTheme="minorHAnsi" w:eastAsiaTheme="minorEastAsia" w:hAnsiTheme="minorHAnsi" w:cstheme="minorBidi"/>
          <w:szCs w:val="22"/>
        </w:rPr>
      </w:pPr>
      <w:r>
        <w:t>154.</w:t>
      </w:r>
      <w:r>
        <w:tab/>
        <w:t>Record of staff engaged or employed by family day care service</w:t>
      </w:r>
      <w:r>
        <w:tab/>
      </w:r>
      <w:r>
        <w:fldChar w:fldCharType="begin"/>
      </w:r>
      <w:r>
        <w:instrText xml:space="preserve"> PAGEREF _Toc109833103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Part 4.5 — Relationships with children</w:t>
      </w:r>
    </w:p>
    <w:p>
      <w:pPr>
        <w:pStyle w:val="TOC8"/>
        <w:rPr>
          <w:rFonts w:asciiTheme="minorHAnsi" w:eastAsiaTheme="minorEastAsia" w:hAnsiTheme="minorHAnsi" w:cstheme="minorBidi"/>
          <w:szCs w:val="22"/>
        </w:rPr>
      </w:pPr>
      <w:r>
        <w:t>155.</w:t>
      </w:r>
      <w:r>
        <w:tab/>
        <w:t>Interactions with children</w:t>
      </w:r>
      <w:r>
        <w:tab/>
      </w:r>
      <w:r>
        <w:fldChar w:fldCharType="begin"/>
      </w:r>
      <w:r>
        <w:instrText xml:space="preserve"> PAGEREF _Toc109833105 \h </w:instrText>
      </w:r>
      <w:r>
        <w:fldChar w:fldCharType="separate"/>
      </w:r>
      <w:r>
        <w:t>139</w:t>
      </w:r>
      <w:r>
        <w:fldChar w:fldCharType="end"/>
      </w:r>
    </w:p>
    <w:p>
      <w:pPr>
        <w:pStyle w:val="TOC8"/>
        <w:rPr>
          <w:rFonts w:asciiTheme="minorHAnsi" w:eastAsiaTheme="minorEastAsia" w:hAnsiTheme="minorHAnsi" w:cstheme="minorBidi"/>
          <w:szCs w:val="22"/>
        </w:rPr>
      </w:pPr>
      <w:r>
        <w:t>156.</w:t>
      </w:r>
      <w:r>
        <w:tab/>
        <w:t>Relationships in groups</w:t>
      </w:r>
      <w:r>
        <w:tab/>
      </w:r>
      <w:r>
        <w:fldChar w:fldCharType="begin"/>
      </w:r>
      <w:r>
        <w:instrText xml:space="preserve"> PAGEREF _Toc109833106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Part 4.6 — Collaborative partnerships with families and communities</w:t>
      </w:r>
    </w:p>
    <w:p>
      <w:pPr>
        <w:pStyle w:val="TOC8"/>
        <w:rPr>
          <w:rFonts w:asciiTheme="minorHAnsi" w:eastAsiaTheme="minorEastAsia" w:hAnsiTheme="minorHAnsi" w:cstheme="minorBidi"/>
          <w:szCs w:val="22"/>
        </w:rPr>
      </w:pPr>
      <w:r>
        <w:t>157.</w:t>
      </w:r>
      <w:r>
        <w:tab/>
        <w:t>Access for parents</w:t>
      </w:r>
      <w:r>
        <w:tab/>
      </w:r>
      <w:r>
        <w:fldChar w:fldCharType="begin"/>
      </w:r>
      <w:r>
        <w:instrText xml:space="preserve"> PAGEREF _Toc109833108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Part 4.7 — Governance and leadership</w:t>
      </w:r>
    </w:p>
    <w:p>
      <w:pPr>
        <w:pStyle w:val="TOC6"/>
        <w:tabs>
          <w:tab w:val="right" w:leader="dot" w:pos="7077"/>
        </w:tabs>
        <w:rPr>
          <w:rFonts w:asciiTheme="minorHAnsi" w:eastAsiaTheme="minorEastAsia" w:hAnsiTheme="minorHAnsi" w:cstheme="minorBidi"/>
          <w:b w:val="0"/>
          <w:sz w:val="22"/>
          <w:szCs w:val="22"/>
        </w:rPr>
      </w:pPr>
      <w:r>
        <w:t>Division 1 — Management of services</w:t>
      </w:r>
    </w:p>
    <w:p>
      <w:pPr>
        <w:pStyle w:val="TOC8"/>
        <w:rPr>
          <w:rFonts w:asciiTheme="minorHAnsi" w:eastAsiaTheme="minorEastAsia" w:hAnsiTheme="minorHAnsi" w:cstheme="minorBidi"/>
          <w:szCs w:val="22"/>
        </w:rPr>
      </w:pPr>
      <w:r>
        <w:t>158.</w:t>
      </w:r>
      <w:r>
        <w:tab/>
        <w:t>Children’s attendance record to be kept by approved provider</w:t>
      </w:r>
      <w:r>
        <w:tab/>
      </w:r>
      <w:r>
        <w:fldChar w:fldCharType="begin"/>
      </w:r>
      <w:r>
        <w:instrText xml:space="preserve"> PAGEREF _Toc109833111 \h </w:instrText>
      </w:r>
      <w:r>
        <w:fldChar w:fldCharType="separate"/>
      </w:r>
      <w:r>
        <w:t>141</w:t>
      </w:r>
      <w:r>
        <w:fldChar w:fldCharType="end"/>
      </w:r>
    </w:p>
    <w:p>
      <w:pPr>
        <w:pStyle w:val="TOC8"/>
        <w:rPr>
          <w:rFonts w:asciiTheme="minorHAnsi" w:eastAsiaTheme="minorEastAsia" w:hAnsiTheme="minorHAnsi" w:cstheme="minorBidi"/>
          <w:szCs w:val="22"/>
        </w:rPr>
      </w:pPr>
      <w:r>
        <w:t>159.</w:t>
      </w:r>
      <w:r>
        <w:tab/>
        <w:t>Children’s attendance record to be kept by family day care educator</w:t>
      </w:r>
      <w:r>
        <w:tab/>
      </w:r>
      <w:r>
        <w:fldChar w:fldCharType="begin"/>
      </w:r>
      <w:r>
        <w:instrText xml:space="preserve"> PAGEREF _Toc109833112 \h </w:instrText>
      </w:r>
      <w:r>
        <w:fldChar w:fldCharType="separate"/>
      </w:r>
      <w:r>
        <w:t>142</w:t>
      </w:r>
      <w:r>
        <w:fldChar w:fldCharType="end"/>
      </w:r>
    </w:p>
    <w:p>
      <w:pPr>
        <w:pStyle w:val="TOC8"/>
        <w:rPr>
          <w:rFonts w:asciiTheme="minorHAnsi" w:eastAsiaTheme="minorEastAsia" w:hAnsiTheme="minorHAnsi" w:cstheme="minorBidi"/>
          <w:szCs w:val="22"/>
        </w:rPr>
      </w:pPr>
      <w:r>
        <w:t>160.</w:t>
      </w:r>
      <w:r>
        <w:tab/>
        <w:t>Child enrolment records to be kept by approved provider and family day care educator</w:t>
      </w:r>
      <w:r>
        <w:tab/>
      </w:r>
      <w:r>
        <w:fldChar w:fldCharType="begin"/>
      </w:r>
      <w:r>
        <w:instrText xml:space="preserve"> PAGEREF _Toc109833113 \h </w:instrText>
      </w:r>
      <w:r>
        <w:fldChar w:fldCharType="separate"/>
      </w:r>
      <w:r>
        <w:t>143</w:t>
      </w:r>
      <w:r>
        <w:fldChar w:fldCharType="end"/>
      </w:r>
    </w:p>
    <w:p>
      <w:pPr>
        <w:pStyle w:val="TOC8"/>
        <w:rPr>
          <w:rFonts w:asciiTheme="minorHAnsi" w:eastAsiaTheme="minorEastAsia" w:hAnsiTheme="minorHAnsi" w:cstheme="minorBidi"/>
          <w:szCs w:val="22"/>
        </w:rPr>
      </w:pPr>
      <w:r>
        <w:t>161.</w:t>
      </w:r>
      <w:r>
        <w:tab/>
        <w:t>Authorisations to be kept in enrolment record</w:t>
      </w:r>
      <w:r>
        <w:tab/>
      </w:r>
      <w:r>
        <w:fldChar w:fldCharType="begin"/>
      </w:r>
      <w:r>
        <w:instrText xml:space="preserve"> PAGEREF _Toc109833114 \h </w:instrText>
      </w:r>
      <w:r>
        <w:fldChar w:fldCharType="separate"/>
      </w:r>
      <w:r>
        <w:t>144</w:t>
      </w:r>
      <w:r>
        <w:fldChar w:fldCharType="end"/>
      </w:r>
    </w:p>
    <w:p>
      <w:pPr>
        <w:pStyle w:val="TOC8"/>
        <w:rPr>
          <w:rFonts w:asciiTheme="minorHAnsi" w:eastAsiaTheme="minorEastAsia" w:hAnsiTheme="minorHAnsi" w:cstheme="minorBidi"/>
          <w:szCs w:val="22"/>
        </w:rPr>
      </w:pPr>
      <w:r>
        <w:t>162.</w:t>
      </w:r>
      <w:r>
        <w:tab/>
        <w:t>Health information to be kept in enrolment record</w:t>
      </w:r>
      <w:r>
        <w:tab/>
      </w:r>
      <w:r>
        <w:fldChar w:fldCharType="begin"/>
      </w:r>
      <w:r>
        <w:instrText xml:space="preserve"> PAGEREF _Toc109833115 \h </w:instrText>
      </w:r>
      <w:r>
        <w:fldChar w:fldCharType="separate"/>
      </w:r>
      <w:r>
        <w:t>146</w:t>
      </w:r>
      <w:r>
        <w:fldChar w:fldCharType="end"/>
      </w:r>
    </w:p>
    <w:p>
      <w:pPr>
        <w:pStyle w:val="TOC8"/>
        <w:rPr>
          <w:rFonts w:asciiTheme="minorHAnsi" w:eastAsiaTheme="minorEastAsia" w:hAnsiTheme="minorHAnsi" w:cstheme="minorBidi"/>
          <w:szCs w:val="22"/>
        </w:rPr>
      </w:pPr>
      <w:r>
        <w:t>163.</w:t>
      </w:r>
      <w:r>
        <w:tab/>
        <w:t>Residents at family day care residence and family day care educator assistants to be fit and proper persons</w:t>
      </w:r>
      <w:r>
        <w:tab/>
      </w:r>
      <w:r>
        <w:fldChar w:fldCharType="begin"/>
      </w:r>
      <w:r>
        <w:instrText xml:space="preserve"> PAGEREF _Toc109833116 \h </w:instrText>
      </w:r>
      <w:r>
        <w:fldChar w:fldCharType="separate"/>
      </w:r>
      <w:r>
        <w:t>147</w:t>
      </w:r>
      <w:r>
        <w:fldChar w:fldCharType="end"/>
      </w:r>
    </w:p>
    <w:p>
      <w:pPr>
        <w:pStyle w:val="TOC8"/>
        <w:rPr>
          <w:rFonts w:asciiTheme="minorHAnsi" w:eastAsiaTheme="minorEastAsia" w:hAnsiTheme="minorHAnsi" w:cstheme="minorBidi"/>
          <w:szCs w:val="22"/>
        </w:rPr>
      </w:pPr>
      <w:r>
        <w:t>164.</w:t>
      </w:r>
      <w:r>
        <w:tab/>
        <w:t>Requirement for notice of new persons at residence</w:t>
      </w:r>
      <w:r>
        <w:tab/>
      </w:r>
      <w:r>
        <w:fldChar w:fldCharType="begin"/>
      </w:r>
      <w:r>
        <w:instrText xml:space="preserve"> PAGEREF _Toc109833117 \h </w:instrText>
      </w:r>
      <w:r>
        <w:fldChar w:fldCharType="separate"/>
      </w:r>
      <w:r>
        <w:t>149</w:t>
      </w:r>
      <w:r>
        <w:fldChar w:fldCharType="end"/>
      </w:r>
    </w:p>
    <w:p>
      <w:pPr>
        <w:pStyle w:val="TOC8"/>
        <w:rPr>
          <w:rFonts w:asciiTheme="minorHAnsi" w:eastAsiaTheme="minorEastAsia" w:hAnsiTheme="minorHAnsi" w:cstheme="minorBidi"/>
          <w:szCs w:val="22"/>
        </w:rPr>
      </w:pPr>
      <w:r>
        <w:t>165.</w:t>
      </w:r>
      <w:r>
        <w:tab/>
        <w:t>Record of visitors</w:t>
      </w:r>
      <w:r>
        <w:tab/>
      </w:r>
      <w:r>
        <w:fldChar w:fldCharType="begin"/>
      </w:r>
      <w:r>
        <w:instrText xml:space="preserve"> PAGEREF _Toc109833118 \h </w:instrText>
      </w:r>
      <w:r>
        <w:fldChar w:fldCharType="separate"/>
      </w:r>
      <w:r>
        <w:t>149</w:t>
      </w:r>
      <w:r>
        <w:fldChar w:fldCharType="end"/>
      </w:r>
    </w:p>
    <w:p>
      <w:pPr>
        <w:pStyle w:val="TOC8"/>
        <w:rPr>
          <w:rFonts w:asciiTheme="minorHAnsi" w:eastAsiaTheme="minorEastAsia" w:hAnsiTheme="minorHAnsi" w:cstheme="minorBidi"/>
          <w:szCs w:val="22"/>
        </w:rPr>
      </w:pPr>
      <w:r>
        <w:t>166.</w:t>
      </w:r>
      <w:r>
        <w:tab/>
        <w:t>Children not to be alone with visitors</w:t>
      </w:r>
      <w:r>
        <w:tab/>
      </w:r>
      <w:r>
        <w:fldChar w:fldCharType="begin"/>
      </w:r>
      <w:r>
        <w:instrText xml:space="preserve"> PAGEREF _Toc109833119 \h </w:instrText>
      </w:r>
      <w:r>
        <w:fldChar w:fldCharType="separate"/>
      </w:r>
      <w:r>
        <w:t>150</w:t>
      </w:r>
      <w:r>
        <w:fldChar w:fldCharType="end"/>
      </w:r>
    </w:p>
    <w:p>
      <w:pPr>
        <w:pStyle w:val="TOC8"/>
        <w:rPr>
          <w:rFonts w:asciiTheme="minorHAnsi" w:eastAsiaTheme="minorEastAsia" w:hAnsiTheme="minorHAnsi" w:cstheme="minorBidi"/>
          <w:szCs w:val="22"/>
        </w:rPr>
      </w:pPr>
      <w:r>
        <w:t>167.</w:t>
      </w:r>
      <w:r>
        <w:tab/>
        <w:t>Record of service’s compliance</w:t>
      </w:r>
      <w:r>
        <w:tab/>
      </w:r>
      <w:r>
        <w:fldChar w:fldCharType="begin"/>
      </w:r>
      <w:r>
        <w:instrText xml:space="preserve"> PAGEREF _Toc109833120 \h </w:instrText>
      </w:r>
      <w:r>
        <w:fldChar w:fldCharType="separate"/>
      </w:r>
      <w:r>
        <w:t>150</w:t>
      </w:r>
      <w:r>
        <w:fldChar w:fldCharType="end"/>
      </w:r>
    </w:p>
    <w:p>
      <w:pPr>
        <w:pStyle w:val="TOC6"/>
        <w:tabs>
          <w:tab w:val="right" w:leader="dot" w:pos="7077"/>
        </w:tabs>
        <w:rPr>
          <w:rFonts w:asciiTheme="minorHAnsi" w:eastAsiaTheme="minorEastAsia" w:hAnsiTheme="minorHAnsi" w:cstheme="minorBidi"/>
          <w:b w:val="0"/>
          <w:sz w:val="22"/>
          <w:szCs w:val="22"/>
        </w:rPr>
      </w:pPr>
      <w:r>
        <w:t>Division 2 — Policies and procedures</w:t>
      </w:r>
    </w:p>
    <w:p>
      <w:pPr>
        <w:pStyle w:val="TOC8"/>
        <w:rPr>
          <w:rFonts w:asciiTheme="minorHAnsi" w:eastAsiaTheme="minorEastAsia" w:hAnsiTheme="minorHAnsi" w:cstheme="minorBidi"/>
          <w:szCs w:val="22"/>
        </w:rPr>
      </w:pPr>
      <w:r>
        <w:t>168.</w:t>
      </w:r>
      <w:r>
        <w:tab/>
        <w:t>Education and care service must have policies and procedures</w:t>
      </w:r>
      <w:r>
        <w:tab/>
      </w:r>
      <w:r>
        <w:fldChar w:fldCharType="begin"/>
      </w:r>
      <w:r>
        <w:instrText xml:space="preserve"> PAGEREF _Toc109833122 \h </w:instrText>
      </w:r>
      <w:r>
        <w:fldChar w:fldCharType="separate"/>
      </w:r>
      <w:r>
        <w:t>152</w:t>
      </w:r>
      <w:r>
        <w:fldChar w:fldCharType="end"/>
      </w:r>
    </w:p>
    <w:p>
      <w:pPr>
        <w:pStyle w:val="TOC8"/>
        <w:rPr>
          <w:rFonts w:asciiTheme="minorHAnsi" w:eastAsiaTheme="minorEastAsia" w:hAnsiTheme="minorHAnsi" w:cstheme="minorBidi"/>
          <w:szCs w:val="22"/>
        </w:rPr>
      </w:pPr>
      <w:r>
        <w:t>169.</w:t>
      </w:r>
      <w:r>
        <w:tab/>
        <w:t>Additional policies and procedures — family day care service</w:t>
      </w:r>
      <w:r>
        <w:tab/>
      </w:r>
      <w:r>
        <w:fldChar w:fldCharType="begin"/>
      </w:r>
      <w:r>
        <w:instrText xml:space="preserve"> PAGEREF _Toc109833123 \h </w:instrText>
      </w:r>
      <w:r>
        <w:fldChar w:fldCharType="separate"/>
      </w:r>
      <w:r>
        <w:t>154</w:t>
      </w:r>
      <w:r>
        <w:fldChar w:fldCharType="end"/>
      </w:r>
    </w:p>
    <w:p>
      <w:pPr>
        <w:pStyle w:val="TOC8"/>
        <w:rPr>
          <w:rFonts w:asciiTheme="minorHAnsi" w:eastAsiaTheme="minorEastAsia" w:hAnsiTheme="minorHAnsi" w:cstheme="minorBidi"/>
          <w:szCs w:val="22"/>
        </w:rPr>
      </w:pPr>
      <w:r>
        <w:lastRenderedPageBreak/>
        <w:t>170.</w:t>
      </w:r>
      <w:r>
        <w:tab/>
        <w:t>Policies and procedures to be followed</w:t>
      </w:r>
      <w:r>
        <w:tab/>
      </w:r>
      <w:r>
        <w:fldChar w:fldCharType="begin"/>
      </w:r>
      <w:r>
        <w:instrText xml:space="preserve"> PAGEREF _Toc109833124 \h </w:instrText>
      </w:r>
      <w:r>
        <w:fldChar w:fldCharType="separate"/>
      </w:r>
      <w:r>
        <w:t>155</w:t>
      </w:r>
      <w:r>
        <w:fldChar w:fldCharType="end"/>
      </w:r>
    </w:p>
    <w:p>
      <w:pPr>
        <w:pStyle w:val="TOC8"/>
        <w:rPr>
          <w:rFonts w:asciiTheme="minorHAnsi" w:eastAsiaTheme="minorEastAsia" w:hAnsiTheme="minorHAnsi" w:cstheme="minorBidi"/>
          <w:szCs w:val="22"/>
        </w:rPr>
      </w:pPr>
      <w:r>
        <w:t>171.</w:t>
      </w:r>
      <w:r>
        <w:tab/>
        <w:t>Policies and procedures to be kept available</w:t>
      </w:r>
      <w:r>
        <w:tab/>
      </w:r>
      <w:r>
        <w:fldChar w:fldCharType="begin"/>
      </w:r>
      <w:r>
        <w:instrText xml:space="preserve"> PAGEREF _Toc109833125 \h </w:instrText>
      </w:r>
      <w:r>
        <w:fldChar w:fldCharType="separate"/>
      </w:r>
      <w:r>
        <w:t>155</w:t>
      </w:r>
      <w:r>
        <w:fldChar w:fldCharType="end"/>
      </w:r>
    </w:p>
    <w:p>
      <w:pPr>
        <w:pStyle w:val="TOC8"/>
        <w:rPr>
          <w:rFonts w:asciiTheme="minorHAnsi" w:eastAsiaTheme="minorEastAsia" w:hAnsiTheme="minorHAnsi" w:cstheme="minorBidi"/>
          <w:szCs w:val="22"/>
        </w:rPr>
      </w:pPr>
      <w:r>
        <w:t>172.</w:t>
      </w:r>
      <w:r>
        <w:tab/>
        <w:t>Notification of change to policies or procedures</w:t>
      </w:r>
      <w:r>
        <w:tab/>
      </w:r>
      <w:r>
        <w:fldChar w:fldCharType="begin"/>
      </w:r>
      <w:r>
        <w:instrText xml:space="preserve"> PAGEREF _Toc109833126 \h </w:instrText>
      </w:r>
      <w:r>
        <w:fldChar w:fldCharType="separate"/>
      </w:r>
      <w:r>
        <w:t>156</w:t>
      </w:r>
      <w:r>
        <w:fldChar w:fldCharType="end"/>
      </w:r>
    </w:p>
    <w:p>
      <w:pPr>
        <w:pStyle w:val="TOC6"/>
        <w:tabs>
          <w:tab w:val="right" w:leader="dot" w:pos="7077"/>
        </w:tabs>
        <w:rPr>
          <w:rFonts w:asciiTheme="minorHAnsi" w:eastAsiaTheme="minorEastAsia" w:hAnsiTheme="minorHAnsi" w:cstheme="minorBidi"/>
          <w:b w:val="0"/>
          <w:sz w:val="22"/>
          <w:szCs w:val="22"/>
        </w:rPr>
      </w:pPr>
      <w:r>
        <w:t>Division 3 — Information and record</w:t>
      </w:r>
      <w:r>
        <w:noBreakHyphen/>
        <w:t>keeping requirements</w:t>
      </w:r>
    </w:p>
    <w:p>
      <w:pPr>
        <w:pStyle w:val="TOC8"/>
        <w:rPr>
          <w:rFonts w:asciiTheme="minorHAnsi" w:eastAsiaTheme="minorEastAsia" w:hAnsiTheme="minorHAnsi" w:cstheme="minorBidi"/>
          <w:szCs w:val="22"/>
        </w:rPr>
      </w:pPr>
      <w:r>
        <w:t>173.</w:t>
      </w:r>
      <w:r>
        <w:tab/>
        <w:t>Prescribed information to be displayed</w:t>
      </w:r>
      <w:r>
        <w:tab/>
      </w:r>
      <w:r>
        <w:fldChar w:fldCharType="begin"/>
      </w:r>
      <w:r>
        <w:instrText xml:space="preserve"> PAGEREF _Toc109833128 \h </w:instrText>
      </w:r>
      <w:r>
        <w:fldChar w:fldCharType="separate"/>
      </w:r>
      <w:r>
        <w:t>157</w:t>
      </w:r>
      <w:r>
        <w:fldChar w:fldCharType="end"/>
      </w:r>
    </w:p>
    <w:p>
      <w:pPr>
        <w:pStyle w:val="TOC8"/>
        <w:rPr>
          <w:rFonts w:asciiTheme="minorHAnsi" w:eastAsiaTheme="minorEastAsia" w:hAnsiTheme="minorHAnsi" w:cstheme="minorBidi"/>
          <w:szCs w:val="22"/>
        </w:rPr>
      </w:pPr>
      <w:r>
        <w:t>174.</w:t>
      </w:r>
      <w:r>
        <w:tab/>
        <w:t>Time to notify certain circumstances to Regulatory Authority</w:t>
      </w:r>
      <w:r>
        <w:tab/>
      </w:r>
      <w:r>
        <w:fldChar w:fldCharType="begin"/>
      </w:r>
      <w:r>
        <w:instrText xml:space="preserve"> PAGEREF _Toc109833129 \h </w:instrText>
      </w:r>
      <w:r>
        <w:fldChar w:fldCharType="separate"/>
      </w:r>
      <w:r>
        <w:t>159</w:t>
      </w:r>
      <w:r>
        <w:fldChar w:fldCharType="end"/>
      </w:r>
    </w:p>
    <w:p>
      <w:pPr>
        <w:pStyle w:val="TOC8"/>
        <w:rPr>
          <w:rFonts w:asciiTheme="minorHAnsi" w:eastAsiaTheme="minorEastAsia" w:hAnsiTheme="minorHAnsi" w:cstheme="minorBidi"/>
          <w:szCs w:val="22"/>
        </w:rPr>
      </w:pPr>
      <w:r>
        <w:t>174A.</w:t>
      </w:r>
      <w:r>
        <w:tab/>
        <w:t>Prescribed information to accompany notice</w:t>
      </w:r>
      <w:r>
        <w:tab/>
      </w:r>
      <w:r>
        <w:fldChar w:fldCharType="begin"/>
      </w:r>
      <w:r>
        <w:instrText xml:space="preserve"> PAGEREF _Toc109833130 \h </w:instrText>
      </w:r>
      <w:r>
        <w:fldChar w:fldCharType="separate"/>
      </w:r>
      <w:r>
        <w:t>160</w:t>
      </w:r>
      <w:r>
        <w:fldChar w:fldCharType="end"/>
      </w:r>
    </w:p>
    <w:p>
      <w:pPr>
        <w:pStyle w:val="TOC8"/>
        <w:rPr>
          <w:rFonts w:asciiTheme="minorHAnsi" w:eastAsiaTheme="minorEastAsia" w:hAnsiTheme="minorHAnsi" w:cstheme="minorBidi"/>
          <w:szCs w:val="22"/>
        </w:rPr>
      </w:pPr>
      <w:r>
        <w:t>175.</w:t>
      </w:r>
      <w:r>
        <w:tab/>
        <w:t>Prescribed information to be notified to Regulatory Authority</w:t>
      </w:r>
      <w:r>
        <w:tab/>
      </w:r>
      <w:r>
        <w:fldChar w:fldCharType="begin"/>
      </w:r>
      <w:r>
        <w:instrText xml:space="preserve"> PAGEREF _Toc109833131 \h </w:instrText>
      </w:r>
      <w:r>
        <w:fldChar w:fldCharType="separate"/>
      </w:r>
      <w:r>
        <w:t>160</w:t>
      </w:r>
      <w:r>
        <w:fldChar w:fldCharType="end"/>
      </w:r>
    </w:p>
    <w:p>
      <w:pPr>
        <w:pStyle w:val="TOC8"/>
        <w:rPr>
          <w:rFonts w:asciiTheme="minorHAnsi" w:eastAsiaTheme="minorEastAsia" w:hAnsiTheme="minorHAnsi" w:cstheme="minorBidi"/>
          <w:szCs w:val="22"/>
        </w:rPr>
      </w:pPr>
      <w:r>
        <w:t>176.</w:t>
      </w:r>
      <w:r>
        <w:tab/>
        <w:t>Time to notify certain information to Regulatory Authority</w:t>
      </w:r>
      <w:r>
        <w:tab/>
      </w:r>
      <w:r>
        <w:fldChar w:fldCharType="begin"/>
      </w:r>
      <w:r>
        <w:instrText xml:space="preserve"> PAGEREF _Toc109833132 \h </w:instrText>
      </w:r>
      <w:r>
        <w:fldChar w:fldCharType="separate"/>
      </w:r>
      <w:r>
        <w:t>161</w:t>
      </w:r>
      <w:r>
        <w:fldChar w:fldCharType="end"/>
      </w:r>
    </w:p>
    <w:p>
      <w:pPr>
        <w:pStyle w:val="TOC8"/>
        <w:rPr>
          <w:rFonts w:asciiTheme="minorHAnsi" w:eastAsiaTheme="minorEastAsia" w:hAnsiTheme="minorHAnsi" w:cstheme="minorBidi"/>
          <w:szCs w:val="22"/>
        </w:rPr>
      </w:pPr>
      <w:r>
        <w:t>176A.</w:t>
      </w:r>
      <w:r>
        <w:tab/>
        <w:t>Prescribed information to be notified to approved provider by family day care educator</w:t>
      </w:r>
      <w:r>
        <w:tab/>
      </w:r>
      <w:r>
        <w:fldChar w:fldCharType="begin"/>
      </w:r>
      <w:r>
        <w:instrText xml:space="preserve"> PAGEREF _Toc109833133 \h </w:instrText>
      </w:r>
      <w:r>
        <w:fldChar w:fldCharType="separate"/>
      </w:r>
      <w:r>
        <w:t>162</w:t>
      </w:r>
      <w:r>
        <w:fldChar w:fldCharType="end"/>
      </w:r>
    </w:p>
    <w:p>
      <w:pPr>
        <w:pStyle w:val="TOC8"/>
        <w:rPr>
          <w:rFonts w:asciiTheme="minorHAnsi" w:eastAsiaTheme="minorEastAsia" w:hAnsiTheme="minorHAnsi" w:cstheme="minorBidi"/>
          <w:szCs w:val="22"/>
        </w:rPr>
      </w:pPr>
      <w:r>
        <w:t>177.</w:t>
      </w:r>
      <w:r>
        <w:tab/>
        <w:t>Prescribed enrolment and other documents to be kept by approved provider</w:t>
      </w:r>
      <w:r>
        <w:tab/>
      </w:r>
      <w:r>
        <w:fldChar w:fldCharType="begin"/>
      </w:r>
      <w:r>
        <w:instrText xml:space="preserve"> PAGEREF _Toc109833134 \h </w:instrText>
      </w:r>
      <w:r>
        <w:fldChar w:fldCharType="separate"/>
      </w:r>
      <w:r>
        <w:t>163</w:t>
      </w:r>
      <w:r>
        <w:fldChar w:fldCharType="end"/>
      </w:r>
    </w:p>
    <w:p>
      <w:pPr>
        <w:pStyle w:val="TOC8"/>
        <w:rPr>
          <w:rFonts w:asciiTheme="minorHAnsi" w:eastAsiaTheme="minorEastAsia" w:hAnsiTheme="minorHAnsi" w:cstheme="minorBidi"/>
          <w:szCs w:val="22"/>
        </w:rPr>
      </w:pPr>
      <w:r>
        <w:t>178.</w:t>
      </w:r>
      <w:r>
        <w:tab/>
        <w:t>Prescribed enrolment and other documents to be kept by family day care educator</w:t>
      </w:r>
      <w:r>
        <w:tab/>
      </w:r>
      <w:r>
        <w:fldChar w:fldCharType="begin"/>
      </w:r>
      <w:r>
        <w:instrText xml:space="preserve"> PAGEREF _Toc109833135 \h </w:instrText>
      </w:r>
      <w:r>
        <w:fldChar w:fldCharType="separate"/>
      </w:r>
      <w:r>
        <w:t>165</w:t>
      </w:r>
      <w:r>
        <w:fldChar w:fldCharType="end"/>
      </w:r>
    </w:p>
    <w:p>
      <w:pPr>
        <w:pStyle w:val="TOC8"/>
        <w:rPr>
          <w:rFonts w:asciiTheme="minorHAnsi" w:eastAsiaTheme="minorEastAsia" w:hAnsiTheme="minorHAnsi" w:cstheme="minorBidi"/>
          <w:szCs w:val="22"/>
        </w:rPr>
      </w:pPr>
      <w:r>
        <w:t>179.</w:t>
      </w:r>
      <w:r>
        <w:tab/>
        <w:t>Family day care educator to provide documents on leaving service</w:t>
      </w:r>
      <w:r>
        <w:tab/>
      </w:r>
      <w:r>
        <w:fldChar w:fldCharType="begin"/>
      </w:r>
      <w:r>
        <w:instrText xml:space="preserve"> PAGEREF _Toc109833136 \h </w:instrText>
      </w:r>
      <w:r>
        <w:fldChar w:fldCharType="separate"/>
      </w:r>
      <w:r>
        <w:t>166</w:t>
      </w:r>
      <w:r>
        <w:fldChar w:fldCharType="end"/>
      </w:r>
    </w:p>
    <w:p>
      <w:pPr>
        <w:pStyle w:val="TOC8"/>
        <w:rPr>
          <w:rFonts w:asciiTheme="minorHAnsi" w:eastAsiaTheme="minorEastAsia" w:hAnsiTheme="minorHAnsi" w:cstheme="minorBidi"/>
          <w:szCs w:val="22"/>
        </w:rPr>
      </w:pPr>
      <w:r>
        <w:t>180.</w:t>
      </w:r>
      <w:r>
        <w:tab/>
        <w:t>Evidence of prescribed insurance</w:t>
      </w:r>
      <w:r>
        <w:tab/>
      </w:r>
      <w:r>
        <w:fldChar w:fldCharType="begin"/>
      </w:r>
      <w:r>
        <w:instrText xml:space="preserve"> PAGEREF _Toc109833137 \h </w:instrText>
      </w:r>
      <w:r>
        <w:fldChar w:fldCharType="separate"/>
      </w:r>
      <w:r>
        <w:t>166</w:t>
      </w:r>
      <w:r>
        <w:fldChar w:fldCharType="end"/>
      </w:r>
    </w:p>
    <w:p>
      <w:pPr>
        <w:pStyle w:val="TOC8"/>
        <w:rPr>
          <w:rFonts w:asciiTheme="minorHAnsi" w:eastAsiaTheme="minorEastAsia" w:hAnsiTheme="minorHAnsi" w:cstheme="minorBidi"/>
          <w:szCs w:val="22"/>
        </w:rPr>
      </w:pPr>
      <w:r>
        <w:t>181.</w:t>
      </w:r>
      <w:r>
        <w:tab/>
        <w:t>Confidentiality of records kept by approved provider</w:t>
      </w:r>
      <w:r>
        <w:tab/>
      </w:r>
      <w:r>
        <w:fldChar w:fldCharType="begin"/>
      </w:r>
      <w:r>
        <w:instrText xml:space="preserve"> PAGEREF _Toc109833138 \h </w:instrText>
      </w:r>
      <w:r>
        <w:fldChar w:fldCharType="separate"/>
      </w:r>
      <w:r>
        <w:t>166</w:t>
      </w:r>
      <w:r>
        <w:fldChar w:fldCharType="end"/>
      </w:r>
    </w:p>
    <w:p>
      <w:pPr>
        <w:pStyle w:val="TOC8"/>
        <w:rPr>
          <w:rFonts w:asciiTheme="minorHAnsi" w:eastAsiaTheme="minorEastAsia" w:hAnsiTheme="minorHAnsi" w:cstheme="minorBidi"/>
          <w:szCs w:val="22"/>
        </w:rPr>
      </w:pPr>
      <w:r>
        <w:t>182.</w:t>
      </w:r>
      <w:r>
        <w:tab/>
        <w:t>Confidentiality of records kept by family day care educator</w:t>
      </w:r>
      <w:r>
        <w:tab/>
      </w:r>
      <w:r>
        <w:fldChar w:fldCharType="begin"/>
      </w:r>
      <w:r>
        <w:instrText xml:space="preserve"> PAGEREF _Toc109833139 \h </w:instrText>
      </w:r>
      <w:r>
        <w:fldChar w:fldCharType="separate"/>
      </w:r>
      <w:r>
        <w:t>167</w:t>
      </w:r>
      <w:r>
        <w:fldChar w:fldCharType="end"/>
      </w:r>
    </w:p>
    <w:p>
      <w:pPr>
        <w:pStyle w:val="TOC8"/>
        <w:rPr>
          <w:rFonts w:asciiTheme="minorHAnsi" w:eastAsiaTheme="minorEastAsia" w:hAnsiTheme="minorHAnsi" w:cstheme="minorBidi"/>
          <w:szCs w:val="22"/>
        </w:rPr>
      </w:pPr>
      <w:r>
        <w:t>183.</w:t>
      </w:r>
      <w:r>
        <w:tab/>
        <w:t>Storage of records and other documents</w:t>
      </w:r>
      <w:r>
        <w:tab/>
      </w:r>
      <w:r>
        <w:fldChar w:fldCharType="begin"/>
      </w:r>
      <w:r>
        <w:instrText xml:space="preserve"> PAGEREF _Toc109833140 \h </w:instrText>
      </w:r>
      <w:r>
        <w:fldChar w:fldCharType="separate"/>
      </w:r>
      <w:r>
        <w:t>168</w:t>
      </w:r>
      <w:r>
        <w:fldChar w:fldCharType="end"/>
      </w:r>
    </w:p>
    <w:p>
      <w:pPr>
        <w:pStyle w:val="TOC8"/>
        <w:rPr>
          <w:rFonts w:asciiTheme="minorHAnsi" w:eastAsiaTheme="minorEastAsia" w:hAnsiTheme="minorHAnsi" w:cstheme="minorBidi"/>
          <w:szCs w:val="22"/>
        </w:rPr>
      </w:pPr>
      <w:r>
        <w:t>184.</w:t>
      </w:r>
      <w:r>
        <w:tab/>
        <w:t>Storage of records after service approval transferred</w:t>
      </w:r>
      <w:r>
        <w:tab/>
      </w:r>
      <w:r>
        <w:fldChar w:fldCharType="begin"/>
      </w:r>
      <w:r>
        <w:instrText xml:space="preserve"> PAGEREF _Toc109833141 \h </w:instrText>
      </w:r>
      <w:r>
        <w:fldChar w:fldCharType="separate"/>
      </w:r>
      <w:r>
        <w:t>169</w:t>
      </w:r>
      <w:r>
        <w:fldChar w:fldCharType="end"/>
      </w:r>
    </w:p>
    <w:p>
      <w:pPr>
        <w:pStyle w:val="TOC8"/>
        <w:rPr>
          <w:rFonts w:asciiTheme="minorHAnsi" w:eastAsiaTheme="minorEastAsia" w:hAnsiTheme="minorHAnsi" w:cstheme="minorBidi"/>
          <w:szCs w:val="22"/>
        </w:rPr>
      </w:pPr>
      <w:r>
        <w:t>185.</w:t>
      </w:r>
      <w:r>
        <w:tab/>
        <w:t>Law and regulations to be available</w:t>
      </w:r>
      <w:r>
        <w:tab/>
      </w:r>
      <w:r>
        <w:fldChar w:fldCharType="begin"/>
      </w:r>
      <w:r>
        <w:instrText xml:space="preserve"> PAGEREF _Toc109833142 \h </w:instrText>
      </w:r>
      <w:r>
        <w:fldChar w:fldCharType="separate"/>
      </w:r>
      <w:r>
        <w:t>169</w:t>
      </w:r>
      <w:r>
        <w:fldChar w:fldCharType="end"/>
      </w:r>
    </w:p>
    <w:p>
      <w:pPr>
        <w:pStyle w:val="TOC2"/>
        <w:tabs>
          <w:tab w:val="right" w:leader="dot" w:pos="7077"/>
        </w:tabs>
        <w:rPr>
          <w:rFonts w:asciiTheme="minorHAnsi" w:eastAsiaTheme="minorEastAsia" w:hAnsiTheme="minorHAnsi" w:cstheme="minorBidi"/>
          <w:b w:val="0"/>
          <w:sz w:val="22"/>
          <w:szCs w:val="22"/>
        </w:rPr>
      </w:pPr>
      <w:r>
        <w:t>Chapter 5 — Review, enforcement and compliance</w:t>
      </w:r>
    </w:p>
    <w:p>
      <w:pPr>
        <w:pStyle w:val="TOC4"/>
        <w:tabs>
          <w:tab w:val="right" w:leader="dot" w:pos="7077"/>
        </w:tabs>
        <w:rPr>
          <w:rFonts w:asciiTheme="minorHAnsi" w:eastAsiaTheme="minorEastAsia" w:hAnsiTheme="minorHAnsi" w:cstheme="minorBidi"/>
          <w:b w:val="0"/>
          <w:szCs w:val="22"/>
        </w:rPr>
      </w:pPr>
      <w:r>
        <w:t>Part 5.1 — Internal review</w:t>
      </w:r>
    </w:p>
    <w:p>
      <w:pPr>
        <w:pStyle w:val="TOC8"/>
        <w:rPr>
          <w:rFonts w:asciiTheme="minorHAnsi" w:eastAsiaTheme="minorEastAsia" w:hAnsiTheme="minorHAnsi" w:cstheme="minorBidi"/>
          <w:szCs w:val="22"/>
        </w:rPr>
      </w:pPr>
      <w:r>
        <w:t>186.</w:t>
      </w:r>
      <w:r>
        <w:tab/>
        <w:t>Application for internal review of reviewable decision</w:t>
      </w:r>
      <w:r>
        <w:tab/>
      </w:r>
      <w:r>
        <w:fldChar w:fldCharType="begin"/>
      </w:r>
      <w:r>
        <w:instrText xml:space="preserve"> PAGEREF _Toc109833145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Part 5.2 — Enforcement and compliance</w:t>
      </w:r>
    </w:p>
    <w:p>
      <w:pPr>
        <w:pStyle w:val="TOC8"/>
        <w:rPr>
          <w:rFonts w:asciiTheme="minorHAnsi" w:eastAsiaTheme="minorEastAsia" w:hAnsiTheme="minorHAnsi" w:cstheme="minorBidi"/>
          <w:szCs w:val="22"/>
        </w:rPr>
      </w:pPr>
      <w:r>
        <w:t>187.</w:t>
      </w:r>
      <w:r>
        <w:tab/>
        <w:t>Prescribed form of identity card</w:t>
      </w:r>
      <w:r>
        <w:tab/>
      </w:r>
      <w:r>
        <w:fldChar w:fldCharType="begin"/>
      </w:r>
      <w:r>
        <w:instrText xml:space="preserve"> PAGEREF _Toc109833147 \h </w:instrText>
      </w:r>
      <w:r>
        <w:fldChar w:fldCharType="separate"/>
      </w:r>
      <w:r>
        <w:t>171</w:t>
      </w:r>
      <w:r>
        <w:fldChar w:fldCharType="end"/>
      </w:r>
    </w:p>
    <w:p>
      <w:pPr>
        <w:pStyle w:val="TOC8"/>
        <w:rPr>
          <w:rFonts w:asciiTheme="minorHAnsi" w:eastAsiaTheme="minorEastAsia" w:hAnsiTheme="minorHAnsi" w:cstheme="minorBidi"/>
          <w:szCs w:val="22"/>
        </w:rPr>
      </w:pPr>
      <w:r>
        <w:t>188.</w:t>
      </w:r>
      <w:r>
        <w:tab/>
        <w:t>Compliance directions</w:t>
      </w:r>
      <w:r>
        <w:tab/>
      </w:r>
      <w:r>
        <w:fldChar w:fldCharType="begin"/>
      </w:r>
      <w:r>
        <w:instrText xml:space="preserve"> PAGEREF _Toc109833148 \h </w:instrText>
      </w:r>
      <w:r>
        <w:fldChar w:fldCharType="separate"/>
      </w:r>
      <w:r>
        <w:t>171</w:t>
      </w:r>
      <w:r>
        <w:fldChar w:fldCharType="end"/>
      </w:r>
    </w:p>
    <w:p>
      <w:pPr>
        <w:pStyle w:val="TOC8"/>
        <w:rPr>
          <w:rFonts w:asciiTheme="minorHAnsi" w:eastAsiaTheme="minorEastAsia" w:hAnsiTheme="minorHAnsi" w:cstheme="minorBidi"/>
          <w:szCs w:val="22"/>
        </w:rPr>
      </w:pPr>
      <w:r>
        <w:lastRenderedPageBreak/>
        <w:t>189.</w:t>
      </w:r>
      <w:r>
        <w:tab/>
        <w:t>Application to cancel prohibition notice</w:t>
      </w:r>
      <w:r>
        <w:tab/>
      </w:r>
      <w:r>
        <w:fldChar w:fldCharType="begin"/>
      </w:r>
      <w:r>
        <w:instrText xml:space="preserve"> PAGEREF _Toc109833149 \h </w:instrText>
      </w:r>
      <w:r>
        <w:fldChar w:fldCharType="separate"/>
      </w:r>
      <w:r>
        <w:t>171</w:t>
      </w:r>
      <w:r>
        <w:fldChar w:fldCharType="end"/>
      </w:r>
    </w:p>
    <w:p>
      <w:pPr>
        <w:pStyle w:val="TOC8"/>
        <w:rPr>
          <w:rFonts w:asciiTheme="minorHAnsi" w:eastAsiaTheme="minorEastAsia" w:hAnsiTheme="minorHAnsi" w:cstheme="minorBidi"/>
          <w:szCs w:val="22"/>
        </w:rPr>
      </w:pPr>
      <w:r>
        <w:t>190.</w:t>
      </w:r>
      <w:r>
        <w:tab/>
        <w:t>Infringement offences</w:t>
      </w:r>
      <w:r>
        <w:tab/>
      </w:r>
      <w:r>
        <w:fldChar w:fldCharType="begin"/>
      </w:r>
      <w:r>
        <w:instrText xml:space="preserve"> PAGEREF _Toc109833150 \h </w:instrText>
      </w:r>
      <w:r>
        <w:fldChar w:fldCharType="separate"/>
      </w:r>
      <w:r>
        <w:t>172</w:t>
      </w:r>
      <w:r>
        <w:fldChar w:fldCharType="end"/>
      </w:r>
    </w:p>
    <w:p>
      <w:pPr>
        <w:pStyle w:val="TOC8"/>
        <w:rPr>
          <w:rFonts w:asciiTheme="minorHAnsi" w:eastAsiaTheme="minorEastAsia" w:hAnsiTheme="minorHAnsi" w:cstheme="minorBidi"/>
          <w:szCs w:val="22"/>
        </w:rPr>
      </w:pPr>
      <w:r>
        <w:t>191.</w:t>
      </w:r>
      <w:r>
        <w:tab/>
        <w:t>False or misleading information or documents</w:t>
      </w:r>
      <w:r>
        <w:tab/>
      </w:r>
      <w:r>
        <w:fldChar w:fldCharType="begin"/>
      </w:r>
      <w:r>
        <w:instrText xml:space="preserve"> PAGEREF _Toc109833151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Chapter 6 — Administration</w:t>
      </w:r>
    </w:p>
    <w:p>
      <w:pPr>
        <w:pStyle w:val="TOC4"/>
        <w:tabs>
          <w:tab w:val="right" w:leader="dot" w:pos="7077"/>
        </w:tabs>
        <w:rPr>
          <w:rFonts w:asciiTheme="minorHAnsi" w:eastAsiaTheme="minorEastAsia" w:hAnsiTheme="minorHAnsi" w:cstheme="minorBidi"/>
          <w:b w:val="0"/>
          <w:szCs w:val="22"/>
        </w:rPr>
      </w:pPr>
      <w:r>
        <w:t>Part 6.1 — Australian Children’s Education and Care Quality Authority</w:t>
      </w:r>
    </w:p>
    <w:p>
      <w:pPr>
        <w:pStyle w:val="TOC8"/>
        <w:rPr>
          <w:rFonts w:asciiTheme="minorHAnsi" w:eastAsiaTheme="minorEastAsia" w:hAnsiTheme="minorHAnsi" w:cstheme="minorBidi"/>
          <w:szCs w:val="22"/>
        </w:rPr>
      </w:pPr>
      <w:r>
        <w:t>192.</w:t>
      </w:r>
      <w:r>
        <w:tab/>
        <w:t>Co</w:t>
      </w:r>
      <w:r>
        <w:noBreakHyphen/>
        <w:t>operation with prescribed classes of body</w:t>
      </w:r>
      <w:r>
        <w:tab/>
      </w:r>
      <w:r>
        <w:fldChar w:fldCharType="begin"/>
      </w:r>
      <w:r>
        <w:instrText xml:space="preserve"> PAGEREF _Toc109833154 \h </w:instrText>
      </w:r>
      <w:r>
        <w:fldChar w:fldCharType="separate"/>
      </w:r>
      <w:r>
        <w:t>174</w:t>
      </w:r>
      <w:r>
        <w:fldChar w:fldCharType="end"/>
      </w:r>
    </w:p>
    <w:p>
      <w:pPr>
        <w:pStyle w:val="TOC8"/>
        <w:rPr>
          <w:rFonts w:asciiTheme="minorHAnsi" w:eastAsiaTheme="minorEastAsia" w:hAnsiTheme="minorHAnsi" w:cstheme="minorBidi"/>
          <w:szCs w:val="22"/>
        </w:rPr>
      </w:pPr>
      <w:r>
        <w:t>193.</w:t>
      </w:r>
      <w:r>
        <w:tab/>
        <w:t>Allocating, transferring or reimbursing money to a participating jurisdiction</w:t>
      </w:r>
      <w:r>
        <w:tab/>
      </w:r>
      <w:r>
        <w:fldChar w:fldCharType="begin"/>
      </w:r>
      <w:r>
        <w:instrText xml:space="preserve"> PAGEREF _Toc109833155 \h </w:instrText>
      </w:r>
      <w:r>
        <w:fldChar w:fldCharType="separate"/>
      </w:r>
      <w:r>
        <w:t>175</w:t>
      </w:r>
      <w:r>
        <w:fldChar w:fldCharType="end"/>
      </w:r>
    </w:p>
    <w:p>
      <w:pPr>
        <w:pStyle w:val="TOC8"/>
        <w:rPr>
          <w:rFonts w:asciiTheme="minorHAnsi" w:eastAsiaTheme="minorEastAsia" w:hAnsiTheme="minorHAnsi" w:cstheme="minorBidi"/>
          <w:szCs w:val="22"/>
        </w:rPr>
      </w:pPr>
      <w:r>
        <w:t>194.</w:t>
      </w:r>
      <w:r>
        <w:tab/>
        <w:t>Investment of Authority Fund</w:t>
      </w:r>
      <w:r>
        <w:tab/>
      </w:r>
      <w:r>
        <w:fldChar w:fldCharType="begin"/>
      </w:r>
      <w:r>
        <w:instrText xml:space="preserve"> PAGEREF _Toc109833156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Part 6.2 — Information, records and privacy — National Authority and Regulatory Authorities</w:t>
      </w:r>
    </w:p>
    <w:p>
      <w:pPr>
        <w:pStyle w:val="TOC6"/>
        <w:tabs>
          <w:tab w:val="right" w:leader="dot" w:pos="7077"/>
        </w:tabs>
        <w:rPr>
          <w:rFonts w:asciiTheme="minorHAnsi" w:eastAsiaTheme="minorEastAsia" w:hAnsiTheme="minorHAnsi" w:cstheme="minorBidi"/>
          <w:b w:val="0"/>
          <w:sz w:val="22"/>
          <w:szCs w:val="22"/>
        </w:rPr>
      </w:pPr>
      <w:r>
        <w:t xml:space="preserve">Division 1 — Application of Commonwealth </w:t>
      </w:r>
      <w:r>
        <w:rPr>
          <w:i/>
        </w:rPr>
        <w:t>Privacy Act 1988</w:t>
      </w:r>
    </w:p>
    <w:p>
      <w:pPr>
        <w:pStyle w:val="TOC8"/>
        <w:rPr>
          <w:rFonts w:asciiTheme="minorHAnsi" w:eastAsiaTheme="minorEastAsia" w:hAnsiTheme="minorHAnsi" w:cstheme="minorBidi"/>
          <w:szCs w:val="22"/>
        </w:rPr>
      </w:pPr>
      <w:r>
        <w:t>195.</w:t>
      </w:r>
      <w:r>
        <w:tab/>
        <w:t xml:space="preserve">Application of Commonwealth </w:t>
      </w:r>
      <w:r>
        <w:rPr>
          <w:i/>
        </w:rPr>
        <w:t>Privacy Act 1988</w:t>
      </w:r>
      <w:r>
        <w:tab/>
      </w:r>
      <w:r>
        <w:fldChar w:fldCharType="begin"/>
      </w:r>
      <w:r>
        <w:instrText xml:space="preserve"> PAGEREF _Toc109833159 \h </w:instrText>
      </w:r>
      <w:r>
        <w:fldChar w:fldCharType="separate"/>
      </w:r>
      <w:r>
        <w:t>176</w:t>
      </w:r>
      <w:r>
        <w:fldChar w:fldCharType="end"/>
      </w:r>
    </w:p>
    <w:p>
      <w:pPr>
        <w:pStyle w:val="TOC8"/>
        <w:rPr>
          <w:rFonts w:asciiTheme="minorHAnsi" w:eastAsiaTheme="minorEastAsia" w:hAnsiTheme="minorHAnsi" w:cstheme="minorBidi"/>
          <w:szCs w:val="22"/>
        </w:rPr>
      </w:pPr>
      <w:r>
        <w:t>196.</w:t>
      </w:r>
      <w:r>
        <w:tab/>
        <w:t>Modifications relating to National Education and Care Services Privacy Commissioner and staff</w:t>
      </w:r>
      <w:r>
        <w:tab/>
      </w:r>
      <w:r>
        <w:fldChar w:fldCharType="begin"/>
      </w:r>
      <w:r>
        <w:instrText xml:space="preserve"> PAGEREF _Toc109833160 \h </w:instrText>
      </w:r>
      <w:r>
        <w:fldChar w:fldCharType="separate"/>
      </w:r>
      <w:r>
        <w:t>176</w:t>
      </w:r>
      <w:r>
        <w:fldChar w:fldCharType="end"/>
      </w:r>
    </w:p>
    <w:p>
      <w:pPr>
        <w:pStyle w:val="TOC8"/>
        <w:rPr>
          <w:rFonts w:asciiTheme="minorHAnsi" w:eastAsiaTheme="minorEastAsia" w:hAnsiTheme="minorHAnsi" w:cstheme="minorBidi"/>
          <w:szCs w:val="22"/>
        </w:rPr>
      </w:pPr>
      <w:r>
        <w:t>197.</w:t>
      </w:r>
      <w:r>
        <w:tab/>
        <w:t>Modifications about financial matters</w:t>
      </w:r>
      <w:r>
        <w:tab/>
      </w:r>
      <w:r>
        <w:fldChar w:fldCharType="begin"/>
      </w:r>
      <w:r>
        <w:instrText xml:space="preserve"> PAGEREF _Toc109833161 \h </w:instrText>
      </w:r>
      <w:r>
        <w:fldChar w:fldCharType="separate"/>
      </w:r>
      <w:r>
        <w:t>178</w:t>
      </w:r>
      <w:r>
        <w:fldChar w:fldCharType="end"/>
      </w:r>
    </w:p>
    <w:p>
      <w:pPr>
        <w:pStyle w:val="TOC8"/>
        <w:rPr>
          <w:rFonts w:asciiTheme="minorHAnsi" w:eastAsiaTheme="minorEastAsia" w:hAnsiTheme="minorHAnsi" w:cstheme="minorBidi"/>
          <w:szCs w:val="22"/>
        </w:rPr>
      </w:pPr>
      <w:r>
        <w:t>198.</w:t>
      </w:r>
      <w:r>
        <w:tab/>
        <w:t>Modifications about annual report</w:t>
      </w:r>
      <w:r>
        <w:tab/>
      </w:r>
      <w:r>
        <w:fldChar w:fldCharType="begin"/>
      </w:r>
      <w:r>
        <w:instrText xml:space="preserve"> PAGEREF _Toc109833162 \h </w:instrText>
      </w:r>
      <w:r>
        <w:fldChar w:fldCharType="separate"/>
      </w:r>
      <w:r>
        <w:t>179</w:t>
      </w:r>
      <w:r>
        <w:fldChar w:fldCharType="end"/>
      </w:r>
    </w:p>
    <w:p>
      <w:pPr>
        <w:pStyle w:val="TOC8"/>
        <w:rPr>
          <w:rFonts w:asciiTheme="minorHAnsi" w:eastAsiaTheme="minorEastAsia" w:hAnsiTheme="minorHAnsi" w:cstheme="minorBidi"/>
          <w:szCs w:val="22"/>
        </w:rPr>
      </w:pPr>
      <w:r>
        <w:t>199.</w:t>
      </w:r>
      <w:r>
        <w:tab/>
        <w:t>Modifications relating to National Authority and Regulatory Authorities</w:t>
      </w:r>
      <w:r>
        <w:tab/>
      </w:r>
      <w:r>
        <w:fldChar w:fldCharType="begin"/>
      </w:r>
      <w:r>
        <w:instrText xml:space="preserve"> PAGEREF _Toc109833163 \h </w:instrText>
      </w:r>
      <w:r>
        <w:fldChar w:fldCharType="separate"/>
      </w:r>
      <w:r>
        <w:t>179</w:t>
      </w:r>
      <w:r>
        <w:fldChar w:fldCharType="end"/>
      </w:r>
    </w:p>
    <w:p>
      <w:pPr>
        <w:pStyle w:val="TOC8"/>
        <w:rPr>
          <w:rFonts w:asciiTheme="minorHAnsi" w:eastAsiaTheme="minorEastAsia" w:hAnsiTheme="minorHAnsi" w:cstheme="minorBidi"/>
          <w:szCs w:val="22"/>
        </w:rPr>
      </w:pPr>
      <w:r>
        <w:t>200.</w:t>
      </w:r>
      <w:r>
        <w:tab/>
        <w:t>Modifications relating to determinations</w:t>
      </w:r>
      <w:r>
        <w:tab/>
      </w:r>
      <w:r>
        <w:fldChar w:fldCharType="begin"/>
      </w:r>
      <w:r>
        <w:instrText xml:space="preserve"> PAGEREF _Toc109833164 \h </w:instrText>
      </w:r>
      <w:r>
        <w:fldChar w:fldCharType="separate"/>
      </w:r>
      <w:r>
        <w:t>180</w:t>
      </w:r>
      <w:r>
        <w:fldChar w:fldCharType="end"/>
      </w:r>
    </w:p>
    <w:p>
      <w:pPr>
        <w:pStyle w:val="TOC8"/>
        <w:rPr>
          <w:rFonts w:asciiTheme="minorHAnsi" w:eastAsiaTheme="minorEastAsia" w:hAnsiTheme="minorHAnsi" w:cstheme="minorBidi"/>
          <w:szCs w:val="22"/>
        </w:rPr>
      </w:pPr>
      <w:r>
        <w:t>201.</w:t>
      </w:r>
      <w:r>
        <w:tab/>
        <w:t>Miscellaneous modifications</w:t>
      </w:r>
      <w:r>
        <w:tab/>
      </w:r>
      <w:r>
        <w:fldChar w:fldCharType="begin"/>
      </w:r>
      <w:r>
        <w:instrText xml:space="preserve"> PAGEREF _Toc109833165 \h </w:instrText>
      </w:r>
      <w:r>
        <w:fldChar w:fldCharType="separate"/>
      </w:r>
      <w:r>
        <w:t>180</w:t>
      </w:r>
      <w:r>
        <w:fldChar w:fldCharType="end"/>
      </w:r>
    </w:p>
    <w:p>
      <w:pPr>
        <w:pStyle w:val="TOC8"/>
        <w:rPr>
          <w:rFonts w:asciiTheme="minorHAnsi" w:eastAsiaTheme="minorEastAsia" w:hAnsiTheme="minorHAnsi" w:cstheme="minorBidi"/>
          <w:szCs w:val="22"/>
        </w:rPr>
      </w:pPr>
      <w:r>
        <w:t>202.</w:t>
      </w:r>
      <w:r>
        <w:tab/>
        <w:t>Relevant administrative tribunal</w:t>
      </w:r>
      <w:r>
        <w:tab/>
      </w:r>
      <w:r>
        <w:fldChar w:fldCharType="begin"/>
      </w:r>
      <w:r>
        <w:instrText xml:space="preserve"> PAGEREF _Toc109833166 \h </w:instrText>
      </w:r>
      <w:r>
        <w:fldChar w:fldCharType="separate"/>
      </w:r>
      <w:r>
        <w:t>182</w:t>
      </w:r>
      <w:r>
        <w:fldChar w:fldCharType="end"/>
      </w:r>
    </w:p>
    <w:p>
      <w:pPr>
        <w:pStyle w:val="TOC8"/>
        <w:rPr>
          <w:rFonts w:asciiTheme="minorHAnsi" w:eastAsiaTheme="minorEastAsia" w:hAnsiTheme="minorHAnsi" w:cstheme="minorBidi"/>
          <w:szCs w:val="22"/>
        </w:rPr>
      </w:pPr>
      <w:r>
        <w:t>203.</w:t>
      </w:r>
      <w:r>
        <w:tab/>
        <w:t>Regulations</w:t>
      </w:r>
      <w:r>
        <w:tab/>
      </w:r>
      <w:r>
        <w:fldChar w:fldCharType="begin"/>
      </w:r>
      <w:r>
        <w:instrText xml:space="preserve"> PAGEREF _Toc109833167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2 — Application of Commonwealth </w:t>
      </w:r>
      <w:r>
        <w:rPr>
          <w:i/>
        </w:rPr>
        <w:t>Freedom of Information Act 1982</w:t>
      </w:r>
    </w:p>
    <w:p>
      <w:pPr>
        <w:pStyle w:val="TOC8"/>
        <w:rPr>
          <w:rFonts w:asciiTheme="minorHAnsi" w:eastAsiaTheme="minorEastAsia" w:hAnsiTheme="minorHAnsi" w:cstheme="minorBidi"/>
          <w:szCs w:val="22"/>
        </w:rPr>
      </w:pPr>
      <w:r>
        <w:t>204.</w:t>
      </w:r>
      <w:r>
        <w:tab/>
        <w:t>Application of Commonwealth</w:t>
      </w:r>
      <w:r>
        <w:rPr>
          <w:i/>
        </w:rPr>
        <w:t xml:space="preserve"> Freedom of Information Act 1982</w:t>
      </w:r>
      <w:r>
        <w:tab/>
      </w:r>
      <w:r>
        <w:fldChar w:fldCharType="begin"/>
      </w:r>
      <w:r>
        <w:instrText xml:space="preserve"> PAGEREF _Toc109833169 \h </w:instrText>
      </w:r>
      <w:r>
        <w:fldChar w:fldCharType="separate"/>
      </w:r>
      <w:r>
        <w:t>183</w:t>
      </w:r>
      <w:r>
        <w:fldChar w:fldCharType="end"/>
      </w:r>
    </w:p>
    <w:p>
      <w:pPr>
        <w:pStyle w:val="TOC8"/>
        <w:rPr>
          <w:rFonts w:asciiTheme="minorHAnsi" w:eastAsiaTheme="minorEastAsia" w:hAnsiTheme="minorHAnsi" w:cstheme="minorBidi"/>
          <w:szCs w:val="22"/>
        </w:rPr>
      </w:pPr>
      <w:r>
        <w:t>205.</w:t>
      </w:r>
      <w:r>
        <w:tab/>
        <w:t>Modifications relating to National Education and Care Services Freedom of Information Commissioner and staff</w:t>
      </w:r>
      <w:r>
        <w:tab/>
      </w:r>
      <w:r>
        <w:fldChar w:fldCharType="begin"/>
      </w:r>
      <w:r>
        <w:instrText xml:space="preserve"> PAGEREF _Toc109833170 \h </w:instrText>
      </w:r>
      <w:r>
        <w:fldChar w:fldCharType="separate"/>
      </w:r>
      <w:r>
        <w:t>183</w:t>
      </w:r>
      <w:r>
        <w:fldChar w:fldCharType="end"/>
      </w:r>
    </w:p>
    <w:p>
      <w:pPr>
        <w:pStyle w:val="TOC8"/>
        <w:rPr>
          <w:rFonts w:asciiTheme="minorHAnsi" w:eastAsiaTheme="minorEastAsia" w:hAnsiTheme="minorHAnsi" w:cstheme="minorBidi"/>
          <w:szCs w:val="22"/>
        </w:rPr>
      </w:pPr>
      <w:r>
        <w:t>206.</w:t>
      </w:r>
      <w:r>
        <w:tab/>
        <w:t>Modifications about financial matters</w:t>
      </w:r>
      <w:r>
        <w:tab/>
      </w:r>
      <w:r>
        <w:fldChar w:fldCharType="begin"/>
      </w:r>
      <w:r>
        <w:instrText xml:space="preserve"> PAGEREF _Toc109833171 \h </w:instrText>
      </w:r>
      <w:r>
        <w:fldChar w:fldCharType="separate"/>
      </w:r>
      <w:r>
        <w:t>186</w:t>
      </w:r>
      <w:r>
        <w:fldChar w:fldCharType="end"/>
      </w:r>
    </w:p>
    <w:p>
      <w:pPr>
        <w:pStyle w:val="TOC8"/>
        <w:rPr>
          <w:rFonts w:asciiTheme="minorHAnsi" w:eastAsiaTheme="minorEastAsia" w:hAnsiTheme="minorHAnsi" w:cstheme="minorBidi"/>
          <w:szCs w:val="22"/>
        </w:rPr>
      </w:pPr>
      <w:r>
        <w:t>207.</w:t>
      </w:r>
      <w:r>
        <w:tab/>
        <w:t>Modifications about annual report</w:t>
      </w:r>
      <w:r>
        <w:tab/>
      </w:r>
      <w:r>
        <w:fldChar w:fldCharType="begin"/>
      </w:r>
      <w:r>
        <w:instrText xml:space="preserve"> PAGEREF _Toc109833172 \h </w:instrText>
      </w:r>
      <w:r>
        <w:fldChar w:fldCharType="separate"/>
      </w:r>
      <w:r>
        <w:t>187</w:t>
      </w:r>
      <w:r>
        <w:fldChar w:fldCharType="end"/>
      </w:r>
    </w:p>
    <w:p>
      <w:pPr>
        <w:pStyle w:val="TOC8"/>
        <w:rPr>
          <w:rFonts w:asciiTheme="minorHAnsi" w:eastAsiaTheme="minorEastAsia" w:hAnsiTheme="minorHAnsi" w:cstheme="minorBidi"/>
          <w:szCs w:val="22"/>
        </w:rPr>
      </w:pPr>
      <w:r>
        <w:t>208.</w:t>
      </w:r>
      <w:r>
        <w:tab/>
        <w:t>Modifications relating to National Authority and Regulatory Authorities</w:t>
      </w:r>
      <w:r>
        <w:tab/>
      </w:r>
      <w:r>
        <w:fldChar w:fldCharType="begin"/>
      </w:r>
      <w:r>
        <w:instrText xml:space="preserve"> PAGEREF _Toc109833173 \h </w:instrText>
      </w:r>
      <w:r>
        <w:fldChar w:fldCharType="separate"/>
      </w:r>
      <w:r>
        <w:t>187</w:t>
      </w:r>
      <w:r>
        <w:fldChar w:fldCharType="end"/>
      </w:r>
    </w:p>
    <w:p>
      <w:pPr>
        <w:pStyle w:val="TOC8"/>
        <w:rPr>
          <w:rFonts w:asciiTheme="minorHAnsi" w:eastAsiaTheme="minorEastAsia" w:hAnsiTheme="minorHAnsi" w:cstheme="minorBidi"/>
          <w:szCs w:val="22"/>
        </w:rPr>
      </w:pPr>
      <w:r>
        <w:t>209.</w:t>
      </w:r>
      <w:r>
        <w:tab/>
        <w:t>Miscellaneous modifications</w:t>
      </w:r>
      <w:r>
        <w:tab/>
      </w:r>
      <w:r>
        <w:fldChar w:fldCharType="begin"/>
      </w:r>
      <w:r>
        <w:instrText xml:space="preserve"> PAGEREF _Toc109833174 \h </w:instrText>
      </w:r>
      <w:r>
        <w:fldChar w:fldCharType="separate"/>
      </w:r>
      <w:r>
        <w:t>188</w:t>
      </w:r>
      <w:r>
        <w:fldChar w:fldCharType="end"/>
      </w:r>
    </w:p>
    <w:p>
      <w:pPr>
        <w:pStyle w:val="TOC8"/>
        <w:rPr>
          <w:rFonts w:asciiTheme="minorHAnsi" w:eastAsiaTheme="minorEastAsia" w:hAnsiTheme="minorHAnsi" w:cstheme="minorBidi"/>
          <w:szCs w:val="22"/>
        </w:rPr>
      </w:pPr>
      <w:r>
        <w:lastRenderedPageBreak/>
        <w:t>210.</w:t>
      </w:r>
      <w:r>
        <w:tab/>
        <w:t>Relevant administrative tribunal</w:t>
      </w:r>
      <w:r>
        <w:tab/>
      </w:r>
      <w:r>
        <w:fldChar w:fldCharType="begin"/>
      </w:r>
      <w:r>
        <w:instrText xml:space="preserve"> PAGEREF _Toc109833175 \h </w:instrText>
      </w:r>
      <w:r>
        <w:fldChar w:fldCharType="separate"/>
      </w:r>
      <w:r>
        <w:t>190</w:t>
      </w:r>
      <w:r>
        <w:fldChar w:fldCharType="end"/>
      </w:r>
    </w:p>
    <w:p>
      <w:pPr>
        <w:pStyle w:val="TOC8"/>
        <w:rPr>
          <w:rFonts w:asciiTheme="minorHAnsi" w:eastAsiaTheme="minorEastAsia" w:hAnsiTheme="minorHAnsi" w:cstheme="minorBidi"/>
          <w:szCs w:val="22"/>
        </w:rPr>
      </w:pPr>
      <w:r>
        <w:t>211.</w:t>
      </w:r>
      <w:r>
        <w:tab/>
        <w:t>Regulations</w:t>
      </w:r>
      <w:r>
        <w:tab/>
      </w:r>
      <w:r>
        <w:fldChar w:fldCharType="begin"/>
      </w:r>
      <w:r>
        <w:instrText xml:space="preserve"> PAGEREF _Toc109833176 \h </w:instrText>
      </w:r>
      <w:r>
        <w:fldChar w:fldCharType="separate"/>
      </w:r>
      <w:r>
        <w:t>190</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3 — Application of New South Wales </w:t>
      </w:r>
      <w:r>
        <w:rPr>
          <w:i/>
        </w:rPr>
        <w:t>State Records Act 1998</w:t>
      </w:r>
    </w:p>
    <w:p>
      <w:pPr>
        <w:pStyle w:val="TOC8"/>
        <w:rPr>
          <w:rFonts w:asciiTheme="minorHAnsi" w:eastAsiaTheme="minorEastAsia" w:hAnsiTheme="minorHAnsi" w:cstheme="minorBidi"/>
          <w:szCs w:val="22"/>
        </w:rPr>
      </w:pPr>
      <w:r>
        <w:t>212.</w:t>
      </w:r>
      <w:r>
        <w:tab/>
        <w:t>Application of State Records Act</w:t>
      </w:r>
      <w:r>
        <w:tab/>
      </w:r>
      <w:r>
        <w:fldChar w:fldCharType="begin"/>
      </w:r>
      <w:r>
        <w:instrText xml:space="preserve"> PAGEREF _Toc109833178 \h </w:instrText>
      </w:r>
      <w:r>
        <w:fldChar w:fldCharType="separate"/>
      </w:r>
      <w:r>
        <w:t>191</w:t>
      </w:r>
      <w:r>
        <w:fldChar w:fldCharType="end"/>
      </w:r>
    </w:p>
    <w:p>
      <w:pPr>
        <w:pStyle w:val="TOC8"/>
        <w:rPr>
          <w:rFonts w:asciiTheme="minorHAnsi" w:eastAsiaTheme="minorEastAsia" w:hAnsiTheme="minorHAnsi" w:cstheme="minorBidi"/>
          <w:szCs w:val="22"/>
        </w:rPr>
      </w:pPr>
      <w:r>
        <w:t>213.</w:t>
      </w:r>
      <w:r>
        <w:tab/>
        <w:t>Modifications relating to State Records Authority and its Board and Director</w:t>
      </w:r>
      <w:r>
        <w:tab/>
      </w:r>
      <w:r>
        <w:fldChar w:fldCharType="begin"/>
      </w:r>
      <w:r>
        <w:instrText xml:space="preserve"> PAGEREF _Toc109833179 \h </w:instrText>
      </w:r>
      <w:r>
        <w:fldChar w:fldCharType="separate"/>
      </w:r>
      <w:r>
        <w:t>191</w:t>
      </w:r>
      <w:r>
        <w:fldChar w:fldCharType="end"/>
      </w:r>
    </w:p>
    <w:p>
      <w:pPr>
        <w:pStyle w:val="TOC8"/>
        <w:rPr>
          <w:rFonts w:asciiTheme="minorHAnsi" w:eastAsiaTheme="minorEastAsia" w:hAnsiTheme="minorHAnsi" w:cstheme="minorBidi"/>
          <w:szCs w:val="22"/>
        </w:rPr>
      </w:pPr>
      <w:r>
        <w:t>214.</w:t>
      </w:r>
      <w:r>
        <w:tab/>
        <w:t>Modifications relating to National Authority</w:t>
      </w:r>
      <w:r>
        <w:tab/>
      </w:r>
      <w:r>
        <w:fldChar w:fldCharType="begin"/>
      </w:r>
      <w:r>
        <w:instrText xml:space="preserve"> PAGEREF _Toc109833180 \h </w:instrText>
      </w:r>
      <w:r>
        <w:fldChar w:fldCharType="separate"/>
      </w:r>
      <w:r>
        <w:t>191</w:t>
      </w:r>
      <w:r>
        <w:fldChar w:fldCharType="end"/>
      </w:r>
    </w:p>
    <w:p>
      <w:pPr>
        <w:pStyle w:val="TOC8"/>
        <w:rPr>
          <w:rFonts w:asciiTheme="minorHAnsi" w:eastAsiaTheme="minorEastAsia" w:hAnsiTheme="minorHAnsi" w:cstheme="minorBidi"/>
          <w:szCs w:val="22"/>
        </w:rPr>
      </w:pPr>
      <w:r>
        <w:t>215.</w:t>
      </w:r>
      <w:r>
        <w:tab/>
        <w:t>Modifications relating to Ministerial Council</w:t>
      </w:r>
      <w:r>
        <w:tab/>
      </w:r>
      <w:r>
        <w:fldChar w:fldCharType="begin"/>
      </w:r>
      <w:r>
        <w:instrText xml:space="preserve"> PAGEREF _Toc109833181 \h </w:instrText>
      </w:r>
      <w:r>
        <w:fldChar w:fldCharType="separate"/>
      </w:r>
      <w:r>
        <w:t>192</w:t>
      </w:r>
      <w:r>
        <w:fldChar w:fldCharType="end"/>
      </w:r>
    </w:p>
    <w:p>
      <w:pPr>
        <w:pStyle w:val="TOC8"/>
        <w:rPr>
          <w:rFonts w:asciiTheme="minorHAnsi" w:eastAsiaTheme="minorEastAsia" w:hAnsiTheme="minorHAnsi" w:cstheme="minorBidi"/>
          <w:szCs w:val="22"/>
        </w:rPr>
      </w:pPr>
      <w:r>
        <w:t>216.</w:t>
      </w:r>
      <w:r>
        <w:tab/>
        <w:t>Miscellaneous modifications</w:t>
      </w:r>
      <w:r>
        <w:tab/>
      </w:r>
      <w:r>
        <w:fldChar w:fldCharType="begin"/>
      </w:r>
      <w:r>
        <w:instrText xml:space="preserve"> PAGEREF _Toc109833182 \h </w:instrText>
      </w:r>
      <w:r>
        <w:fldChar w:fldCharType="separate"/>
      </w:r>
      <w:r>
        <w:t>192</w:t>
      </w:r>
      <w:r>
        <w:fldChar w:fldCharType="end"/>
      </w:r>
    </w:p>
    <w:p>
      <w:pPr>
        <w:pStyle w:val="TOC8"/>
        <w:rPr>
          <w:rFonts w:asciiTheme="minorHAnsi" w:eastAsiaTheme="minorEastAsia" w:hAnsiTheme="minorHAnsi" w:cstheme="minorBidi"/>
          <w:szCs w:val="22"/>
        </w:rPr>
      </w:pPr>
      <w:r>
        <w:t>217.</w:t>
      </w:r>
      <w:r>
        <w:tab/>
        <w:t>Regulations</w:t>
      </w:r>
      <w:r>
        <w:tab/>
      </w:r>
      <w:r>
        <w:fldChar w:fldCharType="begin"/>
      </w:r>
      <w:r>
        <w:instrText xml:space="preserve"> PAGEREF _Toc109833183 \h </w:instrText>
      </w:r>
      <w:r>
        <w:fldChar w:fldCharType="separate"/>
      </w:r>
      <w:r>
        <w:t>195</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4 — Application of Commonwealth </w:t>
      </w:r>
      <w:r>
        <w:rPr>
          <w:i/>
        </w:rPr>
        <w:t>Ombudsman Act 1976</w:t>
      </w:r>
    </w:p>
    <w:p>
      <w:pPr>
        <w:pStyle w:val="TOC8"/>
        <w:rPr>
          <w:rFonts w:asciiTheme="minorHAnsi" w:eastAsiaTheme="minorEastAsia" w:hAnsiTheme="minorHAnsi" w:cstheme="minorBidi"/>
          <w:szCs w:val="22"/>
        </w:rPr>
      </w:pPr>
      <w:r>
        <w:t>218.</w:t>
      </w:r>
      <w:r>
        <w:tab/>
        <w:t>Application of Commonwealth Ombudsman Act</w:t>
      </w:r>
      <w:r>
        <w:tab/>
      </w:r>
      <w:r>
        <w:fldChar w:fldCharType="begin"/>
      </w:r>
      <w:r>
        <w:instrText xml:space="preserve"> PAGEREF _Toc109833185 \h </w:instrText>
      </w:r>
      <w:r>
        <w:fldChar w:fldCharType="separate"/>
      </w:r>
      <w:r>
        <w:t>195</w:t>
      </w:r>
      <w:r>
        <w:fldChar w:fldCharType="end"/>
      </w:r>
    </w:p>
    <w:p>
      <w:pPr>
        <w:pStyle w:val="TOC8"/>
        <w:rPr>
          <w:rFonts w:asciiTheme="minorHAnsi" w:eastAsiaTheme="minorEastAsia" w:hAnsiTheme="minorHAnsi" w:cstheme="minorBidi"/>
          <w:szCs w:val="22"/>
        </w:rPr>
      </w:pPr>
      <w:r>
        <w:t>219.</w:t>
      </w:r>
      <w:r>
        <w:tab/>
        <w:t>Modifications relating to Education and Care Services Ombudsman and staff</w:t>
      </w:r>
      <w:r>
        <w:tab/>
      </w:r>
      <w:r>
        <w:fldChar w:fldCharType="begin"/>
      </w:r>
      <w:r>
        <w:instrText xml:space="preserve"> PAGEREF _Toc109833186 \h </w:instrText>
      </w:r>
      <w:r>
        <w:fldChar w:fldCharType="separate"/>
      </w:r>
      <w:r>
        <w:t>195</w:t>
      </w:r>
      <w:r>
        <w:fldChar w:fldCharType="end"/>
      </w:r>
    </w:p>
    <w:p>
      <w:pPr>
        <w:pStyle w:val="TOC8"/>
        <w:rPr>
          <w:rFonts w:asciiTheme="minorHAnsi" w:eastAsiaTheme="minorEastAsia" w:hAnsiTheme="minorHAnsi" w:cstheme="minorBidi"/>
          <w:szCs w:val="22"/>
        </w:rPr>
      </w:pPr>
      <w:r>
        <w:t>220.</w:t>
      </w:r>
      <w:r>
        <w:tab/>
        <w:t>Modifications about financial matters</w:t>
      </w:r>
      <w:r>
        <w:tab/>
      </w:r>
      <w:r>
        <w:fldChar w:fldCharType="begin"/>
      </w:r>
      <w:r>
        <w:instrText xml:space="preserve"> PAGEREF _Toc109833187 \h </w:instrText>
      </w:r>
      <w:r>
        <w:fldChar w:fldCharType="separate"/>
      </w:r>
      <w:r>
        <w:t>196</w:t>
      </w:r>
      <w:r>
        <w:fldChar w:fldCharType="end"/>
      </w:r>
    </w:p>
    <w:p>
      <w:pPr>
        <w:pStyle w:val="TOC8"/>
        <w:rPr>
          <w:rFonts w:asciiTheme="minorHAnsi" w:eastAsiaTheme="minorEastAsia" w:hAnsiTheme="minorHAnsi" w:cstheme="minorBidi"/>
          <w:szCs w:val="22"/>
        </w:rPr>
      </w:pPr>
      <w:r>
        <w:t>221.</w:t>
      </w:r>
      <w:r>
        <w:tab/>
        <w:t>Modifications about annual report</w:t>
      </w:r>
      <w:r>
        <w:tab/>
      </w:r>
      <w:r>
        <w:fldChar w:fldCharType="begin"/>
      </w:r>
      <w:r>
        <w:instrText xml:space="preserve"> PAGEREF _Toc109833188 \h </w:instrText>
      </w:r>
      <w:r>
        <w:fldChar w:fldCharType="separate"/>
      </w:r>
      <w:r>
        <w:t>197</w:t>
      </w:r>
      <w:r>
        <w:fldChar w:fldCharType="end"/>
      </w:r>
    </w:p>
    <w:p>
      <w:pPr>
        <w:pStyle w:val="TOC8"/>
        <w:rPr>
          <w:rFonts w:asciiTheme="minorHAnsi" w:eastAsiaTheme="minorEastAsia" w:hAnsiTheme="minorHAnsi" w:cstheme="minorBidi"/>
          <w:szCs w:val="22"/>
        </w:rPr>
      </w:pPr>
      <w:r>
        <w:t>222.</w:t>
      </w:r>
      <w:r>
        <w:tab/>
        <w:t>Modifications relating to National Authority and Regulatory Authorities</w:t>
      </w:r>
      <w:r>
        <w:tab/>
      </w:r>
      <w:r>
        <w:fldChar w:fldCharType="begin"/>
      </w:r>
      <w:r>
        <w:instrText xml:space="preserve"> PAGEREF _Toc109833189 \h </w:instrText>
      </w:r>
      <w:r>
        <w:fldChar w:fldCharType="separate"/>
      </w:r>
      <w:r>
        <w:t>198</w:t>
      </w:r>
      <w:r>
        <w:fldChar w:fldCharType="end"/>
      </w:r>
    </w:p>
    <w:p>
      <w:pPr>
        <w:pStyle w:val="TOC8"/>
        <w:rPr>
          <w:rFonts w:asciiTheme="minorHAnsi" w:eastAsiaTheme="minorEastAsia" w:hAnsiTheme="minorHAnsi" w:cstheme="minorBidi"/>
          <w:szCs w:val="22"/>
        </w:rPr>
      </w:pPr>
      <w:r>
        <w:t>223.</w:t>
      </w:r>
      <w:r>
        <w:tab/>
        <w:t>Miscellaneous modifications</w:t>
      </w:r>
      <w:r>
        <w:tab/>
      </w:r>
      <w:r>
        <w:fldChar w:fldCharType="begin"/>
      </w:r>
      <w:r>
        <w:instrText xml:space="preserve"> PAGEREF _Toc109833190 \h </w:instrText>
      </w:r>
      <w:r>
        <w:fldChar w:fldCharType="separate"/>
      </w:r>
      <w:r>
        <w:t>198</w:t>
      </w:r>
      <w:r>
        <w:fldChar w:fldCharType="end"/>
      </w:r>
    </w:p>
    <w:p>
      <w:pPr>
        <w:pStyle w:val="TOC8"/>
        <w:rPr>
          <w:rFonts w:asciiTheme="minorHAnsi" w:eastAsiaTheme="minorEastAsia" w:hAnsiTheme="minorHAnsi" w:cstheme="minorBidi"/>
          <w:szCs w:val="22"/>
        </w:rPr>
      </w:pPr>
      <w:r>
        <w:t>224.</w:t>
      </w:r>
      <w:r>
        <w:tab/>
        <w:t>Relevant administrative tribunal</w:t>
      </w:r>
      <w:r>
        <w:tab/>
      </w:r>
      <w:r>
        <w:fldChar w:fldCharType="begin"/>
      </w:r>
      <w:r>
        <w:instrText xml:space="preserve"> PAGEREF _Toc109833191 \h </w:instrText>
      </w:r>
      <w:r>
        <w:fldChar w:fldCharType="separate"/>
      </w:r>
      <w:r>
        <w:t>200</w:t>
      </w:r>
      <w:r>
        <w:fldChar w:fldCharType="end"/>
      </w:r>
    </w:p>
    <w:p>
      <w:pPr>
        <w:pStyle w:val="TOC8"/>
        <w:rPr>
          <w:rFonts w:asciiTheme="minorHAnsi" w:eastAsiaTheme="minorEastAsia" w:hAnsiTheme="minorHAnsi" w:cstheme="minorBidi"/>
          <w:szCs w:val="22"/>
        </w:rPr>
      </w:pPr>
      <w:r>
        <w:t>225.</w:t>
      </w:r>
      <w:r>
        <w:tab/>
        <w:t>Regulations</w:t>
      </w:r>
      <w:r>
        <w:tab/>
      </w:r>
      <w:r>
        <w:fldChar w:fldCharType="begin"/>
      </w:r>
      <w:r>
        <w:instrText xml:space="preserve"> PAGEREF _Toc109833192 \h </w:instrText>
      </w:r>
      <w:r>
        <w:fldChar w:fldCharType="separate"/>
      </w:r>
      <w:r>
        <w:t>201</w:t>
      </w:r>
      <w:r>
        <w:fldChar w:fldCharType="end"/>
      </w:r>
    </w:p>
    <w:p>
      <w:pPr>
        <w:pStyle w:val="TOC6"/>
        <w:tabs>
          <w:tab w:val="right" w:leader="dot" w:pos="7077"/>
        </w:tabs>
        <w:rPr>
          <w:rFonts w:asciiTheme="minorHAnsi" w:eastAsiaTheme="minorEastAsia" w:hAnsiTheme="minorHAnsi" w:cstheme="minorBidi"/>
          <w:b w:val="0"/>
          <w:sz w:val="22"/>
          <w:szCs w:val="22"/>
        </w:rPr>
      </w:pPr>
      <w:r>
        <w:t>Division 5 — Publication of information</w:t>
      </w:r>
    </w:p>
    <w:p>
      <w:pPr>
        <w:pStyle w:val="TOC8"/>
        <w:rPr>
          <w:rFonts w:asciiTheme="minorHAnsi" w:eastAsiaTheme="minorEastAsia" w:hAnsiTheme="minorHAnsi" w:cstheme="minorBidi"/>
          <w:szCs w:val="22"/>
        </w:rPr>
      </w:pPr>
      <w:r>
        <w:t>226.</w:t>
      </w:r>
      <w:r>
        <w:tab/>
        <w:t>Publication of information</w:t>
      </w:r>
      <w:r>
        <w:tab/>
      </w:r>
      <w:r>
        <w:fldChar w:fldCharType="begin"/>
      </w:r>
      <w:r>
        <w:instrText xml:space="preserve"> PAGEREF _Toc109833194 \h </w:instrText>
      </w:r>
      <w:r>
        <w:fldChar w:fldCharType="separate"/>
      </w:r>
      <w:r>
        <w:t>201</w:t>
      </w:r>
      <w:r>
        <w:fldChar w:fldCharType="end"/>
      </w:r>
    </w:p>
    <w:p>
      <w:pPr>
        <w:pStyle w:val="TOC8"/>
        <w:rPr>
          <w:rFonts w:asciiTheme="minorHAnsi" w:eastAsiaTheme="minorEastAsia" w:hAnsiTheme="minorHAnsi" w:cstheme="minorBidi"/>
          <w:szCs w:val="22"/>
        </w:rPr>
      </w:pPr>
      <w:r>
        <w:t>227.</w:t>
      </w:r>
      <w:r>
        <w:tab/>
        <w:t>Compliance and enforcement information</w:t>
      </w:r>
      <w:r>
        <w:tab/>
      </w:r>
      <w:r>
        <w:fldChar w:fldCharType="begin"/>
      </w:r>
      <w:r>
        <w:instrText xml:space="preserve"> PAGEREF _Toc109833195 \h </w:instrText>
      </w:r>
      <w:r>
        <w:fldChar w:fldCharType="separate"/>
      </w:r>
      <w:r>
        <w:t>201</w:t>
      </w:r>
      <w:r>
        <w:fldChar w:fldCharType="end"/>
      </w:r>
    </w:p>
    <w:p>
      <w:pPr>
        <w:pStyle w:val="TOC8"/>
        <w:rPr>
          <w:rFonts w:asciiTheme="minorHAnsi" w:eastAsiaTheme="minorEastAsia" w:hAnsiTheme="minorHAnsi" w:cstheme="minorBidi"/>
          <w:szCs w:val="22"/>
        </w:rPr>
      </w:pPr>
      <w:r>
        <w:t>228.</w:t>
      </w:r>
      <w:r>
        <w:tab/>
        <w:t>Timing of publication where internal or external review of enforcement action is available</w:t>
      </w:r>
      <w:r>
        <w:tab/>
      </w:r>
      <w:r>
        <w:fldChar w:fldCharType="begin"/>
      </w:r>
      <w:r>
        <w:instrText xml:space="preserve"> PAGEREF _Toc109833196 \h </w:instrText>
      </w:r>
      <w:r>
        <w:fldChar w:fldCharType="separate"/>
      </w:r>
      <w:r>
        <w:t>205</w:t>
      </w:r>
      <w:r>
        <w:fldChar w:fldCharType="end"/>
      </w:r>
    </w:p>
    <w:p>
      <w:pPr>
        <w:pStyle w:val="TOC6"/>
        <w:tabs>
          <w:tab w:val="right" w:leader="dot" w:pos="7077"/>
        </w:tabs>
        <w:rPr>
          <w:rFonts w:asciiTheme="minorHAnsi" w:eastAsiaTheme="minorEastAsia" w:hAnsiTheme="minorHAnsi" w:cstheme="minorBidi"/>
          <w:b w:val="0"/>
          <w:sz w:val="22"/>
          <w:szCs w:val="22"/>
        </w:rPr>
      </w:pPr>
      <w:r>
        <w:t>Division 6 — Registers</w:t>
      </w:r>
    </w:p>
    <w:p>
      <w:pPr>
        <w:pStyle w:val="TOC8"/>
        <w:rPr>
          <w:rFonts w:asciiTheme="minorHAnsi" w:eastAsiaTheme="minorEastAsia" w:hAnsiTheme="minorHAnsi" w:cstheme="minorBidi"/>
          <w:szCs w:val="22"/>
        </w:rPr>
      </w:pPr>
      <w:r>
        <w:t>229.</w:t>
      </w:r>
      <w:r>
        <w:tab/>
        <w:t>Register of approved providers</w:t>
      </w:r>
      <w:r>
        <w:tab/>
      </w:r>
      <w:r>
        <w:fldChar w:fldCharType="begin"/>
      </w:r>
      <w:r>
        <w:instrText xml:space="preserve"> PAGEREF _Toc109833198 \h </w:instrText>
      </w:r>
      <w:r>
        <w:fldChar w:fldCharType="separate"/>
      </w:r>
      <w:r>
        <w:t>206</w:t>
      </w:r>
      <w:r>
        <w:fldChar w:fldCharType="end"/>
      </w:r>
    </w:p>
    <w:p>
      <w:pPr>
        <w:pStyle w:val="TOC8"/>
        <w:rPr>
          <w:rFonts w:asciiTheme="minorHAnsi" w:eastAsiaTheme="minorEastAsia" w:hAnsiTheme="minorHAnsi" w:cstheme="minorBidi"/>
          <w:szCs w:val="22"/>
        </w:rPr>
      </w:pPr>
      <w:r>
        <w:t>230.</w:t>
      </w:r>
      <w:r>
        <w:tab/>
        <w:t>Register of approved education and care services</w:t>
      </w:r>
      <w:r>
        <w:tab/>
      </w:r>
      <w:r>
        <w:fldChar w:fldCharType="begin"/>
      </w:r>
      <w:r>
        <w:instrText xml:space="preserve"> PAGEREF _Toc109833199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Part 6.3 — Fees</w:t>
      </w:r>
    </w:p>
    <w:p>
      <w:pPr>
        <w:pStyle w:val="TOC8"/>
        <w:rPr>
          <w:rFonts w:asciiTheme="minorHAnsi" w:eastAsiaTheme="minorEastAsia" w:hAnsiTheme="minorHAnsi" w:cstheme="minorBidi"/>
          <w:szCs w:val="22"/>
        </w:rPr>
      </w:pPr>
      <w:r>
        <w:t>232.</w:t>
      </w:r>
      <w:r>
        <w:tab/>
        <w:t>Prescribed fees</w:t>
      </w:r>
      <w:r>
        <w:tab/>
      </w:r>
      <w:r>
        <w:fldChar w:fldCharType="begin"/>
      </w:r>
      <w:r>
        <w:instrText xml:space="preserve"> PAGEREF _Toc109833201 \h </w:instrText>
      </w:r>
      <w:r>
        <w:fldChar w:fldCharType="separate"/>
      </w:r>
      <w:r>
        <w:t>207</w:t>
      </w:r>
      <w:r>
        <w:fldChar w:fldCharType="end"/>
      </w:r>
    </w:p>
    <w:p>
      <w:pPr>
        <w:pStyle w:val="TOC8"/>
        <w:rPr>
          <w:rFonts w:asciiTheme="minorHAnsi" w:eastAsiaTheme="minorEastAsia" w:hAnsiTheme="minorHAnsi" w:cstheme="minorBidi"/>
          <w:szCs w:val="22"/>
        </w:rPr>
      </w:pPr>
      <w:r>
        <w:t>233.</w:t>
      </w:r>
      <w:r>
        <w:tab/>
        <w:t>Late payment fees (annual fees)</w:t>
      </w:r>
      <w:r>
        <w:tab/>
      </w:r>
      <w:r>
        <w:fldChar w:fldCharType="begin"/>
      </w:r>
      <w:r>
        <w:instrText xml:space="preserve"> PAGEREF _Toc109833202 \h </w:instrText>
      </w:r>
      <w:r>
        <w:fldChar w:fldCharType="separate"/>
      </w:r>
      <w:r>
        <w:t>207</w:t>
      </w:r>
      <w:r>
        <w:fldChar w:fldCharType="end"/>
      </w:r>
    </w:p>
    <w:p>
      <w:pPr>
        <w:pStyle w:val="TOC8"/>
        <w:rPr>
          <w:rFonts w:asciiTheme="minorHAnsi" w:eastAsiaTheme="minorEastAsia" w:hAnsiTheme="minorHAnsi" w:cstheme="minorBidi"/>
          <w:szCs w:val="22"/>
        </w:rPr>
      </w:pPr>
      <w:r>
        <w:t>234.</w:t>
      </w:r>
      <w:r>
        <w:tab/>
        <w:t>Waiver, reduction, deferral and refund of fees</w:t>
      </w:r>
      <w:r>
        <w:tab/>
      </w:r>
      <w:r>
        <w:fldChar w:fldCharType="begin"/>
      </w:r>
      <w:r>
        <w:instrText xml:space="preserve"> PAGEREF _Toc109833203 \h </w:instrText>
      </w:r>
      <w:r>
        <w:fldChar w:fldCharType="separate"/>
      </w:r>
      <w:r>
        <w:t>207</w:t>
      </w:r>
      <w:r>
        <w:fldChar w:fldCharType="end"/>
      </w:r>
    </w:p>
    <w:p>
      <w:pPr>
        <w:pStyle w:val="TOC8"/>
        <w:rPr>
          <w:rFonts w:asciiTheme="minorHAnsi" w:eastAsiaTheme="minorEastAsia" w:hAnsiTheme="minorHAnsi" w:cstheme="minorBidi"/>
          <w:szCs w:val="22"/>
        </w:rPr>
      </w:pPr>
      <w:r>
        <w:t>235.</w:t>
      </w:r>
      <w:r>
        <w:tab/>
        <w:t>Indexation of fees</w:t>
      </w:r>
      <w:r>
        <w:tab/>
      </w:r>
      <w:r>
        <w:fldChar w:fldCharType="begin"/>
      </w:r>
      <w:r>
        <w:instrText xml:space="preserve"> PAGEREF _Toc109833204 \h </w:instrText>
      </w:r>
      <w:r>
        <w:fldChar w:fldCharType="separate"/>
      </w:r>
      <w:r>
        <w:t>207</w:t>
      </w:r>
      <w:r>
        <w:fldChar w:fldCharType="end"/>
      </w:r>
    </w:p>
    <w:p>
      <w:pPr>
        <w:pStyle w:val="TOC8"/>
        <w:rPr>
          <w:rFonts w:asciiTheme="minorHAnsi" w:eastAsiaTheme="minorEastAsia" w:hAnsiTheme="minorHAnsi" w:cstheme="minorBidi"/>
          <w:szCs w:val="22"/>
        </w:rPr>
      </w:pPr>
      <w:r>
        <w:t>236.</w:t>
      </w:r>
      <w:r>
        <w:tab/>
        <w:t>Publication of indexed fees</w:t>
      </w:r>
      <w:r>
        <w:tab/>
      </w:r>
      <w:r>
        <w:fldChar w:fldCharType="begin"/>
      </w:r>
      <w:r>
        <w:instrText xml:space="preserve"> PAGEREF _Toc109833205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Part 6.4 — Delegations</w:t>
      </w:r>
    </w:p>
    <w:p>
      <w:pPr>
        <w:pStyle w:val="TOC8"/>
        <w:rPr>
          <w:rFonts w:asciiTheme="minorHAnsi" w:eastAsiaTheme="minorEastAsia" w:hAnsiTheme="minorHAnsi" w:cstheme="minorBidi"/>
          <w:szCs w:val="22"/>
        </w:rPr>
      </w:pPr>
      <w:r>
        <w:t>237.</w:t>
      </w:r>
      <w:r>
        <w:tab/>
        <w:t>Delegation</w:t>
      </w:r>
      <w:r>
        <w:tab/>
      </w:r>
      <w:r>
        <w:fldChar w:fldCharType="begin"/>
      </w:r>
      <w:r>
        <w:instrText xml:space="preserve"> PAGEREF _Toc109833207 \h </w:instrText>
      </w:r>
      <w:r>
        <w:fldChar w:fldCharType="separate"/>
      </w:r>
      <w:r>
        <w:t>209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7 — Jurisdiction</w:t>
      </w:r>
      <w:r>
        <w:noBreakHyphen/>
        <w:t>specific and transitional and saving provisions</w:t>
      </w:r>
    </w:p>
    <w:p>
      <w:pPr>
        <w:pStyle w:val="TOC4"/>
        <w:tabs>
          <w:tab w:val="right" w:leader="dot" w:pos="7077"/>
        </w:tabs>
        <w:rPr>
          <w:rFonts w:asciiTheme="minorHAnsi" w:eastAsiaTheme="minorEastAsia" w:hAnsiTheme="minorHAnsi" w:cstheme="minorBidi"/>
          <w:b w:val="0"/>
          <w:szCs w:val="22"/>
        </w:rPr>
      </w:pPr>
      <w:r>
        <w:t>Part 7.1 — General transitional and saving provisions</w:t>
      </w:r>
    </w:p>
    <w:p>
      <w:pPr>
        <w:pStyle w:val="TOC6"/>
        <w:tabs>
          <w:tab w:val="right" w:leader="dot" w:pos="7077"/>
        </w:tabs>
        <w:rPr>
          <w:rFonts w:asciiTheme="minorHAnsi" w:eastAsiaTheme="minorEastAsia" w:hAnsiTheme="minorHAnsi" w:cstheme="minorBidi"/>
          <w:b w:val="0"/>
          <w:sz w:val="22"/>
          <w:szCs w:val="22"/>
        </w:rPr>
      </w:pPr>
      <w:r>
        <w:t>Division 2 — Staffing arrangements</w:t>
      </w:r>
    </w:p>
    <w:p>
      <w:pPr>
        <w:pStyle w:val="TOC8"/>
        <w:rPr>
          <w:rFonts w:asciiTheme="minorHAnsi" w:eastAsiaTheme="minorEastAsia" w:hAnsiTheme="minorHAnsi" w:cstheme="minorBidi"/>
          <w:szCs w:val="22"/>
        </w:rPr>
      </w:pPr>
      <w:r>
        <w:t>239.</w:t>
      </w:r>
      <w:r>
        <w:tab/>
        <w:t>Centre</w:t>
      </w:r>
      <w:r>
        <w:noBreakHyphen/>
        <w:t>based service offering a preschool program in a composite class in a school</w:t>
      </w:r>
      <w:r>
        <w:tab/>
      </w:r>
      <w:r>
        <w:fldChar w:fldCharType="begin"/>
      </w:r>
      <w:r>
        <w:instrText xml:space="preserve"> PAGEREF _Toc109833211 \h </w:instrText>
      </w:r>
      <w:r>
        <w:fldChar w:fldCharType="separate"/>
      </w:r>
      <w:r>
        <w:t>210</w:t>
      </w:r>
      <w:r>
        <w:fldChar w:fldCharType="end"/>
      </w:r>
    </w:p>
    <w:p>
      <w:pPr>
        <w:pStyle w:val="TOC8"/>
        <w:rPr>
          <w:rFonts w:asciiTheme="minorHAnsi" w:eastAsiaTheme="minorEastAsia" w:hAnsiTheme="minorHAnsi" w:cstheme="minorBidi"/>
          <w:szCs w:val="22"/>
        </w:rPr>
      </w:pPr>
      <w:r>
        <w:t>239A.</w:t>
      </w:r>
      <w:r>
        <w:tab/>
        <w:t>Centre</w:t>
      </w:r>
      <w:r>
        <w:noBreakHyphen/>
        <w:t>based services in remote and very remote areas — attendance of early childhood teachers</w:t>
      </w:r>
      <w:r>
        <w:tab/>
      </w:r>
      <w:r>
        <w:fldChar w:fldCharType="begin"/>
      </w:r>
      <w:r>
        <w:instrText xml:space="preserve"> PAGEREF _Toc109833212 \h </w:instrText>
      </w:r>
      <w:r>
        <w:fldChar w:fldCharType="separate"/>
      </w:r>
      <w:r>
        <w:t>211</w:t>
      </w:r>
      <w:r>
        <w:fldChar w:fldCharType="end"/>
      </w:r>
    </w:p>
    <w:p>
      <w:pPr>
        <w:pStyle w:val="TOC8"/>
        <w:rPr>
          <w:rFonts w:asciiTheme="minorHAnsi" w:eastAsiaTheme="minorEastAsia" w:hAnsiTheme="minorHAnsi" w:cstheme="minorBidi"/>
          <w:szCs w:val="22"/>
        </w:rPr>
      </w:pPr>
      <w:r>
        <w:t>240.</w:t>
      </w:r>
      <w:r>
        <w:tab/>
        <w:t>Qualifications for educators — centre</w:t>
      </w:r>
      <w:r>
        <w:noBreakHyphen/>
        <w:t>based service</w:t>
      </w:r>
      <w:r>
        <w:tab/>
      </w:r>
      <w:r>
        <w:fldChar w:fldCharType="begin"/>
      </w:r>
      <w:r>
        <w:instrText xml:space="preserve"> PAGEREF _Toc109833213 \h </w:instrText>
      </w:r>
      <w:r>
        <w:fldChar w:fldCharType="separate"/>
      </w:r>
      <w:r>
        <w:t>212</w:t>
      </w:r>
      <w:r>
        <w:fldChar w:fldCharType="end"/>
      </w:r>
    </w:p>
    <w:p>
      <w:pPr>
        <w:pStyle w:val="TOC8"/>
        <w:rPr>
          <w:rFonts w:asciiTheme="minorHAnsi" w:eastAsiaTheme="minorEastAsia" w:hAnsiTheme="minorHAnsi" w:cstheme="minorBidi"/>
          <w:szCs w:val="22"/>
        </w:rPr>
      </w:pPr>
      <w:r>
        <w:t>241.</w:t>
      </w:r>
      <w:r>
        <w:tab/>
        <w:t>Persons taken to hold an approved early childhood teaching qualification</w:t>
      </w:r>
      <w:r>
        <w:tab/>
      </w:r>
      <w:r>
        <w:fldChar w:fldCharType="begin"/>
      </w:r>
      <w:r>
        <w:instrText xml:space="preserve"> PAGEREF _Toc109833214 \h </w:instrText>
      </w:r>
      <w:r>
        <w:fldChar w:fldCharType="separate"/>
      </w:r>
      <w:r>
        <w:t>213</w:t>
      </w:r>
      <w:r>
        <w:fldChar w:fldCharType="end"/>
      </w:r>
    </w:p>
    <w:p>
      <w:pPr>
        <w:pStyle w:val="TOC8"/>
        <w:rPr>
          <w:rFonts w:asciiTheme="minorHAnsi" w:eastAsiaTheme="minorEastAsia" w:hAnsiTheme="minorHAnsi" w:cstheme="minorBidi"/>
          <w:szCs w:val="22"/>
        </w:rPr>
      </w:pPr>
      <w:r>
        <w:t>242.</w:t>
      </w:r>
      <w:r>
        <w:tab/>
        <w:t>Persons taken to be early childhood teachers</w:t>
      </w:r>
      <w:r>
        <w:tab/>
      </w:r>
      <w:r>
        <w:fldChar w:fldCharType="begin"/>
      </w:r>
      <w:r>
        <w:instrText xml:space="preserve"> PAGEREF _Toc109833215 \h </w:instrText>
      </w:r>
      <w:r>
        <w:fldChar w:fldCharType="separate"/>
      </w:r>
      <w:r>
        <w:t>216</w:t>
      </w:r>
      <w:r>
        <w:fldChar w:fldCharType="end"/>
      </w:r>
    </w:p>
    <w:p>
      <w:pPr>
        <w:pStyle w:val="TOC8"/>
        <w:rPr>
          <w:rFonts w:asciiTheme="minorHAnsi" w:eastAsiaTheme="minorEastAsia" w:hAnsiTheme="minorHAnsi" w:cstheme="minorBidi"/>
          <w:szCs w:val="22"/>
        </w:rPr>
      </w:pPr>
      <w:r>
        <w:t>243.</w:t>
      </w:r>
      <w:r>
        <w:tab/>
        <w:t>Persons taken to hold an approved diploma level education and care qualification</w:t>
      </w:r>
      <w:r>
        <w:tab/>
      </w:r>
      <w:r>
        <w:fldChar w:fldCharType="begin"/>
      </w:r>
      <w:r>
        <w:instrText xml:space="preserve"> PAGEREF _Toc109833216 \h </w:instrText>
      </w:r>
      <w:r>
        <w:fldChar w:fldCharType="separate"/>
      </w:r>
      <w:r>
        <w:t>217</w:t>
      </w:r>
      <w:r>
        <w:fldChar w:fldCharType="end"/>
      </w:r>
    </w:p>
    <w:p>
      <w:pPr>
        <w:pStyle w:val="TOC8"/>
        <w:rPr>
          <w:rFonts w:asciiTheme="minorHAnsi" w:eastAsiaTheme="minorEastAsia" w:hAnsiTheme="minorHAnsi" w:cstheme="minorBidi"/>
          <w:szCs w:val="22"/>
        </w:rPr>
      </w:pPr>
      <w:r>
        <w:t>243A.</w:t>
      </w:r>
      <w:r>
        <w:tab/>
        <w:t>Persons taken to hold an approved diploma level education and care qualification for regulation 128 in Queensland</w:t>
      </w:r>
      <w:r>
        <w:tab/>
      </w:r>
      <w:r>
        <w:fldChar w:fldCharType="begin"/>
      </w:r>
      <w:r>
        <w:instrText xml:space="preserve"> PAGEREF _Toc109833217 \h </w:instrText>
      </w:r>
      <w:r>
        <w:fldChar w:fldCharType="separate"/>
      </w:r>
      <w:r>
        <w:t>217</w:t>
      </w:r>
      <w:r>
        <w:fldChar w:fldCharType="end"/>
      </w:r>
    </w:p>
    <w:p>
      <w:pPr>
        <w:pStyle w:val="TOC8"/>
        <w:rPr>
          <w:rFonts w:asciiTheme="minorHAnsi" w:eastAsiaTheme="minorEastAsia" w:hAnsiTheme="minorHAnsi" w:cstheme="minorBidi"/>
          <w:szCs w:val="22"/>
        </w:rPr>
      </w:pPr>
      <w:r>
        <w:t>244.</w:t>
      </w:r>
      <w:r>
        <w:tab/>
        <w:t>Persons taken to hold an approved certificate III level education and care qualification</w:t>
      </w:r>
      <w:r>
        <w:tab/>
      </w:r>
      <w:r>
        <w:fldChar w:fldCharType="begin"/>
      </w:r>
      <w:r>
        <w:instrText xml:space="preserve"> PAGEREF _Toc109833218 \h </w:instrText>
      </w:r>
      <w:r>
        <w:fldChar w:fldCharType="separate"/>
      </w:r>
      <w:r>
        <w:t>218</w:t>
      </w:r>
      <w:r>
        <w:fldChar w:fldCharType="end"/>
      </w:r>
    </w:p>
    <w:p>
      <w:pPr>
        <w:pStyle w:val="TOC6"/>
        <w:tabs>
          <w:tab w:val="right" w:leader="dot" w:pos="7077"/>
        </w:tabs>
        <w:rPr>
          <w:rFonts w:asciiTheme="minorHAnsi" w:eastAsiaTheme="minorEastAsia" w:hAnsiTheme="minorHAnsi" w:cstheme="minorBidi"/>
          <w:b w:val="0"/>
          <w:sz w:val="22"/>
          <w:szCs w:val="22"/>
        </w:rPr>
      </w:pPr>
      <w:r>
        <w:t>Division 3 — Physical environment</w:t>
      </w:r>
    </w:p>
    <w:p>
      <w:pPr>
        <w:pStyle w:val="TOC8"/>
        <w:rPr>
          <w:rFonts w:asciiTheme="minorHAnsi" w:eastAsiaTheme="minorEastAsia" w:hAnsiTheme="minorHAnsi" w:cstheme="minorBidi"/>
          <w:szCs w:val="22"/>
        </w:rPr>
      </w:pPr>
      <w:r>
        <w:t>248.</w:t>
      </w:r>
      <w:r>
        <w:tab/>
        <w:t>Centre</w:t>
      </w:r>
      <w:r>
        <w:noBreakHyphen/>
        <w:t>based service offering a preschool program in a composite class in a school</w:t>
      </w:r>
      <w:r>
        <w:tab/>
      </w:r>
      <w:r>
        <w:fldChar w:fldCharType="begin"/>
      </w:r>
      <w:r>
        <w:instrText xml:space="preserve"> PAGEREF _Toc109833220 \h </w:instrText>
      </w:r>
      <w:r>
        <w:fldChar w:fldCharType="separate"/>
      </w:r>
      <w:r>
        <w:t>218</w:t>
      </w:r>
      <w:r>
        <w:fldChar w:fldCharType="end"/>
      </w:r>
    </w:p>
    <w:p>
      <w:pPr>
        <w:pStyle w:val="TOC8"/>
        <w:rPr>
          <w:rFonts w:asciiTheme="minorHAnsi" w:eastAsiaTheme="minorEastAsia" w:hAnsiTheme="minorHAnsi" w:cstheme="minorBidi"/>
          <w:szCs w:val="22"/>
        </w:rPr>
      </w:pPr>
      <w:r>
        <w:t>249.</w:t>
      </w:r>
      <w:r>
        <w:tab/>
        <w:t>Declared approved services (other than declared approved family day care services)</w:t>
      </w:r>
      <w:r>
        <w:tab/>
      </w:r>
      <w:r>
        <w:fldChar w:fldCharType="begin"/>
      </w:r>
      <w:r>
        <w:instrText xml:space="preserve"> PAGEREF _Toc109833221 \h </w:instrText>
      </w:r>
      <w:r>
        <w:fldChar w:fldCharType="separate"/>
      </w:r>
      <w:r>
        <w:t>219</w:t>
      </w:r>
      <w:r>
        <w:fldChar w:fldCharType="end"/>
      </w:r>
    </w:p>
    <w:p>
      <w:pPr>
        <w:pStyle w:val="TOC8"/>
        <w:rPr>
          <w:rFonts w:asciiTheme="minorHAnsi" w:eastAsiaTheme="minorEastAsia" w:hAnsiTheme="minorHAnsi" w:cstheme="minorBidi"/>
          <w:szCs w:val="22"/>
        </w:rPr>
      </w:pPr>
      <w:r>
        <w:t>250.</w:t>
      </w:r>
      <w:r>
        <w:tab/>
        <w:t>Declared approved family day care services</w:t>
      </w:r>
      <w:r>
        <w:tab/>
      </w:r>
      <w:r>
        <w:fldChar w:fldCharType="begin"/>
      </w:r>
      <w:r>
        <w:instrText xml:space="preserve"> PAGEREF _Toc109833222 \h </w:instrText>
      </w:r>
      <w:r>
        <w:fldChar w:fldCharType="separate"/>
      </w:r>
      <w:r>
        <w:t>220</w:t>
      </w:r>
      <w:r>
        <w:fldChar w:fldCharType="end"/>
      </w:r>
    </w:p>
    <w:p>
      <w:pPr>
        <w:pStyle w:val="TOC8"/>
        <w:rPr>
          <w:rFonts w:asciiTheme="minorHAnsi" w:eastAsiaTheme="minorEastAsia" w:hAnsiTheme="minorHAnsi" w:cstheme="minorBidi"/>
          <w:szCs w:val="22"/>
        </w:rPr>
      </w:pPr>
      <w:r>
        <w:t>251.</w:t>
      </w:r>
      <w:r>
        <w:tab/>
        <w:t>Declared out of scope services</w:t>
      </w:r>
      <w:r>
        <w:tab/>
      </w:r>
      <w:r>
        <w:fldChar w:fldCharType="begin"/>
      </w:r>
      <w:r>
        <w:instrText xml:space="preserve"> PAGEREF _Toc109833223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t>Division 4 — Information retention and sharing</w:t>
      </w:r>
    </w:p>
    <w:p>
      <w:pPr>
        <w:pStyle w:val="TOC8"/>
        <w:rPr>
          <w:rFonts w:asciiTheme="minorHAnsi" w:eastAsiaTheme="minorEastAsia" w:hAnsiTheme="minorHAnsi" w:cstheme="minorBidi"/>
          <w:szCs w:val="22"/>
        </w:rPr>
      </w:pPr>
      <w:r>
        <w:t>252.</w:t>
      </w:r>
      <w:r>
        <w:tab/>
        <w:t>Information held by Regulatory Authority or regulatory body</w:t>
      </w:r>
      <w:r>
        <w:tab/>
      </w:r>
      <w:r>
        <w:fldChar w:fldCharType="begin"/>
      </w:r>
      <w:r>
        <w:instrText xml:space="preserve"> PAGEREF _Toc109833225 \h </w:instrText>
      </w:r>
      <w:r>
        <w:fldChar w:fldCharType="separate"/>
      </w:r>
      <w:r>
        <w:t>221</w:t>
      </w:r>
      <w:r>
        <w:fldChar w:fldCharType="end"/>
      </w:r>
    </w:p>
    <w:p>
      <w:pPr>
        <w:pStyle w:val="TOC8"/>
        <w:rPr>
          <w:rFonts w:asciiTheme="minorHAnsi" w:eastAsiaTheme="minorEastAsia" w:hAnsiTheme="minorHAnsi" w:cstheme="minorBidi"/>
          <w:szCs w:val="22"/>
        </w:rPr>
      </w:pPr>
      <w:r>
        <w:t>253.</w:t>
      </w:r>
      <w:r>
        <w:tab/>
        <w:t>Information kept by approved provider</w:t>
      </w:r>
      <w:r>
        <w:tab/>
      </w:r>
      <w:r>
        <w:fldChar w:fldCharType="begin"/>
      </w:r>
      <w:r>
        <w:instrText xml:space="preserve"> PAGEREF _Toc109833226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Division 5 — Declared approved learning frameworks</w:t>
      </w:r>
    </w:p>
    <w:p>
      <w:pPr>
        <w:pStyle w:val="TOC8"/>
        <w:rPr>
          <w:rFonts w:asciiTheme="minorHAnsi" w:eastAsiaTheme="minorEastAsia" w:hAnsiTheme="minorHAnsi" w:cstheme="minorBidi"/>
          <w:szCs w:val="22"/>
        </w:rPr>
      </w:pPr>
      <w:r>
        <w:t>254.</w:t>
      </w:r>
      <w:r>
        <w:tab/>
        <w:t>Declared approved learning frameworks</w:t>
      </w:r>
      <w:r>
        <w:tab/>
      </w:r>
      <w:r>
        <w:fldChar w:fldCharType="begin"/>
      </w:r>
      <w:r>
        <w:instrText xml:space="preserve"> PAGEREF _Toc109833228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Fees</w:t>
      </w:r>
    </w:p>
    <w:p>
      <w:pPr>
        <w:pStyle w:val="TOC8"/>
        <w:rPr>
          <w:rFonts w:asciiTheme="minorHAnsi" w:eastAsiaTheme="minorEastAsia" w:hAnsiTheme="minorHAnsi" w:cstheme="minorBidi"/>
          <w:szCs w:val="22"/>
        </w:rPr>
      </w:pPr>
      <w:r>
        <w:t>255.</w:t>
      </w:r>
      <w:r>
        <w:tab/>
        <w:t>Fees for application for provider approval for declared out of scope service</w:t>
      </w:r>
      <w:r>
        <w:tab/>
      </w:r>
      <w:r>
        <w:fldChar w:fldCharType="begin"/>
      </w:r>
      <w:r>
        <w:instrText xml:space="preserve"> PAGEREF _Toc109833230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provisions relating to exemptions</w:t>
      </w:r>
    </w:p>
    <w:p>
      <w:pPr>
        <w:pStyle w:val="TOC8"/>
        <w:rPr>
          <w:rFonts w:asciiTheme="minorHAnsi" w:eastAsiaTheme="minorEastAsia" w:hAnsiTheme="minorHAnsi" w:cstheme="minorBidi"/>
          <w:szCs w:val="22"/>
        </w:rPr>
      </w:pPr>
      <w:r>
        <w:t>256.</w:t>
      </w:r>
      <w:r>
        <w:tab/>
        <w:t>Publication where service taken to comply with regulations</w:t>
      </w:r>
      <w:r>
        <w:tab/>
      </w:r>
      <w:r>
        <w:fldChar w:fldCharType="begin"/>
      </w:r>
      <w:r>
        <w:instrText xml:space="preserve"> PAGEREF _Toc109833232 \h </w:instrText>
      </w:r>
      <w:r>
        <w:fldChar w:fldCharType="separate"/>
      </w:r>
      <w:r>
        <w:t>223</w:t>
      </w:r>
      <w:r>
        <w:fldChar w:fldCharType="end"/>
      </w:r>
    </w:p>
    <w:p>
      <w:pPr>
        <w:pStyle w:val="TOC8"/>
        <w:rPr>
          <w:rFonts w:asciiTheme="minorHAnsi" w:eastAsiaTheme="minorEastAsia" w:hAnsiTheme="minorHAnsi" w:cstheme="minorBidi"/>
          <w:szCs w:val="22"/>
        </w:rPr>
      </w:pPr>
      <w:r>
        <w:t>257.</w:t>
      </w:r>
      <w:r>
        <w:tab/>
        <w:t>Application for removal of exemption</w:t>
      </w:r>
      <w:r>
        <w:tab/>
      </w:r>
      <w:r>
        <w:fldChar w:fldCharType="begin"/>
      </w:r>
      <w:r>
        <w:instrText xml:space="preserve"> PAGEREF _Toc109833233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Part 7.2 — Australian Capital Territory — specific provisions</w:t>
      </w:r>
    </w:p>
    <w:p>
      <w:pPr>
        <w:pStyle w:val="TOC4"/>
        <w:tabs>
          <w:tab w:val="right" w:leader="dot" w:pos="7077"/>
        </w:tabs>
        <w:rPr>
          <w:rFonts w:asciiTheme="minorHAnsi" w:eastAsiaTheme="minorEastAsia" w:hAnsiTheme="minorHAnsi" w:cstheme="minorBidi"/>
          <w:b w:val="0"/>
          <w:szCs w:val="22"/>
        </w:rPr>
      </w:pPr>
      <w:r>
        <w:t>Part 7.3 — New South Wales — specific provisions</w:t>
      </w:r>
    </w:p>
    <w:p>
      <w:pPr>
        <w:pStyle w:val="TOC4"/>
        <w:tabs>
          <w:tab w:val="right" w:leader="dot" w:pos="7077"/>
        </w:tabs>
        <w:rPr>
          <w:rFonts w:asciiTheme="minorHAnsi" w:eastAsiaTheme="minorEastAsia" w:hAnsiTheme="minorHAnsi" w:cstheme="minorBidi"/>
          <w:b w:val="0"/>
          <w:szCs w:val="22"/>
        </w:rPr>
      </w:pPr>
      <w:r>
        <w:t>Part 7.4 — Northern Territory — specific provisions</w:t>
      </w:r>
    </w:p>
    <w:p>
      <w:pPr>
        <w:pStyle w:val="TOC4"/>
        <w:tabs>
          <w:tab w:val="right" w:leader="dot" w:pos="7077"/>
        </w:tabs>
        <w:rPr>
          <w:rFonts w:asciiTheme="minorHAnsi" w:eastAsiaTheme="minorEastAsia" w:hAnsiTheme="minorHAnsi" w:cstheme="minorBidi"/>
          <w:b w:val="0"/>
          <w:szCs w:val="22"/>
        </w:rPr>
      </w:pPr>
      <w:r>
        <w:t>Part 7.5 — Queensland — specific provisions</w:t>
      </w:r>
    </w:p>
    <w:p>
      <w:pPr>
        <w:pStyle w:val="TOC4"/>
        <w:tabs>
          <w:tab w:val="right" w:leader="dot" w:pos="7077"/>
        </w:tabs>
        <w:rPr>
          <w:rFonts w:asciiTheme="minorHAnsi" w:eastAsiaTheme="minorEastAsia" w:hAnsiTheme="minorHAnsi" w:cstheme="minorBidi"/>
          <w:b w:val="0"/>
          <w:szCs w:val="22"/>
        </w:rPr>
      </w:pPr>
      <w:r>
        <w:t>Part 7.6 — South Australia — specific provisions</w:t>
      </w:r>
    </w:p>
    <w:p>
      <w:pPr>
        <w:pStyle w:val="TOC4"/>
        <w:tabs>
          <w:tab w:val="right" w:leader="dot" w:pos="7077"/>
        </w:tabs>
        <w:rPr>
          <w:rFonts w:asciiTheme="minorHAnsi" w:eastAsiaTheme="minorEastAsia" w:hAnsiTheme="minorHAnsi" w:cstheme="minorBidi"/>
          <w:b w:val="0"/>
          <w:szCs w:val="22"/>
        </w:rPr>
      </w:pPr>
      <w:r>
        <w:t>Part 7.7 — Tasmania — specific provisions</w:t>
      </w:r>
    </w:p>
    <w:p>
      <w:pPr>
        <w:pStyle w:val="TOC4"/>
        <w:tabs>
          <w:tab w:val="right" w:leader="dot" w:pos="7077"/>
        </w:tabs>
        <w:rPr>
          <w:rFonts w:asciiTheme="minorHAnsi" w:eastAsiaTheme="minorEastAsia" w:hAnsiTheme="minorHAnsi" w:cstheme="minorBidi"/>
          <w:b w:val="0"/>
          <w:szCs w:val="22"/>
        </w:rPr>
      </w:pPr>
      <w:r>
        <w:t>Part 7.8 — Victoria — specific provisions</w:t>
      </w:r>
    </w:p>
    <w:p>
      <w:pPr>
        <w:pStyle w:val="TOC4"/>
        <w:tabs>
          <w:tab w:val="right" w:leader="dot" w:pos="7077"/>
        </w:tabs>
        <w:rPr>
          <w:rFonts w:asciiTheme="minorHAnsi" w:eastAsiaTheme="minorEastAsia" w:hAnsiTheme="minorHAnsi" w:cstheme="minorBidi"/>
          <w:b w:val="0"/>
          <w:szCs w:val="22"/>
        </w:rPr>
      </w:pPr>
      <w:r>
        <w:t>Part 7.9 — Western Australia — specific provisions</w:t>
      </w:r>
    </w:p>
    <w:p>
      <w:pPr>
        <w:pStyle w:val="TOC6"/>
        <w:tabs>
          <w:tab w:val="right" w:leader="dot" w:pos="7077"/>
        </w:tabs>
        <w:rPr>
          <w:rFonts w:asciiTheme="minorHAnsi" w:eastAsiaTheme="minorEastAsia" w:hAnsiTheme="minorHAnsi" w:cstheme="minorBidi"/>
          <w:b w:val="0"/>
          <w:sz w:val="22"/>
          <w:szCs w:val="22"/>
        </w:rPr>
      </w:pPr>
      <w:r>
        <w:t>Division 1 — Application of Part 7.9</w:t>
      </w:r>
    </w:p>
    <w:p>
      <w:pPr>
        <w:pStyle w:val="TOC8"/>
        <w:rPr>
          <w:rFonts w:asciiTheme="minorHAnsi" w:eastAsiaTheme="minorEastAsia" w:hAnsiTheme="minorHAnsi" w:cstheme="minorBidi"/>
          <w:szCs w:val="22"/>
        </w:rPr>
      </w:pPr>
      <w:r>
        <w:t>367.</w:t>
      </w:r>
      <w:r>
        <w:tab/>
        <w:t>Application of Part 7.9</w:t>
      </w:r>
      <w:r>
        <w:tab/>
      </w:r>
      <w:r>
        <w:fldChar w:fldCharType="begin"/>
      </w:r>
      <w:r>
        <w:instrText xml:space="preserve"> PAGEREF _Toc109833243 \h </w:instrText>
      </w:r>
      <w:r>
        <w:fldChar w:fldCharType="separate"/>
      </w:r>
      <w:r>
        <w:t>225</w:t>
      </w:r>
      <w:r>
        <w:fldChar w:fldCharType="end"/>
      </w:r>
    </w:p>
    <w:p>
      <w:pPr>
        <w:pStyle w:val="TOC8"/>
        <w:rPr>
          <w:rFonts w:asciiTheme="minorHAnsi" w:eastAsiaTheme="minorEastAsia" w:hAnsiTheme="minorHAnsi" w:cstheme="minorBidi"/>
          <w:szCs w:val="22"/>
        </w:rPr>
      </w:pPr>
      <w:r>
        <w:t>368.</w:t>
      </w:r>
      <w:r>
        <w:tab/>
        <w:t>Definitions</w:t>
      </w:r>
      <w:r>
        <w:tab/>
      </w:r>
      <w:r>
        <w:fldChar w:fldCharType="begin"/>
      </w:r>
      <w:r>
        <w:instrText xml:space="preserve"> PAGEREF _Toc109833244 \h </w:instrText>
      </w:r>
      <w:r>
        <w:fldChar w:fldCharType="separate"/>
      </w:r>
      <w:r>
        <w:t>225</w:t>
      </w:r>
      <w:r>
        <w:fldChar w:fldCharType="end"/>
      </w:r>
    </w:p>
    <w:p>
      <w:pPr>
        <w:pStyle w:val="TOC6"/>
        <w:tabs>
          <w:tab w:val="right" w:leader="dot" w:pos="7077"/>
        </w:tabs>
        <w:rPr>
          <w:rFonts w:asciiTheme="minorHAnsi" w:eastAsiaTheme="minorEastAsia" w:hAnsiTheme="minorHAnsi" w:cstheme="minorBidi"/>
          <w:b w:val="0"/>
          <w:sz w:val="22"/>
          <w:szCs w:val="22"/>
        </w:rPr>
      </w:pPr>
      <w:r>
        <w:t>Division 1A — Exceeding National Quality Standard</w:t>
      </w:r>
    </w:p>
    <w:p>
      <w:pPr>
        <w:pStyle w:val="TOC8"/>
        <w:rPr>
          <w:rFonts w:asciiTheme="minorHAnsi" w:eastAsiaTheme="minorEastAsia" w:hAnsiTheme="minorHAnsi" w:cstheme="minorBidi"/>
          <w:szCs w:val="22"/>
        </w:rPr>
      </w:pPr>
      <w:r>
        <w:t>368A.</w:t>
      </w:r>
      <w:r>
        <w:tab/>
        <w:t>Exceeding National Quality Standard: educational program and practice quality area</w:t>
      </w:r>
      <w:r>
        <w:tab/>
      </w:r>
      <w:r>
        <w:fldChar w:fldCharType="begin"/>
      </w:r>
      <w:r>
        <w:instrText xml:space="preserve"> PAGEREF _Toc109833246 \h </w:instrText>
      </w:r>
      <w:r>
        <w:fldChar w:fldCharType="separate"/>
      </w:r>
      <w:r>
        <w:t>226</w:t>
      </w:r>
      <w:r>
        <w:fldChar w:fldCharType="end"/>
      </w:r>
    </w:p>
    <w:p>
      <w:pPr>
        <w:pStyle w:val="TOC6"/>
        <w:tabs>
          <w:tab w:val="right" w:leader="dot" w:pos="7077"/>
        </w:tabs>
        <w:rPr>
          <w:rFonts w:asciiTheme="minorHAnsi" w:eastAsiaTheme="minorEastAsia" w:hAnsiTheme="minorHAnsi" w:cstheme="minorBidi"/>
          <w:b w:val="0"/>
          <w:sz w:val="22"/>
          <w:szCs w:val="22"/>
        </w:rPr>
      </w:pPr>
      <w:r>
        <w:t>Division 2 — Minimum number of educators and qualifications required — children over preschool age</w:t>
      </w:r>
    </w:p>
    <w:p>
      <w:pPr>
        <w:pStyle w:val="TOC8"/>
        <w:rPr>
          <w:rFonts w:asciiTheme="minorHAnsi" w:eastAsiaTheme="minorEastAsia" w:hAnsiTheme="minorHAnsi" w:cstheme="minorBidi"/>
          <w:szCs w:val="22"/>
        </w:rPr>
      </w:pPr>
      <w:r>
        <w:t>369.</w:t>
      </w:r>
      <w:r>
        <w:tab/>
        <w:t>Educator to child ratios — children over preschool age</w:t>
      </w:r>
      <w:r>
        <w:tab/>
      </w:r>
      <w:r>
        <w:fldChar w:fldCharType="begin"/>
      </w:r>
      <w:r>
        <w:instrText xml:space="preserve"> PAGEREF _Toc109833248 \h </w:instrText>
      </w:r>
      <w:r>
        <w:fldChar w:fldCharType="separate"/>
      </w:r>
      <w:r>
        <w:t>227</w:t>
      </w:r>
      <w:r>
        <w:fldChar w:fldCharType="end"/>
      </w:r>
    </w:p>
    <w:p>
      <w:pPr>
        <w:pStyle w:val="TOC8"/>
        <w:rPr>
          <w:rFonts w:asciiTheme="minorHAnsi" w:eastAsiaTheme="minorEastAsia" w:hAnsiTheme="minorHAnsi" w:cstheme="minorBidi"/>
          <w:szCs w:val="22"/>
        </w:rPr>
      </w:pPr>
      <w:r>
        <w:t>370.</w:t>
      </w:r>
      <w:r>
        <w:tab/>
        <w:t>General qualification requirements for educators — children over preschool age</w:t>
      </w:r>
      <w:r>
        <w:tab/>
      </w:r>
      <w:r>
        <w:fldChar w:fldCharType="begin"/>
      </w:r>
      <w:r>
        <w:instrText xml:space="preserve"> PAGEREF _Toc109833249 \h </w:instrText>
      </w:r>
      <w:r>
        <w:fldChar w:fldCharType="separate"/>
      </w:r>
      <w:r>
        <w:t>228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3 — Minimum number of educators and qualifications required — centre</w:t>
      </w:r>
      <w:r>
        <w:noBreakHyphen/>
        <w:t>based services — children preschool age or under</w:t>
      </w:r>
    </w:p>
    <w:p>
      <w:pPr>
        <w:pStyle w:val="TOC8"/>
        <w:rPr>
          <w:rFonts w:asciiTheme="minorHAnsi" w:eastAsiaTheme="minorEastAsia" w:hAnsiTheme="minorHAnsi" w:cstheme="minorBidi"/>
          <w:szCs w:val="22"/>
        </w:rPr>
      </w:pPr>
      <w:r>
        <w:t>372.</w:t>
      </w:r>
      <w:r>
        <w:tab/>
        <w:t>Educator to child ratio — pre</w:t>
      </w:r>
      <w:r>
        <w:noBreakHyphen/>
        <w:t>kindergarten programme or kindergarten programme provided by a school</w:t>
      </w:r>
      <w:r>
        <w:tab/>
      </w:r>
      <w:r>
        <w:fldChar w:fldCharType="begin"/>
      </w:r>
      <w:r>
        <w:instrText xml:space="preserve"> PAGEREF _Toc109833251 \h </w:instrText>
      </w:r>
      <w:r>
        <w:fldChar w:fldCharType="separate"/>
      </w:r>
      <w:r>
        <w:t>229</w:t>
      </w:r>
      <w:r>
        <w:fldChar w:fldCharType="end"/>
      </w:r>
    </w:p>
    <w:p>
      <w:pPr>
        <w:pStyle w:val="TOC8"/>
        <w:rPr>
          <w:rFonts w:asciiTheme="minorHAnsi" w:eastAsiaTheme="minorEastAsia" w:hAnsiTheme="minorHAnsi" w:cstheme="minorBidi"/>
          <w:szCs w:val="22"/>
        </w:rPr>
      </w:pPr>
      <w:r>
        <w:t>373.</w:t>
      </w:r>
      <w:r>
        <w:tab/>
        <w:t>Early childhood teachers — pre</w:t>
      </w:r>
      <w:r>
        <w:noBreakHyphen/>
        <w:t>kindergarten programme or kindergarten programme provided by a school</w:t>
      </w:r>
      <w:r>
        <w:tab/>
      </w:r>
      <w:r>
        <w:fldChar w:fldCharType="begin"/>
      </w:r>
      <w:r>
        <w:instrText xml:space="preserve"> PAGEREF _Toc109833252 \h </w:instrText>
      </w:r>
      <w:r>
        <w:fldChar w:fldCharType="separate"/>
      </w:r>
      <w:r>
        <w:t>229</w:t>
      </w:r>
      <w:r>
        <w:fldChar w:fldCharType="end"/>
      </w:r>
    </w:p>
    <w:p>
      <w:pPr>
        <w:pStyle w:val="TOC6"/>
        <w:tabs>
          <w:tab w:val="right" w:leader="dot" w:pos="7077"/>
        </w:tabs>
        <w:rPr>
          <w:rFonts w:asciiTheme="minorHAnsi" w:eastAsiaTheme="minorEastAsia" w:hAnsiTheme="minorHAnsi" w:cstheme="minorBidi"/>
          <w:b w:val="0"/>
          <w:sz w:val="22"/>
          <w:szCs w:val="22"/>
        </w:rPr>
      </w:pPr>
      <w:r>
        <w:t>Division 4 — Transitional provisions — staffing arrangements</w:t>
      </w:r>
    </w:p>
    <w:p>
      <w:pPr>
        <w:pStyle w:val="TOC8"/>
        <w:rPr>
          <w:rFonts w:asciiTheme="minorHAnsi" w:eastAsiaTheme="minorEastAsia" w:hAnsiTheme="minorHAnsi" w:cstheme="minorBidi"/>
          <w:szCs w:val="22"/>
        </w:rPr>
      </w:pPr>
      <w:r>
        <w:t>379.</w:t>
      </w:r>
      <w:r>
        <w:tab/>
        <w:t>Educators required to be early childhood teachers</w:t>
      </w:r>
      <w:r>
        <w:tab/>
      </w:r>
      <w:r>
        <w:fldChar w:fldCharType="begin"/>
      </w:r>
      <w:r>
        <w:instrText xml:space="preserve"> PAGEREF _Toc109833254 \h </w:instrText>
      </w:r>
      <w:r>
        <w:fldChar w:fldCharType="separate"/>
      </w:r>
      <w:r>
        <w:t>230</w:t>
      </w:r>
      <w:r>
        <w:fldChar w:fldCharType="end"/>
      </w:r>
    </w:p>
    <w:p>
      <w:pPr>
        <w:pStyle w:val="TOC6"/>
        <w:tabs>
          <w:tab w:val="right" w:leader="dot" w:pos="7077"/>
        </w:tabs>
        <w:rPr>
          <w:rFonts w:asciiTheme="minorHAnsi" w:eastAsiaTheme="minorEastAsia" w:hAnsiTheme="minorHAnsi" w:cstheme="minorBidi"/>
          <w:b w:val="0"/>
          <w:sz w:val="22"/>
          <w:szCs w:val="22"/>
        </w:rPr>
      </w:pPr>
      <w:r>
        <w:t>Division 5 — Saving provision — physical environment</w:t>
      </w:r>
    </w:p>
    <w:p>
      <w:pPr>
        <w:pStyle w:val="TOC8"/>
        <w:rPr>
          <w:rFonts w:asciiTheme="minorHAnsi" w:eastAsiaTheme="minorEastAsia" w:hAnsiTheme="minorHAnsi" w:cstheme="minorBidi"/>
          <w:szCs w:val="22"/>
        </w:rPr>
      </w:pPr>
      <w:r>
        <w:t>383.</w:t>
      </w:r>
      <w:r>
        <w:tab/>
        <w:t>Saving provision — education and care services provided by a school</w:t>
      </w:r>
      <w:r>
        <w:tab/>
      </w:r>
      <w:r>
        <w:fldChar w:fldCharType="begin"/>
      </w:r>
      <w:r>
        <w:instrText xml:space="preserve"> PAGEREF _Toc109833256 \h </w:instrText>
      </w:r>
      <w:r>
        <w:fldChar w:fldCharType="separate"/>
      </w:r>
      <w:r>
        <w:t>230</w:t>
      </w:r>
      <w:r>
        <w:fldChar w:fldCharType="end"/>
      </w:r>
    </w:p>
    <w:p>
      <w:pPr>
        <w:pStyle w:val="TOC6"/>
        <w:tabs>
          <w:tab w:val="right" w:leader="dot" w:pos="7077"/>
        </w:tabs>
        <w:rPr>
          <w:rFonts w:asciiTheme="minorHAnsi" w:eastAsiaTheme="minorEastAsia" w:hAnsiTheme="minorHAnsi" w:cstheme="minorBidi"/>
          <w:b w:val="0"/>
          <w:sz w:val="22"/>
          <w:szCs w:val="22"/>
        </w:rPr>
      </w:pPr>
      <w:r>
        <w:t>Division 6 — Other transitional matters</w:t>
      </w:r>
    </w:p>
    <w:p>
      <w:pPr>
        <w:pStyle w:val="TOC8"/>
        <w:rPr>
          <w:rFonts w:asciiTheme="minorHAnsi" w:eastAsiaTheme="minorEastAsia" w:hAnsiTheme="minorHAnsi" w:cstheme="minorBidi"/>
          <w:szCs w:val="22"/>
        </w:rPr>
      </w:pPr>
      <w:r>
        <w:t>384.</w:t>
      </w:r>
      <w:r>
        <w:tab/>
        <w:t>Monetary orders under former education and care services law</w:t>
      </w:r>
      <w:r>
        <w:tab/>
      </w:r>
      <w:r>
        <w:fldChar w:fldCharType="begin"/>
      </w:r>
      <w:r>
        <w:instrText xml:space="preserve"> PAGEREF _Toc109833258 \h </w:instrText>
      </w:r>
      <w:r>
        <w:fldChar w:fldCharType="separate"/>
      </w:r>
      <w:r>
        <w:t>231</w:t>
      </w:r>
      <w:r>
        <w:fldChar w:fldCharType="end"/>
      </w:r>
    </w:p>
    <w:p>
      <w:pPr>
        <w:pStyle w:val="TOC8"/>
        <w:rPr>
          <w:rFonts w:asciiTheme="minorHAnsi" w:eastAsiaTheme="minorEastAsia" w:hAnsiTheme="minorHAnsi" w:cstheme="minorBidi"/>
          <w:szCs w:val="22"/>
        </w:rPr>
      </w:pPr>
      <w:r>
        <w:t>385.</w:t>
      </w:r>
      <w:r>
        <w:tab/>
        <w:t>Proceedings under former education and care services law</w:t>
      </w:r>
      <w:r>
        <w:tab/>
      </w:r>
      <w:r>
        <w:fldChar w:fldCharType="begin"/>
      </w:r>
      <w:r>
        <w:instrText xml:space="preserve"> PAGEREF _Toc109833259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Part 7.10 — Transitional and savings provisions — </w:t>
      </w:r>
      <w:r>
        <w:rPr>
          <w:i/>
        </w:rPr>
        <w:t>Education and Care Services National Amendment Regulations (No. 3) 2018</w:t>
      </w:r>
    </w:p>
    <w:p>
      <w:pPr>
        <w:pStyle w:val="TOC6"/>
        <w:tabs>
          <w:tab w:val="right" w:leader="dot" w:pos="7077"/>
        </w:tabs>
        <w:rPr>
          <w:rFonts w:asciiTheme="minorHAnsi" w:eastAsiaTheme="minorEastAsia" w:hAnsiTheme="minorHAnsi" w:cstheme="minorBidi"/>
          <w:b w:val="0"/>
          <w:sz w:val="22"/>
          <w:szCs w:val="22"/>
        </w:rPr>
      </w:pPr>
      <w:r>
        <w:t>Division 2 — Australian Capital Territory</w:t>
      </w:r>
    </w:p>
    <w:p>
      <w:pPr>
        <w:pStyle w:val="TOC6"/>
        <w:tabs>
          <w:tab w:val="right" w:leader="dot" w:pos="7077"/>
        </w:tabs>
        <w:rPr>
          <w:rFonts w:asciiTheme="minorHAnsi" w:eastAsiaTheme="minorEastAsia" w:hAnsiTheme="minorHAnsi" w:cstheme="minorBidi"/>
          <w:b w:val="0"/>
          <w:sz w:val="22"/>
          <w:szCs w:val="22"/>
        </w:rPr>
      </w:pPr>
      <w:r>
        <w:t>Division 3 — New South Wales</w:t>
      </w:r>
    </w:p>
    <w:p>
      <w:pPr>
        <w:pStyle w:val="TOC6"/>
        <w:tabs>
          <w:tab w:val="right" w:leader="dot" w:pos="7077"/>
        </w:tabs>
        <w:rPr>
          <w:rFonts w:asciiTheme="minorHAnsi" w:eastAsiaTheme="minorEastAsia" w:hAnsiTheme="minorHAnsi" w:cstheme="minorBidi"/>
          <w:b w:val="0"/>
          <w:sz w:val="22"/>
          <w:szCs w:val="22"/>
        </w:rPr>
      </w:pPr>
      <w:r>
        <w:t>Division 4 — Queensland</w:t>
      </w:r>
    </w:p>
    <w:p>
      <w:pPr>
        <w:pStyle w:val="TOC6"/>
        <w:tabs>
          <w:tab w:val="right" w:leader="dot" w:pos="7077"/>
        </w:tabs>
        <w:rPr>
          <w:rFonts w:asciiTheme="minorHAnsi" w:eastAsiaTheme="minorEastAsia" w:hAnsiTheme="minorHAnsi" w:cstheme="minorBidi"/>
          <w:b w:val="0"/>
          <w:sz w:val="22"/>
          <w:szCs w:val="22"/>
        </w:rPr>
      </w:pPr>
      <w:r>
        <w:t>Division 5 — Tasmania</w:t>
      </w:r>
    </w:p>
    <w:p>
      <w:pPr>
        <w:pStyle w:val="TOC6"/>
        <w:tabs>
          <w:tab w:val="right" w:leader="dot" w:pos="7077"/>
        </w:tabs>
        <w:rPr>
          <w:rFonts w:asciiTheme="minorHAnsi" w:eastAsiaTheme="minorEastAsia" w:hAnsiTheme="minorHAnsi" w:cstheme="minorBidi"/>
          <w:b w:val="0"/>
          <w:sz w:val="22"/>
          <w:szCs w:val="22"/>
        </w:rPr>
      </w:pPr>
      <w:r>
        <w:t>Division 6 — Western Australia</w:t>
      </w:r>
    </w:p>
    <w:p>
      <w:pPr>
        <w:pStyle w:val="TOC8"/>
        <w:rPr>
          <w:rFonts w:asciiTheme="minorHAnsi" w:eastAsiaTheme="minorEastAsia" w:hAnsiTheme="minorHAnsi" w:cstheme="minorBidi"/>
          <w:szCs w:val="22"/>
        </w:rPr>
      </w:pPr>
      <w:r>
        <w:t>393.</w:t>
      </w:r>
      <w:r>
        <w:tab/>
        <w:t>Application of Division</w:t>
      </w:r>
      <w:r>
        <w:tab/>
      </w:r>
      <w:r>
        <w:fldChar w:fldCharType="begin"/>
      </w:r>
      <w:r>
        <w:instrText xml:space="preserve"> PAGEREF _Toc109833266 \h </w:instrText>
      </w:r>
      <w:r>
        <w:fldChar w:fldCharType="separate"/>
      </w:r>
      <w:r>
        <w:t>233</w:t>
      </w:r>
      <w:r>
        <w:fldChar w:fldCharType="end"/>
      </w:r>
    </w:p>
    <w:p>
      <w:pPr>
        <w:pStyle w:val="TOC8"/>
        <w:rPr>
          <w:rFonts w:asciiTheme="minorHAnsi" w:eastAsiaTheme="minorEastAsia" w:hAnsiTheme="minorHAnsi" w:cstheme="minorBidi"/>
          <w:szCs w:val="22"/>
        </w:rPr>
      </w:pPr>
      <w:r>
        <w:t>394.</w:t>
      </w:r>
      <w:r>
        <w:tab/>
        <w:t>Resignation of early childhood teacher</w:t>
      </w:r>
      <w:r>
        <w:tab/>
      </w:r>
      <w:r>
        <w:fldChar w:fldCharType="begin"/>
      </w:r>
      <w:r>
        <w:instrText xml:space="preserve"> PAGEREF _Toc109833267 \h </w:instrText>
      </w:r>
      <w:r>
        <w:fldChar w:fldCharType="separate"/>
      </w:r>
      <w:r>
        <w:t>233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7.11 — Transitional and savings provisions for </w:t>
      </w:r>
      <w:r>
        <w:rPr>
          <w:i/>
        </w:rPr>
        <w:t>Education and Care Services National Amendment Regulations 2018</w:t>
      </w:r>
    </w:p>
    <w:p>
      <w:pPr>
        <w:pStyle w:val="TOC8"/>
        <w:rPr>
          <w:rFonts w:asciiTheme="minorHAnsi" w:eastAsiaTheme="minorEastAsia" w:hAnsiTheme="minorHAnsi" w:cstheme="minorBidi"/>
          <w:szCs w:val="22"/>
        </w:rPr>
      </w:pPr>
      <w:r>
        <w:t>395.</w:t>
      </w:r>
      <w:r>
        <w:tab/>
        <w:t>Definition</w:t>
      </w:r>
      <w:r>
        <w:tab/>
      </w:r>
      <w:r>
        <w:fldChar w:fldCharType="begin"/>
      </w:r>
      <w:r>
        <w:instrText xml:space="preserve"> PAGEREF _Toc109833269 \h </w:instrText>
      </w:r>
      <w:r>
        <w:fldChar w:fldCharType="separate"/>
      </w:r>
      <w:r>
        <w:t>234</w:t>
      </w:r>
      <w:r>
        <w:fldChar w:fldCharType="end"/>
      </w:r>
    </w:p>
    <w:p>
      <w:pPr>
        <w:pStyle w:val="TOC8"/>
        <w:rPr>
          <w:rFonts w:asciiTheme="minorHAnsi" w:eastAsiaTheme="minorEastAsia" w:hAnsiTheme="minorHAnsi" w:cstheme="minorBidi"/>
          <w:szCs w:val="22"/>
        </w:rPr>
      </w:pPr>
      <w:r>
        <w:lastRenderedPageBreak/>
        <w:t>396.</w:t>
      </w:r>
      <w:r>
        <w:tab/>
        <w:t>Quality improvement plan held prior to commencement day</w:t>
      </w:r>
      <w:r>
        <w:tab/>
      </w:r>
      <w:r>
        <w:fldChar w:fldCharType="begin"/>
      </w:r>
      <w:r>
        <w:instrText xml:space="preserve"> PAGEREF _Toc109833270 \h </w:instrText>
      </w:r>
      <w:r>
        <w:fldChar w:fldCharType="separate"/>
      </w:r>
      <w:r>
        <w:t>234</w:t>
      </w:r>
      <w:r>
        <w:fldChar w:fldCharType="end"/>
      </w:r>
    </w:p>
    <w:p>
      <w:pPr>
        <w:pStyle w:val="TOC8"/>
        <w:rPr>
          <w:rFonts w:asciiTheme="minorHAnsi" w:eastAsiaTheme="minorEastAsia" w:hAnsiTheme="minorHAnsi" w:cstheme="minorBidi"/>
          <w:szCs w:val="22"/>
        </w:rPr>
      </w:pPr>
      <w:r>
        <w:t>397.</w:t>
      </w:r>
      <w:r>
        <w:tab/>
        <w:t>Assessments commenced prior to commencement day</w:t>
      </w:r>
      <w:r>
        <w:tab/>
      </w:r>
      <w:r>
        <w:fldChar w:fldCharType="begin"/>
      </w:r>
      <w:r>
        <w:instrText xml:space="preserve"> PAGEREF _Toc109833271 \h </w:instrText>
      </w:r>
      <w:r>
        <w:fldChar w:fldCharType="separate"/>
      </w:r>
      <w:r>
        <w:t>234</w:t>
      </w:r>
      <w:r>
        <w:fldChar w:fldCharType="end"/>
      </w:r>
    </w:p>
    <w:p>
      <w:pPr>
        <w:pStyle w:val="TOC8"/>
        <w:rPr>
          <w:rFonts w:asciiTheme="minorHAnsi" w:eastAsiaTheme="minorEastAsia" w:hAnsiTheme="minorHAnsi" w:cstheme="minorBidi"/>
          <w:szCs w:val="22"/>
        </w:rPr>
      </w:pPr>
      <w:r>
        <w:t>398.</w:t>
      </w:r>
      <w:r>
        <w:tab/>
        <w:t>Reassessment or partial reassessment commenced prior to commencement day</w:t>
      </w:r>
      <w:r>
        <w:tab/>
      </w:r>
      <w:r>
        <w:fldChar w:fldCharType="begin"/>
      </w:r>
      <w:r>
        <w:instrText xml:space="preserve"> PAGEREF _Toc109833272 \h </w:instrText>
      </w:r>
      <w:r>
        <w:fldChar w:fldCharType="separate"/>
      </w:r>
      <w:r>
        <w:t>235</w:t>
      </w:r>
      <w:r>
        <w:fldChar w:fldCharType="end"/>
      </w:r>
    </w:p>
    <w:p>
      <w:pPr>
        <w:pStyle w:val="TOC8"/>
        <w:rPr>
          <w:rFonts w:asciiTheme="minorHAnsi" w:eastAsiaTheme="minorEastAsia" w:hAnsiTheme="minorHAnsi" w:cstheme="minorBidi"/>
          <w:szCs w:val="22"/>
        </w:rPr>
      </w:pPr>
      <w:r>
        <w:t>399.</w:t>
      </w:r>
      <w:r>
        <w:tab/>
        <w:t>Partial reassessment between the commencement day and the relevant day</w:t>
      </w:r>
      <w:r>
        <w:tab/>
      </w:r>
      <w:r>
        <w:fldChar w:fldCharType="begin"/>
      </w:r>
      <w:r>
        <w:instrText xml:space="preserve"> PAGEREF _Toc109833273 \h </w:instrText>
      </w:r>
      <w:r>
        <w:fldChar w:fldCharType="separate"/>
      </w:r>
      <w:r>
        <w:t>235</w:t>
      </w:r>
      <w:r>
        <w:fldChar w:fldCharType="end"/>
      </w:r>
    </w:p>
    <w:p>
      <w:pPr>
        <w:pStyle w:val="TOC8"/>
        <w:rPr>
          <w:rFonts w:asciiTheme="minorHAnsi" w:eastAsiaTheme="minorEastAsia" w:hAnsiTheme="minorHAnsi" w:cstheme="minorBidi"/>
          <w:szCs w:val="22"/>
        </w:rPr>
      </w:pPr>
      <w:r>
        <w:t>400.</w:t>
      </w:r>
      <w:r>
        <w:tab/>
        <w:t>Suspension of initial assessment or reassessment commenced prior to commencement day</w:t>
      </w:r>
      <w:r>
        <w:tab/>
      </w:r>
      <w:r>
        <w:fldChar w:fldCharType="begin"/>
      </w:r>
      <w:r>
        <w:instrText xml:space="preserve"> PAGEREF _Toc109833274 \h </w:instrText>
      </w:r>
      <w:r>
        <w:fldChar w:fldCharType="separate"/>
      </w:r>
      <w:r>
        <w:t>236</w:t>
      </w:r>
      <w:r>
        <w:fldChar w:fldCharType="end"/>
      </w:r>
    </w:p>
    <w:p>
      <w:pPr>
        <w:pStyle w:val="TOC8"/>
        <w:rPr>
          <w:rFonts w:asciiTheme="minorHAnsi" w:eastAsiaTheme="minorEastAsia" w:hAnsiTheme="minorHAnsi" w:cstheme="minorBidi"/>
          <w:szCs w:val="22"/>
        </w:rPr>
      </w:pPr>
      <w:r>
        <w:t>401.</w:t>
      </w:r>
      <w:r>
        <w:tab/>
        <w:t>Suspension of partial reassessment commenced prior to commencement day</w:t>
      </w:r>
      <w:r>
        <w:tab/>
      </w:r>
      <w:r>
        <w:fldChar w:fldCharType="begin"/>
      </w:r>
      <w:r>
        <w:instrText xml:space="preserve"> PAGEREF _Toc109833275 \h </w:instrText>
      </w:r>
      <w:r>
        <w:fldChar w:fldCharType="separate"/>
      </w:r>
      <w:r>
        <w:t>237</w:t>
      </w:r>
      <w:r>
        <w:fldChar w:fldCharType="end"/>
      </w:r>
    </w:p>
    <w:p>
      <w:pPr>
        <w:pStyle w:val="TOC8"/>
        <w:rPr>
          <w:rFonts w:asciiTheme="minorHAnsi" w:eastAsiaTheme="minorEastAsia" w:hAnsiTheme="minorHAnsi" w:cstheme="minorBidi"/>
          <w:szCs w:val="22"/>
        </w:rPr>
      </w:pPr>
      <w:r>
        <w:t>402.</w:t>
      </w:r>
      <w:r>
        <w:tab/>
        <w:t>Prescribed provisional rating level held prior to commencement day</w:t>
      </w:r>
      <w:r>
        <w:tab/>
      </w:r>
      <w:r>
        <w:fldChar w:fldCharType="begin"/>
      </w:r>
      <w:r>
        <w:instrText xml:space="preserve"> PAGEREF _Toc109833276 \h </w:instrText>
      </w:r>
      <w:r>
        <w:fldChar w:fldCharType="separate"/>
      </w:r>
      <w:r>
        <w:t>237</w:t>
      </w:r>
      <w:r>
        <w:fldChar w:fldCharType="end"/>
      </w:r>
    </w:p>
    <w:p>
      <w:pPr>
        <w:pStyle w:val="TOC8"/>
        <w:rPr>
          <w:rFonts w:asciiTheme="minorHAnsi" w:eastAsiaTheme="minorEastAsia" w:hAnsiTheme="minorHAnsi" w:cstheme="minorBidi"/>
          <w:szCs w:val="22"/>
        </w:rPr>
      </w:pPr>
      <w:r>
        <w:t>403.</w:t>
      </w:r>
      <w:r>
        <w:tab/>
        <w:t>Prescribed rating level held prior to commencement day</w:t>
      </w:r>
      <w:r>
        <w:tab/>
      </w:r>
      <w:r>
        <w:fldChar w:fldCharType="begin"/>
      </w:r>
      <w:r>
        <w:instrText xml:space="preserve"> PAGEREF _Toc109833277 \h </w:instrText>
      </w:r>
      <w:r>
        <w:fldChar w:fldCharType="separate"/>
      </w:r>
      <w:r>
        <w:t>238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7.12 — Transitional and saving provisions for </w:t>
      </w:r>
      <w:r>
        <w:rPr>
          <w:i/>
        </w:rPr>
        <w:t>Education and Care Services National Amendment Regulations 2019</w:t>
      </w:r>
    </w:p>
    <w:p>
      <w:pPr>
        <w:pStyle w:val="TOC6"/>
        <w:tabs>
          <w:tab w:val="right" w:leader="dot" w:pos="7077"/>
        </w:tabs>
        <w:rPr>
          <w:rFonts w:asciiTheme="minorHAnsi" w:eastAsiaTheme="minorEastAsia" w:hAnsiTheme="minorHAnsi" w:cstheme="minorBidi"/>
          <w:b w:val="0"/>
          <w:sz w:val="22"/>
          <w:szCs w:val="22"/>
        </w:rPr>
      </w:pPr>
      <w:r>
        <w:t>Division 1 — Australian Capital Territory</w:t>
      </w:r>
    </w:p>
    <w:p>
      <w:pPr>
        <w:pStyle w:val="TOC6"/>
        <w:tabs>
          <w:tab w:val="right" w:leader="dot" w:pos="7077"/>
        </w:tabs>
        <w:rPr>
          <w:rFonts w:asciiTheme="minorHAnsi" w:eastAsiaTheme="minorEastAsia" w:hAnsiTheme="minorHAnsi" w:cstheme="minorBidi"/>
          <w:b w:val="0"/>
          <w:sz w:val="22"/>
          <w:szCs w:val="22"/>
        </w:rPr>
      </w:pPr>
      <w:r>
        <w:t>Division 2 — Queensland</w:t>
      </w:r>
    </w:p>
    <w:p>
      <w:pPr>
        <w:pStyle w:val="TOC6"/>
        <w:tabs>
          <w:tab w:val="right" w:leader="dot" w:pos="7077"/>
        </w:tabs>
        <w:rPr>
          <w:rFonts w:asciiTheme="minorHAnsi" w:eastAsiaTheme="minorEastAsia" w:hAnsiTheme="minorHAnsi" w:cstheme="minorBidi"/>
          <w:b w:val="0"/>
          <w:sz w:val="22"/>
          <w:szCs w:val="22"/>
        </w:rPr>
      </w:pPr>
      <w:r>
        <w:t>Division 3 — Tasmania</w:t>
      </w:r>
    </w:p>
    <w:p>
      <w:pPr>
        <w:pStyle w:val="TOC6"/>
        <w:tabs>
          <w:tab w:val="right" w:leader="dot" w:pos="7077"/>
        </w:tabs>
        <w:rPr>
          <w:rFonts w:asciiTheme="minorHAnsi" w:eastAsiaTheme="minorEastAsia" w:hAnsiTheme="minorHAnsi" w:cstheme="minorBidi"/>
          <w:b w:val="0"/>
          <w:sz w:val="22"/>
          <w:szCs w:val="22"/>
        </w:rPr>
      </w:pPr>
      <w:r>
        <w:t>Division 4 — Western Australia</w:t>
      </w:r>
    </w:p>
    <w:p>
      <w:pPr>
        <w:pStyle w:val="TOC8"/>
        <w:rPr>
          <w:rFonts w:asciiTheme="minorHAnsi" w:eastAsiaTheme="minorEastAsia" w:hAnsiTheme="minorHAnsi" w:cstheme="minorBidi"/>
          <w:szCs w:val="22"/>
        </w:rPr>
      </w:pPr>
      <w:r>
        <w:t>410.</w:t>
      </w:r>
      <w:r>
        <w:tab/>
        <w:t>Application of Division</w:t>
      </w:r>
      <w:r>
        <w:tab/>
      </w:r>
      <w:r>
        <w:fldChar w:fldCharType="begin"/>
      </w:r>
      <w:r>
        <w:instrText xml:space="preserve"> PAGEREF _Toc109833283 \h </w:instrText>
      </w:r>
      <w:r>
        <w:fldChar w:fldCharType="separate"/>
      </w:r>
      <w:r>
        <w:t>239</w:t>
      </w:r>
      <w:r>
        <w:fldChar w:fldCharType="end"/>
      </w:r>
    </w:p>
    <w:p>
      <w:pPr>
        <w:pStyle w:val="TOC8"/>
        <w:rPr>
          <w:rFonts w:asciiTheme="minorHAnsi" w:eastAsiaTheme="minorEastAsia" w:hAnsiTheme="minorHAnsi" w:cstheme="minorBidi"/>
          <w:szCs w:val="22"/>
        </w:rPr>
      </w:pPr>
      <w:r>
        <w:t>411.</w:t>
      </w:r>
      <w:r>
        <w:tab/>
        <w:t>Resignation of suitably qualified person</w:t>
      </w:r>
      <w:r>
        <w:tab/>
      </w:r>
      <w:r>
        <w:fldChar w:fldCharType="begin"/>
      </w:r>
      <w:r>
        <w:instrText xml:space="preserve"> PAGEREF _Toc109833284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7.13 — Transitional and saving provisions for </w:t>
      </w:r>
      <w:r>
        <w:rPr>
          <w:i/>
        </w:rPr>
        <w:t>Education and Care Services National Amendment Regulations (No. 2) 2021</w:t>
      </w:r>
    </w:p>
    <w:p>
      <w:pPr>
        <w:pStyle w:val="TOC6"/>
        <w:tabs>
          <w:tab w:val="right" w:leader="dot" w:pos="7077"/>
        </w:tabs>
        <w:rPr>
          <w:rFonts w:asciiTheme="minorHAnsi" w:eastAsiaTheme="minorEastAsia" w:hAnsiTheme="minorHAnsi" w:cstheme="minorBidi"/>
          <w:b w:val="0"/>
          <w:sz w:val="22"/>
          <w:szCs w:val="22"/>
        </w:rPr>
      </w:pPr>
      <w:r>
        <w:t>Division 1 — General transitional and savings provision</w:t>
      </w:r>
    </w:p>
    <w:p>
      <w:pPr>
        <w:pStyle w:val="TOC8"/>
        <w:rPr>
          <w:rFonts w:asciiTheme="minorHAnsi" w:eastAsiaTheme="minorEastAsia" w:hAnsiTheme="minorHAnsi" w:cstheme="minorBidi"/>
          <w:szCs w:val="22"/>
        </w:rPr>
      </w:pPr>
      <w:r>
        <w:t>412.</w:t>
      </w:r>
      <w:r>
        <w:tab/>
        <w:t>Requirement to display information in relation to the rating of an education and care service</w:t>
      </w:r>
      <w:r>
        <w:tab/>
      </w:r>
      <w:r>
        <w:fldChar w:fldCharType="begin"/>
      </w:r>
      <w:r>
        <w:instrText xml:space="preserve"> PAGEREF _Toc109833287 \h </w:instrText>
      </w:r>
      <w:r>
        <w:fldChar w:fldCharType="separate"/>
      </w:r>
      <w:r>
        <w:t>240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Northern Territory</w:t>
      </w:r>
    </w:p>
    <w:p>
      <w:pPr>
        <w:pStyle w:val="TOC2"/>
        <w:tabs>
          <w:tab w:val="right" w:leader="dot" w:pos="7077"/>
        </w:tabs>
        <w:rPr>
          <w:rFonts w:asciiTheme="minorHAnsi" w:eastAsiaTheme="minorEastAsia" w:hAnsiTheme="minorHAnsi" w:cstheme="minorBidi"/>
          <w:b w:val="0"/>
          <w:sz w:val="22"/>
          <w:szCs w:val="22"/>
        </w:rPr>
      </w:pPr>
      <w:r>
        <w:t>Schedule 1 — National Quality Standard</w:t>
      </w:r>
    </w:p>
    <w:p>
      <w:pPr>
        <w:pStyle w:val="TOC2"/>
        <w:tabs>
          <w:tab w:val="right" w:leader="dot" w:pos="7077"/>
        </w:tabs>
        <w:rPr>
          <w:rFonts w:asciiTheme="minorHAnsi" w:eastAsiaTheme="minorEastAsia" w:hAnsiTheme="minorHAnsi" w:cstheme="minorBidi"/>
          <w:b w:val="0"/>
          <w:sz w:val="22"/>
          <w:szCs w:val="22"/>
        </w:rPr>
      </w:pPr>
      <w:r>
        <w:t>Schedule 2 — Prescribed fees</w:t>
      </w:r>
    </w:p>
    <w:p>
      <w:pPr>
        <w:pStyle w:val="TOC4"/>
        <w:tabs>
          <w:tab w:val="right" w:leader="dot" w:pos="7077"/>
        </w:tabs>
        <w:rPr>
          <w:rFonts w:asciiTheme="minorHAnsi" w:eastAsiaTheme="minorEastAsia" w:hAnsiTheme="minorHAnsi" w:cstheme="minorBidi"/>
          <w:b w:val="0"/>
          <w:szCs w:val="22"/>
        </w:rPr>
      </w:pPr>
      <w:r>
        <w:t>Part 1 — Fees relating to provider approvals, service approvals and ratings</w:t>
      </w:r>
    </w:p>
    <w:p>
      <w:pPr>
        <w:pStyle w:val="TOC4"/>
        <w:tabs>
          <w:tab w:val="right" w:leader="dot" w:pos="7077"/>
        </w:tabs>
        <w:rPr>
          <w:rFonts w:asciiTheme="minorHAnsi" w:eastAsiaTheme="minorEastAsia" w:hAnsiTheme="minorHAnsi" w:cstheme="minorBidi"/>
          <w:b w:val="0"/>
          <w:szCs w:val="22"/>
        </w:rPr>
      </w:pPr>
      <w:r>
        <w:t>Part 2 — Other fees</w:t>
      </w:r>
    </w:p>
    <w:p>
      <w:pPr>
        <w:pStyle w:val="TOC2"/>
        <w:tabs>
          <w:tab w:val="right" w:leader="dot" w:pos="7077"/>
        </w:tabs>
        <w:rPr>
          <w:rFonts w:asciiTheme="minorHAnsi" w:eastAsiaTheme="minorEastAsia" w:hAnsiTheme="minorHAnsi" w:cstheme="minorBidi"/>
          <w:b w:val="0"/>
          <w:sz w:val="22"/>
          <w:szCs w:val="22"/>
        </w:rPr>
      </w:pPr>
      <w:r>
        <w:t>Schedule 3 — Compliance directions — prescribed provisions</w:t>
      </w:r>
    </w:p>
    <w:p>
      <w:pPr>
        <w:pStyle w:val="TOC2"/>
        <w:tabs>
          <w:tab w:val="right" w:leader="dot" w:pos="7077"/>
        </w:tabs>
        <w:rPr>
          <w:rFonts w:asciiTheme="minorHAnsi" w:eastAsiaTheme="minorEastAsia" w:hAnsiTheme="minorHAnsi" w:cstheme="minorBidi"/>
          <w:b w:val="0"/>
          <w:sz w:val="22"/>
          <w:szCs w:val="22"/>
        </w:rPr>
      </w:pPr>
      <w:r>
        <w:t>Schedule 4 — Prescribed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_Toc109833296 \h </w:instrText>
      </w:r>
      <w:r>
        <w:fldChar w:fldCharType="separate"/>
      </w:r>
      <w:r>
        <w:t>261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_Toc109833297 \h </w:instrText>
      </w:r>
      <w:r>
        <w:fldChar w:fldCharType="separate"/>
      </w:r>
      <w:r>
        <w:t>263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Education and Care Services National Law (Western Australia)</w:t>
      </w:r>
    </w:p>
    <w:p>
      <w:pPr>
        <w:pStyle w:val="NameofActReg"/>
      </w:pPr>
      <w:r>
        <w:t>Education and Care Services National Regulations 2012</w:t>
      </w:r>
    </w:p>
    <w:p>
      <w:pPr>
        <w:pStyle w:val="Heading2"/>
        <w:pageBreakBefore w:val="0"/>
        <w:spacing w:before="220"/>
      </w:pPr>
      <w:bookmarkStart w:id="3" w:name="_Toc109740472"/>
      <w:bookmarkStart w:id="4" w:name="_Toc109741301"/>
      <w:bookmarkStart w:id="5" w:name="_Toc109832896"/>
      <w:r>
        <w:rPr>
          <w:rStyle w:val="CharPartNo"/>
        </w:rPr>
        <w:t>Chapter 1</w:t>
      </w:r>
      <w:r>
        <w:rPr>
          <w:rStyle w:val="CharDivNo"/>
        </w:rPr>
        <w:t> </w:t>
      </w:r>
      <w:r>
        <w:t>—</w:t>
      </w:r>
      <w:r>
        <w:rPr>
          <w:rStyle w:val="CharDivText"/>
        </w:rPr>
        <w:t> </w:t>
      </w:r>
      <w:r>
        <w:rPr>
          <w:rStyle w:val="CharPartText"/>
        </w:rPr>
        <w:t>Preliminary</w:t>
      </w:r>
      <w:bookmarkEnd w:id="3"/>
      <w:bookmarkEnd w:id="4"/>
      <w:bookmarkEnd w:id="5"/>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6" w:name="_Toc109832897"/>
      <w:r>
        <w:rPr>
          <w:rStyle w:val="CharSectno"/>
        </w:rPr>
        <w:t>1</w:t>
      </w:r>
      <w:r>
        <w:t>.</w:t>
      </w:r>
      <w:r>
        <w:tab/>
        <w:t>Citation</w:t>
      </w:r>
      <w:bookmarkEnd w:id="6"/>
    </w:p>
    <w:p>
      <w:pPr>
        <w:pStyle w:val="Subsection"/>
      </w:pPr>
      <w:r>
        <w:tab/>
      </w:r>
      <w:r>
        <w:tab/>
      </w:r>
      <w:bookmarkStart w:id="7" w:name="Start_Cursor"/>
      <w:bookmarkEnd w:id="7"/>
      <w:r>
        <w:t xml:space="preserve">These Regulations are the </w:t>
      </w:r>
      <w:r>
        <w:rPr>
          <w:i/>
        </w:rPr>
        <w:t>Education and Care Services National Regulations 2012</w:t>
      </w:r>
      <w:r>
        <w:t>.</w:t>
      </w:r>
    </w:p>
    <w:p>
      <w:pPr>
        <w:pStyle w:val="Heading5"/>
      </w:pPr>
      <w:bookmarkStart w:id="8" w:name="_Toc109832898"/>
      <w:r>
        <w:rPr>
          <w:rStyle w:val="CharSectno"/>
        </w:rPr>
        <w:t>2</w:t>
      </w:r>
      <w:r>
        <w:t>.</w:t>
      </w:r>
      <w:r>
        <w:tab/>
        <w:t>Authorising provisions</w:t>
      </w:r>
      <w:bookmarkEnd w:id="8"/>
    </w:p>
    <w:p>
      <w:pPr>
        <w:pStyle w:val="Subsection"/>
      </w:pPr>
      <w:r>
        <w:tab/>
      </w:r>
      <w:r>
        <w:tab/>
        <w:t xml:space="preserve">These Regulations are made under sections 301 and 324 of the </w:t>
      </w:r>
      <w:r>
        <w:rPr>
          <w:i/>
        </w:rPr>
        <w:t>Education and Care Services National Law</w:t>
      </w:r>
      <w:r>
        <w:t>.</w:t>
      </w:r>
    </w:p>
    <w:p>
      <w:pPr>
        <w:pStyle w:val="Heading5"/>
      </w:pPr>
      <w:bookmarkStart w:id="9" w:name="_Toc109832899"/>
      <w:r>
        <w:rPr>
          <w:rStyle w:val="CharSectno"/>
        </w:rPr>
        <w:t>3</w:t>
      </w:r>
      <w:r>
        <w:t>.</w:t>
      </w:r>
      <w:r>
        <w:tab/>
        <w:t>Commencement</w:t>
      </w:r>
      <w:bookmarkEnd w:id="9"/>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p>
    <w:p>
      <w:pPr>
        <w:pStyle w:val="Heading5"/>
      </w:pPr>
      <w:bookmarkStart w:id="10" w:name="_Toc109832900"/>
      <w:r>
        <w:rPr>
          <w:rStyle w:val="CharSectno"/>
        </w:rPr>
        <w:lastRenderedPageBreak/>
        <w:t>4</w:t>
      </w:r>
      <w:r>
        <w:t>.</w:t>
      </w:r>
      <w:r>
        <w:tab/>
        <w:t>Definitions</w:t>
      </w:r>
      <w:bookmarkEnd w:id="10"/>
    </w:p>
    <w:p>
      <w:pPr>
        <w:pStyle w:val="Subsection"/>
        <w:keepNext/>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lastRenderedPageBreak/>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lastRenderedPageBreak/>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states whether the individual has been convicted in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lastRenderedPageBreak/>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means an incident, situation or event where there is an imminent or severe risk to the health, safety or wellbeing of a person at the education and care service;</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 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tab/>
      </w:r>
      <w:r>
        <w:rPr>
          <w:rStyle w:val="CharDefText"/>
        </w:rPr>
        <w:t>family assistance law</w:t>
      </w:r>
      <w:r>
        <w:t xml:space="preserve"> has the same meaning as it has in the </w:t>
      </w:r>
      <w:r>
        <w:rPr>
          <w:i/>
        </w:rPr>
        <w:t>A New Tax System (Family Assistance) (Administration) Act 1999</w:t>
      </w:r>
      <w:r>
        <w:t xml:space="preserve"> of the Commonwealth;</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or a suitably qualified person — see regulation 11;</w:t>
      </w:r>
    </w:p>
    <w:p>
      <w:pPr>
        <w:pStyle w:val="Defstart"/>
      </w:pPr>
      <w:r>
        <w:rPr>
          <w:bCs/>
        </w:rPr>
        <w:lastRenderedPageBreak/>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states whether the individual has been convicted outside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lastRenderedPageBreak/>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substantially the same on each outing;</w:t>
      </w:r>
    </w:p>
    <w:p>
      <w:pPr>
        <w:pStyle w:val="Defstart"/>
      </w:pPr>
      <w:r>
        <w:tab/>
      </w:r>
      <w:r>
        <w:rPr>
          <w:rStyle w:val="CharDefText"/>
        </w:rPr>
        <w:t>regular transportation</w:t>
      </w:r>
      <w:r>
        <w:t>, in relation to an education and care service, means the transportation by the service or arranged by the service (other than as part of an excursion) of a child being educated and cared for by the service, where the circumstances relevant to a risk assessment are substantially the same for each occasion on which the child is transported;</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scheme commencement day</w:t>
      </w:r>
      <w:r>
        <w:t xml:space="preserve"> means — </w:t>
      </w:r>
    </w:p>
    <w:p>
      <w:pPr>
        <w:pStyle w:val="Defpara"/>
      </w:pPr>
      <w:r>
        <w:tab/>
        <w:t>(a)</w:t>
      </w:r>
      <w:r>
        <w:tab/>
        <w:t>for all participating jurisdictions other than Western Australia — 1 January 2012; and</w:t>
      </w:r>
    </w:p>
    <w:p>
      <w:pPr>
        <w:pStyle w:val="Defpara"/>
      </w:pPr>
      <w:r>
        <w:tab/>
        <w:t>(b)</w:t>
      </w:r>
      <w:r>
        <w:tab/>
        <w:t>for Western Australia — 1 August 2012;</w:t>
      </w:r>
    </w:p>
    <w:p>
      <w:pPr>
        <w:pStyle w:val="Defstart"/>
        <w:keepNext/>
      </w:pPr>
      <w:r>
        <w:lastRenderedPageBreak/>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keepNext/>
        <w:spacing w:before="180"/>
      </w:pPr>
      <w:r>
        <w:lastRenderedPageBreak/>
        <w:tab/>
        <w:t>(1A)</w:t>
      </w:r>
      <w:r>
        <w:tab/>
        <w:t>A requirement under these Regulations applying in relation to a stated number of children applies each time there is the stated number of children or a part of the stated number.</w:t>
      </w:r>
    </w:p>
    <w:p>
      <w:pPr>
        <w:pStyle w:val="PermNoteHeading"/>
      </w:pPr>
      <w:r>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keepNext/>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 Gazette 13 Dec 2013 p.</w:t>
      </w:r>
      <w:r>
        <w:rPr>
          <w:sz w:val="19"/>
        </w:rPr>
        <w:t> </w:t>
      </w:r>
      <w:r>
        <w:t>6151</w:t>
      </w:r>
      <w:r>
        <w:noBreakHyphen/>
        <w:t>2; 28 Nov 2014 p. 4402; 26 Jun 2018 p. 2358; 28 Sep 2018 p. 3605</w:t>
      </w:r>
      <w:r>
        <w:noBreakHyphen/>
        <w:t>6; 24 Dec 2019 p. 4422; SL 2020/143 r. 4.]</w:t>
      </w:r>
    </w:p>
    <w:p>
      <w:pPr>
        <w:pStyle w:val="Heading5"/>
        <w:spacing w:before="260"/>
      </w:pPr>
      <w:bookmarkStart w:id="11" w:name="_Toc109832901"/>
      <w:r>
        <w:rPr>
          <w:rStyle w:val="CharSectno"/>
        </w:rPr>
        <w:t>5</w:t>
      </w:r>
      <w:r>
        <w:t>.</w:t>
      </w:r>
      <w:r>
        <w:tab/>
        <w:t>Services that are not education and care services</w:t>
      </w:r>
      <w:bookmarkEnd w:id="11"/>
      <w:r>
        <w:t xml:space="preserve"> </w:t>
      </w:r>
    </w:p>
    <w:p>
      <w:pPr>
        <w:pStyle w:val="Subsection"/>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Queensland;</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w:t>
      </w:r>
      <w:r>
        <w:lastRenderedPageBreak/>
        <w:t xml:space="preserve">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keepNext/>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keepNext/>
      </w:pPr>
      <w:r>
        <w:lastRenderedPageBreak/>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during school holidays for a total of not more than 28 days in a calendar year;</w:t>
      </w:r>
    </w:p>
    <w:p>
      <w:pPr>
        <w:pStyle w:val="Indenta"/>
      </w:pPr>
      <w:r>
        <w:tab/>
        <w:t>(j)</w:t>
      </w:r>
      <w:r>
        <w:tab/>
        <w:t>a short term program provided by and at a school to children who will attend the school in the following year, for the purpose of orienting children to the school;</w:t>
      </w:r>
    </w:p>
    <w:p>
      <w:pPr>
        <w:pStyle w:val="Indenta"/>
      </w:pPr>
      <w:r>
        <w:lastRenderedPageBreak/>
        <w:tab/>
        <w:t>(k)</w:t>
      </w:r>
      <w:r>
        <w:tab/>
        <w:t>a service providing education and care if, on 30 June 2018 —</w:t>
      </w:r>
    </w:p>
    <w:p>
      <w:pPr>
        <w:pStyle w:val="Indenti"/>
      </w:pPr>
      <w:r>
        <w:tab/>
        <w:t>(i)</w:t>
      </w:r>
      <w:r>
        <w:tab/>
        <w:t>the service provider was, in respect of the service, in receipt of funding under the Budget Based Funded program administered by the Department of Education and Training of the Commonwealth; and</w:t>
      </w:r>
    </w:p>
    <w:p>
      <w:pPr>
        <w:pStyle w:val="Indenti"/>
      </w:pPr>
      <w:r>
        <w:tab/>
        <w:t>(ii)</w:t>
      </w:r>
      <w:r>
        <w:tab/>
        <w:t>the service was not approved for the purposes of the family assistance law;</w:t>
      </w:r>
    </w:p>
    <w:p>
      <w:pPr>
        <w:pStyle w:val="Indenta"/>
      </w:pPr>
      <w:r>
        <w:tab/>
        <w:t>(ka)</w:t>
      </w:r>
      <w:r>
        <w:tab/>
        <w:t xml:space="preserve">a service providing education and care if, on 30 June 2018 — </w:t>
      </w:r>
    </w:p>
    <w:p>
      <w:pPr>
        <w:pStyle w:val="Indenti"/>
      </w:pPr>
      <w:r>
        <w:tab/>
        <w:t>(i)</w:t>
      </w:r>
      <w:r>
        <w:tab/>
        <w:t>the service provider was, in respect of the service, in receipt of funding under the Indigenous Advancement Strategy administered by the Department of Prime Minister and Cabinet of the Commonwealth; and</w:t>
      </w:r>
    </w:p>
    <w:p>
      <w:pPr>
        <w:pStyle w:val="Indenti"/>
      </w:pPr>
      <w:r>
        <w:tab/>
        <w:t>(ii)</w:t>
      </w:r>
      <w:r>
        <w:tab/>
        <w:t>the service was not approved for the  purposes of the family assistance law; and</w:t>
      </w:r>
    </w:p>
    <w:p>
      <w:pPr>
        <w:pStyle w:val="Indenti"/>
      </w:pPr>
      <w:r>
        <w:tab/>
        <w:t>(iii)</w:t>
      </w:r>
      <w:r>
        <w:tab/>
        <w:t>the service was not regulated under the National Quality Framework;</w:t>
      </w:r>
    </w:p>
    <w:p>
      <w:pPr>
        <w:pStyle w:val="Indenta"/>
      </w:pPr>
      <w:r>
        <w:tab/>
        <w:t>(l)</w:t>
      </w:r>
      <w:r>
        <w:tab/>
        <w:t xml:space="preserve">a licensed playschool under the </w:t>
      </w:r>
      <w:r>
        <w:rPr>
          <w:i/>
          <w:iCs/>
        </w:rPr>
        <w:t>Children and Young People Act 2008</w:t>
      </w:r>
      <w:r>
        <w:t xml:space="preserve"> of the Australian Capital Territory;</w:t>
      </w:r>
    </w:p>
    <w:p>
      <w:pPr>
        <w:pStyle w:val="Indenta"/>
      </w:pPr>
      <w:r>
        <w:tab/>
        <w:t>(m)</w:t>
      </w:r>
      <w:r>
        <w:tab/>
        <w:t>a stand alone service under a children’s services law of Queensland;</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an approved children’s service under the </w:t>
      </w:r>
      <w:r>
        <w:rPr>
          <w:i/>
        </w:rPr>
        <w:t>Children’s Services Act 1996</w:t>
      </w:r>
      <w:r>
        <w:t xml:space="preserve"> of Victoria that, immediately before 17 May 2020, was a licensed limited hours Type 2 service under that Act;</w:t>
      </w:r>
    </w:p>
    <w:p>
      <w:pPr>
        <w:pStyle w:val="Indenta"/>
      </w:pPr>
      <w:r>
        <w:lastRenderedPageBreak/>
        <w:tab/>
        <w:t>(r)</w:t>
      </w:r>
      <w:r>
        <w:tab/>
        <w:t xml:space="preserve">a service funded by the government department principally administering the </w:t>
      </w:r>
      <w:r>
        <w:rPr>
          <w:i/>
          <w:iCs/>
        </w:rPr>
        <w:t>Children and Community Services Act 2004</w:t>
      </w:r>
      <w:r>
        <w:t xml:space="preserve"> of Western Australia for the purposes of preventive, support and recreation services for at risk children.</w:t>
      </w:r>
    </w:p>
    <w:p>
      <w:pPr>
        <w:pStyle w:val="PermNoteHeading"/>
      </w:pPr>
      <w:r>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 Gazette 5 Mar 2013 p. 1107; 3 Nov 2017 p. 5481; 26 Jun 2018 p. 2358</w:t>
      </w:r>
      <w:r>
        <w:noBreakHyphen/>
        <w:t>9; SL 2020/143 r. 5.]</w:t>
      </w:r>
    </w:p>
    <w:p>
      <w:pPr>
        <w:pStyle w:val="Heading5"/>
      </w:pPr>
      <w:bookmarkStart w:id="12" w:name="_Toc109832902"/>
      <w:r>
        <w:rPr>
          <w:rStyle w:val="CharSectno"/>
        </w:rPr>
        <w:t>6</w:t>
      </w:r>
      <w:r>
        <w:t>.</w:t>
      </w:r>
      <w:r>
        <w:tab/>
        <w:t>Eligible association</w:t>
      </w:r>
      <w:bookmarkEnd w:id="12"/>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Queensland is a prescribed association.</w:t>
      </w:r>
    </w:p>
    <w:p>
      <w:pPr>
        <w:pStyle w:val="Heading5"/>
      </w:pPr>
      <w:bookmarkStart w:id="13" w:name="_Toc109832903"/>
      <w:r>
        <w:rPr>
          <w:rStyle w:val="CharSectno"/>
        </w:rPr>
        <w:t>7</w:t>
      </w:r>
      <w:r>
        <w:t>.</w:t>
      </w:r>
      <w:r>
        <w:tab/>
        <w:t>Prescribed rating system</w:t>
      </w:r>
      <w:bookmarkEnd w:id="13"/>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14" w:name="_Toc109832904"/>
      <w:r>
        <w:rPr>
          <w:rStyle w:val="CharSectno"/>
        </w:rPr>
        <w:t>8</w:t>
      </w:r>
      <w:r>
        <w:t>.</w:t>
      </w:r>
      <w:r>
        <w:tab/>
        <w:t>National Quality Standard</w:t>
      </w:r>
      <w:bookmarkEnd w:id="14"/>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15" w:name="_Toc109832905"/>
      <w:r>
        <w:rPr>
          <w:rStyle w:val="CharSectno"/>
        </w:rPr>
        <w:t>9</w:t>
      </w:r>
      <w:r>
        <w:t>.</w:t>
      </w:r>
      <w:r>
        <w:tab/>
        <w:t>Prescribed entities</w:t>
      </w:r>
      <w:bookmarkEnd w:id="15"/>
    </w:p>
    <w:p>
      <w:pPr>
        <w:pStyle w:val="Subsection"/>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keepNext/>
      </w:pPr>
      <w:r>
        <w:lastRenderedPageBreak/>
        <w:tab/>
        <w:t>(b)</w:t>
      </w:r>
      <w:r>
        <w:tab/>
        <w:t>a body politic.</w:t>
      </w:r>
    </w:p>
    <w:p>
      <w:pPr>
        <w:pStyle w:val="Footnotesection"/>
      </w:pPr>
      <w:r>
        <w:tab/>
        <w:t>[Regulation 9 inserted: Gazette 13 Dec 2013 p.</w:t>
      </w:r>
      <w:r>
        <w:rPr>
          <w:sz w:val="19"/>
        </w:rPr>
        <w:t> </w:t>
      </w:r>
      <w:r>
        <w:t>6152.]</w:t>
      </w:r>
    </w:p>
    <w:p>
      <w:pPr>
        <w:pStyle w:val="Heading5"/>
      </w:pPr>
      <w:bookmarkStart w:id="16" w:name="_Toc109832906"/>
      <w:r>
        <w:rPr>
          <w:rStyle w:val="CharSectno"/>
        </w:rPr>
        <w:t>10</w:t>
      </w:r>
      <w:r>
        <w:t>.</w:t>
      </w:r>
      <w:r>
        <w:tab/>
        <w:t xml:space="preserve">Meaning of </w:t>
      </w:r>
      <w:r>
        <w:rPr>
          <w:i/>
        </w:rPr>
        <w:t>actively working towards</w:t>
      </w:r>
      <w:r>
        <w:t xml:space="preserve"> a qualification</w:t>
      </w:r>
      <w:bookmarkEnd w:id="16"/>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keepNext/>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the educator is making satisfactory progress towards completion of the course; and</w:t>
      </w:r>
    </w:p>
    <w:p>
      <w:pPr>
        <w:pStyle w:val="Indenti"/>
      </w:pPr>
      <w:r>
        <w:tab/>
        <w:t>(iii)</w:t>
      </w:r>
      <w:r>
        <w:tab/>
        <w:t>the educator 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Gazette 28 Nov 2014 p. 4402; 24 Dec 2019 p. 4422.]</w:t>
      </w:r>
    </w:p>
    <w:p>
      <w:pPr>
        <w:pStyle w:val="Heading5"/>
      </w:pPr>
      <w:bookmarkStart w:id="17" w:name="_Toc109832907"/>
      <w:r>
        <w:rPr>
          <w:rStyle w:val="CharSectno"/>
        </w:rPr>
        <w:t>11</w:t>
      </w:r>
      <w:r>
        <w:t>.</w:t>
      </w:r>
      <w:r>
        <w:tab/>
        <w:t xml:space="preserve">Meaning of </w:t>
      </w:r>
      <w:r>
        <w:rPr>
          <w:i/>
        </w:rPr>
        <w:t>in attendance</w:t>
      </w:r>
      <w:r>
        <w:t xml:space="preserve"> at a centre</w:t>
      </w:r>
      <w:r>
        <w:noBreakHyphen/>
        <w:t>based service</w:t>
      </w:r>
      <w:bookmarkEnd w:id="17"/>
    </w:p>
    <w:p>
      <w:pPr>
        <w:pStyle w:val="Subsection"/>
      </w:pPr>
      <w:r>
        <w:tab/>
      </w:r>
      <w:r>
        <w:tab/>
        <w:t xml:space="preserve">For the purposes of these Regulations, an early childhood teacher or a suitably qualified person is </w:t>
      </w:r>
      <w:r>
        <w:rPr>
          <w:rStyle w:val="CharDefText"/>
        </w:rPr>
        <w:t>in attendance</w:t>
      </w:r>
      <w:r>
        <w:t xml:space="preserve"> at a </w:t>
      </w:r>
      <w:r>
        <w:lastRenderedPageBreak/>
        <w:t>centre</w:t>
      </w:r>
      <w:r>
        <w:noBreakHyphen/>
        <w:t xml:space="preserve">based service if the early childhood teacher or the suitably qualified person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Footnotesection"/>
      </w:pPr>
      <w:r>
        <w:tab/>
        <w:t>[Regulation 11 amended: Gazette 24 Dec 2019 p. 4423.]</w:t>
      </w:r>
    </w:p>
    <w:p>
      <w:pPr>
        <w:pStyle w:val="Heading5"/>
      </w:pPr>
      <w:bookmarkStart w:id="18" w:name="_Toc109832908"/>
      <w:r>
        <w:rPr>
          <w:rStyle w:val="CharSectno"/>
        </w:rPr>
        <w:t>12</w:t>
      </w:r>
      <w:r>
        <w:t>.</w:t>
      </w:r>
      <w:r>
        <w:tab/>
        <w:t xml:space="preserve">Meaning of </w:t>
      </w:r>
      <w:r>
        <w:rPr>
          <w:i/>
        </w:rPr>
        <w:t>serious incident</w:t>
      </w:r>
      <w:bookmarkEnd w:id="18"/>
    </w:p>
    <w:p>
      <w:pPr>
        <w:pStyle w:val="Subsection"/>
      </w:pPr>
      <w:r>
        <w:tab/>
      </w:r>
      <w:r>
        <w:tab/>
        <w:t xml:space="preserve">For the purposes of the definition of </w:t>
      </w:r>
      <w:r>
        <w:rPr>
          <w:rStyle w:val="CharDefText"/>
        </w:rPr>
        <w:t>serious incident</w:t>
      </w:r>
      <w:r>
        <w:t xml:space="preserve"> in section 5(1) of the Law, each of the following is prescribed as a serious incident — </w:t>
      </w:r>
    </w:p>
    <w:p>
      <w:pPr>
        <w:pStyle w:val="Indenta"/>
      </w:pPr>
      <w:r>
        <w:tab/>
        <w:t>(a)</w:t>
      </w:r>
      <w:r>
        <w:tab/>
        <w:t xml:space="preserve">the death of a child — </w:t>
      </w:r>
    </w:p>
    <w:p>
      <w:pPr>
        <w:pStyle w:val="Indenti"/>
      </w:pPr>
      <w:r>
        <w:tab/>
        <w:t>(i)</w:t>
      </w:r>
      <w:r>
        <w:tab/>
        <w:t>while that child is being educated and cared for by an education and care service; or</w:t>
      </w:r>
    </w:p>
    <w:p>
      <w:pPr>
        <w:pStyle w:val="Indenti"/>
      </w:pPr>
      <w:r>
        <w:tab/>
        <w:t>(ii)</w:t>
      </w:r>
      <w:r>
        <w:tab/>
        <w:t>following an incident occurring while that child was being educated and cared for by an education and care service;</w:t>
      </w:r>
    </w:p>
    <w:p>
      <w:pPr>
        <w:pStyle w:val="Indenta"/>
      </w:pPr>
      <w:r>
        <w:tab/>
        <w:t>(b)</w:t>
      </w:r>
      <w:r>
        <w:tab/>
        <w:t xml:space="preserve">any incident involving serious injury or trauma to a child occurring while that child is being educated and cared for by an education and care service — </w:t>
      </w:r>
    </w:p>
    <w:p>
      <w:pPr>
        <w:pStyle w:val="Indenti"/>
      </w:pPr>
      <w:r>
        <w:tab/>
        <w:t>(i)</w:t>
      </w:r>
      <w:r>
        <w:tab/>
        <w:t>which a reasonable person would consider required urgent medical attention from a registered medical practitioner; or</w:t>
      </w:r>
    </w:p>
    <w:p>
      <w:pPr>
        <w:pStyle w:val="Indenti"/>
      </w:pPr>
      <w:r>
        <w:tab/>
        <w:t>(ii)</w:t>
      </w:r>
      <w:r>
        <w:tab/>
        <w:t>for which the child attended, or ought reasonably to have attended, a hospital;</w:t>
      </w:r>
    </w:p>
    <w:p>
      <w:pPr>
        <w:pStyle w:val="PermNoteHeading"/>
      </w:pPr>
      <w:r>
        <w:lastRenderedPageBreak/>
        <w:tab/>
        <w:t>Example for this subparagraph:</w:t>
      </w:r>
    </w:p>
    <w:p>
      <w:pPr>
        <w:pStyle w:val="PermNoteText"/>
      </w:pPr>
      <w:r>
        <w:tab/>
      </w:r>
      <w:r>
        <w:tab/>
        <w:t>A broken limb.</w:t>
      </w:r>
    </w:p>
    <w:p>
      <w:pPr>
        <w:pStyle w:val="Indenta"/>
      </w:pPr>
      <w:r>
        <w:tab/>
        <w:t>(c)</w:t>
      </w:r>
      <w:r>
        <w:tab/>
        <w:t xml:space="preserve">any incident involving serious illness of a child occurring while that child is being educated and cared for by an education and care service for which the child attended, or ought reasonably to have attended, a hospital;  </w:t>
      </w:r>
    </w:p>
    <w:p>
      <w:pPr>
        <w:pStyle w:val="PermNoteHeading"/>
      </w:pPr>
      <w:r>
        <w:tab/>
        <w:t>Example for this paragraph:</w:t>
      </w:r>
    </w:p>
    <w:p>
      <w:pPr>
        <w:pStyle w:val="PermNoteText"/>
      </w:pPr>
      <w:r>
        <w:tab/>
      </w:r>
      <w:r>
        <w:tab/>
        <w:t>Severe asthma attack, seizure or anaphylaxis reaction.</w:t>
      </w:r>
    </w:p>
    <w:p>
      <w:pPr>
        <w:pStyle w:val="Indenta"/>
      </w:pPr>
      <w:r>
        <w:tab/>
        <w:t>(d)</w:t>
      </w:r>
      <w:r>
        <w:tab/>
        <w:t>any emergency for which emergency services attended;</w:t>
      </w:r>
    </w:p>
    <w:p>
      <w:pPr>
        <w:pStyle w:val="Indenta"/>
      </w:pPr>
      <w:r>
        <w:tab/>
        <w:t>(e)</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inserted: Gazette 28 Sep 2018 p. 3606</w:t>
      </w:r>
      <w:r>
        <w:noBreakHyphen/>
        <w:t>8.]</w:t>
      </w:r>
    </w:p>
    <w:p>
      <w:pPr>
        <w:pStyle w:val="Heading5"/>
      </w:pPr>
      <w:bookmarkStart w:id="19" w:name="_Toc109832909"/>
      <w:r>
        <w:rPr>
          <w:rStyle w:val="CharSectno"/>
        </w:rPr>
        <w:t>13</w:t>
      </w:r>
      <w:r>
        <w:t>.</w:t>
      </w:r>
      <w:r>
        <w:tab/>
        <w:t xml:space="preserve">Meaning of </w:t>
      </w:r>
      <w:r>
        <w:rPr>
          <w:i/>
        </w:rPr>
        <w:t>working directly with children</w:t>
      </w:r>
      <w:bookmarkEnd w:id="19"/>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20" w:name="_Toc109740486"/>
      <w:bookmarkStart w:id="21" w:name="_Toc109741315"/>
      <w:bookmarkStart w:id="22" w:name="_Toc109832910"/>
      <w:r>
        <w:rPr>
          <w:rStyle w:val="CharPartNo"/>
        </w:rPr>
        <w:lastRenderedPageBreak/>
        <w:t>Chapter 2</w:t>
      </w:r>
      <w:r>
        <w:t> — </w:t>
      </w:r>
      <w:r>
        <w:rPr>
          <w:rStyle w:val="CharPartText"/>
        </w:rPr>
        <w:t>Approvals</w:t>
      </w:r>
      <w:bookmarkEnd w:id="20"/>
      <w:bookmarkEnd w:id="21"/>
      <w:bookmarkEnd w:id="22"/>
    </w:p>
    <w:p>
      <w:pPr>
        <w:pStyle w:val="Footnoteheading"/>
      </w:pPr>
      <w:r>
        <w:tab/>
        <w:t>[Heading amended: Gazette 28 Sep 2018 p. 3608.]</w:t>
      </w:r>
    </w:p>
    <w:p>
      <w:pPr>
        <w:pStyle w:val="MiscellaneousBody"/>
        <w:rPr>
          <w:rFonts w:ascii="Arial" w:hAnsi="Arial" w:cs="Arial"/>
          <w:sz w:val="18"/>
          <w:szCs w:val="18"/>
        </w:rPr>
      </w:pPr>
      <w:r>
        <w:rPr>
          <w:rFonts w:ascii="Arial" w:hAnsi="Arial" w:cs="Arial"/>
          <w:sz w:val="18"/>
          <w:szCs w:val="18"/>
        </w:rPr>
        <w:t>This Chapter sets out requirements for obtaining provider approvals and service approvals.</w:t>
      </w:r>
    </w:p>
    <w:p>
      <w:pPr>
        <w:pStyle w:val="MiscellaneousBody"/>
        <w:rPr>
          <w:rFonts w:ascii="Arial" w:hAnsi="Arial" w:cs="Arial"/>
          <w:sz w:val="18"/>
          <w:szCs w:val="18"/>
        </w:rPr>
      </w:pPr>
      <w:r>
        <w:rPr>
          <w:rFonts w:ascii="Arial" w:hAnsi="Arial" w:cs="Arial"/>
          <w:b/>
          <w:sz w:val="18"/>
          <w:szCs w:val="18"/>
        </w:rPr>
        <w:t>Part 2.1</w:t>
      </w:r>
      <w:r>
        <w:rPr>
          <w:rFonts w:ascii="Arial" w:hAnsi="Arial" w:cs="Arial"/>
          <w:sz w:val="18"/>
          <w:szCs w:val="18"/>
        </w:rPr>
        <w:t xml:space="preserve"> deals with the process of obtaining provider approvals and includes the information required for applications.</w:t>
      </w:r>
    </w:p>
    <w:p>
      <w:pPr>
        <w:pStyle w:val="MiscellaneousBody"/>
        <w:rPr>
          <w:rFonts w:ascii="Arial" w:hAnsi="Arial" w:cs="Arial"/>
          <w:sz w:val="18"/>
          <w:szCs w:val="18"/>
        </w:rPr>
      </w:pPr>
      <w:r>
        <w:rPr>
          <w:rFonts w:ascii="Arial" w:hAnsi="Arial" w:cs="Arial"/>
          <w:b/>
          <w:sz w:val="18"/>
          <w:szCs w:val="18"/>
        </w:rPr>
        <w:t>Part 2.2</w:t>
      </w:r>
      <w:r>
        <w:rPr>
          <w:rFonts w:ascii="Arial" w:hAnsi="Arial" w:cs="Arial"/>
          <w:sz w:val="18"/>
          <w:szCs w:val="18"/>
        </w:rPr>
        <w:t xml:space="preserve"> contains matters relating to service approvals.</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deals with applications for service approvals, conditions on service approvals and annual fees for service approvals.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deals with amendment of service approvals and notices of change to nominated supervisors.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deals with the transfer of service approvals from one approved provider to another.</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deals with the suspension of service approvals.</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deals with the process for obtaining a service waiver.</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deals with the process for obtaining a temporary waiver.</w:t>
      </w:r>
    </w:p>
    <w:p>
      <w:pPr>
        <w:pStyle w:val="Heading3"/>
      </w:pPr>
      <w:bookmarkStart w:id="23" w:name="_Toc109740487"/>
      <w:bookmarkStart w:id="24" w:name="_Toc109741316"/>
      <w:bookmarkStart w:id="25" w:name="_Toc109832911"/>
      <w:r>
        <w:rPr>
          <w:rStyle w:val="CharDivNo"/>
        </w:rPr>
        <w:t>Part 2.1</w:t>
      </w:r>
      <w:r>
        <w:t> — </w:t>
      </w:r>
      <w:r>
        <w:rPr>
          <w:rStyle w:val="CharDivText"/>
        </w:rPr>
        <w:t>Provider approvals</w:t>
      </w:r>
      <w:bookmarkEnd w:id="23"/>
      <w:bookmarkEnd w:id="24"/>
      <w:bookmarkEnd w:id="25"/>
    </w:p>
    <w:p>
      <w:pPr>
        <w:pStyle w:val="Heading5"/>
      </w:pPr>
      <w:bookmarkStart w:id="26" w:name="_Toc109832912"/>
      <w:r>
        <w:rPr>
          <w:rStyle w:val="CharSectno"/>
        </w:rPr>
        <w:t>14</w:t>
      </w:r>
      <w:r>
        <w:t>.</w:t>
      </w:r>
      <w:r>
        <w:tab/>
        <w:t>Application for provider approval by individual</w:t>
      </w:r>
      <w:bookmarkEnd w:id="26"/>
      <w:r>
        <w:t xml:space="preserve"> </w:t>
      </w:r>
    </w:p>
    <w:p>
      <w:pPr>
        <w:pStyle w:val="Subsection"/>
        <w:keepNext/>
      </w:pPr>
      <w:r>
        <w:tab/>
      </w:r>
      <w:r>
        <w:tab/>
        <w:t>For section 10(3)(a)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w:t>
      </w:r>
      <w:r>
        <w:lastRenderedPageBreak/>
        <w:t xml:space="preserve">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lastRenderedPageBreak/>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Notes for this regulation:</w:t>
      </w:r>
    </w:p>
    <w:p>
      <w:pPr>
        <w:pStyle w:val="PermNoteText"/>
      </w:pPr>
      <w:r>
        <w:tab/>
        <w:t>1.</w:t>
      </w:r>
      <w:r>
        <w:tab/>
        <w:t>If there is more than one applicant, the prescribed information must be provided in respect of each applicant — see section 10(3) of the Law.</w:t>
      </w:r>
    </w:p>
    <w:p>
      <w:pPr>
        <w:pStyle w:val="PermNoteText"/>
      </w:pPr>
      <w:r>
        <w:tab/>
        <w:t>2.</w:t>
      </w:r>
      <w:r>
        <w:tab/>
        <w:t>This regulation differs from regulation 14 of the national regulations made by the Ministerial Council.</w:t>
      </w:r>
    </w:p>
    <w:p>
      <w:pPr>
        <w:pStyle w:val="Footnotesection"/>
      </w:pPr>
      <w:r>
        <w:tab/>
        <w:t>[Regulation 14 amended: Gazette 13 Dec 2013 p.</w:t>
      </w:r>
      <w:r>
        <w:rPr>
          <w:sz w:val="19"/>
        </w:rPr>
        <w:t> </w:t>
      </w:r>
      <w:r>
        <w:t>6153</w:t>
      </w:r>
      <w:r>
        <w:noBreakHyphen/>
        <w:t>4; 28 Nov 2014 p. 4402; 28 Sep 2018 p. 3608.]</w:t>
      </w:r>
    </w:p>
    <w:p>
      <w:pPr>
        <w:pStyle w:val="Heading5"/>
      </w:pPr>
      <w:bookmarkStart w:id="27" w:name="_Toc109832913"/>
      <w:r>
        <w:rPr>
          <w:rStyle w:val="CharSectno"/>
        </w:rPr>
        <w:t>15</w:t>
      </w:r>
      <w:r>
        <w:t>.</w:t>
      </w:r>
      <w:r>
        <w:tab/>
        <w:t>Application for provider approval by person other than an individual</w:t>
      </w:r>
      <w:bookmarkEnd w:id="27"/>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keepNext/>
      </w:pPr>
      <w:r>
        <w:tab/>
        <w:t>(f)</w:t>
      </w:r>
      <w:r>
        <w:tab/>
        <w:t xml:space="preserve">for each individual who will be a person with management or control of an education and care service </w:t>
      </w:r>
      <w:r>
        <w:lastRenderedPageBreak/>
        <w:t>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28" w:name="_Toc109832914"/>
      <w:r>
        <w:rPr>
          <w:rStyle w:val="CharSectno"/>
        </w:rPr>
        <w:t>16</w:t>
      </w:r>
      <w:r>
        <w:t>.</w:t>
      </w:r>
      <w:r>
        <w:tab/>
        <w:t>Matters relating to criminal history</w:t>
      </w:r>
      <w:bookmarkEnd w:id="28"/>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29" w:name="_Toc109832915"/>
      <w:r>
        <w:rPr>
          <w:rStyle w:val="CharSectno"/>
        </w:rPr>
        <w:t>17</w:t>
      </w:r>
      <w:r>
        <w:t>.</w:t>
      </w:r>
      <w:r>
        <w:tab/>
        <w:t>Application for amendment of provider approval</w:t>
      </w:r>
      <w:bookmarkEnd w:id="29"/>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30" w:name="_Toc109832916"/>
      <w:r>
        <w:rPr>
          <w:rStyle w:val="CharSectno"/>
        </w:rPr>
        <w:lastRenderedPageBreak/>
        <w:t>18</w:t>
      </w:r>
      <w:r>
        <w:t>.</w:t>
      </w:r>
      <w:r>
        <w:tab/>
        <w:t>Maximum period of suspension of provider approval</w:t>
      </w:r>
      <w:bookmarkEnd w:id="30"/>
      <w:r>
        <w:t xml:space="preserve"> </w:t>
      </w:r>
    </w:p>
    <w:p>
      <w:pPr>
        <w:pStyle w:val="Subsection"/>
      </w:pPr>
      <w:r>
        <w:tab/>
      </w:r>
      <w:r>
        <w:tab/>
        <w:t>The prescribed maximum period of suspension of a provider approval under section 27(a) or 33(1)(a)(ii) of the Law is 12 months.</w:t>
      </w:r>
    </w:p>
    <w:p>
      <w:pPr>
        <w:pStyle w:val="Heading5"/>
      </w:pPr>
      <w:bookmarkStart w:id="31" w:name="_Toc109832917"/>
      <w:r>
        <w:rPr>
          <w:rStyle w:val="CharSectno"/>
        </w:rPr>
        <w:t>19</w:t>
      </w:r>
      <w:r>
        <w:t>.</w:t>
      </w:r>
      <w:r>
        <w:tab/>
        <w:t>Application for voluntary suspension of provider approval</w:t>
      </w:r>
      <w:bookmarkEnd w:id="31"/>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32" w:name="_Toc109832918"/>
      <w:r>
        <w:rPr>
          <w:rStyle w:val="CharSectno"/>
        </w:rPr>
        <w:t>20</w:t>
      </w:r>
      <w:r>
        <w:t>.</w:t>
      </w:r>
      <w:r>
        <w:tab/>
        <w:t>Application by individual executor for provider approval</w:t>
      </w:r>
      <w:bookmarkEnd w:id="32"/>
      <w:r>
        <w:t xml:space="preserve"> </w:t>
      </w:r>
    </w:p>
    <w:p>
      <w:pPr>
        <w:pStyle w:val="Subsection"/>
      </w:pPr>
      <w:r>
        <w:tab/>
      </w:r>
      <w:r>
        <w:tab/>
        <w:t>For section 39(6)(b)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lastRenderedPageBreak/>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keepNext/>
      </w:pPr>
      <w:r>
        <w:lastRenderedPageBreak/>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PermNoteHeading"/>
      </w:pPr>
      <w:r>
        <w:tab/>
        <w:t>Note for this regulation:</w:t>
      </w:r>
    </w:p>
    <w:p>
      <w:pPr>
        <w:pStyle w:val="PermNoteText"/>
      </w:pPr>
      <w:r>
        <w:tab/>
      </w:r>
      <w:r>
        <w:tab/>
        <w:t>This regulation differs from regulation 20 of the national regulations made by the Ministerial Council.</w:t>
      </w:r>
    </w:p>
    <w:p>
      <w:pPr>
        <w:pStyle w:val="Footnotesection"/>
      </w:pPr>
      <w:r>
        <w:tab/>
        <w:t>[Regulation 20 amended: Gazette 13 Dec 2013 p.</w:t>
      </w:r>
      <w:r>
        <w:rPr>
          <w:sz w:val="19"/>
        </w:rPr>
        <w:t> </w:t>
      </w:r>
      <w:r>
        <w:t>6154</w:t>
      </w:r>
      <w:r>
        <w:noBreakHyphen/>
        <w:t>5; 28 Nov 2014 p. 4403; 28 Sep 2018 p. 3608</w:t>
      </w:r>
      <w:r>
        <w:noBreakHyphen/>
        <w:t>9.]</w:t>
      </w:r>
    </w:p>
    <w:p>
      <w:pPr>
        <w:pStyle w:val="Heading5"/>
      </w:pPr>
      <w:bookmarkStart w:id="33" w:name="_Toc109832919"/>
      <w:r>
        <w:rPr>
          <w:rStyle w:val="CharSectno"/>
        </w:rPr>
        <w:t>21</w:t>
      </w:r>
      <w:r>
        <w:t>.</w:t>
      </w:r>
      <w:r>
        <w:tab/>
        <w:t>Application by executor other than an individual for provider approval</w:t>
      </w:r>
      <w:bookmarkEnd w:id="33"/>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lastRenderedPageBreak/>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34" w:name="_Toc109832920"/>
      <w:r>
        <w:rPr>
          <w:rStyle w:val="CharSectno"/>
        </w:rPr>
        <w:t>22</w:t>
      </w:r>
      <w:r>
        <w:t>.</w:t>
      </w:r>
      <w:r>
        <w:tab/>
        <w:t>Application by individual for provider approval on incapacity of approved provider</w:t>
      </w:r>
      <w:bookmarkEnd w:id="34"/>
      <w:r>
        <w:t xml:space="preserve"> </w:t>
      </w:r>
    </w:p>
    <w:p>
      <w:pPr>
        <w:pStyle w:val="Subsection"/>
      </w:pPr>
      <w:r>
        <w:tab/>
      </w:r>
      <w:r>
        <w:tab/>
        <w:t xml:space="preserve">For section 40(3)(b) of the Law, the following information is prescribed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lastRenderedPageBreak/>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keepNext/>
      </w:pPr>
      <w:r>
        <w:tab/>
        <w:t>(i)</w:t>
      </w:r>
      <w:r>
        <w:tab/>
        <w:t xml:space="preserve">if a criminal history record check has been provided under paragraph (h)(ii), a criminal history statement made by the applicant in relation to the period after the </w:t>
      </w:r>
      <w:r>
        <w:lastRenderedPageBreak/>
        <w:t>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PermNoteHeading"/>
      </w:pPr>
      <w:r>
        <w:tab/>
        <w:t>Note for this regulation:</w:t>
      </w:r>
    </w:p>
    <w:p>
      <w:pPr>
        <w:pStyle w:val="PermNoteText"/>
      </w:pPr>
      <w:r>
        <w:tab/>
      </w:r>
      <w:r>
        <w:tab/>
        <w:t>This regulation differs from regulation 22 of the national regulations made by the Ministerial Council.</w:t>
      </w:r>
    </w:p>
    <w:p>
      <w:pPr>
        <w:pStyle w:val="Footnotesection"/>
      </w:pPr>
      <w:r>
        <w:tab/>
        <w:t>[Regulation 22 amended: Gazette 13 Dec 2013 p.</w:t>
      </w:r>
      <w:r>
        <w:rPr>
          <w:sz w:val="19"/>
        </w:rPr>
        <w:t> </w:t>
      </w:r>
      <w:r>
        <w:t>6155</w:t>
      </w:r>
      <w:r>
        <w:noBreakHyphen/>
        <w:t>6; 28 Nov 2014 p. 4403; 28 Sep 2018 p. 3609.]</w:t>
      </w:r>
    </w:p>
    <w:p>
      <w:pPr>
        <w:pStyle w:val="Heading5"/>
      </w:pPr>
      <w:bookmarkStart w:id="35" w:name="_Toc109832921"/>
      <w:r>
        <w:rPr>
          <w:rStyle w:val="CharSectno"/>
        </w:rPr>
        <w:t>23</w:t>
      </w:r>
      <w:r>
        <w:t>.</w:t>
      </w:r>
      <w:r>
        <w:tab/>
        <w:t>Application by person other than an individual for provider approval on incapacity of approved provider</w:t>
      </w:r>
      <w:bookmarkEnd w:id="35"/>
      <w:r>
        <w:t xml:space="preserve"> </w:t>
      </w:r>
    </w:p>
    <w:p>
      <w:pPr>
        <w:pStyle w:val="Subsection"/>
      </w:pPr>
      <w:r>
        <w:tab/>
      </w:r>
      <w:r>
        <w:tab/>
        <w:t xml:space="preserve">For section 40(3)(b) of the Law, the following information is prescribed information if the application for a provider approval is made by the legal personal representative or guardian of an approved provider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spacing w:before="100"/>
      </w:pPr>
      <w:r>
        <w:tab/>
        <w:t>(e)</w:t>
      </w:r>
      <w:r>
        <w:tab/>
        <w:t xml:space="preserve">the proposed duration of the provider approval; </w:t>
      </w:r>
    </w:p>
    <w:p>
      <w:pPr>
        <w:pStyle w:val="MiscellaneousBody"/>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keepNext/>
        <w:spacing w:before="100"/>
      </w:pPr>
      <w:r>
        <w:lastRenderedPageBreak/>
        <w:tab/>
        <w:t>(f)</w:t>
      </w:r>
      <w:r>
        <w:tab/>
        <w:t xml:space="preserve">documentary evidence of the legal status of the applicant and its constitution; </w:t>
      </w:r>
    </w:p>
    <w:p>
      <w:pPr>
        <w:pStyle w:val="MiscellaneousBody"/>
        <w:tabs>
          <w:tab w:val="left" w:pos="851"/>
          <w:tab w:val="left" w:pos="1701"/>
        </w:tabs>
      </w:pPr>
      <w:r>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PermNoteHeading"/>
      </w:pPr>
      <w:r>
        <w:tab/>
        <w:t>Note for this regulation:</w:t>
      </w:r>
    </w:p>
    <w:p>
      <w:pPr>
        <w:pStyle w:val="PermNoteText"/>
      </w:pPr>
      <w:r>
        <w:tab/>
      </w:r>
      <w:r>
        <w:tab/>
        <w:t>This regulation differs from regulation 23 of the national regulations made by the Ministerial Council.</w:t>
      </w:r>
    </w:p>
    <w:p>
      <w:pPr>
        <w:pStyle w:val="Footnotesection"/>
      </w:pPr>
      <w:r>
        <w:tab/>
        <w:t>[Regulation 23 amended: Gazette 28 Sep 2018 p. 3609</w:t>
      </w:r>
      <w:r>
        <w:noBreakHyphen/>
        <w:t>10.]</w:t>
      </w:r>
    </w:p>
    <w:p>
      <w:pPr>
        <w:pStyle w:val="Heading3"/>
      </w:pPr>
      <w:bookmarkStart w:id="36" w:name="_Toc109740498"/>
      <w:bookmarkStart w:id="37" w:name="_Toc109741327"/>
      <w:bookmarkStart w:id="38" w:name="_Toc109832922"/>
      <w:r>
        <w:rPr>
          <w:rStyle w:val="CharDivNo"/>
        </w:rPr>
        <w:t>Part 2.2</w:t>
      </w:r>
      <w:r>
        <w:t> — </w:t>
      </w:r>
      <w:r>
        <w:rPr>
          <w:rStyle w:val="CharDivText"/>
        </w:rPr>
        <w:t>Service approvals</w:t>
      </w:r>
      <w:bookmarkEnd w:id="36"/>
      <w:bookmarkEnd w:id="37"/>
      <w:bookmarkEnd w:id="38"/>
    </w:p>
    <w:p>
      <w:pPr>
        <w:pStyle w:val="Heading4"/>
      </w:pPr>
      <w:bookmarkStart w:id="39" w:name="_Toc109740499"/>
      <w:bookmarkStart w:id="40" w:name="_Toc109741328"/>
      <w:bookmarkStart w:id="41" w:name="_Toc109832923"/>
      <w:r>
        <w:t>Division 1 — Applications for service approvals</w:t>
      </w:r>
      <w:bookmarkEnd w:id="39"/>
      <w:bookmarkEnd w:id="40"/>
      <w:bookmarkEnd w:id="41"/>
    </w:p>
    <w:p>
      <w:pPr>
        <w:pStyle w:val="Heading5"/>
      </w:pPr>
      <w:bookmarkStart w:id="42" w:name="_Toc109832924"/>
      <w:r>
        <w:rPr>
          <w:rStyle w:val="CharSectno"/>
        </w:rPr>
        <w:t>24</w:t>
      </w:r>
      <w:r>
        <w:t>.</w:t>
      </w:r>
      <w:r>
        <w:tab/>
        <w:t>Application for service approval — centre</w:t>
      </w:r>
      <w:r>
        <w:noBreakHyphen/>
        <w:t>based service</w:t>
      </w:r>
      <w:bookmarkEnd w:id="42"/>
      <w:r>
        <w:t xml:space="preserve"> </w:t>
      </w:r>
    </w:p>
    <w:p>
      <w:pPr>
        <w:pStyle w:val="Subsection"/>
      </w:pPr>
      <w:r>
        <w:tab/>
      </w:r>
      <w:r>
        <w:tab/>
        <w:t>For section 44(1)(c) of the Law, the following information is prescribed information for an application for a service approval for a centre</w:t>
      </w:r>
      <w:r>
        <w:noBreakHyphen/>
        <w:t>based service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lastRenderedPageBreak/>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the full name and contact details, including the after</w:t>
      </w:r>
      <w:r>
        <w:noBreakHyphen/>
        <w:t>hours telephone number, of each nominated supervisor.</w:t>
      </w:r>
    </w:p>
    <w:p>
      <w:pPr>
        <w:pStyle w:val="PermNoteHeading"/>
      </w:pPr>
      <w:r>
        <w:tab/>
        <w:t>Notes for this regulation:</w:t>
      </w:r>
    </w:p>
    <w:p>
      <w:pPr>
        <w:pStyle w:val="PermNoteText"/>
      </w:pPr>
      <w:r>
        <w:tab/>
        <w:t>1.</w:t>
      </w:r>
      <w:r>
        <w:tab/>
        <w:t>The application must include a nominated supervisor’s written consent to the nomination unless the nominated supervisor is the approved provider — see section 44(1)(da) of the Law.</w:t>
      </w:r>
    </w:p>
    <w:p>
      <w:pPr>
        <w:pStyle w:val="PermNoteText"/>
      </w:pPr>
      <w:r>
        <w:tab/>
        <w:t>2.</w:t>
      </w:r>
      <w:r>
        <w:tab/>
        <w:t>This regulation differs from regulation 24 of the national regulations made by the Ministerial Council.</w:t>
      </w:r>
    </w:p>
    <w:p>
      <w:pPr>
        <w:pStyle w:val="Footnotesection"/>
      </w:pPr>
      <w:r>
        <w:tab/>
        <w:t>[Regulation 24 amended: Gazette 28 Sep 2018 p. 3610.]</w:t>
      </w:r>
    </w:p>
    <w:p>
      <w:pPr>
        <w:pStyle w:val="Heading5"/>
      </w:pPr>
      <w:bookmarkStart w:id="43" w:name="_Toc109832925"/>
      <w:r>
        <w:rPr>
          <w:rStyle w:val="CharSectno"/>
        </w:rPr>
        <w:t>25</w:t>
      </w:r>
      <w:r>
        <w:t>.</w:t>
      </w:r>
      <w:r>
        <w:tab/>
        <w:t>Additional information about proposed education and care service premises</w:t>
      </w:r>
      <w:bookmarkEnd w:id="43"/>
      <w:r>
        <w:t xml:space="preserve"> </w:t>
      </w:r>
    </w:p>
    <w:p>
      <w:pPr>
        <w:pStyle w:val="Subsection"/>
      </w:pPr>
      <w:r>
        <w:tab/>
        <w:t>(1)</w:t>
      </w:r>
      <w:r>
        <w:tab/>
        <w:t>In addition to the information referred to in regulation 24, the following information about the proposed education and care service premises is prescribed information —</w:t>
      </w:r>
    </w:p>
    <w:p>
      <w:pPr>
        <w:pStyle w:val="Indenta"/>
      </w:pPr>
      <w:r>
        <w:tab/>
        <w:t>(a)</w:t>
      </w:r>
      <w:r>
        <w:tab/>
        <w:t>the location and street address of the proposed education and care service premises;</w:t>
      </w:r>
    </w:p>
    <w:p>
      <w:pPr>
        <w:pStyle w:val="Indenta"/>
        <w:keepNext/>
      </w:pPr>
      <w:r>
        <w:lastRenderedPageBreak/>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 xml:space="preserve">if a soil assessment for the site of the proposed education and care service premises has previously been undertaken, a statement to that </w:t>
      </w:r>
      <w:r>
        <w:lastRenderedPageBreak/>
        <w:t>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Ednotesubsection"/>
      </w:pPr>
      <w:r>
        <w:tab/>
        <w:t>[(2)</w:t>
      </w:r>
      <w:r>
        <w:tab/>
        <w:t>deleted]</w:t>
      </w:r>
    </w:p>
    <w:p>
      <w:pPr>
        <w:pStyle w:val="PermNoteHeading"/>
      </w:pPr>
      <w:r>
        <w:tab/>
        <w:t>Note for this regulation:</w:t>
      </w:r>
    </w:p>
    <w:p>
      <w:pPr>
        <w:pStyle w:val="PermNoteText"/>
      </w:pPr>
      <w:r>
        <w:tab/>
      </w:r>
      <w:r>
        <w:tab/>
        <w:t>This regulation differs from regulation 25 of the national regulations made by the Ministerial Council.</w:t>
      </w:r>
    </w:p>
    <w:p>
      <w:pPr>
        <w:pStyle w:val="Footnotesection"/>
      </w:pPr>
      <w:r>
        <w:tab/>
        <w:t>[Regulation 25 amended: Gazette 13 Dec 2013 p.</w:t>
      </w:r>
      <w:r>
        <w:rPr>
          <w:sz w:val="19"/>
        </w:rPr>
        <w:t> </w:t>
      </w:r>
      <w:r>
        <w:t>6156</w:t>
      </w:r>
      <w:r>
        <w:noBreakHyphen/>
        <w:t>7; 28 Sep 2018 p. 3611.]</w:t>
      </w:r>
    </w:p>
    <w:p>
      <w:pPr>
        <w:pStyle w:val="Heading5"/>
      </w:pPr>
      <w:bookmarkStart w:id="44" w:name="_Toc109832926"/>
      <w:r>
        <w:rPr>
          <w:rStyle w:val="CharSectno"/>
        </w:rPr>
        <w:lastRenderedPageBreak/>
        <w:t>25A</w:t>
      </w:r>
      <w:r>
        <w:t>.</w:t>
      </w:r>
      <w:r>
        <w:tab/>
        <w:t>Application for service approval for a centre</w:t>
      </w:r>
      <w:r>
        <w:noBreakHyphen/>
        <w:t>based service — relocation of existing centre</w:t>
      </w:r>
      <w:r>
        <w:noBreakHyphen/>
        <w:t>based service</w:t>
      </w:r>
      <w:bookmarkEnd w:id="44"/>
    </w:p>
    <w:p>
      <w:pPr>
        <w:pStyle w:val="PermNoteHeading"/>
      </w:pPr>
      <w:r>
        <w:tab/>
        <w:t>Note for this regulation:</w:t>
      </w:r>
    </w:p>
    <w:p>
      <w:pPr>
        <w:pStyle w:val="PermNoteText"/>
        <w:keepNext/>
      </w:pPr>
      <w:r>
        <w:tab/>
      </w:r>
      <w:r>
        <w:tab/>
        <w:t>Regulation 25A of the national regulations made by the Ministerial Council does not apply as a law of WA.</w:t>
      </w:r>
    </w:p>
    <w:p>
      <w:pPr>
        <w:pStyle w:val="Footnotesection"/>
      </w:pPr>
      <w:r>
        <w:tab/>
        <w:t>[Regulation 25A inserted: Gazette 28 Sep 2018 p. 3611.]</w:t>
      </w:r>
    </w:p>
    <w:p>
      <w:pPr>
        <w:pStyle w:val="Heading5"/>
      </w:pPr>
      <w:bookmarkStart w:id="45" w:name="_Toc109832927"/>
      <w:r>
        <w:rPr>
          <w:rStyle w:val="CharSectno"/>
        </w:rPr>
        <w:t>26</w:t>
      </w:r>
      <w:r>
        <w:t>.</w:t>
      </w:r>
      <w:r>
        <w:tab/>
        <w:t>Application for service approval — family day care service</w:t>
      </w:r>
      <w:bookmarkEnd w:id="45"/>
      <w:r>
        <w:t xml:space="preserve"> </w:t>
      </w:r>
    </w:p>
    <w:p>
      <w:pPr>
        <w:pStyle w:val="Subsection"/>
      </w:pPr>
      <w:r>
        <w:tab/>
        <w:t>(1)</w:t>
      </w:r>
      <w:r>
        <w:tab/>
        <w:t xml:space="preserve">For section 44(1)(c) of the Law, the following information is prescribed information for a service approval for a family day care service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(fa)</w:t>
      </w:r>
      <w:r>
        <w:tab/>
        <w:t>a statement that the applicant has the right to occupy and use the proposed premises as a principal office and any document evidencing this;</w:t>
      </w:r>
    </w:p>
    <w:p>
      <w:pPr>
        <w:pStyle w:val="PermNoteHeading"/>
      </w:pPr>
      <w:r>
        <w:tab/>
        <w:t>Example for this paragraph:</w:t>
      </w:r>
    </w:p>
    <w:p>
      <w:pPr>
        <w:pStyle w:val="PermNoteText"/>
      </w:pPr>
      <w:r>
        <w:tab/>
      </w:r>
      <w:r>
        <w:tab/>
        <w:t>A lease of the premises.</w:t>
      </w:r>
    </w:p>
    <w:p>
      <w:pPr>
        <w:pStyle w:val="Indenta"/>
      </w:pPr>
      <w:r>
        <w:lastRenderedPageBreak/>
        <w:tab/>
        <w:t>(g)</w:t>
      </w:r>
      <w:r>
        <w:tab/>
        <w:t>the proposed number of family day care educators expected to be engaged by or registered with the proposed family day care service within 6 months of commencement of the service;</w:t>
      </w:r>
    </w:p>
    <w:p>
      <w:pPr>
        <w:pStyle w:val="Indenta"/>
      </w:pPr>
      <w:r>
        <w:tab/>
        <w:t>(ga)</w:t>
      </w:r>
      <w:r>
        <w:tab/>
        <w:t>a statement that each family day care residence that will be part of the family day care service and each place other than a residence where education and care is to be provided to children as part of the family day care service will be located in this jurisdiction;</w:t>
      </w:r>
    </w:p>
    <w:p>
      <w:pPr>
        <w:pStyle w:val="Indenta"/>
      </w:pPr>
      <w:r>
        <w:tab/>
        <w:t>(h)</w:t>
      </w:r>
      <w:r>
        <w:tab/>
        <w:t>the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the full name and contact details, including the after</w:t>
      </w:r>
      <w:r>
        <w:noBreakHyphen/>
        <w:t>hours telephone number, of each nominated supervisor;</w:t>
      </w:r>
    </w:p>
    <w:p>
      <w:pPr>
        <w:pStyle w:val="PermNoteHeading"/>
      </w:pPr>
      <w:r>
        <w:tab/>
        <w:t>Note for this paragraph:</w:t>
      </w:r>
    </w:p>
    <w:p>
      <w:pPr>
        <w:pStyle w:val="PermNoteText"/>
      </w:pPr>
      <w:r>
        <w:tab/>
      </w:r>
      <w:r>
        <w:tab/>
        <w:t>The application must include a nominated supervisor’s written consent to the nomination unless the nominated supervisor is the approved provider — see section 44(1)(da) of the Law.</w:t>
      </w:r>
    </w:p>
    <w:p>
      <w:pPr>
        <w:pStyle w:val="Indenta"/>
        <w:keepNext/>
      </w:pPr>
      <w:r>
        <w:lastRenderedPageBreak/>
        <w:tab/>
        <w:t>(n)</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 xml:space="preserve">An assessment referred to in subregulation (1)(n)(iii) must consider the matters set out in regulation 116(2). </w:t>
      </w:r>
    </w:p>
    <w:p>
      <w:pPr>
        <w:pStyle w:val="PermNoteHeading"/>
      </w:pPr>
      <w:r>
        <w:tab/>
        <w:t>Notes for this regulation:</w:t>
      </w:r>
    </w:p>
    <w:p>
      <w:pPr>
        <w:pStyle w:val="PermNoteText"/>
      </w:pPr>
      <w:r>
        <w:tab/>
        <w:t>1.</w:t>
      </w:r>
      <w:r>
        <w:tab/>
        <w:t>The application must include the certified supervisor’s written consent to the nomination — see section 44(1)(d) of the Law.</w:t>
      </w:r>
    </w:p>
    <w:p>
      <w:pPr>
        <w:pStyle w:val="PermNoteText"/>
      </w:pPr>
      <w:r>
        <w:tab/>
        <w:t>2.</w:t>
      </w:r>
      <w:r>
        <w:tab/>
        <w:t>This regulation differs from regulation 26 of the national regulations made by the Ministerial Council.</w:t>
      </w:r>
    </w:p>
    <w:p>
      <w:pPr>
        <w:pStyle w:val="Footnotesection"/>
      </w:pPr>
      <w:r>
        <w:tab/>
        <w:t>[Regulation 26 amended: Gazette 28 Sep 2018 p. 3612</w:t>
      </w:r>
      <w:r>
        <w:noBreakHyphen/>
        <w:t>14.]</w:t>
      </w:r>
    </w:p>
    <w:p>
      <w:pPr>
        <w:pStyle w:val="Heading5"/>
      </w:pPr>
      <w:bookmarkStart w:id="46" w:name="_Toc109832928"/>
      <w:r>
        <w:rPr>
          <w:rStyle w:val="CharSectno"/>
        </w:rPr>
        <w:t>27</w:t>
      </w:r>
      <w:r>
        <w:t>.</w:t>
      </w:r>
      <w:r>
        <w:tab/>
        <w:t>Additional matters to have regard to in determining application for service approval</w:t>
      </w:r>
      <w:bookmarkEnd w:id="46"/>
      <w:r>
        <w:t xml:space="preserve"> </w:t>
      </w:r>
    </w:p>
    <w:p>
      <w:pPr>
        <w:pStyle w:val="Subsection"/>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PermNoteHeading"/>
      </w:pPr>
      <w:r>
        <w:tab/>
        <w:t>Note for this regulation:</w:t>
      </w:r>
    </w:p>
    <w:p>
      <w:pPr>
        <w:pStyle w:val="PermNoteText"/>
      </w:pPr>
      <w:r>
        <w:tab/>
      </w:r>
      <w:r>
        <w:tab/>
        <w:t>See section 47(1)(g) of the Law.</w:t>
      </w:r>
    </w:p>
    <w:p>
      <w:pPr>
        <w:pStyle w:val="Heading5"/>
      </w:pPr>
      <w:bookmarkStart w:id="47" w:name="_Toc109832929"/>
      <w:r>
        <w:rPr>
          <w:rStyle w:val="CharSectno"/>
        </w:rPr>
        <w:lastRenderedPageBreak/>
        <w:t>28</w:t>
      </w:r>
      <w:r>
        <w:t>.</w:t>
      </w:r>
      <w:r>
        <w:tab/>
        <w:t>Additional grounds for refusal to grant service approval</w:t>
      </w:r>
      <w:bookmarkEnd w:id="47"/>
      <w:r>
        <w:t xml:space="preserve"> </w:t>
      </w:r>
    </w:p>
    <w:p>
      <w:pPr>
        <w:pStyle w:val="Subsection"/>
        <w:keepNext/>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keepNext/>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48" w:name="_Toc109832930"/>
      <w:r>
        <w:rPr>
          <w:rStyle w:val="CharSectno"/>
        </w:rPr>
        <w:t>29</w:t>
      </w:r>
      <w:r>
        <w:t>.</w:t>
      </w:r>
      <w:r>
        <w:tab/>
        <w:t>Condition on service approval — insurance</w:t>
      </w:r>
      <w:bookmarkEnd w:id="48"/>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tab/>
        <w:t>Notes for this regulation:</w:t>
      </w:r>
    </w:p>
    <w:p>
      <w:pPr>
        <w:pStyle w:val="PermNoteText"/>
      </w:pPr>
      <w:r>
        <w:tab/>
        <w:t>1.</w:t>
      </w:r>
      <w:r>
        <w:tab/>
        <w:t>See section 51(4) of the Law.</w:t>
      </w:r>
    </w:p>
    <w:p>
      <w:pPr>
        <w:pStyle w:val="PermNoteText"/>
      </w:pPr>
      <w:r>
        <w:lastRenderedPageBreak/>
        <w:tab/>
        <w:t>2.</w:t>
      </w:r>
      <w:r>
        <w:tab/>
        <w:t>See regulation 180 for the requirement to keep evidence of prescribed insurance.</w:t>
      </w:r>
    </w:p>
    <w:p>
      <w:pPr>
        <w:pStyle w:val="Heading5"/>
      </w:pPr>
      <w:bookmarkStart w:id="49" w:name="_Toc109832931"/>
      <w:r>
        <w:rPr>
          <w:rStyle w:val="CharSectno"/>
        </w:rPr>
        <w:t>30</w:t>
      </w:r>
      <w:r>
        <w:t>.</w:t>
      </w:r>
      <w:r>
        <w:tab/>
        <w:t>Condition on service approval — family day care educator insurance</w:t>
      </w:r>
      <w:bookmarkEnd w:id="49"/>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50" w:name="_Toc109832932"/>
      <w:r>
        <w:rPr>
          <w:rStyle w:val="CharSectno"/>
        </w:rPr>
        <w:t>31</w:t>
      </w:r>
      <w:r>
        <w:t>.</w:t>
      </w:r>
      <w:r>
        <w:tab/>
        <w:t>Condition on service approval — quality improvement plan</w:t>
      </w:r>
      <w:bookmarkEnd w:id="50"/>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tab/>
        <w:t>[Regulation 31 amended: Gazette 28 Nov 2014 p. 4403.]</w:t>
      </w:r>
    </w:p>
    <w:p>
      <w:pPr>
        <w:pStyle w:val="Heading5"/>
      </w:pPr>
      <w:bookmarkStart w:id="51" w:name="_Toc109832933"/>
      <w:r>
        <w:rPr>
          <w:rStyle w:val="CharSectno"/>
        </w:rPr>
        <w:lastRenderedPageBreak/>
        <w:t>32</w:t>
      </w:r>
      <w:r>
        <w:t>.</w:t>
      </w:r>
      <w:r>
        <w:tab/>
        <w:t>Condition on service approval — entitlement to occupy premises</w:t>
      </w:r>
      <w:bookmarkEnd w:id="51"/>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52" w:name="_Toc109832934"/>
      <w:r>
        <w:rPr>
          <w:rStyle w:val="CharSectno"/>
        </w:rPr>
        <w:t>32A</w:t>
      </w:r>
      <w:r>
        <w:t>.</w:t>
      </w:r>
      <w:r>
        <w:tab/>
        <w:t>Condition on service approval — maximum number of family day care educators</w:t>
      </w:r>
      <w:bookmarkEnd w:id="52"/>
    </w:p>
    <w:p>
      <w:pPr>
        <w:pStyle w:val="Subsection"/>
      </w:pPr>
      <w:r>
        <w:tab/>
      </w:r>
      <w:r>
        <w:tab/>
        <w:t>A service approval for a family day care service is granted subject to the condition that the approved provider of the service must ensure that the number of family day care educators providing education and care as part of the service does not exceed the maximum number of family day care educators determined by the Regulatory Authority in the service approval.</w:t>
      </w:r>
    </w:p>
    <w:p>
      <w:pPr>
        <w:pStyle w:val="PermNoteHeading"/>
      </w:pPr>
      <w:r>
        <w:tab/>
        <w:t>Note for this regulation:</w:t>
      </w:r>
    </w:p>
    <w:p>
      <w:pPr>
        <w:pStyle w:val="PermNoteText"/>
      </w:pPr>
      <w:r>
        <w:tab/>
      </w:r>
      <w:r>
        <w:tab/>
        <w:t>See section 51(5) of the Law.</w:t>
      </w:r>
    </w:p>
    <w:p>
      <w:pPr>
        <w:pStyle w:val="Footnotesection"/>
      </w:pPr>
      <w:r>
        <w:tab/>
        <w:t>[Regulation 32A inserted: Gazette 28 Sep 2018 p. 3614.]</w:t>
      </w:r>
    </w:p>
    <w:p>
      <w:pPr>
        <w:pStyle w:val="Heading5"/>
      </w:pPr>
      <w:bookmarkStart w:id="53" w:name="_Toc109832935"/>
      <w:r>
        <w:rPr>
          <w:rStyle w:val="CharSectno"/>
        </w:rPr>
        <w:t>33</w:t>
      </w:r>
      <w:r>
        <w:t>.</w:t>
      </w:r>
      <w:r>
        <w:tab/>
        <w:t>Annual fees</w:t>
      </w:r>
      <w:bookmarkEnd w:id="53"/>
    </w:p>
    <w:p>
      <w:pPr>
        <w:pStyle w:val="Subsection"/>
      </w:pPr>
      <w:r>
        <w:tab/>
      </w:r>
      <w:r>
        <w:tab/>
        <w:t>The approved provider of an education and care service must pay the relevant annual fee set out in Schedule 2 for the service approval on or before 1 July each year.</w:t>
      </w:r>
    </w:p>
    <w:p>
      <w:pPr>
        <w:pStyle w:val="Footnotesection"/>
      </w:pPr>
      <w:r>
        <w:tab/>
        <w:t>[Regulation 33 amended: Gazette 13 Dec 2013 p.</w:t>
      </w:r>
      <w:r>
        <w:rPr>
          <w:sz w:val="19"/>
        </w:rPr>
        <w:t> </w:t>
      </w:r>
      <w:r>
        <w:t>6157.]</w:t>
      </w:r>
    </w:p>
    <w:p>
      <w:pPr>
        <w:pStyle w:val="Heading4"/>
      </w:pPr>
      <w:bookmarkStart w:id="54" w:name="_Toc109740512"/>
      <w:bookmarkStart w:id="55" w:name="_Toc109741341"/>
      <w:bookmarkStart w:id="56" w:name="_Toc109832936"/>
      <w:r>
        <w:t>Division 2 — Amendment of service approval and notice of change to nominated supervisor</w:t>
      </w:r>
      <w:bookmarkEnd w:id="54"/>
      <w:bookmarkEnd w:id="55"/>
      <w:bookmarkEnd w:id="56"/>
    </w:p>
    <w:p>
      <w:pPr>
        <w:pStyle w:val="Heading5"/>
      </w:pPr>
      <w:bookmarkStart w:id="57" w:name="_Toc109832937"/>
      <w:r>
        <w:rPr>
          <w:rStyle w:val="CharSectno"/>
        </w:rPr>
        <w:t>34</w:t>
      </w:r>
      <w:r>
        <w:t>.</w:t>
      </w:r>
      <w:r>
        <w:tab/>
        <w:t>Prescribed information for application to amend service approval</w:t>
      </w:r>
      <w:bookmarkEnd w:id="57"/>
      <w:r>
        <w:t xml:space="preserve"> </w:t>
      </w:r>
    </w:p>
    <w:p>
      <w:pPr>
        <w:pStyle w:val="Subsection"/>
      </w:pPr>
      <w:r>
        <w:tab/>
        <w:t>(1)</w:t>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lastRenderedPageBreak/>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Indenta"/>
      </w:pPr>
      <w:r>
        <w:tab/>
        <w:t>(f)</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An assessment referred to in subregulation (1)(f)(iii) must consider the matters set out in regulation 116(2).</w:t>
      </w:r>
    </w:p>
    <w:p>
      <w:pPr>
        <w:pStyle w:val="Footnotesection"/>
      </w:pPr>
      <w:r>
        <w:tab/>
        <w:t>[Regulation 34 amended: Gazette 28 Sep 2018 p. 3614</w:t>
      </w:r>
      <w:r>
        <w:noBreakHyphen/>
        <w:t>15.]</w:t>
      </w:r>
    </w:p>
    <w:p>
      <w:pPr>
        <w:pStyle w:val="Heading5"/>
      </w:pPr>
      <w:bookmarkStart w:id="58" w:name="_Toc109832938"/>
      <w:r>
        <w:rPr>
          <w:rStyle w:val="CharSectno"/>
        </w:rPr>
        <w:t>35</w:t>
      </w:r>
      <w:r>
        <w:t>.</w:t>
      </w:r>
      <w:r>
        <w:tab/>
        <w:t>Notice of addition of new nominated supervisor</w:t>
      </w:r>
      <w:bookmarkEnd w:id="58"/>
    </w:p>
    <w:p>
      <w:pPr>
        <w:pStyle w:val="Subsection"/>
      </w:pPr>
      <w:r>
        <w:tab/>
      </w:r>
      <w:r>
        <w:tab/>
        <w:t xml:space="preserve">A notice under section 56 of the Law to add a new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lastRenderedPageBreak/>
        <w:tab/>
        <w:t>(d)</w:t>
      </w:r>
      <w:r>
        <w:tab/>
        <w:t>the full name and contact details of the new nominated supervisor;</w:t>
      </w:r>
    </w:p>
    <w:p>
      <w:pPr>
        <w:pStyle w:val="Ednotepara"/>
      </w:pPr>
      <w:r>
        <w:tab/>
        <w:t>[(e), (f)</w:t>
      </w:r>
      <w:r>
        <w:tab/>
        <w:t>deleted]</w:t>
      </w:r>
    </w:p>
    <w:p>
      <w:pPr>
        <w:pStyle w:val="Indenta"/>
      </w:pPr>
      <w:r>
        <w:tab/>
        <w:t>(g)</w:t>
      </w:r>
      <w:r>
        <w:tab/>
        <w:t>the date on which the new nominated supervisor commences or commenced work as a nominated supervisor.</w:t>
      </w:r>
    </w:p>
    <w:p>
      <w:pPr>
        <w:pStyle w:val="PermNoteHeading"/>
      </w:pPr>
      <w:r>
        <w:tab/>
        <w:t>Note for this regulation:</w:t>
      </w:r>
    </w:p>
    <w:p>
      <w:pPr>
        <w:pStyle w:val="PermNoteText"/>
      </w:pPr>
      <w:r>
        <w:tab/>
      </w:r>
      <w:r>
        <w:tab/>
        <w:t>A notice must include a nominated supervisor’s written consent to the nomination unless the nominated supervisor is the approved provider — see section 56(2)(a) of the Law.</w:t>
      </w:r>
    </w:p>
    <w:p>
      <w:pPr>
        <w:pStyle w:val="Footnotesection"/>
      </w:pPr>
      <w:r>
        <w:tab/>
        <w:t>[Regulation 35 amended: Gazette 28 Sep 2018 p. 3616.]</w:t>
      </w:r>
    </w:p>
    <w:p>
      <w:pPr>
        <w:pStyle w:val="Heading4"/>
      </w:pPr>
      <w:bookmarkStart w:id="59" w:name="_Toc109740515"/>
      <w:bookmarkStart w:id="60" w:name="_Toc109741344"/>
      <w:bookmarkStart w:id="61" w:name="_Toc109832939"/>
      <w:r>
        <w:t>Division 3 — Transfer of service approval</w:t>
      </w:r>
      <w:bookmarkEnd w:id="59"/>
      <w:bookmarkEnd w:id="60"/>
      <w:bookmarkEnd w:id="61"/>
    </w:p>
    <w:p>
      <w:pPr>
        <w:pStyle w:val="Heading5"/>
      </w:pPr>
      <w:bookmarkStart w:id="62" w:name="_Toc109832940"/>
      <w:r>
        <w:rPr>
          <w:rStyle w:val="CharSectno"/>
        </w:rPr>
        <w:t>36</w:t>
      </w:r>
      <w:r>
        <w:t>.</w:t>
      </w:r>
      <w:r>
        <w:tab/>
        <w:t>Notice of transfer of service approval — centre</w:t>
      </w:r>
      <w:r>
        <w:noBreakHyphen/>
        <w:t>based service</w:t>
      </w:r>
      <w:bookmarkEnd w:id="62"/>
      <w:r>
        <w:t xml:space="preserve"> </w:t>
      </w:r>
    </w:p>
    <w:p>
      <w:pPr>
        <w:pStyle w:val="Subsection"/>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63" w:name="_Toc109832941"/>
      <w:r>
        <w:rPr>
          <w:rStyle w:val="CharSectno"/>
        </w:rPr>
        <w:lastRenderedPageBreak/>
        <w:t>37</w:t>
      </w:r>
      <w:r>
        <w:t>.</w:t>
      </w:r>
      <w:r>
        <w:tab/>
        <w:t>Notice of transfer of service approval — family day care service</w:t>
      </w:r>
      <w:bookmarkEnd w:id="63"/>
      <w:r>
        <w:t xml:space="preserve"> </w:t>
      </w:r>
    </w:p>
    <w:p>
      <w:pPr>
        <w:pStyle w:val="Subsection"/>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keepNext/>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64" w:name="_Toc109832942"/>
      <w:r>
        <w:rPr>
          <w:rStyle w:val="CharSectno"/>
        </w:rPr>
        <w:t>38</w:t>
      </w:r>
      <w:r>
        <w:t>.</w:t>
      </w:r>
      <w:r>
        <w:tab/>
        <w:t>Notification of decision to intervene in transfer of service approval</w:t>
      </w:r>
      <w:bookmarkEnd w:id="64"/>
      <w:r>
        <w:t xml:space="preserve"> </w:t>
      </w:r>
    </w:p>
    <w:p>
      <w:pPr>
        <w:pStyle w:val="Subsection"/>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65" w:name="_Toc109740519"/>
      <w:bookmarkStart w:id="66" w:name="_Toc109741348"/>
      <w:bookmarkStart w:id="67" w:name="_Toc109832943"/>
      <w:r>
        <w:lastRenderedPageBreak/>
        <w:t>Division 4 — Suspension of service approval</w:t>
      </w:r>
      <w:bookmarkEnd w:id="65"/>
      <w:bookmarkEnd w:id="66"/>
      <w:bookmarkEnd w:id="67"/>
    </w:p>
    <w:p>
      <w:pPr>
        <w:pStyle w:val="Heading5"/>
      </w:pPr>
      <w:bookmarkStart w:id="68" w:name="_Toc109832944"/>
      <w:r>
        <w:rPr>
          <w:rStyle w:val="CharSectno"/>
        </w:rPr>
        <w:t>39</w:t>
      </w:r>
      <w:r>
        <w:t>.</w:t>
      </w:r>
      <w:r>
        <w:tab/>
        <w:t>Maximum period of suspension of service approval</w:t>
      </w:r>
      <w:bookmarkEnd w:id="68"/>
      <w:r>
        <w:t xml:space="preserve"> </w:t>
      </w:r>
    </w:p>
    <w:p>
      <w:pPr>
        <w:pStyle w:val="Subsection"/>
      </w:pPr>
      <w:r>
        <w:tab/>
      </w:r>
      <w:r>
        <w:tab/>
        <w:t>The prescribed maximum period of suspension of a service approval under sections 72(b)(i) and 79(1)(a)(ii) of the Law is 12 months.</w:t>
      </w:r>
    </w:p>
    <w:p>
      <w:pPr>
        <w:pStyle w:val="Footnotesection"/>
      </w:pPr>
      <w:r>
        <w:tab/>
        <w:t>[Regulation 39 amended: Gazette 24 Dec 2019 p. 4423.]</w:t>
      </w:r>
    </w:p>
    <w:p>
      <w:pPr>
        <w:pStyle w:val="Heading5"/>
      </w:pPr>
      <w:bookmarkStart w:id="69" w:name="_Toc109832945"/>
      <w:r>
        <w:rPr>
          <w:rStyle w:val="CharSectno"/>
        </w:rPr>
        <w:t>40</w:t>
      </w:r>
      <w:r>
        <w:t>.</w:t>
      </w:r>
      <w:r>
        <w:tab/>
        <w:t>Application for voluntary suspension of service approval</w:t>
      </w:r>
      <w:bookmarkEnd w:id="69"/>
      <w:r>
        <w:t xml:space="preserve"> </w:t>
      </w:r>
    </w:p>
    <w:p>
      <w:pPr>
        <w:pStyle w:val="Subsection"/>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70" w:name="_Toc109740522"/>
      <w:bookmarkStart w:id="71" w:name="_Toc109741351"/>
      <w:bookmarkStart w:id="72" w:name="_Toc109832946"/>
      <w:r>
        <w:t>Division 5 — Service waiver</w:t>
      </w:r>
      <w:bookmarkEnd w:id="70"/>
      <w:bookmarkEnd w:id="71"/>
      <w:bookmarkEnd w:id="72"/>
    </w:p>
    <w:p>
      <w:pPr>
        <w:pStyle w:val="Heading5"/>
      </w:pPr>
      <w:bookmarkStart w:id="73" w:name="_Toc109832947"/>
      <w:r>
        <w:rPr>
          <w:rStyle w:val="CharSectno"/>
        </w:rPr>
        <w:t>41</w:t>
      </w:r>
      <w:r>
        <w:t>.</w:t>
      </w:r>
      <w:r>
        <w:tab/>
        <w:t>Service waiver — prescribed elements</w:t>
      </w:r>
      <w:bookmarkEnd w:id="73"/>
      <w:r>
        <w:t xml:space="preserve"> </w:t>
      </w:r>
    </w:p>
    <w:p>
      <w:pPr>
        <w:pStyle w:val="Subsection"/>
      </w:pPr>
      <w:r>
        <w:tab/>
      </w:r>
      <w:r>
        <w:tab/>
        <w:t xml:space="preserve">For the purposes of section 87(1) of the Law, the prescribed elements are — </w:t>
      </w:r>
    </w:p>
    <w:p>
      <w:pPr>
        <w:pStyle w:val="Indenta"/>
        <w:spacing w:before="70"/>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lastRenderedPageBreak/>
        <w:tab/>
        <w:t>(ii)</w:t>
      </w:r>
      <w:r>
        <w:tab/>
        <w:t>in the case of a centre</w:t>
      </w:r>
      <w:r>
        <w:noBreakHyphen/>
        <w:t>based service, Division 2 of Part 4.3 and regulations 120, 123, 126 and 130 to 134; and</w:t>
      </w:r>
    </w:p>
    <w:p>
      <w:pPr>
        <w:pStyle w:val="Indenti"/>
      </w:pPr>
      <w:r>
        <w:tab/>
        <w:t>(iii)</w:t>
      </w:r>
      <w:r>
        <w:tab/>
        <w:t>in the case of a family day care service, regulations 72A, 117, 124, 127 and 128; and</w:t>
      </w:r>
    </w:p>
    <w:p>
      <w:pPr>
        <w:pStyle w:val="Indenti"/>
      </w:pPr>
      <w:r>
        <w:tab/>
        <w:t>(iv)</w:t>
      </w:r>
      <w:r>
        <w:tab/>
        <w:t>any provision in Chapter 7 that applies in place of a provision referred to in subparagraph (i), (ii) or (iii).</w:t>
      </w:r>
    </w:p>
    <w:p>
      <w:pPr>
        <w:pStyle w:val="Footnotesection"/>
      </w:pPr>
      <w:r>
        <w:tab/>
        <w:t>[Regulation 41 amended: Gazette 28 Sep 2018 p. 3616.]</w:t>
      </w:r>
    </w:p>
    <w:p>
      <w:pPr>
        <w:pStyle w:val="Heading5"/>
      </w:pPr>
      <w:bookmarkStart w:id="74" w:name="_Toc109832948"/>
      <w:r>
        <w:rPr>
          <w:rStyle w:val="CharSectno"/>
        </w:rPr>
        <w:t>42</w:t>
      </w:r>
      <w:r>
        <w:t>.</w:t>
      </w:r>
      <w:r>
        <w:tab/>
        <w:t>Prescribed information — application for service waiver</w:t>
      </w:r>
      <w:bookmarkEnd w:id="74"/>
      <w:r>
        <w:t xml:space="preserve"> </w:t>
      </w:r>
    </w:p>
    <w:p>
      <w:pPr>
        <w:pStyle w:val="Subsection"/>
      </w:pPr>
      <w:r>
        <w:tab/>
      </w:r>
      <w:r>
        <w:tab/>
        <w:t>For section 88(b) of the Law, the following information is prescribed information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pPr>
      <w:r>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keepNext/>
      </w:pPr>
      <w:r>
        <w:lastRenderedPageBreak/>
        <w:tab/>
        <w:t>(f)</w:t>
      </w:r>
      <w:r>
        <w:tab/>
        <w:t>in any other case, the reasons that the education and care service seeks the service waiver;</w:t>
      </w:r>
    </w:p>
    <w:p>
      <w:pPr>
        <w:pStyle w:val="Indenta"/>
      </w:pPr>
      <w:r>
        <w:tab/>
        <w:t>(g)</w:t>
      </w:r>
      <w:r>
        <w:tab/>
        <w:t>the measures being taken or to be taken to protect the wellbeing of children being educated and cared for by the service while the service waiver is in force.</w:t>
      </w:r>
    </w:p>
    <w:p>
      <w:pPr>
        <w:pStyle w:val="PermNoteHeading"/>
      </w:pPr>
      <w:r>
        <w:tab/>
        <w:t>Notes for this regulation:</w:t>
      </w:r>
    </w:p>
    <w:p>
      <w:pPr>
        <w:pStyle w:val="PermNoteText"/>
      </w:pPr>
      <w:r>
        <w:tab/>
        <w:t>1.</w:t>
      </w:r>
      <w:r>
        <w:tab/>
        <w:t>See section 88 of the Law.</w:t>
      </w:r>
    </w:p>
    <w:p>
      <w:pPr>
        <w:pStyle w:val="PermNoteText"/>
      </w:pPr>
      <w:r>
        <w:tab/>
        <w:t>2.</w:t>
      </w:r>
      <w:r>
        <w:tab/>
        <w:t>This regulation differs from regulation 42 of the national regulations made by the Ministerial Council.</w:t>
      </w:r>
    </w:p>
    <w:p>
      <w:pPr>
        <w:pStyle w:val="Footnotesection"/>
      </w:pPr>
      <w:r>
        <w:tab/>
        <w:t>[Regulation 42 amended: Gazette 28 Sep 2018 p. 3617.]</w:t>
      </w:r>
    </w:p>
    <w:p>
      <w:pPr>
        <w:pStyle w:val="Heading5"/>
      </w:pPr>
      <w:bookmarkStart w:id="75" w:name="_Toc109832949"/>
      <w:r>
        <w:rPr>
          <w:rStyle w:val="CharSectno"/>
        </w:rPr>
        <w:t>43</w:t>
      </w:r>
      <w:r>
        <w:t>.</w:t>
      </w:r>
      <w:r>
        <w:tab/>
        <w:t>Prescribed period — revocation of service waiver</w:t>
      </w:r>
      <w:bookmarkEnd w:id="75"/>
      <w:r>
        <w:t xml:space="preserve"> </w:t>
      </w:r>
    </w:p>
    <w:p>
      <w:pPr>
        <w:pStyle w:val="Subsection"/>
      </w:pPr>
      <w:r>
        <w:tab/>
        <w:t>(1)</w:t>
      </w:r>
      <w:r>
        <w:tab/>
        <w:t xml:space="preserve">For the purposes of section 92(3) of the Law, the prescribed period in relation to a revocation of a service waiver under section 92(1) of the Law is — </w:t>
      </w:r>
    </w:p>
    <w:p>
      <w:pPr>
        <w:pStyle w:val="Indenta"/>
      </w:pPr>
      <w:r>
        <w:tab/>
        <w:t>(a)</w:t>
      </w:r>
      <w:r>
        <w:tab/>
        <w:t>14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pPr>
      <w:r>
        <w:tab/>
        <w:t>(b)</w:t>
      </w:r>
      <w:r>
        <w:tab/>
        <w:t>if another period is determined by the Regulatory Authority with the agreement of the approved provider, that other period.</w:t>
      </w:r>
    </w:p>
    <w:p>
      <w:pPr>
        <w:pStyle w:val="Footnotesection"/>
      </w:pPr>
      <w:r>
        <w:tab/>
        <w:t>[Regulation 43 amended: Gazette 3 Nov 2017 p. 5481.]</w:t>
      </w:r>
    </w:p>
    <w:p>
      <w:pPr>
        <w:pStyle w:val="Heading4"/>
      </w:pPr>
      <w:bookmarkStart w:id="76" w:name="_Toc109740526"/>
      <w:bookmarkStart w:id="77" w:name="_Toc109741355"/>
      <w:bookmarkStart w:id="78" w:name="_Toc109832950"/>
      <w:r>
        <w:lastRenderedPageBreak/>
        <w:t>Division 6 — Temporary waiver</w:t>
      </w:r>
      <w:bookmarkEnd w:id="76"/>
      <w:bookmarkEnd w:id="77"/>
      <w:bookmarkEnd w:id="78"/>
    </w:p>
    <w:p>
      <w:pPr>
        <w:pStyle w:val="Heading5"/>
      </w:pPr>
      <w:bookmarkStart w:id="79" w:name="_Toc109832951"/>
      <w:r>
        <w:rPr>
          <w:rStyle w:val="CharSectno"/>
        </w:rPr>
        <w:t>44</w:t>
      </w:r>
      <w:r>
        <w:t>.</w:t>
      </w:r>
      <w:r>
        <w:tab/>
        <w:t>Temporary waiver — prescribed elements</w:t>
      </w:r>
      <w:bookmarkEnd w:id="79"/>
    </w:p>
    <w:p>
      <w:pPr>
        <w:pStyle w:val="Subsection"/>
        <w:keepNext/>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keepNext/>
      </w:pPr>
      <w:r>
        <w:tab/>
        <w:t>(iii)</w:t>
      </w:r>
      <w:r>
        <w:tab/>
        <w:t>in the case of a family day care service, regulations 72A, 117, 124, 127, 128 and 136; and</w:t>
      </w:r>
    </w:p>
    <w:p>
      <w:pPr>
        <w:pStyle w:val="Indenti"/>
      </w:pPr>
      <w:r>
        <w:tab/>
        <w:t>(iv)</w:t>
      </w:r>
      <w:r>
        <w:tab/>
        <w:t>any provision in Chapter 7 that applies in place of a provision referred to in subparagraph (i), (ii) or (iii).</w:t>
      </w:r>
    </w:p>
    <w:p>
      <w:pPr>
        <w:pStyle w:val="Footnotesection"/>
      </w:pPr>
      <w:r>
        <w:tab/>
        <w:t>[Regulation 44 amended: Gazette 28 Sep 2018 p. 3617.]</w:t>
      </w:r>
    </w:p>
    <w:p>
      <w:pPr>
        <w:pStyle w:val="Heading5"/>
      </w:pPr>
      <w:bookmarkStart w:id="80" w:name="_Toc109832952"/>
      <w:r>
        <w:rPr>
          <w:rStyle w:val="CharSectno"/>
        </w:rPr>
        <w:t>45</w:t>
      </w:r>
      <w:r>
        <w:t>.</w:t>
      </w:r>
      <w:r>
        <w:tab/>
        <w:t>Application for temporary waiver</w:t>
      </w:r>
      <w:bookmarkEnd w:id="80"/>
      <w:r>
        <w:t xml:space="preserve"> </w:t>
      </w:r>
    </w:p>
    <w:p>
      <w:pPr>
        <w:pStyle w:val="Subsection"/>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lastRenderedPageBreak/>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elements or regulations;</w:t>
      </w:r>
    </w:p>
    <w:p>
      <w:pPr>
        <w:pStyle w:val="Indenta"/>
        <w:keepNext/>
      </w:pPr>
      <w:r>
        <w:tab/>
        <w:t>(i)</w:t>
      </w:r>
      <w:r>
        <w:tab/>
        <w:t>the measures being taken or to be taken to protect the wellbeing of children being educated and cared for by the education and care service while the temporary waiver is in force.</w:t>
      </w:r>
    </w:p>
    <w:p>
      <w:pPr>
        <w:pStyle w:val="PermNoteHeading"/>
      </w:pPr>
      <w:r>
        <w:tab/>
        <w:t>Note for this regulation:</w:t>
      </w:r>
    </w:p>
    <w:p>
      <w:pPr>
        <w:pStyle w:val="PermNoteText"/>
      </w:pPr>
      <w:r>
        <w:tab/>
      </w:r>
      <w:r>
        <w:tab/>
        <w:t>See section 95 of the Law.</w:t>
      </w:r>
    </w:p>
    <w:p>
      <w:pPr>
        <w:pStyle w:val="Ednotepart"/>
      </w:pPr>
      <w:r>
        <w:t>[Part 2.3 (r. 46</w:t>
      </w:r>
      <w:r>
        <w:noBreakHyphen/>
        <w:t>54) deleted: Gazette 28 Sep 2018 p. 3617.]</w:t>
      </w:r>
    </w:p>
    <w:p>
      <w:pPr>
        <w:pStyle w:val="Heading2"/>
      </w:pPr>
      <w:bookmarkStart w:id="81" w:name="_Toc109740529"/>
      <w:bookmarkStart w:id="82" w:name="_Toc109741358"/>
      <w:bookmarkStart w:id="83" w:name="_Toc109832953"/>
      <w:r>
        <w:rPr>
          <w:rStyle w:val="CharPartNo"/>
        </w:rPr>
        <w:lastRenderedPageBreak/>
        <w:t>Chapter 3</w:t>
      </w:r>
      <w:r>
        <w:t> — </w:t>
      </w:r>
      <w:r>
        <w:rPr>
          <w:rStyle w:val="CharPartText"/>
        </w:rPr>
        <w:t>Assessments and ratings</w:t>
      </w:r>
      <w:bookmarkEnd w:id="81"/>
      <w:bookmarkEnd w:id="82"/>
      <w:bookmarkEnd w:id="83"/>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10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10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100"/>
        <w:ind w:left="284"/>
      </w:pPr>
      <w:r>
        <w:rPr>
          <w:i/>
        </w:rPr>
        <w:t>Division 1</w:t>
      </w:r>
      <w:r>
        <w:t xml:space="preserve"> sets out the process for applying for a review of a rating of an education and care service by the Regulatory Authority.</w:t>
      </w:r>
    </w:p>
    <w:p>
      <w:pPr>
        <w:pStyle w:val="MiscellaneousBody"/>
        <w:spacing w:before="10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84" w:name="_Toc109740530"/>
      <w:bookmarkStart w:id="85" w:name="_Toc109741359"/>
      <w:bookmarkStart w:id="86" w:name="_Toc109832954"/>
      <w:r>
        <w:rPr>
          <w:rStyle w:val="CharDivNo"/>
        </w:rPr>
        <w:t>Part 3.1</w:t>
      </w:r>
      <w:r>
        <w:t> — </w:t>
      </w:r>
      <w:r>
        <w:rPr>
          <w:rStyle w:val="CharDivText"/>
        </w:rPr>
        <w:t>Quality improvement plans</w:t>
      </w:r>
      <w:bookmarkEnd w:id="84"/>
      <w:bookmarkEnd w:id="85"/>
      <w:bookmarkEnd w:id="86"/>
    </w:p>
    <w:p>
      <w:pPr>
        <w:pStyle w:val="Heading5"/>
      </w:pPr>
      <w:bookmarkStart w:id="87" w:name="_Toc109832955"/>
      <w:r>
        <w:rPr>
          <w:rStyle w:val="CharSectno"/>
        </w:rPr>
        <w:t>55</w:t>
      </w:r>
      <w:r>
        <w:t>.</w:t>
      </w:r>
      <w:r>
        <w:tab/>
        <w:t>Quality improvement plans</w:t>
      </w:r>
      <w:bookmarkEnd w:id="87"/>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lastRenderedPageBreak/>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Gazette 28 Nov 2014 p. 4403.]</w:t>
      </w:r>
    </w:p>
    <w:p>
      <w:pPr>
        <w:pStyle w:val="Heading5"/>
      </w:pPr>
      <w:bookmarkStart w:id="88" w:name="_Toc109832956"/>
      <w:r>
        <w:rPr>
          <w:rStyle w:val="CharSectno"/>
        </w:rPr>
        <w:t>56</w:t>
      </w:r>
      <w:r>
        <w:t>.</w:t>
      </w:r>
      <w:r>
        <w:tab/>
        <w:t>Review and revision of quality improvement plans</w:t>
      </w:r>
      <w:bookmarkEnd w:id="88"/>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89" w:name="_Toc109740533"/>
      <w:bookmarkStart w:id="90" w:name="_Toc109741362"/>
      <w:bookmarkStart w:id="91" w:name="_Toc109832957"/>
      <w:r>
        <w:rPr>
          <w:rStyle w:val="CharDivNo"/>
        </w:rPr>
        <w:t>Part 3.2</w:t>
      </w:r>
      <w:r>
        <w:t> — </w:t>
      </w:r>
      <w:r>
        <w:rPr>
          <w:rStyle w:val="CharDivText"/>
        </w:rPr>
        <w:t>Prescribed rating levels</w:t>
      </w:r>
      <w:bookmarkEnd w:id="89"/>
      <w:bookmarkEnd w:id="90"/>
      <w:bookmarkEnd w:id="91"/>
    </w:p>
    <w:p>
      <w:pPr>
        <w:pStyle w:val="Heading5"/>
      </w:pPr>
      <w:bookmarkStart w:id="92" w:name="_Toc109832958"/>
      <w:r>
        <w:rPr>
          <w:rStyle w:val="CharSectno"/>
        </w:rPr>
        <w:t>57</w:t>
      </w:r>
      <w:r>
        <w:t>.</w:t>
      </w:r>
      <w:r>
        <w:tab/>
        <w:t>Rating levels</w:t>
      </w:r>
      <w:bookmarkEnd w:id="92"/>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keepNext/>
        <w:spacing w:before="60"/>
      </w:pPr>
      <w:r>
        <w:lastRenderedPageBreak/>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93" w:name="_Toc109832959"/>
      <w:r>
        <w:rPr>
          <w:rStyle w:val="CharSectno"/>
        </w:rPr>
        <w:t>58</w:t>
      </w:r>
      <w:r>
        <w:t>.</w:t>
      </w:r>
      <w:r>
        <w:tab/>
        <w:t>Prescribed provisional rating</w:t>
      </w:r>
      <w:bookmarkEnd w:id="93"/>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94" w:name="_Toc109832960"/>
      <w:r>
        <w:rPr>
          <w:rStyle w:val="CharSectno"/>
        </w:rPr>
        <w:t>59</w:t>
      </w:r>
      <w:r>
        <w:t>.</w:t>
      </w:r>
      <w:r>
        <w:tab/>
        <w:t>Significant Improvement Required</w:t>
      </w:r>
      <w:bookmarkEnd w:id="94"/>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Footnotesection"/>
      </w:pPr>
      <w:r>
        <w:tab/>
        <w:t>[Regulation 59 amended: Gazette 23 Jan 2018 p. 247.]</w:t>
      </w:r>
    </w:p>
    <w:p>
      <w:pPr>
        <w:pStyle w:val="Heading5"/>
      </w:pPr>
      <w:bookmarkStart w:id="95" w:name="_Toc109832961"/>
      <w:r>
        <w:rPr>
          <w:rStyle w:val="CharSectno"/>
        </w:rPr>
        <w:t>60</w:t>
      </w:r>
      <w:r>
        <w:t>.</w:t>
      </w:r>
      <w:r>
        <w:tab/>
        <w:t>Working Towards National Quality Standard</w:t>
      </w:r>
      <w:bookmarkEnd w:id="95"/>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lastRenderedPageBreak/>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96" w:name="_Toc109832962"/>
      <w:r>
        <w:rPr>
          <w:rStyle w:val="CharSectno"/>
        </w:rPr>
        <w:t>61</w:t>
      </w:r>
      <w:r>
        <w:t>.</w:t>
      </w:r>
      <w:r>
        <w:tab/>
        <w:t>Meeting National Quality Standard</w:t>
      </w:r>
      <w:bookmarkEnd w:id="96"/>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97" w:name="_Toc109832963"/>
      <w:r>
        <w:rPr>
          <w:rStyle w:val="CharSectno"/>
        </w:rPr>
        <w:t>62</w:t>
      </w:r>
      <w:r>
        <w:t>.</w:t>
      </w:r>
      <w:r>
        <w:tab/>
        <w:t>Exceeding National Quality Standard</w:t>
      </w:r>
      <w:bookmarkEnd w:id="97"/>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 xml:space="preserve">has a documented arrangement with an approved provider of another education and care service to </w:t>
      </w:r>
      <w:r>
        <w:lastRenderedPageBreak/>
        <w:t>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Gazette 6 Jun 2014 p. 1787.]</w:t>
      </w:r>
    </w:p>
    <w:p>
      <w:pPr>
        <w:pStyle w:val="Heading3"/>
      </w:pPr>
      <w:bookmarkStart w:id="98" w:name="_Toc109740540"/>
      <w:bookmarkStart w:id="99" w:name="_Toc109741369"/>
      <w:bookmarkStart w:id="100" w:name="_Toc109832964"/>
      <w:r>
        <w:rPr>
          <w:rStyle w:val="CharDivNo"/>
        </w:rPr>
        <w:lastRenderedPageBreak/>
        <w:t>Part 3.3</w:t>
      </w:r>
      <w:r>
        <w:t> — </w:t>
      </w:r>
      <w:r>
        <w:rPr>
          <w:rStyle w:val="CharDivText"/>
        </w:rPr>
        <w:t>Assessment</w:t>
      </w:r>
      <w:bookmarkEnd w:id="98"/>
      <w:bookmarkEnd w:id="99"/>
      <w:bookmarkEnd w:id="100"/>
    </w:p>
    <w:p>
      <w:pPr>
        <w:pStyle w:val="Heading4"/>
      </w:pPr>
      <w:bookmarkStart w:id="101" w:name="_Toc109740541"/>
      <w:bookmarkStart w:id="102" w:name="_Toc109741370"/>
      <w:bookmarkStart w:id="103" w:name="_Toc109832965"/>
      <w:r>
        <w:t>Division 1 — Assessment</w:t>
      </w:r>
      <w:bookmarkEnd w:id="101"/>
      <w:bookmarkEnd w:id="102"/>
      <w:bookmarkEnd w:id="103"/>
    </w:p>
    <w:p>
      <w:pPr>
        <w:pStyle w:val="Heading5"/>
      </w:pPr>
      <w:bookmarkStart w:id="104" w:name="_Toc109832966"/>
      <w:r>
        <w:rPr>
          <w:rStyle w:val="CharSectno"/>
        </w:rPr>
        <w:t>63</w:t>
      </w:r>
      <w:r>
        <w:t>.</w:t>
      </w:r>
      <w:r>
        <w:tab/>
        <w:t>Assessing approved education and care services</w:t>
      </w:r>
      <w:bookmarkEnd w:id="104"/>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lastRenderedPageBreak/>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lastRenderedPageBreak/>
        <w:tab/>
        <w:t>2.</w:t>
      </w:r>
      <w:r>
        <w:tab/>
        <w:t>This regulation differs from regulation 63 of the national regulations made by the Ministerial Council.</w:t>
      </w:r>
    </w:p>
    <w:p>
      <w:pPr>
        <w:pStyle w:val="Heading5"/>
      </w:pPr>
      <w:bookmarkStart w:id="105" w:name="_Toc109832967"/>
      <w:r>
        <w:rPr>
          <w:rStyle w:val="CharSectno"/>
        </w:rPr>
        <w:t>64</w:t>
      </w:r>
      <w:r>
        <w:t>.</w:t>
      </w:r>
      <w:r>
        <w:tab/>
        <w:t>Matters for determination of rating</w:t>
      </w:r>
      <w:bookmarkEnd w:id="105"/>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106" w:name="_Toc109832968"/>
      <w:r>
        <w:rPr>
          <w:rStyle w:val="CharSectno"/>
        </w:rPr>
        <w:t>65</w:t>
      </w:r>
      <w:r>
        <w:t>.</w:t>
      </w:r>
      <w:r>
        <w:tab/>
        <w:t>Assessment and rating of new education and care services</w:t>
      </w:r>
      <w:bookmarkEnd w:id="106"/>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107" w:name="_Toc109740545"/>
      <w:bookmarkStart w:id="108" w:name="_Toc109741374"/>
      <w:bookmarkStart w:id="109" w:name="_Toc109832969"/>
      <w:r>
        <w:t>Division 2 — Reassessment</w:t>
      </w:r>
      <w:bookmarkEnd w:id="107"/>
      <w:bookmarkEnd w:id="108"/>
      <w:bookmarkEnd w:id="109"/>
    </w:p>
    <w:p>
      <w:pPr>
        <w:pStyle w:val="Heading5"/>
      </w:pPr>
      <w:bookmarkStart w:id="110" w:name="_Toc109832970"/>
      <w:r>
        <w:rPr>
          <w:rStyle w:val="CharSectno"/>
        </w:rPr>
        <w:t>66</w:t>
      </w:r>
      <w:r>
        <w:t>.</w:t>
      </w:r>
      <w:r>
        <w:tab/>
        <w:t>Application for reassessment</w:t>
      </w:r>
      <w:bookmarkEnd w:id="110"/>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spacing w:before="100"/>
      </w:pPr>
      <w:r>
        <w:tab/>
        <w:t>(a)</w:t>
      </w:r>
      <w:r>
        <w:tab/>
        <w:t>the name of the education and care service;</w:t>
      </w:r>
    </w:p>
    <w:p>
      <w:pPr>
        <w:pStyle w:val="Indenta"/>
        <w:spacing w:before="100"/>
      </w:pPr>
      <w:r>
        <w:tab/>
        <w:t>(b)</w:t>
      </w:r>
      <w:r>
        <w:tab/>
        <w:t>the service approval number;</w:t>
      </w:r>
    </w:p>
    <w:p>
      <w:pPr>
        <w:pStyle w:val="Indenta"/>
        <w:spacing w:before="100"/>
      </w:pPr>
      <w:r>
        <w:tab/>
        <w:t>(c)</w:t>
      </w:r>
      <w:r>
        <w:tab/>
        <w:t>the name and contact details of the contact person for the purposes of the application;</w:t>
      </w:r>
    </w:p>
    <w:p>
      <w:pPr>
        <w:pStyle w:val="Indenta"/>
        <w:spacing w:before="100"/>
      </w:pPr>
      <w:r>
        <w:tab/>
        <w:t>(d)</w:t>
      </w:r>
      <w:r>
        <w:tab/>
        <w:t xml:space="preserve">the nature of the reassessment sought, including whether — </w:t>
      </w:r>
    </w:p>
    <w:p>
      <w:pPr>
        <w:pStyle w:val="Indenti"/>
        <w:spacing w:before="100"/>
      </w:pPr>
      <w:r>
        <w:tab/>
        <w:t>(i)</w:t>
      </w:r>
      <w:r>
        <w:tab/>
        <w:t>the application is for reassessment of the service; or</w:t>
      </w:r>
    </w:p>
    <w:p>
      <w:pPr>
        <w:pStyle w:val="Indenti"/>
        <w:spacing w:before="100"/>
      </w:pPr>
      <w:r>
        <w:lastRenderedPageBreak/>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111" w:name="_Toc109832971"/>
      <w:r>
        <w:rPr>
          <w:rStyle w:val="CharSectno"/>
        </w:rPr>
        <w:t>67</w:t>
      </w:r>
      <w:r>
        <w:t>.</w:t>
      </w:r>
      <w:r>
        <w:tab/>
        <w:t>Reassessment by Regulatory Authority</w:t>
      </w:r>
      <w:bookmarkEnd w:id="111"/>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112" w:name="_Toc109740548"/>
      <w:bookmarkStart w:id="113" w:name="_Toc109741377"/>
      <w:bookmarkStart w:id="114" w:name="_Toc109832972"/>
      <w:r>
        <w:rPr>
          <w:rStyle w:val="CharDivNo"/>
        </w:rPr>
        <w:t>Part 3.4</w:t>
      </w:r>
      <w:r>
        <w:t> — </w:t>
      </w:r>
      <w:r>
        <w:rPr>
          <w:rStyle w:val="CharDivText"/>
        </w:rPr>
        <w:t>Review of ratings</w:t>
      </w:r>
      <w:bookmarkEnd w:id="112"/>
      <w:bookmarkEnd w:id="113"/>
      <w:bookmarkEnd w:id="114"/>
    </w:p>
    <w:p>
      <w:pPr>
        <w:pStyle w:val="Heading4"/>
      </w:pPr>
      <w:bookmarkStart w:id="115" w:name="_Toc109740549"/>
      <w:bookmarkStart w:id="116" w:name="_Toc109741378"/>
      <w:bookmarkStart w:id="117" w:name="_Toc109832973"/>
      <w:r>
        <w:t>Division 1 — Review of ratings by Regulatory Authority</w:t>
      </w:r>
      <w:bookmarkEnd w:id="115"/>
      <w:bookmarkEnd w:id="116"/>
      <w:bookmarkEnd w:id="117"/>
    </w:p>
    <w:p>
      <w:pPr>
        <w:pStyle w:val="Heading5"/>
      </w:pPr>
      <w:bookmarkStart w:id="118" w:name="_Toc109832974"/>
      <w:r>
        <w:rPr>
          <w:rStyle w:val="CharSectno"/>
        </w:rPr>
        <w:t>68</w:t>
      </w:r>
      <w:r>
        <w:t>.</w:t>
      </w:r>
      <w:r>
        <w:tab/>
        <w:t>Prescribed information for request for review of rating</w:t>
      </w:r>
      <w:bookmarkEnd w:id="118"/>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lastRenderedPageBreak/>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119" w:name="_Toc109740551"/>
      <w:bookmarkStart w:id="120" w:name="_Toc109741380"/>
      <w:bookmarkStart w:id="121" w:name="_Toc109832975"/>
      <w:r>
        <w:t>Division 2 — Review of ratings by Ratings Review Panel</w:t>
      </w:r>
      <w:bookmarkEnd w:id="119"/>
      <w:bookmarkEnd w:id="120"/>
      <w:bookmarkEnd w:id="121"/>
    </w:p>
    <w:p>
      <w:pPr>
        <w:pStyle w:val="Heading5"/>
      </w:pPr>
      <w:bookmarkStart w:id="122" w:name="_Toc109832976"/>
      <w:r>
        <w:rPr>
          <w:rStyle w:val="CharSectno"/>
        </w:rPr>
        <w:t>69</w:t>
      </w:r>
      <w:r>
        <w:t>.</w:t>
      </w:r>
      <w:r>
        <w:tab/>
        <w:t>Application for further review by Ratings Review Panel</w:t>
      </w:r>
      <w:bookmarkEnd w:id="122"/>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123" w:name="_Toc109832977"/>
      <w:r>
        <w:rPr>
          <w:rStyle w:val="CharSectno"/>
        </w:rPr>
        <w:t>70</w:t>
      </w:r>
      <w:r>
        <w:t>.</w:t>
      </w:r>
      <w:r>
        <w:tab/>
        <w:t>Prescribed areas of expertise or expert knowledge of Ratings Review Panel pool</w:t>
      </w:r>
      <w:bookmarkEnd w:id="123"/>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keepNext/>
      </w:pPr>
      <w:r>
        <w:lastRenderedPageBreak/>
        <w:tab/>
        <w:t>(b)</w:t>
      </w:r>
      <w:r>
        <w:tab/>
        <w:t>best practice regulation.</w:t>
      </w:r>
    </w:p>
    <w:p>
      <w:pPr>
        <w:pStyle w:val="PermNoteHeading"/>
      </w:pPr>
      <w:r>
        <w:tab/>
        <w:t>Note for this regulation:</w:t>
      </w:r>
    </w:p>
    <w:p>
      <w:pPr>
        <w:pStyle w:val="PermNoteText"/>
      </w:pPr>
      <w:r>
        <w:tab/>
      </w:r>
      <w:r>
        <w:tab/>
        <w:t>These areas are in addition to the areas prescribed in section 147(3) of the Law.</w:t>
      </w:r>
    </w:p>
    <w:p>
      <w:pPr>
        <w:pStyle w:val="Heading3"/>
      </w:pPr>
      <w:bookmarkStart w:id="124" w:name="_Toc109740554"/>
      <w:bookmarkStart w:id="125" w:name="_Toc109741383"/>
      <w:bookmarkStart w:id="126" w:name="_Toc109832978"/>
      <w:r>
        <w:rPr>
          <w:rStyle w:val="CharDivNo"/>
        </w:rPr>
        <w:t>Part 3.5</w:t>
      </w:r>
      <w:r>
        <w:t> — </w:t>
      </w:r>
      <w:r>
        <w:rPr>
          <w:rStyle w:val="CharDivText"/>
        </w:rPr>
        <w:t>Highest rating</w:t>
      </w:r>
      <w:bookmarkEnd w:id="124"/>
      <w:bookmarkEnd w:id="125"/>
      <w:bookmarkEnd w:id="126"/>
    </w:p>
    <w:p>
      <w:pPr>
        <w:pStyle w:val="Heading5"/>
      </w:pPr>
      <w:bookmarkStart w:id="127" w:name="_Toc109832979"/>
      <w:r>
        <w:rPr>
          <w:rStyle w:val="CharSectno"/>
        </w:rPr>
        <w:t>70A</w:t>
      </w:r>
      <w:r>
        <w:t>.</w:t>
      </w:r>
      <w:r>
        <w:tab/>
        <w:t>Prescribed rating levels for application for highest rating</w:t>
      </w:r>
      <w:bookmarkEnd w:id="127"/>
    </w:p>
    <w:p>
      <w:pPr>
        <w:pStyle w:val="Subsection"/>
      </w:pPr>
      <w:r>
        <w:tab/>
      </w:r>
      <w:r>
        <w:tab/>
        <w:t>For the purposes of section 152(5) of the Law, an application for the highest rating level may only be made if the approved education and care service is rated at the second highest rating level in each quality area.</w:t>
      </w:r>
    </w:p>
    <w:p>
      <w:pPr>
        <w:pStyle w:val="Footnotesection"/>
      </w:pPr>
      <w:r>
        <w:tab/>
        <w:t>[Regulation 70A inserted: Gazette 28 Sep 2018 p. 3617.]</w:t>
      </w:r>
    </w:p>
    <w:p>
      <w:pPr>
        <w:pStyle w:val="Heading5"/>
      </w:pPr>
      <w:bookmarkStart w:id="128" w:name="_Toc109832980"/>
      <w:r>
        <w:rPr>
          <w:rStyle w:val="CharSectno"/>
        </w:rPr>
        <w:t>71</w:t>
      </w:r>
      <w:r>
        <w:t>.</w:t>
      </w:r>
      <w:r>
        <w:tab/>
        <w:t>Application or reapplication for the highest rating</w:t>
      </w:r>
      <w:bookmarkEnd w:id="128"/>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129" w:name="_Toc109740557"/>
      <w:bookmarkStart w:id="130" w:name="_Toc109741386"/>
      <w:bookmarkStart w:id="131" w:name="_Toc109832981"/>
      <w:r>
        <w:rPr>
          <w:rStyle w:val="CharDivNo"/>
        </w:rPr>
        <w:t>Part 3.6</w:t>
      </w:r>
      <w:r>
        <w:t> — </w:t>
      </w:r>
      <w:r>
        <w:rPr>
          <w:rStyle w:val="CharDivText"/>
        </w:rPr>
        <w:t>Offences</w:t>
      </w:r>
      <w:bookmarkEnd w:id="129"/>
      <w:bookmarkEnd w:id="130"/>
      <w:bookmarkEnd w:id="131"/>
    </w:p>
    <w:p>
      <w:pPr>
        <w:pStyle w:val="Heading5"/>
      </w:pPr>
      <w:bookmarkStart w:id="132" w:name="_Toc109832982"/>
      <w:r>
        <w:rPr>
          <w:rStyle w:val="CharSectno"/>
        </w:rPr>
        <w:t>72</w:t>
      </w:r>
      <w:r>
        <w:t>.</w:t>
      </w:r>
      <w:r>
        <w:tab/>
        <w:t>Offences in relation to giving false or misleading statements about ratings</w:t>
      </w:r>
      <w:bookmarkEnd w:id="132"/>
      <w:r>
        <w:t xml:space="preserve"> </w:t>
      </w:r>
    </w:p>
    <w:p>
      <w:pPr>
        <w:pStyle w:val="Subsection"/>
        <w:keepNext/>
      </w:pPr>
      <w:r>
        <w:tab/>
        <w:t>(1)</w:t>
      </w:r>
      <w:r>
        <w:tab/>
        <w:t xml:space="preserve">The approved provider of an education and care service must not falsely represent the overall rating or a rating in respect of a </w:t>
      </w:r>
      <w:r>
        <w:lastRenderedPageBreak/>
        <w:t>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PermNoteText"/>
      </w:pPr>
    </w:p>
    <w:p>
      <w:pPr>
        <w:pStyle w:val="Heading2"/>
      </w:pPr>
      <w:bookmarkStart w:id="133" w:name="_Toc109740559"/>
      <w:bookmarkStart w:id="134" w:name="_Toc109741388"/>
      <w:bookmarkStart w:id="135" w:name="_Toc109832983"/>
      <w:r>
        <w:rPr>
          <w:rStyle w:val="CharPartNo"/>
        </w:rPr>
        <w:lastRenderedPageBreak/>
        <w:t>Chapter 4</w:t>
      </w:r>
      <w:r>
        <w:rPr>
          <w:rStyle w:val="CharDivNo"/>
        </w:rPr>
        <w:t> </w:t>
      </w:r>
      <w:r>
        <w:t>—</w:t>
      </w:r>
      <w:r>
        <w:rPr>
          <w:rStyle w:val="CharDivText"/>
        </w:rPr>
        <w:t> </w:t>
      </w:r>
      <w:r>
        <w:rPr>
          <w:rStyle w:val="CharPartText"/>
        </w:rPr>
        <w:t>Operational requirements</w:t>
      </w:r>
      <w:bookmarkEnd w:id="133"/>
      <w:bookmarkEnd w:id="134"/>
      <w:bookmarkEnd w:id="135"/>
    </w:p>
    <w:p>
      <w:pPr>
        <w:pStyle w:val="MiscellaneousBody"/>
        <w:rPr>
          <w:rFonts w:ascii="Arial" w:hAnsi="Arial" w:cs="Arial"/>
          <w:sz w:val="18"/>
          <w:szCs w:val="18"/>
        </w:rPr>
      </w:pPr>
      <w:r>
        <w:rPr>
          <w:rFonts w:ascii="Arial" w:hAnsi="Arial" w:cs="Arial"/>
          <w:sz w:val="18"/>
          <w:szCs w:val="18"/>
        </w:rPr>
        <w:t>This Chapter contains requirements for operating an education and care service. This Chapter is relevant for all services and is aligned with the National Quality Standard.</w:t>
      </w:r>
    </w:p>
    <w:p>
      <w:pPr>
        <w:pStyle w:val="MiscellaneousBody"/>
        <w:rPr>
          <w:rFonts w:ascii="Arial" w:hAnsi="Arial" w:cs="Arial"/>
          <w:sz w:val="18"/>
          <w:szCs w:val="18"/>
        </w:rPr>
      </w:pPr>
      <w:r>
        <w:rPr>
          <w:rFonts w:ascii="Arial" w:hAnsi="Arial" w:cs="Arial"/>
          <w:b/>
          <w:sz w:val="18"/>
          <w:szCs w:val="18"/>
        </w:rPr>
        <w:t>Part 4.1AA</w:t>
      </w:r>
      <w:r>
        <w:rPr>
          <w:rFonts w:ascii="Arial" w:hAnsi="Arial" w:cs="Arial"/>
          <w:sz w:val="18"/>
          <w:szCs w:val="18"/>
        </w:rPr>
        <w:t xml:space="preserve"> sets out a requirement regarding the location of offices of a family day care service.</w:t>
      </w:r>
    </w:p>
    <w:p>
      <w:pPr>
        <w:pStyle w:val="MiscellaneousBody"/>
        <w:rPr>
          <w:rFonts w:ascii="Arial" w:hAnsi="Arial" w:cs="Arial"/>
          <w:sz w:val="18"/>
          <w:szCs w:val="18"/>
        </w:rPr>
      </w:pPr>
      <w:r>
        <w:rPr>
          <w:rFonts w:ascii="Arial" w:hAnsi="Arial" w:cs="Arial"/>
          <w:b/>
          <w:sz w:val="18"/>
          <w:szCs w:val="18"/>
        </w:rPr>
        <w:t>Part 4.1</w:t>
      </w:r>
      <w:r>
        <w:rPr>
          <w:rFonts w:ascii="Arial" w:hAnsi="Arial" w:cs="Arial"/>
          <w:sz w:val="18"/>
          <w:szCs w:val="18"/>
        </w:rPr>
        <w:t xml:space="preserve"> sets out requirements for an educational program and practice for a service. The regulations in this Part are relevant to quality area 1 of the National Standard.</w:t>
      </w:r>
    </w:p>
    <w:p>
      <w:pPr>
        <w:pStyle w:val="MiscellaneousBody"/>
        <w:rPr>
          <w:rFonts w:ascii="Arial" w:hAnsi="Arial" w:cs="Arial"/>
          <w:sz w:val="18"/>
          <w:szCs w:val="18"/>
        </w:rPr>
      </w:pPr>
      <w:r>
        <w:rPr>
          <w:rFonts w:ascii="Arial" w:hAnsi="Arial" w:cs="Arial"/>
          <w:b/>
          <w:sz w:val="18"/>
          <w:szCs w:val="18"/>
        </w:rPr>
        <w:t>Part 4.2</w:t>
      </w:r>
      <w:r>
        <w:rPr>
          <w:rFonts w:ascii="Arial" w:hAnsi="Arial" w:cs="Arial"/>
          <w:sz w:val="18"/>
          <w:szCs w:val="18"/>
        </w:rPr>
        <w:t xml:space="preserve"> sets out requirements for services relating to children’s health and safety. The regulations in this Part are relevant to quality area 2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requirements to be put in place for the health, safety and wellbeing of children.</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requirements for policies and procedures relating to incidents, injuries, trauma and illness.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requirements for a medical conditions policy and medication procedures.</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sets out matters relating to the administration of medication.</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sets out matters relating to emergencies and communication.</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sets out requirements for collection of children from premises and excursions.</w:t>
      </w:r>
    </w:p>
    <w:p>
      <w:pPr>
        <w:pStyle w:val="MiscellaneousBody"/>
        <w:rPr>
          <w:rFonts w:ascii="Arial" w:hAnsi="Arial" w:cs="Arial"/>
          <w:sz w:val="18"/>
          <w:szCs w:val="18"/>
        </w:rPr>
      </w:pPr>
      <w:r>
        <w:rPr>
          <w:rFonts w:ascii="Arial" w:hAnsi="Arial" w:cs="Arial"/>
          <w:b/>
          <w:sz w:val="18"/>
          <w:szCs w:val="18"/>
        </w:rPr>
        <w:t>Part 4.3</w:t>
      </w:r>
      <w:r>
        <w:rPr>
          <w:rFonts w:ascii="Arial" w:hAnsi="Arial" w:cs="Arial"/>
          <w:sz w:val="18"/>
          <w:szCs w:val="18"/>
        </w:rPr>
        <w:t xml:space="preserve"> sets out the physical environment requirements for services. These requirements may differ depending on whether the service is a centre</w:t>
      </w:r>
      <w:r>
        <w:rPr>
          <w:rFonts w:ascii="Arial" w:hAnsi="Arial" w:cs="Arial"/>
          <w:sz w:val="18"/>
          <w:szCs w:val="18"/>
        </w:rPr>
        <w:noBreakHyphen/>
        <w:t>based service or a family day care service. The regulations in this Part are relevant to quality area 3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the requirements for premises for both centre</w:t>
      </w:r>
      <w:r>
        <w:rPr>
          <w:rFonts w:ascii="Arial" w:hAnsi="Arial" w:cs="Arial"/>
          <w:sz w:val="18"/>
          <w:szCs w:val="18"/>
        </w:rPr>
        <w:noBreakHyphen/>
        <w:t>based services and family day care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additional requirements for centre</w:t>
      </w:r>
      <w:r>
        <w:rPr>
          <w:rFonts w:ascii="Arial" w:hAnsi="Arial" w:cs="Arial"/>
          <w:sz w:val="18"/>
          <w:szCs w:val="18"/>
        </w:rPr>
        <w:noBreakHyphen/>
        <w:t>based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the additional requirements for family day care services.</w:t>
      </w:r>
    </w:p>
    <w:p>
      <w:pPr>
        <w:pStyle w:val="MiscellaneousBody"/>
        <w:keepNext/>
        <w:rPr>
          <w:rFonts w:ascii="Arial" w:hAnsi="Arial" w:cs="Arial"/>
          <w:sz w:val="18"/>
          <w:szCs w:val="18"/>
        </w:rPr>
      </w:pPr>
      <w:r>
        <w:rPr>
          <w:rFonts w:ascii="Arial" w:hAnsi="Arial" w:cs="Arial"/>
          <w:b/>
          <w:sz w:val="18"/>
          <w:szCs w:val="18"/>
        </w:rPr>
        <w:lastRenderedPageBreak/>
        <w:t>Part 4.3A</w:t>
      </w:r>
      <w:r>
        <w:rPr>
          <w:rFonts w:ascii="Arial" w:hAnsi="Arial" w:cs="Arial"/>
          <w:sz w:val="18"/>
          <w:szCs w:val="18"/>
        </w:rPr>
        <w:t xml:space="preserve"> sets out the minimum requirements for persons in day</w:t>
      </w:r>
      <w:r>
        <w:rPr>
          <w:rFonts w:ascii="Arial" w:hAnsi="Arial" w:cs="Arial"/>
          <w:sz w:val="18"/>
          <w:szCs w:val="18"/>
        </w:rPr>
        <w:noBreakHyphen/>
        <w:t>to</w:t>
      </w:r>
      <w:r>
        <w:rPr>
          <w:rFonts w:ascii="Arial" w:hAnsi="Arial" w:cs="Arial"/>
          <w:sz w:val="18"/>
          <w:szCs w:val="18"/>
        </w:rPr>
        <w:noBreakHyphen/>
        <w:t>day charge and nominated supervisors.</w:t>
      </w:r>
    </w:p>
    <w:p>
      <w:pPr>
        <w:pStyle w:val="MiscellaneousBody"/>
        <w:rPr>
          <w:rFonts w:ascii="Arial" w:hAnsi="Arial" w:cs="Arial"/>
          <w:sz w:val="18"/>
          <w:szCs w:val="18"/>
        </w:rPr>
      </w:pPr>
      <w:r>
        <w:rPr>
          <w:rFonts w:ascii="Arial" w:hAnsi="Arial" w:cs="Arial"/>
          <w:b/>
          <w:sz w:val="18"/>
          <w:szCs w:val="18"/>
        </w:rPr>
        <w:t>Part 4.4</w:t>
      </w:r>
      <w:r>
        <w:rPr>
          <w:rFonts w:ascii="Arial" w:hAnsi="Arial" w:cs="Arial"/>
          <w:sz w:val="18"/>
          <w:szCs w:val="18"/>
        </w:rP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rPr>
          <w:rFonts w:ascii="Arial" w:hAnsi="Arial" w:cs="Arial"/>
          <w:sz w:val="18"/>
          <w:szCs w:val="18"/>
        </w:rPr>
      </w:pPr>
      <w:r>
        <w:rPr>
          <w:rFonts w:ascii="Arial" w:hAnsi="Arial" w:cs="Arial"/>
          <w:b/>
          <w:sz w:val="18"/>
          <w:szCs w:val="18"/>
        </w:rPr>
        <w:t>Part 4.5</w:t>
      </w:r>
      <w:r>
        <w:rPr>
          <w:rFonts w:ascii="Arial" w:hAnsi="Arial" w:cs="Arial"/>
          <w:sz w:val="18"/>
          <w:szCs w:val="18"/>
        </w:rPr>
        <w:t xml:space="preserve"> sets out provisions relating to relationships between children and educators. The regulations in this Part are relevant to quality area 5 of the National Standard.</w:t>
      </w:r>
    </w:p>
    <w:p>
      <w:pPr>
        <w:pStyle w:val="MiscellaneousBody"/>
        <w:rPr>
          <w:rFonts w:ascii="Arial" w:hAnsi="Arial" w:cs="Arial"/>
          <w:sz w:val="18"/>
          <w:szCs w:val="18"/>
        </w:rPr>
      </w:pPr>
      <w:r>
        <w:rPr>
          <w:rFonts w:ascii="Arial" w:hAnsi="Arial" w:cs="Arial"/>
          <w:b/>
          <w:sz w:val="18"/>
          <w:szCs w:val="18"/>
        </w:rPr>
        <w:t>Part 4.6</w:t>
      </w:r>
      <w:r>
        <w:rPr>
          <w:rFonts w:ascii="Arial" w:hAnsi="Arial" w:cs="Arial"/>
          <w:sz w:val="18"/>
          <w:szCs w:val="18"/>
        </w:rPr>
        <w:t xml:space="preserve"> sets out a requirement for services to have collaborative relationships with families. The regulations in this Part are relevant to quality area 6 of the National Standard.</w:t>
      </w:r>
    </w:p>
    <w:p>
      <w:pPr>
        <w:pStyle w:val="MiscellaneousBody"/>
        <w:rPr>
          <w:rFonts w:ascii="Arial" w:hAnsi="Arial" w:cs="Arial"/>
          <w:sz w:val="18"/>
          <w:szCs w:val="18"/>
        </w:rPr>
      </w:pPr>
      <w:r>
        <w:rPr>
          <w:rFonts w:ascii="Arial" w:hAnsi="Arial" w:cs="Arial"/>
          <w:b/>
          <w:sz w:val="18"/>
          <w:szCs w:val="18"/>
        </w:rPr>
        <w:t>Part 4.7</w:t>
      </w:r>
      <w:r>
        <w:rPr>
          <w:rFonts w:ascii="Arial" w:hAnsi="Arial" w:cs="Arial"/>
          <w:sz w:val="18"/>
          <w:szCs w:val="18"/>
        </w:rPr>
        <w:t xml:space="preserve"> sets out matters relating to management and leadership in services. The regulations in this Part are relevant to quality area 7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matters relating to the management of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matters relating to policies and procedures for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information and record</w:t>
      </w:r>
      <w:r>
        <w:rPr>
          <w:rFonts w:ascii="Arial" w:hAnsi="Arial" w:cs="Arial"/>
          <w:sz w:val="18"/>
          <w:szCs w:val="18"/>
        </w:rPr>
        <w:noBreakHyphen/>
        <w:t>keeping requirements.</w:t>
      </w:r>
    </w:p>
    <w:p>
      <w:pPr>
        <w:pStyle w:val="Heading3"/>
      </w:pPr>
      <w:bookmarkStart w:id="136" w:name="_Toc109740560"/>
      <w:bookmarkStart w:id="137" w:name="_Toc109741389"/>
      <w:bookmarkStart w:id="138" w:name="_Toc109832984"/>
      <w:r>
        <w:rPr>
          <w:rStyle w:val="CharDivNo"/>
        </w:rPr>
        <w:t>Part 4.1AA</w:t>
      </w:r>
      <w:r>
        <w:t> — </w:t>
      </w:r>
      <w:r>
        <w:rPr>
          <w:rStyle w:val="CharDivText"/>
        </w:rPr>
        <w:t>Location of principal office</w:t>
      </w:r>
      <w:bookmarkEnd w:id="136"/>
      <w:bookmarkEnd w:id="137"/>
      <w:bookmarkEnd w:id="138"/>
    </w:p>
    <w:p>
      <w:pPr>
        <w:pStyle w:val="Footnoteheading"/>
      </w:pPr>
      <w:r>
        <w:tab/>
        <w:t>[Heading inserted: Gazette 28 Sep 2018 p. 3618.]</w:t>
      </w:r>
    </w:p>
    <w:p>
      <w:pPr>
        <w:pStyle w:val="Heading5"/>
      </w:pPr>
      <w:bookmarkStart w:id="139" w:name="_Toc109832985"/>
      <w:r>
        <w:rPr>
          <w:rStyle w:val="CharSectno"/>
        </w:rPr>
        <w:t>72A</w:t>
      </w:r>
      <w:r>
        <w:t>.</w:t>
      </w:r>
      <w:r>
        <w:tab/>
        <w:t>Location of principal office of family day care service</w:t>
      </w:r>
      <w:bookmarkEnd w:id="139"/>
    </w:p>
    <w:p>
      <w:pPr>
        <w:pStyle w:val="Subsection"/>
      </w:pPr>
      <w:r>
        <w:tab/>
      </w:r>
      <w:r>
        <w:tab/>
        <w:t>The principal office of an approved family day care service must be located within the jurisdiction in which the service approval for the service is granted.</w:t>
      </w:r>
    </w:p>
    <w:p>
      <w:pPr>
        <w:pStyle w:val="Penstart"/>
      </w:pPr>
      <w:r>
        <w:tab/>
        <w:t>Penalty: $2 000.</w:t>
      </w:r>
    </w:p>
    <w:p>
      <w:pPr>
        <w:pStyle w:val="Footnotesection"/>
      </w:pPr>
      <w:r>
        <w:tab/>
        <w:t>[Regulation 72A inserted: Gazette 28 Sep 2018 p. 3618.]</w:t>
      </w:r>
    </w:p>
    <w:p>
      <w:pPr>
        <w:pStyle w:val="Heading3"/>
      </w:pPr>
      <w:bookmarkStart w:id="140" w:name="_Toc109740562"/>
      <w:bookmarkStart w:id="141" w:name="_Toc109741391"/>
      <w:bookmarkStart w:id="142" w:name="_Toc109832986"/>
      <w:r>
        <w:rPr>
          <w:rStyle w:val="CharDivNo"/>
        </w:rPr>
        <w:lastRenderedPageBreak/>
        <w:t>Part 4.1</w:t>
      </w:r>
      <w:r>
        <w:t> — </w:t>
      </w:r>
      <w:r>
        <w:rPr>
          <w:rStyle w:val="CharDivText"/>
        </w:rPr>
        <w:t>Educational program and practice</w:t>
      </w:r>
      <w:bookmarkEnd w:id="140"/>
      <w:bookmarkEnd w:id="141"/>
      <w:bookmarkEnd w:id="142"/>
    </w:p>
    <w:p>
      <w:pPr>
        <w:pStyle w:val="Heading5"/>
      </w:pPr>
      <w:bookmarkStart w:id="143" w:name="_Toc109832987"/>
      <w:r>
        <w:rPr>
          <w:rStyle w:val="CharSectno"/>
        </w:rPr>
        <w:t>73</w:t>
      </w:r>
      <w:r>
        <w:t>.</w:t>
      </w:r>
      <w:r>
        <w:tab/>
        <w:t>Educational program</w:t>
      </w:r>
      <w:bookmarkEnd w:id="143"/>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144" w:name="_Toc109832988"/>
      <w:r>
        <w:rPr>
          <w:rStyle w:val="CharSectno"/>
        </w:rPr>
        <w:t>74</w:t>
      </w:r>
      <w:r>
        <w:t>.</w:t>
      </w:r>
      <w:r>
        <w:tab/>
        <w:t>Documenting of child assessments or evaluations for delivery of educational program</w:t>
      </w:r>
      <w:bookmarkEnd w:id="144"/>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evaluations of the child’s wellbeing, development and learning.</w:t>
      </w:r>
    </w:p>
    <w:p>
      <w:pPr>
        <w:pStyle w:val="Subsection"/>
        <w:keepNext/>
      </w:pPr>
      <w:r>
        <w:lastRenderedPageBreak/>
        <w:tab/>
        <w:t>(2)</w:t>
      </w:r>
      <w:r>
        <w:tab/>
        <w:t xml:space="preserve">In preparing the documentation, the approved provider must — </w:t>
      </w:r>
    </w:p>
    <w:p>
      <w:pPr>
        <w:pStyle w:val="Indenta"/>
        <w:keepNext/>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145" w:name="_Toc109832989"/>
      <w:r>
        <w:rPr>
          <w:rStyle w:val="CharSectno"/>
        </w:rPr>
        <w:t>75</w:t>
      </w:r>
      <w:r>
        <w:t>.</w:t>
      </w:r>
      <w:r>
        <w:tab/>
        <w:t>Information about educational program to be kept available</w:t>
      </w:r>
      <w:bookmarkEnd w:id="145"/>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lastRenderedPageBreak/>
        <w:tab/>
        <w:t>2.</w:t>
      </w:r>
      <w:r>
        <w:tab/>
        <w:t>This regulation differs from regulation 75 of the national regulations made by the Ministerial Council.</w:t>
      </w:r>
    </w:p>
    <w:p>
      <w:pPr>
        <w:pStyle w:val="Footnotesection"/>
      </w:pPr>
      <w:r>
        <w:tab/>
        <w:t>[Regulation 75 amended: Gazette 28 Nov 2014 p. 4404.]</w:t>
      </w:r>
    </w:p>
    <w:p>
      <w:pPr>
        <w:pStyle w:val="Heading5"/>
      </w:pPr>
      <w:bookmarkStart w:id="146" w:name="_Toc109832990"/>
      <w:r>
        <w:rPr>
          <w:rStyle w:val="CharSectno"/>
        </w:rPr>
        <w:t>76</w:t>
      </w:r>
      <w:r>
        <w:t>.</w:t>
      </w:r>
      <w:r>
        <w:tab/>
        <w:t>Information about educational program to be given to parents</w:t>
      </w:r>
      <w:bookmarkEnd w:id="146"/>
      <w:r>
        <w:t xml:space="preserve"> </w:t>
      </w:r>
    </w:p>
    <w:p>
      <w:pPr>
        <w:pStyle w:val="Subsection"/>
        <w:keepNext/>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147" w:name="_Toc109740567"/>
      <w:bookmarkStart w:id="148" w:name="_Toc109741396"/>
      <w:bookmarkStart w:id="149" w:name="_Toc109832991"/>
      <w:r>
        <w:rPr>
          <w:rStyle w:val="CharDivNo"/>
        </w:rPr>
        <w:t>Part 4.2</w:t>
      </w:r>
      <w:r>
        <w:t> — </w:t>
      </w:r>
      <w:r>
        <w:rPr>
          <w:rStyle w:val="CharDivText"/>
        </w:rPr>
        <w:t>Children’s health and safety</w:t>
      </w:r>
      <w:bookmarkEnd w:id="147"/>
      <w:bookmarkEnd w:id="148"/>
      <w:bookmarkEnd w:id="149"/>
    </w:p>
    <w:p>
      <w:pPr>
        <w:pStyle w:val="Heading4"/>
      </w:pPr>
      <w:bookmarkStart w:id="150" w:name="_Toc109740568"/>
      <w:bookmarkStart w:id="151" w:name="_Toc109741397"/>
      <w:bookmarkStart w:id="152" w:name="_Toc109832992"/>
      <w:r>
        <w:t>Division 1 — Health, safety and wellbeing of children</w:t>
      </w:r>
      <w:bookmarkEnd w:id="150"/>
      <w:bookmarkEnd w:id="151"/>
      <w:bookmarkEnd w:id="152"/>
    </w:p>
    <w:p>
      <w:pPr>
        <w:pStyle w:val="Heading5"/>
      </w:pPr>
      <w:bookmarkStart w:id="153" w:name="_Toc109832993"/>
      <w:r>
        <w:rPr>
          <w:rStyle w:val="CharSectno"/>
        </w:rPr>
        <w:t>77</w:t>
      </w:r>
      <w:r>
        <w:t>.</w:t>
      </w:r>
      <w:r>
        <w:tab/>
        <w:t>Health, hygiene and safe food practices</w:t>
      </w:r>
      <w:bookmarkEnd w:id="153"/>
      <w:r>
        <w:t xml:space="preserve"> </w:t>
      </w:r>
    </w:p>
    <w:p>
      <w:pPr>
        <w:pStyle w:val="Subsection"/>
      </w:pPr>
      <w:r>
        <w:tab/>
        <w:t>(1)</w:t>
      </w:r>
      <w:r>
        <w:tab/>
        <w:t xml:space="preserve">The approved provider of an education and care service must ensure that nominated supervisors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lastRenderedPageBreak/>
        <w:tab/>
        <w:t>(2)</w:t>
      </w:r>
      <w:r>
        <w:tab/>
        <w:t xml:space="preserve">A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77 amended: Gazette 28 Sep 2018 p. 3618.]</w:t>
      </w:r>
    </w:p>
    <w:p>
      <w:pPr>
        <w:pStyle w:val="Heading5"/>
      </w:pPr>
      <w:bookmarkStart w:id="154" w:name="_Toc109832994"/>
      <w:r>
        <w:rPr>
          <w:rStyle w:val="CharSectno"/>
        </w:rPr>
        <w:t>78</w:t>
      </w:r>
      <w:r>
        <w:t>.</w:t>
      </w:r>
      <w:r>
        <w:tab/>
        <w:t>Food and beverages</w:t>
      </w:r>
      <w:bookmarkEnd w:id="154"/>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keepNext/>
      </w:pPr>
      <w:r>
        <w:lastRenderedPageBreak/>
        <w:tab/>
        <w:t>(2)</w:t>
      </w:r>
      <w:r>
        <w:tab/>
        <w:t xml:space="preserve">A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78 amended: Gazette 28 Sep 2018 p. 3618.]</w:t>
      </w:r>
    </w:p>
    <w:p>
      <w:pPr>
        <w:pStyle w:val="Heading5"/>
      </w:pPr>
      <w:bookmarkStart w:id="155" w:name="_Toc109832995"/>
      <w:r>
        <w:rPr>
          <w:rStyle w:val="CharSectno"/>
        </w:rPr>
        <w:t>79</w:t>
      </w:r>
      <w:r>
        <w:t>.</w:t>
      </w:r>
      <w:r>
        <w:tab/>
        <w:t>Service providing food and beverages</w:t>
      </w:r>
      <w:bookmarkEnd w:id="155"/>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lastRenderedPageBreak/>
        <w:tab/>
        <w:t>(2)</w:t>
      </w:r>
      <w:r>
        <w:tab/>
        <w:t xml:space="preserve">A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79 amended: Gazette 28 Sep 2018 p. 3619.]</w:t>
      </w:r>
    </w:p>
    <w:p>
      <w:pPr>
        <w:pStyle w:val="Heading5"/>
      </w:pPr>
      <w:bookmarkStart w:id="156" w:name="_Toc109832996"/>
      <w:r>
        <w:rPr>
          <w:rStyle w:val="CharSectno"/>
        </w:rPr>
        <w:lastRenderedPageBreak/>
        <w:t>80</w:t>
      </w:r>
      <w:r>
        <w:t>.</w:t>
      </w:r>
      <w:r>
        <w:tab/>
        <w:t>Weekly menu</w:t>
      </w:r>
      <w:bookmarkEnd w:id="156"/>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t xml:space="preserve">A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family members of children being educated and cared for by the service; and</w:t>
      </w:r>
    </w:p>
    <w:p>
      <w:pPr>
        <w:pStyle w:val="Indenta"/>
      </w:pPr>
      <w:r>
        <w:tab/>
        <w:t>(b)</w:t>
      </w:r>
      <w:r>
        <w:tab/>
        <w:t>accurately describes the food and beverages to be provided by the family day care educator each day.</w:t>
      </w:r>
    </w:p>
    <w:p>
      <w:pPr>
        <w:pStyle w:val="Penstart"/>
      </w:pPr>
      <w:r>
        <w:tab/>
        <w:t>Penalty: $1000.</w:t>
      </w:r>
    </w:p>
    <w:p>
      <w:pPr>
        <w:pStyle w:val="Subsection"/>
      </w:pPr>
      <w:r>
        <w:lastRenderedPageBreak/>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Gazette 28 Nov 2014 p. 4404; 28 Sep 2018 p. 3619.]</w:t>
      </w:r>
    </w:p>
    <w:p>
      <w:pPr>
        <w:pStyle w:val="Heading5"/>
      </w:pPr>
      <w:bookmarkStart w:id="157" w:name="_Toc109832997"/>
      <w:r>
        <w:rPr>
          <w:rStyle w:val="CharSectno"/>
        </w:rPr>
        <w:t>81</w:t>
      </w:r>
      <w:r>
        <w:t>.</w:t>
      </w:r>
      <w:r>
        <w:tab/>
        <w:t>Sleep and rest</w:t>
      </w:r>
      <w:bookmarkEnd w:id="157"/>
      <w:r>
        <w:t xml:space="preserve"> </w:t>
      </w:r>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(2)</w:t>
      </w:r>
      <w:r>
        <w:tab/>
        <w:t>A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81 amended: Gazette 28 Sep 2018 p. 3619.]</w:t>
      </w:r>
    </w:p>
    <w:p>
      <w:pPr>
        <w:pStyle w:val="Heading5"/>
      </w:pPr>
      <w:bookmarkStart w:id="158" w:name="_Toc109832998"/>
      <w:r>
        <w:rPr>
          <w:rStyle w:val="CharSectno"/>
        </w:rPr>
        <w:lastRenderedPageBreak/>
        <w:t>82</w:t>
      </w:r>
      <w:r>
        <w:t>.</w:t>
      </w:r>
      <w:r>
        <w:tab/>
        <w:t>Tobacco, drug and alcohol</w:t>
      </w:r>
      <w:r>
        <w:noBreakHyphen/>
        <w:t>free environment</w:t>
      </w:r>
      <w:bookmarkEnd w:id="158"/>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159" w:name="_Toc109832999"/>
      <w:r>
        <w:rPr>
          <w:rStyle w:val="CharSectno"/>
        </w:rPr>
        <w:t>83</w:t>
      </w:r>
      <w:r>
        <w:t>.</w:t>
      </w:r>
      <w:r>
        <w:tab/>
        <w:t>Staff members and family day care educators not to be affected by alcohol or drugs</w:t>
      </w:r>
      <w:bookmarkEnd w:id="159"/>
      <w:r>
        <w:t xml:space="preserve"> </w:t>
      </w:r>
    </w:p>
    <w:p>
      <w:pPr>
        <w:pStyle w:val="Subsection"/>
      </w:pPr>
      <w:r>
        <w:tab/>
        <w:t>(1)</w:t>
      </w:r>
      <w:r>
        <w:tab/>
        <w:t>The approved provider of an education and care service must ensure that a nominated supervisor or a staff member of, or volunteer at, the service is not affected by alcohol or drugs (including prescription medication) so as to impair the person’s capacity to supervise or provide education and care to children being educated and cared for by the service.</w:t>
      </w:r>
    </w:p>
    <w:p>
      <w:pPr>
        <w:pStyle w:val="Penstart"/>
      </w:pPr>
      <w:r>
        <w:tab/>
        <w:t>Penalty: $2000.</w:t>
      </w:r>
    </w:p>
    <w:p>
      <w:pPr>
        <w:pStyle w:val="Subsection"/>
      </w:pPr>
      <w:r>
        <w:tab/>
        <w:t>(2)</w:t>
      </w:r>
      <w:r>
        <w:tab/>
        <w:t xml:space="preserve">A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the supervisor’s capacity to supervise or provide education and care to the children.</w:t>
      </w:r>
    </w:p>
    <w:p>
      <w:pPr>
        <w:pStyle w:val="Penstart"/>
      </w:pPr>
      <w:r>
        <w:tab/>
        <w:t>Penalty: $2000.</w:t>
      </w:r>
    </w:p>
    <w:p>
      <w:pPr>
        <w:pStyle w:val="Subsection"/>
        <w:keepNext/>
      </w:pPr>
      <w:r>
        <w:lastRenderedPageBreak/>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the educator’s capacity to provide education and care to the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83 amended: Gazette 28 Sep 2018 p. 3619</w:t>
      </w:r>
      <w:r>
        <w:noBreakHyphen/>
        <w:t>20.]</w:t>
      </w:r>
    </w:p>
    <w:p>
      <w:pPr>
        <w:pStyle w:val="Heading5"/>
      </w:pPr>
      <w:bookmarkStart w:id="160" w:name="_Toc109833000"/>
      <w:r>
        <w:rPr>
          <w:rStyle w:val="CharSectno"/>
        </w:rPr>
        <w:t>84</w:t>
      </w:r>
      <w:r>
        <w:t>.</w:t>
      </w:r>
      <w:r>
        <w:tab/>
        <w:t>Awareness of child protection law</w:t>
      </w:r>
      <w:bookmarkEnd w:id="160"/>
      <w:r>
        <w:t xml:space="preserve"> </w:t>
      </w:r>
    </w:p>
    <w:p>
      <w:pPr>
        <w:pStyle w:val="Subsection"/>
      </w:pPr>
      <w:r>
        <w:tab/>
      </w:r>
      <w:r>
        <w:tab/>
        <w:t xml:space="preserve">The approved provider of an education and care service must ensure that nominated supervisors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84 amended: Gazette 28 Sep 2018 p. 3620.]</w:t>
      </w:r>
    </w:p>
    <w:p>
      <w:pPr>
        <w:pStyle w:val="Heading4"/>
      </w:pPr>
      <w:bookmarkStart w:id="161" w:name="_Toc109740577"/>
      <w:bookmarkStart w:id="162" w:name="_Toc109741406"/>
      <w:bookmarkStart w:id="163" w:name="_Toc109833001"/>
      <w:r>
        <w:t>Division 2 — Incidents, injury, trauma and illness</w:t>
      </w:r>
      <w:bookmarkEnd w:id="161"/>
      <w:bookmarkEnd w:id="162"/>
      <w:bookmarkEnd w:id="163"/>
    </w:p>
    <w:p>
      <w:pPr>
        <w:pStyle w:val="Heading5"/>
      </w:pPr>
      <w:bookmarkStart w:id="164" w:name="_Toc109833002"/>
      <w:r>
        <w:rPr>
          <w:rStyle w:val="CharSectno"/>
        </w:rPr>
        <w:t>85</w:t>
      </w:r>
      <w:r>
        <w:t>.</w:t>
      </w:r>
      <w:r>
        <w:tab/>
        <w:t>Incident, injury, trauma and illness policies and procedures</w:t>
      </w:r>
      <w:bookmarkEnd w:id="164"/>
      <w:r>
        <w:t xml:space="preserve"> </w:t>
      </w:r>
    </w:p>
    <w:p>
      <w:pPr>
        <w:pStyle w:val="Subsection"/>
        <w:keepNext/>
      </w:pPr>
      <w:r>
        <w:tab/>
      </w:r>
      <w:r>
        <w:tab/>
        <w:t xml:space="preserve">The incident, injury, trauma and illness policies and procedures of an education and care service required under regulation 168 must include procedures to be followed by nominated </w:t>
      </w:r>
      <w:r>
        <w:lastRenderedPageBreak/>
        <w:t xml:space="preserve">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165" w:name="_Toc109833003"/>
      <w:r>
        <w:rPr>
          <w:rStyle w:val="CharSectno"/>
        </w:rPr>
        <w:t>86</w:t>
      </w:r>
      <w:r>
        <w:t>.</w:t>
      </w:r>
      <w:r>
        <w:tab/>
        <w:t>Notification to parents of incident, injury, trauma and illness</w:t>
      </w:r>
      <w:bookmarkEnd w:id="165"/>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Gazette 28 Nov 2014 p. 4404.]</w:t>
      </w:r>
    </w:p>
    <w:p>
      <w:pPr>
        <w:pStyle w:val="Heading5"/>
      </w:pPr>
      <w:bookmarkStart w:id="166" w:name="_Toc109833004"/>
      <w:r>
        <w:rPr>
          <w:rStyle w:val="CharSectno"/>
        </w:rPr>
        <w:t>87</w:t>
      </w:r>
      <w:r>
        <w:t>.</w:t>
      </w:r>
      <w:r>
        <w:tab/>
        <w:t>Incident, injury, trauma and illness record</w:t>
      </w:r>
      <w:bookmarkEnd w:id="166"/>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w:t>
      </w:r>
      <w:r>
        <w:lastRenderedPageBreak/>
        <w:t xml:space="preserve">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keepNext/>
      </w:pPr>
      <w:r>
        <w:tab/>
        <w:t>(e)</w:t>
      </w:r>
      <w:r>
        <w:tab/>
        <w:t xml:space="preserve">the name of any person — </w:t>
      </w:r>
    </w:p>
    <w:p>
      <w:pPr>
        <w:pStyle w:val="Indenti"/>
      </w:pPr>
      <w:r>
        <w:tab/>
        <w:t>(i)</w:t>
      </w:r>
      <w:r>
        <w:tab/>
        <w:t xml:space="preserve">whom the education and care service notified or attempted to notify, of any incident, injury, trauma or illness which a child has suffered while </w:t>
      </w:r>
      <w:r>
        <w:lastRenderedPageBreak/>
        <w:t>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167" w:name="_Toc109833005"/>
      <w:r>
        <w:rPr>
          <w:rStyle w:val="CharSectno"/>
        </w:rPr>
        <w:t>88</w:t>
      </w:r>
      <w:r>
        <w:t>.</w:t>
      </w:r>
      <w:r>
        <w:tab/>
        <w:t>Infectious diseases</w:t>
      </w:r>
      <w:bookmarkEnd w:id="167"/>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keepNext/>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168" w:name="_Toc109833006"/>
      <w:r>
        <w:rPr>
          <w:rStyle w:val="CharSectno"/>
        </w:rPr>
        <w:lastRenderedPageBreak/>
        <w:t>89</w:t>
      </w:r>
      <w:r>
        <w:t>.</w:t>
      </w:r>
      <w:r>
        <w:tab/>
        <w:t>First aid kits</w:t>
      </w:r>
      <w:bookmarkEnd w:id="168"/>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169" w:name="_Toc109740583"/>
      <w:bookmarkStart w:id="170" w:name="_Toc109741412"/>
      <w:bookmarkStart w:id="171" w:name="_Toc109833007"/>
      <w:r>
        <w:t>Division 3 — Medical conditions policy</w:t>
      </w:r>
      <w:bookmarkEnd w:id="169"/>
      <w:bookmarkEnd w:id="170"/>
      <w:bookmarkEnd w:id="171"/>
    </w:p>
    <w:p>
      <w:pPr>
        <w:pStyle w:val="Heading5"/>
      </w:pPr>
      <w:bookmarkStart w:id="172" w:name="_Toc109833008"/>
      <w:r>
        <w:rPr>
          <w:rStyle w:val="CharSectno"/>
        </w:rPr>
        <w:t>90</w:t>
      </w:r>
      <w:r>
        <w:t>.</w:t>
      </w:r>
      <w:r>
        <w:tab/>
        <w:t>Medical conditions policy</w:t>
      </w:r>
      <w:bookmarkEnd w:id="172"/>
      <w:r>
        <w:t xml:space="preserve"> </w:t>
      </w:r>
    </w:p>
    <w:p>
      <w:pPr>
        <w:pStyle w:val="Subsection"/>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nominated supervisors and staff members of, and volunteers at, the service of practices in relation to managing those medical conditions;</w:t>
      </w:r>
    </w:p>
    <w:p>
      <w:pPr>
        <w:pStyle w:val="Indenta"/>
      </w:pPr>
      <w:r>
        <w:lastRenderedPageBreak/>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 xml:space="preserve">if relevant, to ensure that practices and procedures ensuring that the child does not attend the service without </w:t>
      </w:r>
      <w:r>
        <w:lastRenderedPageBreak/>
        <w:t>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Footnotesection"/>
      </w:pPr>
      <w:r>
        <w:tab/>
        <w:t>[Regulation 90 amended: Gazette 28 Sep 2018 p. 3620.]</w:t>
      </w:r>
    </w:p>
    <w:p>
      <w:pPr>
        <w:pStyle w:val="Heading5"/>
      </w:pPr>
      <w:bookmarkStart w:id="173" w:name="_Toc109833009"/>
      <w:r>
        <w:rPr>
          <w:rStyle w:val="CharSectno"/>
        </w:rPr>
        <w:t>91</w:t>
      </w:r>
      <w:r>
        <w:t>.</w:t>
      </w:r>
      <w:r>
        <w:tab/>
        <w:t>Medical conditions policy to be provided to parents</w:t>
      </w:r>
      <w:bookmarkEnd w:id="173"/>
      <w:r>
        <w:t xml:space="preserve"> </w:t>
      </w:r>
    </w:p>
    <w:p>
      <w:pPr>
        <w:pStyle w:val="Subsection"/>
        <w:keepNext/>
      </w:pPr>
      <w:r>
        <w:tab/>
      </w:r>
      <w:r>
        <w:tab/>
        <w:t xml:space="preserve">The approved provider of an education and care service must ensure that a copy of the medical conditions policy document is provided to the parent of a child enrolled at an education and </w:t>
      </w:r>
      <w:r>
        <w:lastRenderedPageBreak/>
        <w:t>care service if the provider is aware that the child has a specific health care need, allergy or other relevant medical condition.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74" w:name="_Toc109740586"/>
      <w:bookmarkStart w:id="175" w:name="_Toc109741415"/>
      <w:bookmarkStart w:id="176" w:name="_Toc109833010"/>
      <w:r>
        <w:t>Division 4 — Administration of medication</w:t>
      </w:r>
      <w:bookmarkEnd w:id="174"/>
      <w:bookmarkEnd w:id="175"/>
      <w:bookmarkEnd w:id="176"/>
    </w:p>
    <w:p>
      <w:pPr>
        <w:pStyle w:val="Heading5"/>
      </w:pPr>
      <w:bookmarkStart w:id="177" w:name="_Toc109833011"/>
      <w:r>
        <w:rPr>
          <w:rStyle w:val="CharSectno"/>
        </w:rPr>
        <w:t>92</w:t>
      </w:r>
      <w:r>
        <w:t>.</w:t>
      </w:r>
      <w:r>
        <w:tab/>
        <w:t>Medication record</w:t>
      </w:r>
      <w:bookmarkEnd w:id="177"/>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lastRenderedPageBreak/>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Gazette 28 Nov 2014 p. 4404.]</w:t>
      </w:r>
    </w:p>
    <w:p>
      <w:pPr>
        <w:pStyle w:val="Heading5"/>
      </w:pPr>
      <w:bookmarkStart w:id="178" w:name="_Toc109833012"/>
      <w:r>
        <w:rPr>
          <w:rStyle w:val="CharSectno"/>
        </w:rPr>
        <w:t>93</w:t>
      </w:r>
      <w:r>
        <w:t>.</w:t>
      </w:r>
      <w:r>
        <w:tab/>
        <w:t>Administration of medication</w:t>
      </w:r>
      <w:bookmarkEnd w:id="178"/>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t xml:space="preserve">A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lastRenderedPageBreak/>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spacing w:before="50"/>
      </w:pPr>
      <w:r>
        <w:tab/>
        <w:t>(ii)</w:t>
      </w:r>
      <w:r>
        <w:tab/>
        <w:t>if a parent or person named in the enrolment record cannot reasonably be contacted in the circumstances, a registered medical practitioner or an emergency service.</w:t>
      </w:r>
    </w:p>
    <w:p>
      <w:pPr>
        <w:pStyle w:val="Footnotesection"/>
      </w:pPr>
      <w:r>
        <w:tab/>
        <w:t>[Regulation 93 amended: Gazette 28 Sep 2018 p. 3620.]</w:t>
      </w:r>
    </w:p>
    <w:p>
      <w:pPr>
        <w:pStyle w:val="Heading5"/>
        <w:spacing w:before="200"/>
      </w:pPr>
      <w:bookmarkStart w:id="179" w:name="_Toc109833013"/>
      <w:r>
        <w:rPr>
          <w:rStyle w:val="CharSectno"/>
        </w:rPr>
        <w:t>94</w:t>
      </w:r>
      <w:r>
        <w:t>.</w:t>
      </w:r>
      <w:r>
        <w:tab/>
        <w:t>Exception to authorisation requirement — anaphylaxis or asthma emergency</w:t>
      </w:r>
      <w:bookmarkEnd w:id="179"/>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keepNext/>
        <w:spacing w:before="120"/>
      </w:pPr>
      <w:r>
        <w:tab/>
        <w:t>(2)</w:t>
      </w:r>
      <w:r>
        <w:tab/>
        <w:t xml:space="preserve">If medication is administered under this regulation, the approved provider or a nominated supervisor of the education and care </w:t>
      </w:r>
      <w:r>
        <w:lastRenderedPageBreak/>
        <w:t xml:space="preserve">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Gazette 28 Nov 2014 p. 4405; 28 Sep 2018 p. 3621.]</w:t>
      </w:r>
    </w:p>
    <w:p>
      <w:pPr>
        <w:pStyle w:val="Heading5"/>
      </w:pPr>
      <w:bookmarkStart w:id="180" w:name="_Toc109833014"/>
      <w:r>
        <w:rPr>
          <w:rStyle w:val="CharSectno"/>
        </w:rPr>
        <w:t>95</w:t>
      </w:r>
      <w:r>
        <w:t>.</w:t>
      </w:r>
      <w:r>
        <w:tab/>
        <w:t>Procedure for administration of medication</w:t>
      </w:r>
      <w:bookmarkEnd w:id="180"/>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lastRenderedPageBreak/>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181" w:name="_Toc109833015"/>
      <w:r>
        <w:rPr>
          <w:rStyle w:val="CharSectno"/>
        </w:rPr>
        <w:t>96</w:t>
      </w:r>
      <w:r>
        <w:t>.</w:t>
      </w:r>
      <w:r>
        <w:tab/>
        <w:t>Self</w:t>
      </w:r>
      <w:r>
        <w:noBreakHyphen/>
        <w:t>administration of medication</w:t>
      </w:r>
      <w:bookmarkEnd w:id="181"/>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182" w:name="_Toc109740592"/>
      <w:bookmarkStart w:id="183" w:name="_Toc109741421"/>
      <w:bookmarkStart w:id="184" w:name="_Toc109833016"/>
      <w:r>
        <w:t>Division 5 — Emergencies and communication</w:t>
      </w:r>
      <w:bookmarkEnd w:id="182"/>
      <w:bookmarkEnd w:id="183"/>
      <w:bookmarkEnd w:id="184"/>
    </w:p>
    <w:p>
      <w:pPr>
        <w:pStyle w:val="Heading5"/>
      </w:pPr>
      <w:bookmarkStart w:id="185" w:name="_Toc109833017"/>
      <w:r>
        <w:rPr>
          <w:rStyle w:val="CharSectno"/>
        </w:rPr>
        <w:t>97</w:t>
      </w:r>
      <w:r>
        <w:t>.</w:t>
      </w:r>
      <w:r>
        <w:tab/>
        <w:t>Emergency and evacuation procedures</w:t>
      </w:r>
      <w:bookmarkEnd w:id="185"/>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lastRenderedPageBreak/>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(3) or (4).</w:t>
      </w:r>
    </w:p>
    <w:p>
      <w:pPr>
        <w:pStyle w:val="Footnotesection"/>
      </w:pPr>
      <w:r>
        <w:tab/>
        <w:t>[Regulation 97 amended: Gazette 13 Dec 2013 p.</w:t>
      </w:r>
      <w:r>
        <w:rPr>
          <w:sz w:val="19"/>
        </w:rPr>
        <w:t> </w:t>
      </w:r>
      <w:r>
        <w:t>6158</w:t>
      </w:r>
      <w:r>
        <w:noBreakHyphen/>
        <w:t>9.]</w:t>
      </w:r>
    </w:p>
    <w:p>
      <w:pPr>
        <w:pStyle w:val="Heading5"/>
      </w:pPr>
      <w:bookmarkStart w:id="186" w:name="_Toc109833018"/>
      <w:r>
        <w:rPr>
          <w:rStyle w:val="CharSectno"/>
        </w:rPr>
        <w:t>98</w:t>
      </w:r>
      <w:r>
        <w:t>.</w:t>
      </w:r>
      <w:r>
        <w:tab/>
        <w:t>Telephone or other communication equipment</w:t>
      </w:r>
      <w:bookmarkEnd w:id="186"/>
      <w:r>
        <w:t xml:space="preserve"> </w:t>
      </w:r>
    </w:p>
    <w:p>
      <w:pPr>
        <w:pStyle w:val="Subsection"/>
      </w:pPr>
      <w:r>
        <w:tab/>
      </w:r>
      <w:r>
        <w:tab/>
        <w:t xml:space="preserve">The approved provider of an education and care service must ensure that, when educating or caring for children as part of the service, nominated supervisors and staff members of the service have ready access to an operating telephone or other similar means of communication to enable immediate communication </w:t>
      </w:r>
      <w:r>
        <w:lastRenderedPageBreak/>
        <w:t>to and from parents, family members and other adults who may need to be in contact about a child and emergency services.</w:t>
      </w:r>
    </w:p>
    <w:p>
      <w:pPr>
        <w:pStyle w:val="Penstart"/>
      </w:pPr>
      <w:r>
        <w:tab/>
        <w:t>Penalty: $1000.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98 of the national regulations made by the Ministerial Council.</w:t>
      </w:r>
    </w:p>
    <w:p>
      <w:pPr>
        <w:pStyle w:val="Footnotesection"/>
      </w:pPr>
      <w:r>
        <w:tab/>
        <w:t>[Regulation 98 amended: Gazette 28 Nov 2014 p. 4405; 28 Sep 2018 p. 3621.]</w:t>
      </w:r>
    </w:p>
    <w:p>
      <w:pPr>
        <w:pStyle w:val="Heading4"/>
        <w:keepLines/>
      </w:pPr>
      <w:bookmarkStart w:id="187" w:name="_Toc109740595"/>
      <w:bookmarkStart w:id="188" w:name="_Toc109741424"/>
      <w:bookmarkStart w:id="189" w:name="_Toc109833019"/>
      <w:r>
        <w:t>Division 6 — Collection of children from premises and excursions</w:t>
      </w:r>
      <w:bookmarkEnd w:id="187"/>
      <w:bookmarkEnd w:id="188"/>
      <w:bookmarkEnd w:id="189"/>
    </w:p>
    <w:p>
      <w:pPr>
        <w:pStyle w:val="Heading5"/>
      </w:pPr>
      <w:bookmarkStart w:id="190" w:name="_Toc109833020"/>
      <w:r>
        <w:rPr>
          <w:rStyle w:val="CharSectno"/>
        </w:rPr>
        <w:t>99</w:t>
      </w:r>
      <w:r>
        <w:t>.</w:t>
      </w:r>
      <w:r>
        <w:tab/>
        <w:t>Children leaving the education and care service premises</w:t>
      </w:r>
      <w:bookmarkEnd w:id="190"/>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For a provision reflecting regulation 99 of the national regulations made by the Ministerial Council see section 165A of the Law as applying in Western Australia.</w:t>
      </w:r>
    </w:p>
    <w:p>
      <w:pPr>
        <w:pStyle w:val="Heading5"/>
      </w:pPr>
      <w:bookmarkStart w:id="191" w:name="_Toc109833021"/>
      <w:r>
        <w:rPr>
          <w:rStyle w:val="CharSectno"/>
        </w:rPr>
        <w:t>100</w:t>
      </w:r>
      <w:r>
        <w:t>.</w:t>
      </w:r>
      <w:r>
        <w:tab/>
        <w:t>Risk assessment must be conducted before excursion</w:t>
      </w:r>
      <w:bookmarkEnd w:id="191"/>
      <w:r>
        <w:t xml:space="preserve"> </w:t>
      </w:r>
    </w:p>
    <w:p>
      <w:pPr>
        <w:pStyle w:val="Subsection"/>
      </w:pPr>
      <w:r>
        <w:tab/>
        <w:t>(1)</w:t>
      </w:r>
      <w:r>
        <w:tab/>
        <w:t>The approved provider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(2)</w:t>
      </w:r>
      <w:r>
        <w:tab/>
        <w:t>A nominated supervisor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lastRenderedPageBreak/>
        <w:tab/>
        <w:t>(3)</w:t>
      </w:r>
      <w:r>
        <w:tab/>
        <w:t>A family day care educator must carry out a risk assessment in accordance with regulation 101 before an authorisation referred to in regulation 102(4) is sought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 and</w:t>
      </w:r>
    </w:p>
    <w:p>
      <w:pPr>
        <w:pStyle w:val="Indenta"/>
      </w:pPr>
      <w:r>
        <w:tab/>
        <w:t>(c)</w:t>
      </w:r>
      <w:r>
        <w:tab/>
        <w:t>that risk assessment has been conducted not more than 12 months before the excursion is to occur.</w:t>
      </w:r>
    </w:p>
    <w:p>
      <w:pPr>
        <w:pStyle w:val="Footnotesection"/>
      </w:pPr>
      <w:r>
        <w:tab/>
        <w:t>[Regulation 100 amended: Gazette 3 Nov 2017 p. 5482; 28 Sep 2018 p. 3621; SL 2020/143 r. 6.]</w:t>
      </w:r>
    </w:p>
    <w:p>
      <w:pPr>
        <w:pStyle w:val="Heading5"/>
      </w:pPr>
      <w:bookmarkStart w:id="192" w:name="_Toc109833022"/>
      <w:r>
        <w:rPr>
          <w:rStyle w:val="CharSectno"/>
        </w:rPr>
        <w:t>101</w:t>
      </w:r>
      <w:r>
        <w:t>.</w:t>
      </w:r>
      <w:r>
        <w:tab/>
        <w:t>Conduct of risk assessment for excursion</w:t>
      </w:r>
      <w:bookmarkEnd w:id="192"/>
      <w:r>
        <w:t xml:space="preserve"> </w:t>
      </w:r>
    </w:p>
    <w:p>
      <w:pPr>
        <w:pStyle w:val="Subsection"/>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keepNext/>
      </w:pPr>
      <w:r>
        <w:tab/>
        <w:t>(c)</w:t>
      </w:r>
      <w:r>
        <w:tab/>
        <w:t>any risks associated with water</w:t>
      </w:r>
      <w:r>
        <w:noBreakHyphen/>
        <w:t>based activities; and</w:t>
      </w:r>
    </w:p>
    <w:p>
      <w:pPr>
        <w:pStyle w:val="Indenta"/>
      </w:pPr>
      <w:r>
        <w:tab/>
        <w:t>(d)</w:t>
      </w:r>
      <w:r>
        <w:tab/>
        <w:t>if the excursion involves transporting children —</w:t>
      </w:r>
    </w:p>
    <w:p>
      <w:pPr>
        <w:pStyle w:val="Indenti"/>
      </w:pPr>
      <w:r>
        <w:tab/>
        <w:t>(i)</w:t>
      </w:r>
      <w:r>
        <w:tab/>
        <w:t>the means of transport; and</w:t>
      </w:r>
    </w:p>
    <w:p>
      <w:pPr>
        <w:pStyle w:val="Indenti"/>
      </w:pPr>
      <w:r>
        <w:tab/>
        <w:t>(ii)</w:t>
      </w:r>
      <w:r>
        <w:tab/>
        <w:t>any requirements for seatbelts or safety restraints under a law of each jurisdiction in which the children are being transported; and</w:t>
      </w:r>
    </w:p>
    <w:p>
      <w:pPr>
        <w:pStyle w:val="Indenti"/>
      </w:pPr>
      <w:r>
        <w:lastRenderedPageBreak/>
        <w:tab/>
        <w:t>(iii)</w:t>
      </w:r>
      <w:r>
        <w:tab/>
        <w:t>the process for entering and exiting the education and care service premises and, as required, the pick</w:t>
      </w:r>
      <w:r>
        <w:noBreakHyphen/>
        <w:t>up location or destination; and</w:t>
      </w:r>
    </w:p>
    <w:p>
      <w:pPr>
        <w:pStyle w:val="Indenti"/>
      </w:pPr>
      <w:r>
        <w:tab/>
        <w:t>(iv)</w:t>
      </w:r>
      <w:r>
        <w:tab/>
        <w:t xml:space="preserve">procedures for embarking and disembarking the means of transport, including how each child is to be accounted for on embarking and disembarking; </w:t>
      </w:r>
    </w:p>
    <w:p>
      <w:pPr>
        <w:pStyle w:val="Indenta"/>
      </w:pPr>
      <w:r>
        <w:tab/>
      </w:r>
      <w:r>
        <w:tab/>
        <w:t>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pPr>
        <w:pStyle w:val="Footnotesection"/>
      </w:pPr>
      <w:r>
        <w:tab/>
        <w:t>[Regulation 101 amended: SL 2020/143 r. 7.]</w:t>
      </w:r>
    </w:p>
    <w:p>
      <w:pPr>
        <w:pStyle w:val="Heading5"/>
      </w:pPr>
      <w:bookmarkStart w:id="193" w:name="_Toc109833023"/>
      <w:r>
        <w:rPr>
          <w:rStyle w:val="CharSectno"/>
        </w:rPr>
        <w:t>102</w:t>
      </w:r>
      <w:r>
        <w:t>.</w:t>
      </w:r>
      <w:r>
        <w:tab/>
        <w:t>Authorisation for excursions</w:t>
      </w:r>
      <w:bookmarkEnd w:id="193"/>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t xml:space="preserve">A nominated supervisor of an education and care service must ensure that a child being educated and cared for by the service is not taken outside the education and care service premises on an </w:t>
      </w:r>
      <w:r>
        <w:lastRenderedPageBreak/>
        <w:t>excursion unless written authorisation has been provided under subregulation (4).</w:t>
      </w:r>
    </w:p>
    <w:p>
      <w:pPr>
        <w:pStyle w:val="Penstart"/>
      </w:pPr>
      <w:r>
        <w:tab/>
        <w:t>Penalty: $1000.</w:t>
      </w:r>
    </w:p>
    <w:p>
      <w:pPr>
        <w:pStyle w:val="Subsection"/>
        <w:keepNext/>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$1000.</w:t>
      </w:r>
    </w:p>
    <w:p>
      <w:pPr>
        <w:pStyle w:val="Subsection"/>
      </w:pPr>
      <w:r>
        <w:tab/>
        <w:t>(4)</w:t>
      </w:r>
      <w:r>
        <w:tab/>
        <w:t xml:space="preserve">The authorisation must be given by a parent, or other person named in the child’s enrolment record as having authority given by a parent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pPr>
      <w:r>
        <w:tab/>
        <w:t>(c)</w:t>
      </w:r>
      <w:r>
        <w:tab/>
        <w:t xml:space="preserve">if the authorisation is for a regular outing, a description of when the child is to be taken on the regular outings; and </w:t>
      </w:r>
    </w:p>
    <w:p>
      <w:pPr>
        <w:pStyle w:val="Indenta"/>
      </w:pPr>
      <w:r>
        <w:tab/>
        <w:t>(ca)</w:t>
      </w:r>
      <w:r>
        <w:tab/>
        <w:t xml:space="preserve">if the authorisation is for an excursion that is not a regular outing, the date the child is to be taken on the excursion; and </w:t>
      </w:r>
    </w:p>
    <w:p>
      <w:pPr>
        <w:pStyle w:val="Indenta"/>
        <w:spacing w:before="70"/>
      </w:pPr>
      <w:r>
        <w:tab/>
        <w:t>(d)</w:t>
      </w:r>
      <w:r>
        <w:tab/>
        <w:t>a description of the proposed destination for the excursion; and</w:t>
      </w:r>
    </w:p>
    <w:p>
      <w:pPr>
        <w:pStyle w:val="Indenta"/>
      </w:pPr>
      <w:r>
        <w:tab/>
        <w:t>(e)</w:t>
      </w:r>
      <w:r>
        <w:tab/>
        <w:t>if the excursion involves transporting children —</w:t>
      </w:r>
    </w:p>
    <w:p>
      <w:pPr>
        <w:pStyle w:val="Indenti"/>
      </w:pPr>
      <w:r>
        <w:tab/>
        <w:t>(i)</w:t>
      </w:r>
      <w:r>
        <w:tab/>
        <w:t>the means of transport; and</w:t>
      </w:r>
    </w:p>
    <w:p>
      <w:pPr>
        <w:pStyle w:val="Indenti"/>
      </w:pPr>
      <w:r>
        <w:tab/>
        <w:t>(ii)</w:t>
      </w:r>
      <w:r>
        <w:tab/>
        <w:t xml:space="preserve">any requirements for seatbelts or safety restraints under a law of each jurisdiction in which the children are being transported; </w:t>
      </w:r>
    </w:p>
    <w:p>
      <w:pPr>
        <w:pStyle w:val="Indenta"/>
      </w:pPr>
      <w:r>
        <w:tab/>
      </w:r>
      <w:r>
        <w:tab/>
        <w:t>and</w:t>
      </w:r>
    </w:p>
    <w:p>
      <w:pPr>
        <w:pStyle w:val="Indenta"/>
        <w:spacing w:before="70"/>
      </w:pPr>
      <w:r>
        <w:tab/>
        <w:t>(f)</w:t>
      </w:r>
      <w:r>
        <w:tab/>
        <w:t>the proposed activities to be undertaken by the child during the excursion; and</w:t>
      </w:r>
    </w:p>
    <w:p>
      <w:pPr>
        <w:pStyle w:val="Indenta"/>
        <w:spacing w:before="70"/>
      </w:pPr>
      <w:r>
        <w:lastRenderedPageBreak/>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Footnotesection"/>
      </w:pPr>
      <w:r>
        <w:tab/>
        <w:t>[Regulation 102 amended: Gazette 28 Sep 2018 p. 3621; SL 2020/143 r. 8; SL 2021/140 r. 4.]</w:t>
      </w:r>
    </w:p>
    <w:p>
      <w:pPr>
        <w:pStyle w:val="Heading4"/>
      </w:pPr>
      <w:bookmarkStart w:id="194" w:name="_Toc109740600"/>
      <w:bookmarkStart w:id="195" w:name="_Toc109741429"/>
      <w:bookmarkStart w:id="196" w:name="_Toc109833024"/>
      <w:r>
        <w:t>Division 7 — Transportation of children other than as part of excursion</w:t>
      </w:r>
      <w:bookmarkEnd w:id="194"/>
      <w:bookmarkEnd w:id="195"/>
      <w:bookmarkEnd w:id="196"/>
    </w:p>
    <w:p>
      <w:pPr>
        <w:pStyle w:val="Footnoteheading"/>
      </w:pPr>
      <w:r>
        <w:tab/>
        <w:t>[Heading inserted: SL 2020/143 r. 9.]</w:t>
      </w:r>
    </w:p>
    <w:p>
      <w:pPr>
        <w:pStyle w:val="Heading5"/>
      </w:pPr>
      <w:bookmarkStart w:id="197" w:name="_Toc109833025"/>
      <w:r>
        <w:rPr>
          <w:rStyle w:val="CharSectno"/>
        </w:rPr>
        <w:t>102A</w:t>
      </w:r>
      <w:r>
        <w:t>.</w:t>
      </w:r>
      <w:r>
        <w:tab/>
        <w:t>Application of Division</w:t>
      </w:r>
      <w:bookmarkEnd w:id="197"/>
    </w:p>
    <w:p>
      <w:pPr>
        <w:pStyle w:val="Subsection"/>
      </w:pPr>
      <w:r>
        <w:tab/>
      </w:r>
      <w:r>
        <w:tab/>
        <w:t>This Division does not apply to transportation of a child by or arranged by an education and care service that is undertaken as part of an excursion.</w:t>
      </w:r>
    </w:p>
    <w:p>
      <w:pPr>
        <w:pStyle w:val="Footnotesection"/>
      </w:pPr>
      <w:r>
        <w:tab/>
        <w:t>[Regulation 102A inserted: SL 2020/143 r. 9.]</w:t>
      </w:r>
    </w:p>
    <w:p>
      <w:pPr>
        <w:pStyle w:val="Heading5"/>
      </w:pPr>
      <w:bookmarkStart w:id="198" w:name="_Toc109833026"/>
      <w:r>
        <w:rPr>
          <w:rStyle w:val="CharSectno"/>
        </w:rPr>
        <w:t>102B</w:t>
      </w:r>
      <w:r>
        <w:t>.</w:t>
      </w:r>
      <w:r>
        <w:tab/>
        <w:t>Transport risk assessment must be conducted before service transports child</w:t>
      </w:r>
      <w:bookmarkEnd w:id="198"/>
      <w:r>
        <w:rPr>
          <w:b w:val="0"/>
        </w:rPr>
        <w:t xml:space="preserve"> </w:t>
      </w:r>
    </w:p>
    <w:p>
      <w:pPr>
        <w:pStyle w:val="Subsection"/>
      </w:pPr>
      <w:r>
        <w:tab/>
        <w:t>(1)</w:t>
      </w:r>
      <w:r>
        <w:tab/>
        <w:t>The approved provider of an education and care service must ensure a risk assessment is carried out in accordance with regulation 102C before an authorisation referred to in regulation 102D(4) is sought to transport a child.</w:t>
      </w:r>
    </w:p>
    <w:p>
      <w:pPr>
        <w:pStyle w:val="Penstart"/>
      </w:pPr>
      <w:r>
        <w:tab/>
        <w:t>Penalty for this subregulation: a fine of $2 000.</w:t>
      </w:r>
    </w:p>
    <w:p>
      <w:pPr>
        <w:pStyle w:val="Subsection"/>
      </w:pPr>
      <w:r>
        <w:lastRenderedPageBreak/>
        <w:tab/>
        <w:t>(2)</w:t>
      </w:r>
      <w:r>
        <w:tab/>
        <w:t>A nominated supervisor of an education and care service must ensure a risk assessment is carried out in accordance with regulation 102C before an authorisation referred to in regulation 102D(4) is sought to transport a child.</w:t>
      </w:r>
    </w:p>
    <w:p>
      <w:pPr>
        <w:pStyle w:val="Penstart"/>
      </w:pPr>
      <w:r>
        <w:tab/>
        <w:t>Penalty for this subregulation: a fine of $2 000.</w:t>
      </w:r>
    </w:p>
    <w:p>
      <w:pPr>
        <w:pStyle w:val="Subsection"/>
      </w:pPr>
      <w:r>
        <w:tab/>
        <w:t>(3)</w:t>
      </w:r>
      <w:r>
        <w:tab/>
        <w:t>A family day care educator must carry out a risk assessment in accordance with regulation 102C before an authorisation referred to in regulation 102D(4) is sought to transport a child.</w:t>
      </w:r>
    </w:p>
    <w:p>
      <w:pPr>
        <w:pStyle w:val="Penstart"/>
      </w:pPr>
      <w:r>
        <w:tab/>
        <w:t>Penalty for this subregulation: a fine of $2 000.</w:t>
      </w:r>
    </w:p>
    <w:p>
      <w:pPr>
        <w:pStyle w:val="Subsection"/>
      </w:pPr>
      <w:r>
        <w:tab/>
        <w:t>(4)</w:t>
      </w:r>
      <w:r>
        <w:tab/>
        <w:t>A risk assessment is not required under this regulation for transporting a child if —</w:t>
      </w:r>
    </w:p>
    <w:p>
      <w:pPr>
        <w:pStyle w:val="Indenta"/>
      </w:pPr>
      <w:r>
        <w:tab/>
        <w:t>(a)</w:t>
      </w:r>
      <w:r>
        <w:tab/>
        <w:t xml:space="preserve">the transportation is regular transportation; and </w:t>
      </w:r>
    </w:p>
    <w:p>
      <w:pPr>
        <w:pStyle w:val="Indenta"/>
      </w:pPr>
      <w:r>
        <w:tab/>
        <w:t>(b)</w:t>
      </w:r>
      <w:r>
        <w:tab/>
        <w:t>a risk assessment has been conducted for the regular transportation of the child within the previous 12 months.</w:t>
      </w:r>
    </w:p>
    <w:p>
      <w:pPr>
        <w:pStyle w:val="Footnotesection"/>
      </w:pPr>
      <w:r>
        <w:tab/>
        <w:t>[Regulation 102B inserted: SL 2020/143 r. 9.]</w:t>
      </w:r>
    </w:p>
    <w:p>
      <w:pPr>
        <w:pStyle w:val="Heading5"/>
      </w:pPr>
      <w:bookmarkStart w:id="199" w:name="_Toc109833027"/>
      <w:r>
        <w:rPr>
          <w:rStyle w:val="CharSectno"/>
        </w:rPr>
        <w:t>102C</w:t>
      </w:r>
      <w:r>
        <w:t>.</w:t>
      </w:r>
      <w:r>
        <w:tab/>
        <w:t>Conduct of risk assessment for transporting of children by education and care service</w:t>
      </w:r>
      <w:bookmarkEnd w:id="199"/>
    </w:p>
    <w:p>
      <w:pPr>
        <w:pStyle w:val="Subsection"/>
      </w:pPr>
      <w:r>
        <w:tab/>
        <w:t>(1)</w:t>
      </w:r>
      <w:r>
        <w:tab/>
        <w:t>A risk assessment for the transportation of a child by or arranged by the education and care service must —</w:t>
      </w:r>
    </w:p>
    <w:p>
      <w:pPr>
        <w:pStyle w:val="Indenta"/>
      </w:pPr>
      <w:r>
        <w:tab/>
        <w:t>(a)</w:t>
      </w:r>
      <w:r>
        <w:tab/>
        <w:t>identify and assess risks that transporting the child may pose to the safety, health or wellbeing of the child; and</w:t>
      </w:r>
    </w:p>
    <w:p>
      <w:pPr>
        <w:pStyle w:val="Indenta"/>
      </w:pPr>
      <w:r>
        <w:tab/>
        <w:t>(b)</w:t>
      </w:r>
      <w:r>
        <w:tab/>
        <w:t>specify how the identified risks will be managed and minimised.</w:t>
      </w:r>
    </w:p>
    <w:p>
      <w:pPr>
        <w:pStyle w:val="Subsection"/>
      </w:pPr>
      <w:r>
        <w:tab/>
        <w:t>(2)</w:t>
      </w:r>
      <w:r>
        <w:tab/>
        <w:t>Without limiting subregulation (1), a risk assessment must consider —</w:t>
      </w:r>
    </w:p>
    <w:p>
      <w:pPr>
        <w:pStyle w:val="Indenta"/>
      </w:pPr>
      <w:r>
        <w:tab/>
        <w:t>(a)</w:t>
      </w:r>
      <w:r>
        <w:tab/>
        <w:t>the proposed route and duration of the transportation; and</w:t>
      </w:r>
    </w:p>
    <w:p>
      <w:pPr>
        <w:pStyle w:val="Indenta"/>
      </w:pPr>
      <w:r>
        <w:tab/>
        <w:t>(b)</w:t>
      </w:r>
      <w:r>
        <w:tab/>
        <w:t>the proposed pick</w:t>
      </w:r>
      <w:r>
        <w:noBreakHyphen/>
        <w:t>up location and destination; and</w:t>
      </w:r>
    </w:p>
    <w:p>
      <w:pPr>
        <w:pStyle w:val="Indenta"/>
      </w:pPr>
      <w:r>
        <w:tab/>
        <w:t>(c)</w:t>
      </w:r>
      <w:r>
        <w:tab/>
        <w:t>the means of transport; and</w:t>
      </w:r>
    </w:p>
    <w:p>
      <w:pPr>
        <w:pStyle w:val="Indenta"/>
      </w:pPr>
      <w:r>
        <w:lastRenderedPageBreak/>
        <w:tab/>
        <w:t>(d)</w:t>
      </w:r>
      <w:r>
        <w:tab/>
        <w:t>any requirements for seatbelts or safety restraints under a law of each jurisdiction in which the children are being transported; and</w:t>
      </w:r>
    </w:p>
    <w:p>
      <w:pPr>
        <w:pStyle w:val="Indenta"/>
      </w:pPr>
      <w:r>
        <w:tab/>
        <w:t>(e)</w:t>
      </w:r>
      <w:r>
        <w:tab/>
        <w:t>any water hazards; and</w:t>
      </w:r>
    </w:p>
    <w:p>
      <w:pPr>
        <w:pStyle w:val="Indenta"/>
      </w:pPr>
      <w:r>
        <w:tab/>
        <w:t>(f)</w:t>
      </w:r>
      <w:r>
        <w:tab/>
        <w:t>the number of adults and children involved in the transportation; and</w:t>
      </w:r>
    </w:p>
    <w:p>
      <w:pPr>
        <w:pStyle w:val="Indenta"/>
      </w:pPr>
      <w:r>
        <w:tab/>
        <w:t>(g)</w:t>
      </w:r>
      <w:r>
        <w:tab/>
        <w:t>given the risks posed by transportation, the number of educators or other responsible adults that is appropriate to provide supervision and whether any adults with specialised skills are required; and</w:t>
      </w:r>
    </w:p>
    <w:p>
      <w:pPr>
        <w:pStyle w:val="Indenta"/>
      </w:pPr>
      <w:r>
        <w:tab/>
        <w:t>(h)</w:t>
      </w:r>
      <w:r>
        <w:tab/>
        <w:t>whether any items should be readily available during transportation; and</w:t>
      </w:r>
    </w:p>
    <w:p>
      <w:pPr>
        <w:pStyle w:val="PermNoteHeading"/>
      </w:pPr>
      <w:r>
        <w:tab/>
        <w:t xml:space="preserve">Example for this paragraph: </w:t>
      </w:r>
    </w:p>
    <w:p>
      <w:pPr>
        <w:pStyle w:val="PermNoteText"/>
      </w:pPr>
      <w:r>
        <w:tab/>
      </w:r>
      <w:r>
        <w:tab/>
        <w:t>A mobile phone and a list of emergency contact numbers for the children being transported.</w:t>
      </w:r>
    </w:p>
    <w:p>
      <w:pPr>
        <w:pStyle w:val="Indenta"/>
      </w:pPr>
      <w:r>
        <w:tab/>
        <w:t>(i)</w:t>
      </w:r>
      <w:r>
        <w:tab/>
        <w:t>the process for entering and exiting —</w:t>
      </w:r>
    </w:p>
    <w:p>
      <w:pPr>
        <w:pStyle w:val="Indenti"/>
      </w:pPr>
      <w:r>
        <w:tab/>
        <w:t>(i)</w:t>
      </w:r>
      <w:r>
        <w:tab/>
        <w:t>the education and care service premises; and</w:t>
      </w:r>
    </w:p>
    <w:p>
      <w:pPr>
        <w:pStyle w:val="Indenti"/>
      </w:pPr>
      <w:r>
        <w:tab/>
        <w:t>(ii)</w:t>
      </w:r>
      <w:r>
        <w:tab/>
        <w:t>the pick</w:t>
      </w:r>
      <w:r>
        <w:noBreakHyphen/>
        <w:t xml:space="preserve">up location or destination (as required); </w:t>
      </w:r>
    </w:p>
    <w:p>
      <w:pPr>
        <w:pStyle w:val="Indenta"/>
      </w:pPr>
      <w:r>
        <w:tab/>
      </w:r>
      <w:r>
        <w:tab/>
        <w:t>and</w:t>
      </w:r>
    </w:p>
    <w:p>
      <w:pPr>
        <w:pStyle w:val="Indenta"/>
      </w:pPr>
      <w:r>
        <w:tab/>
        <w:t>(j)</w:t>
      </w:r>
      <w:r>
        <w:tab/>
        <w:t>procedures for embarking and disembarking the means of transport, including how each child is to be accounted for on embarking and disembarking.</w:t>
      </w:r>
    </w:p>
    <w:p>
      <w:pPr>
        <w:pStyle w:val="Footnotesection"/>
      </w:pPr>
      <w:r>
        <w:tab/>
        <w:t>[Regulation 102C inserted: SL 2020/143 r. 9.]</w:t>
      </w:r>
    </w:p>
    <w:p>
      <w:pPr>
        <w:pStyle w:val="Heading5"/>
      </w:pPr>
      <w:bookmarkStart w:id="200" w:name="_Toc109833028"/>
      <w:r>
        <w:rPr>
          <w:rStyle w:val="CharSectno"/>
        </w:rPr>
        <w:t>102D</w:t>
      </w:r>
      <w:r>
        <w:t>.</w:t>
      </w:r>
      <w:r>
        <w:tab/>
        <w:t>Authorisation for service to transport children</w:t>
      </w:r>
      <w:bookmarkEnd w:id="200"/>
    </w:p>
    <w:p>
      <w:pPr>
        <w:pStyle w:val="Subsection"/>
      </w:pPr>
      <w:r>
        <w:tab/>
        <w:t>(1)</w:t>
      </w:r>
      <w:r>
        <w:tab/>
        <w:t>The approved provider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for this subregulation: a fine of $1 000.</w:t>
      </w:r>
    </w:p>
    <w:p>
      <w:pPr>
        <w:pStyle w:val="Subsection"/>
      </w:pPr>
      <w:r>
        <w:tab/>
        <w:t>(2)</w:t>
      </w:r>
      <w:r>
        <w:tab/>
        <w:t xml:space="preserve">A nominated supervisor of an education and care service must ensure that a child being educated and cared for by the service is </w:t>
      </w:r>
      <w:r>
        <w:lastRenderedPageBreak/>
        <w:t>not transported by the service or on transportation arranged by the service unless written authorisation has been given under subregulation (4).</w:t>
      </w:r>
    </w:p>
    <w:p>
      <w:pPr>
        <w:pStyle w:val="Penstart"/>
      </w:pPr>
      <w:r>
        <w:tab/>
        <w:t>Penalty for this subregulation: a fine of $1 000.</w:t>
      </w:r>
    </w:p>
    <w:p>
      <w:pPr>
        <w:pStyle w:val="Subsection"/>
      </w:pPr>
      <w:r>
        <w:tab/>
        <w:t>(3)</w:t>
      </w:r>
      <w:r>
        <w:tab/>
        <w:t>A family day care educator must ensure that a child being educated and cared for by the educator as part of a family day care service is not transported by the service or on transportation arranged by the service unless written authorisation has been given under subregulation (4).</w:t>
      </w:r>
    </w:p>
    <w:p>
      <w:pPr>
        <w:pStyle w:val="Penstart"/>
      </w:pPr>
      <w:r>
        <w:tab/>
        <w:t>Penalty for this subregulation: a fine of $1000.</w:t>
      </w:r>
    </w:p>
    <w:p>
      <w:pPr>
        <w:pStyle w:val="Subsection"/>
      </w:pPr>
      <w:r>
        <w:tab/>
        <w:t>(4)</w:t>
      </w:r>
      <w:r>
        <w:tab/>
        <w:t>The authorisation must be given by a parent, or other person named in the child’s enrolment record as having authority given by a parent to authorise the child being transported by the service or on transportation arranged by the service, and must state —</w:t>
      </w:r>
    </w:p>
    <w:p>
      <w:pPr>
        <w:pStyle w:val="Indenta"/>
      </w:pPr>
      <w:r>
        <w:tab/>
        <w:t>(a)</w:t>
      </w:r>
      <w:r>
        <w:tab/>
        <w:t>the child’s name; and</w:t>
      </w:r>
    </w:p>
    <w:p>
      <w:pPr>
        <w:pStyle w:val="Indenta"/>
      </w:pPr>
      <w:r>
        <w:tab/>
        <w:t>(b)</w:t>
      </w:r>
      <w:r>
        <w:tab/>
        <w:t>the reason the child is to be transported; and</w:t>
      </w:r>
    </w:p>
    <w:p>
      <w:pPr>
        <w:pStyle w:val="Indenta"/>
      </w:pPr>
      <w:r>
        <w:tab/>
        <w:t>(c)</w:t>
      </w:r>
      <w:r>
        <w:tab/>
        <w:t xml:space="preserve">if the authorisation is for regular transportation, a description of when the child is to be transported; and </w:t>
      </w:r>
    </w:p>
    <w:p>
      <w:pPr>
        <w:pStyle w:val="Indenta"/>
      </w:pPr>
      <w:r>
        <w:tab/>
        <w:t>(d)</w:t>
      </w:r>
      <w:r>
        <w:tab/>
        <w:t xml:space="preserve">if the authorisation is not for regular transportation, the date the child is to be transported; and </w:t>
      </w:r>
    </w:p>
    <w:p>
      <w:pPr>
        <w:pStyle w:val="Indenta"/>
      </w:pPr>
      <w:r>
        <w:tab/>
        <w:t>(e)</w:t>
      </w:r>
      <w:r>
        <w:tab/>
        <w:t>a description of the proposed pick</w:t>
      </w:r>
      <w:r>
        <w:noBreakHyphen/>
        <w:t>up location and destination; and</w:t>
      </w:r>
    </w:p>
    <w:p>
      <w:pPr>
        <w:pStyle w:val="Indenta"/>
      </w:pPr>
      <w:r>
        <w:tab/>
        <w:t>(f)</w:t>
      </w:r>
      <w:r>
        <w:tab/>
        <w:t>the means of transport; and</w:t>
      </w:r>
    </w:p>
    <w:p>
      <w:pPr>
        <w:pStyle w:val="Indenta"/>
      </w:pPr>
      <w:r>
        <w:tab/>
        <w:t>(g)</w:t>
      </w:r>
      <w:r>
        <w:tab/>
        <w:t>the period of time during which the child is to be transported; and</w:t>
      </w:r>
    </w:p>
    <w:p>
      <w:pPr>
        <w:pStyle w:val="Indenta"/>
      </w:pPr>
      <w:r>
        <w:tab/>
        <w:t>(h)</w:t>
      </w:r>
      <w:r>
        <w:tab/>
        <w:t>the anticipated number of children likely to be transported; and</w:t>
      </w:r>
    </w:p>
    <w:p>
      <w:pPr>
        <w:pStyle w:val="Indenta"/>
      </w:pPr>
      <w:r>
        <w:tab/>
        <w:t>(i)</w:t>
      </w:r>
      <w:r>
        <w:tab/>
        <w:t>the anticipated number of staff members and any other adults who will accompany and supervise the children during the transportation; and</w:t>
      </w:r>
    </w:p>
    <w:p>
      <w:pPr>
        <w:pStyle w:val="Indenta"/>
      </w:pPr>
      <w:r>
        <w:lastRenderedPageBreak/>
        <w:tab/>
        <w:t>(j)</w:t>
      </w:r>
      <w:r>
        <w:tab/>
        <w:t>any requirements for seatbelts or safety restraints under a law of each jurisdiction in which the children are being transported; and</w:t>
      </w:r>
    </w:p>
    <w:p>
      <w:pPr>
        <w:pStyle w:val="Indenta"/>
      </w:pPr>
      <w:r>
        <w:tab/>
        <w:t>(k)</w:t>
      </w:r>
      <w:r>
        <w:tab/>
        <w:t>that a risk assessment has been prepared and is available at the education and care service; and</w:t>
      </w:r>
    </w:p>
    <w:p>
      <w:pPr>
        <w:pStyle w:val="Indenta"/>
      </w:pPr>
      <w:r>
        <w:tab/>
        <w:t>(l)</w:t>
      </w:r>
      <w:r>
        <w:tab/>
        <w:t>that written policies and procedures for transporting children are available at the education and care service.</w:t>
      </w:r>
    </w:p>
    <w:p>
      <w:pPr>
        <w:pStyle w:val="Subsection"/>
      </w:pPr>
      <w:r>
        <w:tab/>
        <w:t>(5)</w:t>
      </w:r>
      <w:r>
        <w:tab/>
        <w:t>If the transportation is regular transportation, the authorisation is only required to be obtained once in a 12 month period.</w:t>
      </w:r>
    </w:p>
    <w:p>
      <w:pPr>
        <w:pStyle w:val="Footnotesection"/>
      </w:pPr>
      <w:r>
        <w:tab/>
        <w:t>[Regulation 102D inserted: SL 2020/143 r. 9; amended: SL 2021/140 r. 5.]</w:t>
      </w:r>
    </w:p>
    <w:p>
      <w:pPr>
        <w:pStyle w:val="Heading3"/>
      </w:pPr>
      <w:bookmarkStart w:id="201" w:name="_Toc109740605"/>
      <w:bookmarkStart w:id="202" w:name="_Toc109741434"/>
      <w:bookmarkStart w:id="203" w:name="_Toc109833029"/>
      <w:r>
        <w:rPr>
          <w:rStyle w:val="CharDivNo"/>
        </w:rPr>
        <w:t>Part 4.3</w:t>
      </w:r>
      <w:r>
        <w:t> — </w:t>
      </w:r>
      <w:r>
        <w:rPr>
          <w:rStyle w:val="CharDivText"/>
        </w:rPr>
        <w:t>Physical environment</w:t>
      </w:r>
      <w:bookmarkEnd w:id="201"/>
      <w:bookmarkEnd w:id="202"/>
      <w:bookmarkEnd w:id="203"/>
    </w:p>
    <w:p>
      <w:pPr>
        <w:pStyle w:val="Heading4"/>
      </w:pPr>
      <w:bookmarkStart w:id="204" w:name="_Toc109740606"/>
      <w:bookmarkStart w:id="205" w:name="_Toc109741435"/>
      <w:bookmarkStart w:id="206" w:name="_Toc109833030"/>
      <w:r>
        <w:t>Division 1 — Centre</w:t>
      </w:r>
      <w:r>
        <w:noBreakHyphen/>
        <w:t>based services and family day care services</w:t>
      </w:r>
      <w:bookmarkEnd w:id="204"/>
      <w:bookmarkEnd w:id="205"/>
      <w:bookmarkEnd w:id="206"/>
    </w:p>
    <w:p>
      <w:pPr>
        <w:pStyle w:val="Heading5"/>
      </w:pPr>
      <w:bookmarkStart w:id="207" w:name="_Toc109833031"/>
      <w:r>
        <w:rPr>
          <w:rStyle w:val="CharSectno"/>
        </w:rPr>
        <w:t>103</w:t>
      </w:r>
      <w:r>
        <w:t>.</w:t>
      </w:r>
      <w:r>
        <w:tab/>
        <w:t>Premises, furniture and equipment to be safe, clean and in good repair</w:t>
      </w:r>
      <w:bookmarkEnd w:id="207"/>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08" w:name="_Toc109833032"/>
      <w:r>
        <w:rPr>
          <w:rStyle w:val="CharSectno"/>
        </w:rPr>
        <w:t>104</w:t>
      </w:r>
      <w:r>
        <w:t>.</w:t>
      </w:r>
      <w:r>
        <w:tab/>
        <w:t>Fencing</w:t>
      </w:r>
      <w:bookmarkEnd w:id="208"/>
      <w:r>
        <w:t xml:space="preserve"> </w:t>
      </w:r>
    </w:p>
    <w:p>
      <w:pPr>
        <w:pStyle w:val="Subsection"/>
      </w:pPr>
      <w:r>
        <w:tab/>
        <w:t>(1)</w:t>
      </w:r>
      <w:r>
        <w:tab/>
        <w:t xml:space="preserve">The approved provider of an education and care service must ensure that any outdoor space used by children at the education and care service premises is enclosed by a fence or barrier that </w:t>
      </w:r>
      <w:r>
        <w:lastRenderedPageBreak/>
        <w:t>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104 amended: Gazette 28 Nov 2014 p. 4405.]</w:t>
      </w:r>
    </w:p>
    <w:p>
      <w:pPr>
        <w:pStyle w:val="Heading5"/>
      </w:pPr>
      <w:bookmarkStart w:id="209" w:name="_Toc109833033"/>
      <w:r>
        <w:rPr>
          <w:rStyle w:val="CharSectno"/>
        </w:rPr>
        <w:t>105</w:t>
      </w:r>
      <w:r>
        <w:t>.</w:t>
      </w:r>
      <w:r>
        <w:tab/>
        <w:t>Furniture, materials and equipment</w:t>
      </w:r>
      <w:bookmarkEnd w:id="209"/>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10" w:name="_Toc109833034"/>
      <w:r>
        <w:rPr>
          <w:rStyle w:val="CharSectno"/>
        </w:rPr>
        <w:t>106</w:t>
      </w:r>
      <w:r>
        <w:t>.</w:t>
      </w:r>
      <w:r>
        <w:tab/>
        <w:t>Laundry and hygiene facilities</w:t>
      </w:r>
      <w:bookmarkEnd w:id="210"/>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pPr>
      <w:r>
        <w:lastRenderedPageBreak/>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211" w:name="_Toc109833035"/>
      <w:r>
        <w:rPr>
          <w:rStyle w:val="CharSectno"/>
        </w:rPr>
        <w:t>107</w:t>
      </w:r>
      <w:r>
        <w:t>.</w:t>
      </w:r>
      <w:r>
        <w:tab/>
        <w:t>Space requirements — indoor space</w:t>
      </w:r>
      <w:bookmarkEnd w:id="211"/>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keepNext/>
        <w:spacing w:before="150"/>
      </w:pPr>
      <w:r>
        <w:lastRenderedPageBreak/>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Gazette 13 Dec 2013 p.</w:t>
      </w:r>
      <w:r>
        <w:rPr>
          <w:sz w:val="19"/>
        </w:rPr>
        <w:t> </w:t>
      </w:r>
      <w:r>
        <w:t>6159.]</w:t>
      </w:r>
    </w:p>
    <w:p>
      <w:pPr>
        <w:pStyle w:val="Heading5"/>
      </w:pPr>
      <w:bookmarkStart w:id="212" w:name="_Toc109833036"/>
      <w:r>
        <w:rPr>
          <w:rStyle w:val="CharSectno"/>
        </w:rPr>
        <w:t>108</w:t>
      </w:r>
      <w:r>
        <w:t>.</w:t>
      </w:r>
      <w:r>
        <w:tab/>
        <w:t>Space requirements — outdoor space</w:t>
      </w:r>
      <w:bookmarkEnd w:id="212"/>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lastRenderedPageBreak/>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keepNext/>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Gazette 13 Dec 2013 p.</w:t>
      </w:r>
      <w:r>
        <w:rPr>
          <w:sz w:val="19"/>
        </w:rPr>
        <w:t> </w:t>
      </w:r>
      <w:r>
        <w:t>6159.]</w:t>
      </w:r>
    </w:p>
    <w:p>
      <w:pPr>
        <w:pStyle w:val="Heading5"/>
      </w:pPr>
      <w:bookmarkStart w:id="213" w:name="_Toc109833037"/>
      <w:r>
        <w:rPr>
          <w:rStyle w:val="CharSectno"/>
        </w:rPr>
        <w:t>109</w:t>
      </w:r>
      <w:r>
        <w:t>.</w:t>
      </w:r>
      <w:r>
        <w:tab/>
        <w:t>Toilet and hygiene facilities</w:t>
      </w:r>
      <w:bookmarkEnd w:id="213"/>
      <w:r>
        <w:t xml:space="preserve"> </w:t>
      </w:r>
    </w:p>
    <w:p>
      <w:pPr>
        <w:pStyle w:val="Subsection"/>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214" w:name="_Toc109833038"/>
      <w:r>
        <w:rPr>
          <w:rStyle w:val="CharSectno"/>
        </w:rPr>
        <w:lastRenderedPageBreak/>
        <w:t>110</w:t>
      </w:r>
      <w:r>
        <w:t>.</w:t>
      </w:r>
      <w:r>
        <w:tab/>
        <w:t>Ventilation and natural light</w:t>
      </w:r>
      <w:bookmarkEnd w:id="214"/>
      <w:r>
        <w:t xml:space="preserve"> </w:t>
      </w:r>
    </w:p>
    <w:p>
      <w:pPr>
        <w:pStyle w:val="Subsection"/>
        <w:keepNext/>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pPr>
      <w:r>
        <w:tab/>
        <w:t>(c)</w:t>
      </w:r>
      <w:r>
        <w:tab/>
        <w:t>are maintained at a temperature that ensures the safety and wellbeing of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15" w:name="_Toc109740615"/>
      <w:bookmarkStart w:id="216" w:name="_Toc109741444"/>
      <w:bookmarkStart w:id="217" w:name="_Toc109833039"/>
      <w:r>
        <w:t>Division 2 — Additional requirements for centre</w:t>
      </w:r>
      <w:r>
        <w:noBreakHyphen/>
        <w:t>based services</w:t>
      </w:r>
      <w:bookmarkEnd w:id="215"/>
      <w:bookmarkEnd w:id="216"/>
      <w:bookmarkEnd w:id="217"/>
    </w:p>
    <w:p>
      <w:pPr>
        <w:pStyle w:val="Heading5"/>
      </w:pPr>
      <w:bookmarkStart w:id="218" w:name="_Toc109833040"/>
      <w:r>
        <w:rPr>
          <w:rStyle w:val="CharSectno"/>
        </w:rPr>
        <w:t>111</w:t>
      </w:r>
      <w:r>
        <w:t>.</w:t>
      </w:r>
      <w:r>
        <w:tab/>
        <w:t>Administrative space</w:t>
      </w:r>
      <w:bookmarkEnd w:id="218"/>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tab/>
        <w:t>[Regulation 111 amended: Gazette 28 Nov 2014 p. 4405.]</w:t>
      </w:r>
    </w:p>
    <w:p>
      <w:pPr>
        <w:pStyle w:val="Heading5"/>
      </w:pPr>
      <w:bookmarkStart w:id="219" w:name="_Toc109833041"/>
      <w:r>
        <w:rPr>
          <w:rStyle w:val="CharSectno"/>
        </w:rPr>
        <w:t>112</w:t>
      </w:r>
      <w:r>
        <w:t>.</w:t>
      </w:r>
      <w:r>
        <w:tab/>
        <w:t>Nappy change facilities</w:t>
      </w:r>
      <w:bookmarkEnd w:id="219"/>
      <w:r>
        <w:t xml:space="preserve"> </w:t>
      </w:r>
    </w:p>
    <w:p>
      <w:pPr>
        <w:pStyle w:val="Subsection"/>
      </w:pPr>
      <w:r>
        <w:tab/>
        <w:t>(1)</w:t>
      </w:r>
      <w:r>
        <w:tab/>
        <w:t>This regulation applies if a centre</w:t>
      </w:r>
      <w:r>
        <w:noBreakHyphen/>
        <w:t>based service educates and cares for children who wear nappies.</w:t>
      </w:r>
    </w:p>
    <w:p>
      <w:pPr>
        <w:pStyle w:val="Subsection"/>
      </w:pPr>
      <w:r>
        <w:lastRenderedPageBreak/>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$1000.</w:t>
      </w:r>
    </w:p>
    <w:p>
      <w:pPr>
        <w:pStyle w:val="Subsection"/>
      </w:pPr>
      <w:r>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Heading5"/>
      </w:pPr>
      <w:bookmarkStart w:id="220" w:name="_Toc109833042"/>
      <w:r>
        <w:rPr>
          <w:rStyle w:val="CharSectno"/>
        </w:rPr>
        <w:t>113</w:t>
      </w:r>
      <w:r>
        <w:t>.</w:t>
      </w:r>
      <w:r>
        <w:tab/>
        <w:t>Outdoor space — natural environment</w:t>
      </w:r>
      <w:bookmarkEnd w:id="220"/>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21" w:name="_Toc109833043"/>
      <w:r>
        <w:rPr>
          <w:rStyle w:val="CharSectno"/>
        </w:rPr>
        <w:t>114</w:t>
      </w:r>
      <w:r>
        <w:t>.</w:t>
      </w:r>
      <w:r>
        <w:tab/>
        <w:t>Outdoor space — shade</w:t>
      </w:r>
      <w:bookmarkEnd w:id="221"/>
      <w:r>
        <w:t xml:space="preserve"> </w:t>
      </w:r>
    </w:p>
    <w:p>
      <w:pPr>
        <w:pStyle w:val="Subsection"/>
        <w:keepNext/>
      </w:pPr>
      <w:r>
        <w:tab/>
      </w:r>
      <w:r>
        <w:tab/>
        <w:t>The approved provider of a centre</w:t>
      </w:r>
      <w:r>
        <w:noBreakHyphen/>
        <w:t xml:space="preserve">based service must ensure that outdoor spaces provided at the education and care service </w:t>
      </w:r>
      <w:r>
        <w:lastRenderedPageBreak/>
        <w:t>premises include adequate shaded areas to protect children from overexposure to ultraviolet radiation from the sun.</w:t>
      </w:r>
    </w:p>
    <w:p>
      <w:pPr>
        <w:pStyle w:val="Penstart"/>
        <w:keepNex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22" w:name="_Toc109833044"/>
      <w:r>
        <w:rPr>
          <w:rStyle w:val="CharSectno"/>
        </w:rPr>
        <w:t>115</w:t>
      </w:r>
      <w:r>
        <w:t>.</w:t>
      </w:r>
      <w:r>
        <w:tab/>
        <w:t>Premises designed to facilitate supervision</w:t>
      </w:r>
      <w:bookmarkEnd w:id="222"/>
      <w:r>
        <w:t xml:space="preserve"> </w:t>
      </w:r>
    </w:p>
    <w:p>
      <w:pPr>
        <w:pStyle w:val="Subsection"/>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23" w:name="_Toc109740621"/>
      <w:bookmarkStart w:id="224" w:name="_Toc109741450"/>
      <w:bookmarkStart w:id="225" w:name="_Toc109833045"/>
      <w:r>
        <w:t>Division 3 — Additional provisions for family day care services</w:t>
      </w:r>
      <w:bookmarkEnd w:id="223"/>
      <w:bookmarkEnd w:id="224"/>
      <w:bookmarkEnd w:id="225"/>
    </w:p>
    <w:p>
      <w:pPr>
        <w:pStyle w:val="Heading5"/>
      </w:pPr>
      <w:bookmarkStart w:id="226" w:name="_Toc109833046"/>
      <w:r>
        <w:rPr>
          <w:rStyle w:val="CharSectno"/>
        </w:rPr>
        <w:t>116</w:t>
      </w:r>
      <w:r>
        <w:t>.</w:t>
      </w:r>
      <w:r>
        <w:tab/>
        <w:t>Assessments of family day care residences and approved family day care venues</w:t>
      </w:r>
      <w:bookmarkEnd w:id="226"/>
      <w:r>
        <w:t xml:space="preserve"> </w:t>
      </w:r>
    </w:p>
    <w:p>
      <w:pPr>
        <w:pStyle w:val="Subsection"/>
      </w:pPr>
      <w:r>
        <w:tab/>
        <w:t>(1)</w:t>
      </w:r>
      <w:r>
        <w:tab/>
        <w:t>The approved provider of a family day care service must conduct an assessment (including a risk assessment) of each proposed residence and each proposed family day care venue of the service before education and care is provided to children at the  residence or venue as part of the service to ensure that the health, safety and wellbeing of children who are educated and cared for by the service are protected.</w:t>
      </w:r>
    </w:p>
    <w:p>
      <w:pPr>
        <w:pStyle w:val="Penstart"/>
      </w:pPr>
      <w:r>
        <w:tab/>
        <w:t>Penalty: $2 000.</w:t>
      </w:r>
    </w:p>
    <w:p>
      <w:pPr>
        <w:pStyle w:val="Subsection"/>
      </w:pPr>
      <w:r>
        <w:tab/>
        <w:t>(1A)</w:t>
      </w:r>
      <w:r>
        <w:tab/>
        <w:t xml:space="preserve">Subregulation (1) does not apply in respect of an approved family day care venue if an assessment (including a risk assessment) of the family day care venue was included in — </w:t>
      </w:r>
    </w:p>
    <w:p>
      <w:pPr>
        <w:pStyle w:val="Indenta"/>
      </w:pPr>
      <w:r>
        <w:tab/>
        <w:t>(a)</w:t>
      </w:r>
      <w:r>
        <w:tab/>
        <w:t>an application for a service approval under regulation 26(n)(iii); or</w:t>
      </w:r>
    </w:p>
    <w:p>
      <w:pPr>
        <w:pStyle w:val="Indenta"/>
      </w:pPr>
      <w:r>
        <w:lastRenderedPageBreak/>
        <w:tab/>
        <w:t>(b)</w:t>
      </w:r>
      <w:r>
        <w:tab/>
        <w:t>an application to amend a service approval under regulation 34(f)(iii).</w:t>
      </w:r>
    </w:p>
    <w:p>
      <w:pPr>
        <w:pStyle w:val="Subsection"/>
      </w:pPr>
      <w:r>
        <w:tab/>
        <w:t>(1B)</w:t>
      </w:r>
      <w:r>
        <w:tab/>
        <w:t>The approved provider of a family day care service must conduct an assessment (including a risk assessment) of each residence and each approved family day care venue of the service at least annually to ensure that the health, safety and wellbeing of children who are educated and cared for by the service are protected.</w:t>
      </w:r>
    </w:p>
    <w:p>
      <w:pPr>
        <w:pStyle w:val="Penstart"/>
      </w:pPr>
      <w:r>
        <w:tab/>
        <w:t>Penalty: $2 000.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keepNext/>
      </w:pPr>
      <w:r>
        <w:lastRenderedPageBreak/>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116 amended: Gazette 28 Sep 2018 p. 3621</w:t>
      </w:r>
      <w:r>
        <w:noBreakHyphen/>
        <w:t>2.]</w:t>
      </w:r>
    </w:p>
    <w:p>
      <w:pPr>
        <w:pStyle w:val="Heading5"/>
      </w:pPr>
      <w:bookmarkStart w:id="227" w:name="_Toc109833047"/>
      <w:r>
        <w:rPr>
          <w:rStyle w:val="CharSectno"/>
        </w:rPr>
        <w:t>117</w:t>
      </w:r>
      <w:r>
        <w:t>.</w:t>
      </w:r>
      <w:r>
        <w:tab/>
        <w:t>Glass</w:t>
      </w:r>
      <w:bookmarkEnd w:id="227"/>
      <w:r>
        <w:t xml:space="preserve"> </w:t>
      </w:r>
    </w:p>
    <w:p>
      <w:pPr>
        <w:pStyle w:val="Subsection"/>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117 of the national regulations made by the Ministerial Council.</w:t>
      </w:r>
    </w:p>
    <w:p>
      <w:pPr>
        <w:pStyle w:val="Footnotesection"/>
      </w:pPr>
      <w:r>
        <w:tab/>
        <w:t>[Regulation 117 amended: Gazette 28 Nov 2014 p. 4406.]</w:t>
      </w:r>
    </w:p>
    <w:p>
      <w:pPr>
        <w:pStyle w:val="Heading3"/>
      </w:pPr>
      <w:bookmarkStart w:id="228" w:name="_Toc109740624"/>
      <w:bookmarkStart w:id="229" w:name="_Toc109741453"/>
      <w:bookmarkStart w:id="230" w:name="_Toc109833048"/>
      <w:r>
        <w:rPr>
          <w:rStyle w:val="CharDivNo"/>
        </w:rPr>
        <w:lastRenderedPageBreak/>
        <w:t>Part 4.3A</w:t>
      </w:r>
      <w:r>
        <w:t> — </w:t>
      </w:r>
      <w:r>
        <w:rPr>
          <w:rStyle w:val="CharDivText"/>
        </w:rPr>
        <w:t>Minimum requirements for persons in day</w:t>
      </w:r>
      <w:r>
        <w:rPr>
          <w:rStyle w:val="CharDivText"/>
        </w:rPr>
        <w:noBreakHyphen/>
        <w:t>to</w:t>
      </w:r>
      <w:r>
        <w:rPr>
          <w:rStyle w:val="CharDivText"/>
        </w:rPr>
        <w:noBreakHyphen/>
        <w:t>day charge and nominated supervisors</w:t>
      </w:r>
      <w:bookmarkEnd w:id="228"/>
      <w:bookmarkEnd w:id="229"/>
      <w:bookmarkEnd w:id="230"/>
    </w:p>
    <w:p>
      <w:pPr>
        <w:pStyle w:val="Footnoteheading"/>
      </w:pPr>
      <w:r>
        <w:tab/>
        <w:t>[Heading inserted: Gazette 28 Sep 2018 p. 3622.]</w:t>
      </w:r>
    </w:p>
    <w:p>
      <w:pPr>
        <w:pStyle w:val="Heading5"/>
      </w:pPr>
      <w:bookmarkStart w:id="231" w:name="_Toc109833049"/>
      <w:r>
        <w:rPr>
          <w:rStyle w:val="CharSectno"/>
        </w:rPr>
        <w:t>117A</w:t>
      </w:r>
      <w:r>
        <w:t>.</w:t>
      </w:r>
      <w:r>
        <w:tab/>
        <w:t>Placing a person in day</w:t>
      </w:r>
      <w:r>
        <w:noBreakHyphen/>
        <w:t>to</w:t>
      </w:r>
      <w:r>
        <w:noBreakHyphen/>
        <w:t>day charge</w:t>
      </w:r>
      <w:bookmarkEnd w:id="231"/>
    </w:p>
    <w:p>
      <w:pPr>
        <w:pStyle w:val="Subsection"/>
      </w:pPr>
      <w:r>
        <w:tab/>
      </w:r>
      <w:r>
        <w:tab/>
        <w:t xml:space="preserve">For the purposes of the definition of a </w:t>
      </w:r>
      <w:r>
        <w:rPr>
          <w:rStyle w:val="CharDefText"/>
        </w:rPr>
        <w:t>person in day</w:t>
      </w:r>
      <w:r>
        <w:rPr>
          <w:rStyle w:val="CharDefText"/>
        </w:rPr>
        <w:noBreakHyphen/>
        <w:t>to</w:t>
      </w:r>
      <w:r>
        <w:rPr>
          <w:rStyle w:val="CharDefText"/>
        </w:rPr>
        <w:noBreakHyphen/>
        <w:t>day charge</w:t>
      </w:r>
      <w:r>
        <w:t xml:space="preserve"> in section 5(1) of the Law, a person is in day</w:t>
      </w:r>
      <w:r>
        <w:noBreakHyphen/>
        <w:t>to</w:t>
      </w:r>
      <w:r>
        <w:noBreakHyphen/>
        <w:t xml:space="preserve">day charge of an education and care service if — </w:t>
      </w:r>
    </w:p>
    <w:p>
      <w:pPr>
        <w:pStyle w:val="Indenta"/>
      </w:pPr>
      <w:r>
        <w:tab/>
        <w:t>(a)</w:t>
      </w:r>
      <w:r>
        <w:tab/>
        <w:t>the person is placed in day</w:t>
      </w:r>
      <w:r>
        <w:noBreakHyphen/>
        <w:t>to</w:t>
      </w:r>
      <w:r>
        <w:noBreakHyphen/>
        <w:t>day charge by the approved provider or a nominated supervisor of the education and care service; and</w:t>
      </w:r>
    </w:p>
    <w:p>
      <w:pPr>
        <w:pStyle w:val="Indenta"/>
      </w:pPr>
      <w:r>
        <w:tab/>
        <w:t>(b)</w:t>
      </w:r>
      <w:r>
        <w:tab/>
        <w:t>the person consents to the placement in writing.</w:t>
      </w:r>
    </w:p>
    <w:p>
      <w:pPr>
        <w:pStyle w:val="Footnotesection"/>
      </w:pPr>
      <w:r>
        <w:tab/>
        <w:t>[Regulation 117A inserted: Gazette 28 Sep 2018 p. 3622</w:t>
      </w:r>
      <w:r>
        <w:noBreakHyphen/>
        <w:t>3.]</w:t>
      </w:r>
    </w:p>
    <w:p>
      <w:pPr>
        <w:pStyle w:val="Heading5"/>
      </w:pPr>
      <w:bookmarkStart w:id="232" w:name="_Toc109833050"/>
      <w:r>
        <w:rPr>
          <w:rStyle w:val="CharSectno"/>
        </w:rPr>
        <w:t>117B</w:t>
      </w:r>
      <w:r>
        <w:t>.</w:t>
      </w:r>
      <w:r>
        <w:tab/>
        <w:t>Minimum requirements for a person in day</w:t>
      </w:r>
      <w:r>
        <w:noBreakHyphen/>
        <w:t>to</w:t>
      </w:r>
      <w:r>
        <w:noBreakHyphen/>
        <w:t>day charge</w:t>
      </w:r>
      <w:bookmarkEnd w:id="232"/>
    </w:p>
    <w:p>
      <w:pPr>
        <w:pStyle w:val="Subsection"/>
      </w:pPr>
      <w:r>
        <w:tab/>
        <w:t>(1)</w:t>
      </w:r>
      <w:r>
        <w:tab/>
        <w:t>An approved provider or a nominated supervisor of an education and care service must not place a person in day</w:t>
      </w:r>
      <w:r>
        <w:noBreakHyphen/>
        <w:t>to</w:t>
      </w:r>
      <w:r>
        <w:noBreakHyphen/>
        <w:t xml:space="preserve">day charge unless — </w:t>
      </w:r>
    </w:p>
    <w:p>
      <w:pPr>
        <w:pStyle w:val="Indenta"/>
      </w:pPr>
      <w:r>
        <w:tab/>
        <w:t>(a)</w:t>
      </w:r>
      <w:r>
        <w:tab/>
        <w:t>the person has attained the age of 18 years; and</w:t>
      </w:r>
    </w:p>
    <w:p>
      <w:pPr>
        <w:pStyle w:val="Indenta"/>
      </w:pPr>
      <w:r>
        <w:tab/>
        <w:t>(b)</w:t>
      </w:r>
      <w:r>
        <w:tab/>
        <w:t xml:space="preserve">the approved provider or nominated supervisor (as the case requires) — </w:t>
      </w:r>
    </w:p>
    <w:p>
      <w:pPr>
        <w:pStyle w:val="Indenti"/>
      </w:pPr>
      <w:r>
        <w:tab/>
        <w:t>(i)</w:t>
      </w:r>
      <w:r>
        <w:tab/>
        <w:t>has had regard to the matters set out in subregulation (2); and</w:t>
      </w:r>
    </w:p>
    <w:p>
      <w:pPr>
        <w:pStyle w:val="Indenti"/>
      </w:pPr>
      <w:r>
        <w:tab/>
        <w:t>(ii)</w:t>
      </w:r>
      <w:r>
        <w:tab/>
        <w:t>has taken reasonable steps to ensure that the person has adequate knowledge and understanding of the provision of education and care to children and an ability to effectively supervise and manage an education and care service.</w:t>
      </w:r>
    </w:p>
    <w:p>
      <w:pPr>
        <w:pStyle w:val="Subsection"/>
      </w:pPr>
      <w:r>
        <w:tab/>
        <w:t>(2)</w:t>
      </w:r>
      <w:r>
        <w:tab/>
        <w:t xml:space="preserve">For the purposes of subregulation (1)(b)(i),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lastRenderedPageBreak/>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117B inserted: Gazette 28 Sep 2018 p. 3623</w:t>
      </w:r>
      <w:r>
        <w:noBreakHyphen/>
        <w:t>4.]</w:t>
      </w:r>
    </w:p>
    <w:p>
      <w:pPr>
        <w:pStyle w:val="Heading5"/>
      </w:pPr>
      <w:bookmarkStart w:id="233" w:name="_Toc109833051"/>
      <w:r>
        <w:rPr>
          <w:rStyle w:val="CharSectno"/>
        </w:rPr>
        <w:t>117C</w:t>
      </w:r>
      <w:r>
        <w:t>.</w:t>
      </w:r>
      <w:r>
        <w:tab/>
        <w:t>Minimum requirements for a nominated supervisor</w:t>
      </w:r>
      <w:bookmarkEnd w:id="233"/>
    </w:p>
    <w:p>
      <w:pPr>
        <w:pStyle w:val="Subsection"/>
      </w:pPr>
      <w:r>
        <w:tab/>
        <w:t>(1)</w:t>
      </w:r>
      <w:r>
        <w:tab/>
        <w:t xml:space="preserve">For the purposes of section 161A of the Law, the prescribed minimum requirements for nomination of a person as a nominated supervisor of an education and care service are that the person must — </w:t>
      </w:r>
    </w:p>
    <w:p>
      <w:pPr>
        <w:pStyle w:val="Indenta"/>
      </w:pPr>
      <w:r>
        <w:tab/>
        <w:t>(a)</w:t>
      </w:r>
      <w:r>
        <w:tab/>
        <w:t>have attained the age of 18 years; and</w:t>
      </w:r>
    </w:p>
    <w:p>
      <w:pPr>
        <w:pStyle w:val="Indenta"/>
      </w:pPr>
      <w:r>
        <w:tab/>
        <w:t>(b)</w:t>
      </w:r>
      <w:r>
        <w:tab/>
        <w:t>have adequate knowledge and understanding of the provision of education and care to children; and</w:t>
      </w:r>
    </w:p>
    <w:p>
      <w:pPr>
        <w:pStyle w:val="Indenta"/>
      </w:pPr>
      <w:r>
        <w:tab/>
        <w:t>(c)</w:t>
      </w:r>
      <w:r>
        <w:tab/>
        <w:t>have the ability to effectively supervise and manage an education and care service.</w:t>
      </w:r>
    </w:p>
    <w:p>
      <w:pPr>
        <w:pStyle w:val="Subsection"/>
        <w:keepNext/>
      </w:pPr>
      <w:r>
        <w:lastRenderedPageBreak/>
        <w:tab/>
        <w:t>(2)</w:t>
      </w:r>
      <w:r>
        <w:tab/>
        <w:t xml:space="preserve">In determining whether to nominate a person as a nominated supervisor, an approved provider of an education and care service must have regard to the following matters — </w:t>
      </w:r>
    </w:p>
    <w:p>
      <w:pPr>
        <w:pStyle w:val="Indenta"/>
      </w:pPr>
      <w:r>
        <w:tab/>
        <w:t>(a)</w:t>
      </w:r>
      <w:r>
        <w:tab/>
        <w:t xml:space="preserve">the history of the person’s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Indenta"/>
        <w:keepNext/>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117C inserted: Gazette 28 Sep 2018 p. 3624</w:t>
      </w:r>
      <w:r>
        <w:noBreakHyphen/>
        <w:t>5.]</w:t>
      </w:r>
    </w:p>
    <w:p>
      <w:pPr>
        <w:pStyle w:val="Heading3"/>
      </w:pPr>
      <w:bookmarkStart w:id="234" w:name="_Toc109740628"/>
      <w:bookmarkStart w:id="235" w:name="_Toc109741457"/>
      <w:bookmarkStart w:id="236" w:name="_Toc109833052"/>
      <w:r>
        <w:rPr>
          <w:rStyle w:val="CharDivNo"/>
        </w:rPr>
        <w:t>Part 4.4</w:t>
      </w:r>
      <w:r>
        <w:t> — </w:t>
      </w:r>
      <w:r>
        <w:rPr>
          <w:rStyle w:val="CharDivText"/>
        </w:rPr>
        <w:t>Staffing arrangements</w:t>
      </w:r>
      <w:bookmarkEnd w:id="234"/>
      <w:bookmarkEnd w:id="235"/>
      <w:bookmarkEnd w:id="236"/>
    </w:p>
    <w:p>
      <w:pPr>
        <w:pStyle w:val="Heading4"/>
      </w:pPr>
      <w:bookmarkStart w:id="237" w:name="_Toc109740629"/>
      <w:bookmarkStart w:id="238" w:name="_Toc109741458"/>
      <w:bookmarkStart w:id="239" w:name="_Toc109833053"/>
      <w:r>
        <w:t>Division 1 — Educational leader</w:t>
      </w:r>
      <w:bookmarkEnd w:id="237"/>
      <w:bookmarkEnd w:id="238"/>
      <w:bookmarkEnd w:id="239"/>
    </w:p>
    <w:p>
      <w:pPr>
        <w:pStyle w:val="Heading5"/>
      </w:pPr>
      <w:bookmarkStart w:id="240" w:name="_Toc109833054"/>
      <w:r>
        <w:rPr>
          <w:rStyle w:val="CharSectno"/>
        </w:rPr>
        <w:t>118</w:t>
      </w:r>
      <w:r>
        <w:t>.</w:t>
      </w:r>
      <w:r>
        <w:tab/>
        <w:t>Educational leader</w:t>
      </w:r>
      <w:bookmarkEnd w:id="240"/>
      <w:r>
        <w:t xml:space="preserve"> </w:t>
      </w:r>
    </w:p>
    <w:p>
      <w:pPr>
        <w:pStyle w:val="Subsection"/>
        <w:keepNext/>
      </w:pPr>
      <w:r>
        <w:tab/>
      </w:r>
      <w:r>
        <w:tab/>
        <w:t>The approved provider of an education and care service must designate, in writing, a suitably qualified and experienced educator, co</w:t>
      </w:r>
      <w:r>
        <w:noBreakHyphen/>
        <w:t xml:space="preserve">ordinator or other individual as educational leader </w:t>
      </w:r>
      <w:r>
        <w:lastRenderedPageBreak/>
        <w:t>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41" w:name="_Toc109740631"/>
      <w:bookmarkStart w:id="242" w:name="_Toc109741460"/>
      <w:bookmarkStart w:id="243" w:name="_Toc109833055"/>
      <w:r>
        <w:t>Division 2 — Age and supervision requirements</w:t>
      </w:r>
      <w:bookmarkEnd w:id="241"/>
      <w:bookmarkEnd w:id="242"/>
      <w:bookmarkEnd w:id="243"/>
    </w:p>
    <w:p>
      <w:pPr>
        <w:pStyle w:val="Heading5"/>
      </w:pPr>
      <w:bookmarkStart w:id="244" w:name="_Toc109833056"/>
      <w:r>
        <w:rPr>
          <w:rStyle w:val="CharSectno"/>
        </w:rPr>
        <w:t>119</w:t>
      </w:r>
      <w:r>
        <w:t>.</w:t>
      </w:r>
      <w:r>
        <w:tab/>
        <w:t>Family day care educator and family day care educator assistant to be at least 18 years old</w:t>
      </w:r>
      <w:bookmarkEnd w:id="244"/>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45" w:name="_Toc109833057"/>
      <w:r>
        <w:rPr>
          <w:rStyle w:val="CharSectno"/>
        </w:rPr>
        <w:t>120</w:t>
      </w:r>
      <w:r>
        <w:t>.</w:t>
      </w:r>
      <w:r>
        <w:tab/>
        <w:t>Educators who are under 18 to be supervised</w:t>
      </w:r>
      <w:bookmarkEnd w:id="245"/>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46" w:name="_Toc109740634"/>
      <w:bookmarkStart w:id="247" w:name="_Toc109741463"/>
      <w:bookmarkStart w:id="248" w:name="_Toc109833058"/>
      <w:r>
        <w:lastRenderedPageBreak/>
        <w:t>Division 3 — Minimum number of educators and family day care co</w:t>
      </w:r>
      <w:r>
        <w:noBreakHyphen/>
        <w:t>ordinators required</w:t>
      </w:r>
      <w:bookmarkEnd w:id="246"/>
      <w:bookmarkEnd w:id="247"/>
      <w:bookmarkEnd w:id="248"/>
    </w:p>
    <w:p>
      <w:pPr>
        <w:pStyle w:val="Footnoteheading"/>
        <w:keepNext/>
      </w:pPr>
      <w:r>
        <w:tab/>
        <w:t>[Heading amended: Gazette 28 Sep 2018 p. 3625.]</w:t>
      </w:r>
    </w:p>
    <w:p>
      <w:pPr>
        <w:pStyle w:val="Heading5"/>
      </w:pPr>
      <w:bookmarkStart w:id="249" w:name="_Toc109833059"/>
      <w:r>
        <w:rPr>
          <w:rStyle w:val="CharSectno"/>
        </w:rPr>
        <w:t>121</w:t>
      </w:r>
      <w:r>
        <w:t>.</w:t>
      </w:r>
      <w:r>
        <w:tab/>
        <w:t>Application of Division 3</w:t>
      </w:r>
      <w:bookmarkEnd w:id="249"/>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250" w:name="_Toc109833060"/>
      <w:r>
        <w:rPr>
          <w:rStyle w:val="CharSectno"/>
        </w:rPr>
        <w:t>122</w:t>
      </w:r>
      <w:r>
        <w:t>.</w:t>
      </w:r>
      <w:r>
        <w:tab/>
        <w:t>Educators must be working directly with children to be included in ratios</w:t>
      </w:r>
      <w:bookmarkEnd w:id="250"/>
      <w:r>
        <w:t xml:space="preserve"> </w:t>
      </w:r>
    </w:p>
    <w:p>
      <w:pPr>
        <w:pStyle w:val="Subsection"/>
      </w:pPr>
      <w:r>
        <w:tab/>
        <w:t>(1)</w:t>
      </w:r>
      <w:r>
        <w:tab/>
        <w:t>An educator cannot be included in calculating the educator to child ratio of a centre</w:t>
      </w:r>
      <w:r>
        <w:noBreakHyphen/>
        <w:t>based service unless the educator is working directly with children at the service.</w:t>
      </w:r>
    </w:p>
    <w:p>
      <w:pPr>
        <w:pStyle w:val="Subsection"/>
      </w:pPr>
      <w:r>
        <w:tab/>
        <w:t>(2)</w:t>
      </w:r>
      <w:r>
        <w:tab/>
        <w:t>In this regulation, a reference to an educator includes an early childhood teacher or a suitably qualified person who is counted as an educator under regulation 123(3).</w:t>
      </w:r>
    </w:p>
    <w:p>
      <w:pPr>
        <w:pStyle w:val="Footnotesection"/>
      </w:pPr>
      <w:r>
        <w:tab/>
        <w:t>[Regulation 122 amended: Gazette 24 Dec 2019 p. 4423.]</w:t>
      </w:r>
    </w:p>
    <w:p>
      <w:pPr>
        <w:pStyle w:val="Heading5"/>
      </w:pPr>
      <w:bookmarkStart w:id="251" w:name="_Toc109833061"/>
      <w:r>
        <w:rPr>
          <w:rStyle w:val="CharSectno"/>
        </w:rPr>
        <w:t>123</w:t>
      </w:r>
      <w:r>
        <w:t>.</w:t>
      </w:r>
      <w:r>
        <w:tab/>
        <w:t>Educator to child ratios — centre</w:t>
      </w:r>
      <w:r>
        <w:noBreakHyphen/>
        <w:t>based services</w:t>
      </w:r>
      <w:bookmarkEnd w:id="251"/>
      <w:r>
        <w:t xml:space="preserve"> </w:t>
      </w:r>
    </w:p>
    <w:p>
      <w:pPr>
        <w:pStyle w:val="Subsection"/>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lastRenderedPageBreak/>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for all participating jurisdictions other than Western Australia — 1 educator to 11 children;</w:t>
      </w:r>
    </w:p>
    <w:p>
      <w:pPr>
        <w:pStyle w:val="Indenti"/>
      </w:pPr>
      <w:r>
        <w:tab/>
        <w:t>(ii)</w:t>
      </w:r>
      <w:r>
        <w:tab/>
        <w:t>for Western Australia — 1 educator to 10 children;</w:t>
      </w:r>
    </w:p>
    <w:p>
      <w:pPr>
        <w:pStyle w:val="Indenta"/>
      </w:pPr>
      <w:r>
        <w:tab/>
        <w:t>(d)</w:t>
      </w:r>
      <w:r>
        <w:tab/>
        <w:t>for children over preschool age, the ratio set out in regulation 369.</w:t>
      </w:r>
    </w:p>
    <w:p>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Indenta"/>
      </w:pPr>
      <w:r>
        <w:tab/>
        <w:t>(a)</w:t>
      </w:r>
      <w:r>
        <w:tab/>
        <w:t>the educator is present on the premises of the service; and</w:t>
      </w:r>
    </w:p>
    <w:p>
      <w:pPr>
        <w:pStyle w:val="Indenta"/>
      </w:pPr>
      <w:r>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lastRenderedPageBreak/>
        <w:tab/>
        <w:t>(3)</w:t>
      </w:r>
      <w:r>
        <w:tab/>
        <w:t>If an early childhood teacher or a suitably qualified person is required under Division 5 to be in attendance at a centre</w:t>
      </w:r>
      <w:r>
        <w:noBreakHyphen/>
        <w:t>based service, subject to regulation 122 that early childhood teacher or suitably qualified person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spacing w:before="70"/>
      </w:pPr>
      <w:r>
        <w:tab/>
        <w:t>(ii)</w:t>
      </w:r>
      <w:r>
        <w:tab/>
        <w:t>makes and keeps a record of that decision;</w:t>
      </w:r>
    </w:p>
    <w:p>
      <w:pPr>
        <w:pStyle w:val="Indenta"/>
        <w:spacing w:before="70"/>
      </w:pPr>
      <w:r>
        <w:tab/>
      </w:r>
      <w:r>
        <w:tab/>
        <w:t>and</w:t>
      </w:r>
    </w:p>
    <w:p>
      <w:pPr>
        <w:pStyle w:val="Indenta"/>
        <w:spacing w:before="70"/>
      </w:pPr>
      <w:r>
        <w:lastRenderedPageBreak/>
        <w:tab/>
        <w:t>(b)</w:t>
      </w:r>
      <w:r>
        <w:tab/>
        <w:t>a parent of the child has agreed with that decision and has signed the record of the decision to indicate that agreement.</w:t>
      </w:r>
    </w:p>
    <w:p>
      <w:pPr>
        <w:pStyle w:val="PermNoteHeading"/>
      </w:pPr>
      <w:r>
        <w:tab/>
        <w:t>Notes for this regulation:</w:t>
      </w:r>
    </w:p>
    <w:p>
      <w:pPr>
        <w:pStyle w:val="PermNoteText"/>
      </w:pPr>
      <w:r>
        <w:tab/>
        <w:t>1.</w:t>
      </w:r>
      <w:r>
        <w:tab/>
        <w:t>This regulation differs from regulation 123 of the national regulations made by the Ministerial Council.</w:t>
      </w:r>
    </w:p>
    <w:p>
      <w:pPr>
        <w:pStyle w:val="PermNoteText"/>
      </w:pPr>
      <w:r>
        <w:tab/>
        <w:t>2.</w:t>
      </w:r>
      <w:r>
        <w:tab/>
        <w:t>For other WA specific provisions, see regulation 372.</w:t>
      </w:r>
    </w:p>
    <w:p>
      <w:pPr>
        <w:pStyle w:val="Footnotesection"/>
      </w:pPr>
      <w:r>
        <w:tab/>
        <w:t>[Regulation 123 amended: Gazette 5 Mar 2013 p. 1108; 13 Dec 2013 p.</w:t>
      </w:r>
      <w:r>
        <w:rPr>
          <w:sz w:val="19"/>
        </w:rPr>
        <w:t> </w:t>
      </w:r>
      <w:r>
        <w:t>6160</w:t>
      </w:r>
      <w:r>
        <w:noBreakHyphen/>
        <w:t>1; 3 Jul 2015 p. 2667</w:t>
      </w:r>
      <w:r>
        <w:noBreakHyphen/>
        <w:t>8; 28 Sep 2018 p. 3626; 24 Dec 2019 p. 4423.]</w:t>
      </w:r>
    </w:p>
    <w:p>
      <w:pPr>
        <w:pStyle w:val="Heading5"/>
      </w:pPr>
      <w:bookmarkStart w:id="252" w:name="_Toc109833062"/>
      <w:r>
        <w:rPr>
          <w:rStyle w:val="CharSectno"/>
        </w:rPr>
        <w:t>123A</w:t>
      </w:r>
      <w:r>
        <w:t>.</w:t>
      </w:r>
      <w:r>
        <w:tab/>
        <w:t>Family day care co</w:t>
      </w:r>
      <w:r>
        <w:noBreakHyphen/>
        <w:t>ordinator to educator ratios — family day care service</w:t>
      </w:r>
      <w:bookmarkEnd w:id="252"/>
    </w:p>
    <w:p>
      <w:pPr>
        <w:pStyle w:val="Subsection"/>
      </w:pPr>
      <w:r>
        <w:tab/>
      </w:r>
      <w:r>
        <w:tab/>
        <w:t>For the purposes of section 163(1) of the Law, the prescribed minimum number of qualified persons employed or engaged as family day care co</w:t>
      </w:r>
      <w:r>
        <w:noBreakHyphen/>
        <w:t xml:space="preserve">ordinators of the family day care service is to be calculated in accordance with the following ratios — </w:t>
      </w:r>
    </w:p>
    <w:p>
      <w:pPr>
        <w:pStyle w:val="Indenta"/>
      </w:pPr>
      <w:r>
        <w:tab/>
        <w:t>(a)</w:t>
      </w:r>
      <w:r>
        <w:tab/>
        <w:t>for the first 12 months after the service commences providing education and care to children as part of the family day care service, 1 full</w:t>
      </w:r>
      <w:r>
        <w:noBreakHyphen/>
        <w:t>time equivalent family day care co</w:t>
      </w:r>
      <w:r>
        <w:noBreakHyphen/>
        <w:t>ordinator for every 15 family day care educators;</w:t>
      </w:r>
    </w:p>
    <w:p>
      <w:pPr>
        <w:pStyle w:val="Indenta"/>
      </w:pPr>
      <w:r>
        <w:tab/>
        <w:t>(b)</w:t>
      </w:r>
      <w:r>
        <w:tab/>
        <w:t>after the end of that 12 month period, 1 full</w:t>
      </w:r>
      <w:r>
        <w:noBreakHyphen/>
        <w:t>time equivalent family day care co</w:t>
      </w:r>
      <w:r>
        <w:noBreakHyphen/>
        <w:t>ordinator for every 25 family day care educators.</w:t>
      </w:r>
    </w:p>
    <w:p>
      <w:pPr>
        <w:pStyle w:val="Footnotesection"/>
      </w:pPr>
      <w:r>
        <w:tab/>
        <w:t>[Regulation 123A inserted: Gazette 28 Sep 2018 p. 3626.]</w:t>
      </w:r>
    </w:p>
    <w:p>
      <w:pPr>
        <w:pStyle w:val="Heading5"/>
      </w:pPr>
      <w:bookmarkStart w:id="253" w:name="_Toc109833063"/>
      <w:r>
        <w:rPr>
          <w:rStyle w:val="CharSectno"/>
        </w:rPr>
        <w:t>124</w:t>
      </w:r>
      <w:r>
        <w:t>.</w:t>
      </w:r>
      <w:r>
        <w:tab/>
        <w:t>Number of children who can be educated and cared for — family day care educator</w:t>
      </w:r>
      <w:bookmarkEnd w:id="253"/>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lastRenderedPageBreak/>
        <w:tab/>
        <w:t>(2)</w:t>
      </w:r>
      <w:r>
        <w:tab/>
        <w:t xml:space="preserve">In determining the number of children who can be educated and cared for by a family day care educator for the purposes of subregulation (1) — </w:t>
      </w:r>
    </w:p>
    <w:p>
      <w:pPr>
        <w:pStyle w:val="Indenta"/>
      </w:pPr>
      <w:r>
        <w:tab/>
        <w:t>(a)</w:t>
      </w:r>
      <w:r>
        <w:tab/>
        <w:t>no more than 4 can be children who are 4 years of age or under on 30 June of the current calendar year;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4 years of age or under on 30 June of the current calendar year,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lastRenderedPageBreak/>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Footnotesection"/>
      </w:pPr>
      <w:r>
        <w:tab/>
        <w:t>[Regulation 124 amended: SL 2021/220 r. 4.]</w:t>
      </w:r>
    </w:p>
    <w:p>
      <w:pPr>
        <w:pStyle w:val="Heading4"/>
      </w:pPr>
      <w:bookmarkStart w:id="254" w:name="_Toc109740640"/>
      <w:bookmarkStart w:id="255" w:name="_Toc109741469"/>
      <w:bookmarkStart w:id="256" w:name="_Toc109833064"/>
      <w:r>
        <w:t>Division 4 — Educational qualifications for educators</w:t>
      </w:r>
      <w:bookmarkEnd w:id="254"/>
      <w:bookmarkEnd w:id="255"/>
      <w:bookmarkEnd w:id="256"/>
    </w:p>
    <w:p>
      <w:pPr>
        <w:pStyle w:val="Heading5"/>
        <w:spacing w:before="200"/>
      </w:pPr>
      <w:bookmarkStart w:id="257" w:name="_Toc109833065"/>
      <w:r>
        <w:rPr>
          <w:rStyle w:val="CharSectno"/>
        </w:rPr>
        <w:t>125</w:t>
      </w:r>
      <w:r>
        <w:t>.</w:t>
      </w:r>
      <w:r>
        <w:tab/>
        <w:t>Application of Division 4</w:t>
      </w:r>
      <w:bookmarkEnd w:id="257"/>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sections 55A and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Footnotesection"/>
      </w:pPr>
      <w:r>
        <w:tab/>
        <w:t>[Regulation 125 amended: Gazette 28 Sep 2018 p. 3627.]</w:t>
      </w:r>
    </w:p>
    <w:p>
      <w:pPr>
        <w:pStyle w:val="Heading5"/>
      </w:pPr>
      <w:bookmarkStart w:id="258" w:name="_Toc109833066"/>
      <w:r>
        <w:rPr>
          <w:rStyle w:val="CharSectno"/>
        </w:rPr>
        <w:t>126</w:t>
      </w:r>
      <w:r>
        <w:t>.</w:t>
      </w:r>
      <w:r>
        <w:tab/>
        <w:t>Centre</w:t>
      </w:r>
      <w:r>
        <w:noBreakHyphen/>
        <w:t>based services — general educator qualifications</w:t>
      </w:r>
      <w:bookmarkEnd w:id="258"/>
      <w:r>
        <w:t xml:space="preserve"> </w:t>
      </w:r>
    </w:p>
    <w:p>
      <w:pPr>
        <w:pStyle w:val="Subsection"/>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have, or be actively working towards, at least an approved diploma level education and care qualification; and</w:t>
      </w:r>
    </w:p>
    <w:p>
      <w:pPr>
        <w:pStyle w:val="Indenta"/>
        <w:spacing w:before="60"/>
      </w:pPr>
      <w:r>
        <w:tab/>
        <w:t>(b)</w:t>
      </w:r>
      <w:r>
        <w:tab/>
        <w:t xml:space="preserve">all other educators who are required to meet the relevant educator to child ratios for the service must have, or be </w:t>
      </w:r>
      <w:r>
        <w:lastRenderedPageBreak/>
        <w:t>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tab/>
        <w:t>(1B)</w:t>
      </w:r>
      <w:r>
        <w:tab/>
        <w:t>Subregulation (1A) does not apply in relation to New South Wales.</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 is to be counted as meeting the requirements of subregulation (1)(a).</w:t>
      </w:r>
    </w:p>
    <w:p>
      <w:pPr>
        <w:pStyle w:val="Subsection"/>
      </w:pPr>
      <w:r>
        <w:tab/>
        <w:t>(4)</w:t>
      </w:r>
      <w:r>
        <w:tab/>
        <w:t>If Division 5 requires a second early childhood teacher or a suitably qualified person to be in attendance at a centre</w:t>
      </w:r>
      <w:r>
        <w:noBreakHyphen/>
        <w:t>based service, that person, or a person taken to be a second early childhood teacher or a suitably qualified person under regulation 135(2),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An early childhood teacher or suitably qualified person can be included in determining the number of educators who have an approved diploma level education and care qualification if the teacher or suitably qualified person is working directly with children.</w:t>
      </w:r>
    </w:p>
    <w:p>
      <w:pPr>
        <w:pStyle w:val="Footnotesection"/>
      </w:pPr>
      <w:r>
        <w:tab/>
        <w:t>[Regulation 126 amended: Gazette 28 Nov 2014 p. 4406; 24 Dec 2019 p. 4424; SL 2020/143 r. 10.]</w:t>
      </w:r>
    </w:p>
    <w:p>
      <w:pPr>
        <w:pStyle w:val="Heading5"/>
      </w:pPr>
      <w:bookmarkStart w:id="259" w:name="_Toc109833067"/>
      <w:r>
        <w:rPr>
          <w:rStyle w:val="CharSectno"/>
        </w:rPr>
        <w:lastRenderedPageBreak/>
        <w:t>127</w:t>
      </w:r>
      <w:r>
        <w:t>.</w:t>
      </w:r>
      <w:r>
        <w:tab/>
        <w:t>Family day care educator qualifications</w:t>
      </w:r>
      <w:bookmarkEnd w:id="259"/>
      <w:r>
        <w:t xml:space="preserve"> </w:t>
      </w:r>
    </w:p>
    <w:p>
      <w:pPr>
        <w:pStyle w:val="Subsection"/>
      </w:pPr>
      <w:r>
        <w:tab/>
      </w:r>
      <w:r>
        <w:tab/>
        <w:t>A family day care educator must have, or be actively working towards, at least an approved certificate III level education and care qualification.</w:t>
      </w:r>
    </w:p>
    <w:p>
      <w:pPr>
        <w:pStyle w:val="Heading5"/>
      </w:pPr>
      <w:bookmarkStart w:id="260" w:name="_Toc109833068"/>
      <w:r>
        <w:rPr>
          <w:rStyle w:val="CharSectno"/>
        </w:rPr>
        <w:t>128</w:t>
      </w:r>
      <w:r>
        <w:t>.</w:t>
      </w:r>
      <w:r>
        <w:tab/>
        <w:t>Family day care co</w:t>
      </w:r>
      <w:r>
        <w:noBreakHyphen/>
        <w:t>ordinator qualifications</w:t>
      </w:r>
      <w:bookmarkEnd w:id="260"/>
      <w:r>
        <w:t xml:space="preserve"> </w:t>
      </w:r>
    </w:p>
    <w:p>
      <w:pPr>
        <w:pStyle w:val="Subsection"/>
      </w:pPr>
      <w:r>
        <w:tab/>
      </w:r>
      <w:r>
        <w:tab/>
        <w:t>A family day care co</w:t>
      </w:r>
      <w:r>
        <w:noBreakHyphen/>
        <w:t>ordinator must have an approved diploma level education and care qualification.</w:t>
      </w:r>
    </w:p>
    <w:p>
      <w:pPr>
        <w:pStyle w:val="Heading4"/>
      </w:pPr>
      <w:bookmarkStart w:id="261" w:name="_Toc109740645"/>
      <w:bookmarkStart w:id="262" w:name="_Toc109741474"/>
      <w:bookmarkStart w:id="263" w:name="_Toc109833069"/>
      <w:r>
        <w:t>Division 5 — Requirements for educators who are early childhood teachers</w:t>
      </w:r>
      <w:bookmarkEnd w:id="261"/>
      <w:bookmarkEnd w:id="262"/>
      <w:bookmarkEnd w:id="263"/>
    </w:p>
    <w:p>
      <w:pPr>
        <w:pStyle w:val="Heading5"/>
      </w:pPr>
      <w:bookmarkStart w:id="264" w:name="_Toc109833070"/>
      <w:r>
        <w:rPr>
          <w:rStyle w:val="CharSectno"/>
        </w:rPr>
        <w:t>129</w:t>
      </w:r>
      <w:r>
        <w:t>.</w:t>
      </w:r>
      <w:r>
        <w:tab/>
        <w:t>Application of Division 5</w:t>
      </w:r>
      <w:bookmarkEnd w:id="264"/>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keepLines/>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Gazette 13 Dec 2013 p.</w:t>
      </w:r>
      <w:r>
        <w:rPr>
          <w:sz w:val="19"/>
        </w:rPr>
        <w:t> </w:t>
      </w:r>
      <w:r>
        <w:t>6161.]</w:t>
      </w:r>
    </w:p>
    <w:p>
      <w:pPr>
        <w:pStyle w:val="Heading5"/>
      </w:pPr>
      <w:bookmarkStart w:id="265" w:name="_Toc109833071"/>
      <w:r>
        <w:rPr>
          <w:rStyle w:val="CharSectno"/>
        </w:rPr>
        <w:t>130</w:t>
      </w:r>
      <w:r>
        <w:t>.</w:t>
      </w:r>
      <w:r>
        <w:tab/>
        <w:t>Requirement for early childhood teacher — centre</w:t>
      </w:r>
      <w:r>
        <w:noBreakHyphen/>
        <w:t>based services — fewer than 25 approved places</w:t>
      </w:r>
      <w:bookmarkEnd w:id="265"/>
      <w:r>
        <w:t xml:space="preserve"> </w:t>
      </w:r>
    </w:p>
    <w:p>
      <w:pPr>
        <w:pStyle w:val="Subsection"/>
      </w:pPr>
      <w:r>
        <w:tab/>
        <w:t>(1)</w:t>
      </w:r>
      <w:r>
        <w:tab/>
        <w:t>If the approved number of places for children preschool age or under at a centre</w:t>
      </w:r>
      <w:r>
        <w:noBreakHyphen/>
        <w:t xml:space="preserve">based service is fewer than 25, the service must have access to an early childhood teacher working with the </w:t>
      </w:r>
      <w:r>
        <w:lastRenderedPageBreak/>
        <w:t>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266" w:name="_Toc109833072"/>
      <w:r>
        <w:rPr>
          <w:rStyle w:val="CharSectno"/>
        </w:rPr>
        <w:t>131</w:t>
      </w:r>
      <w:r>
        <w:t>.</w:t>
      </w:r>
      <w:r>
        <w:tab/>
        <w:t>Requirement for early childhood teacher — centre</w:t>
      </w:r>
      <w:r>
        <w:noBreakHyphen/>
        <w:t>based services — 25 or more approved places but fewer than 25 children</w:t>
      </w:r>
      <w:bookmarkEnd w:id="266"/>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Gazette 13 Dec 2013 p.</w:t>
      </w:r>
      <w:r>
        <w:rPr>
          <w:sz w:val="19"/>
        </w:rPr>
        <w:t> </w:t>
      </w:r>
      <w:r>
        <w:t>6162.]</w:t>
      </w:r>
    </w:p>
    <w:p>
      <w:pPr>
        <w:pStyle w:val="Heading5"/>
        <w:spacing w:before="260"/>
      </w:pPr>
      <w:bookmarkStart w:id="267" w:name="_Toc109833073"/>
      <w:r>
        <w:rPr>
          <w:rStyle w:val="CharSectno"/>
        </w:rPr>
        <w:t>132</w:t>
      </w:r>
      <w:r>
        <w:t>.</w:t>
      </w:r>
      <w:r>
        <w:tab/>
        <w:t>Requirement for early childhood teacher — centre</w:t>
      </w:r>
      <w:r>
        <w:noBreakHyphen/>
        <w:t>based services — 25 to 59 children</w:t>
      </w:r>
      <w:bookmarkEnd w:id="267"/>
      <w:r>
        <w:t xml:space="preserve"> </w:t>
      </w:r>
    </w:p>
    <w:p>
      <w:pPr>
        <w:pStyle w:val="Subsection"/>
        <w:spacing w:before="180"/>
      </w:pPr>
      <w:r>
        <w:tab/>
        <w:t>(1)</w:t>
      </w:r>
      <w:r>
        <w:tab/>
        <w:t>If a centre</w:t>
      </w:r>
      <w:r>
        <w:noBreakHyphen/>
        <w:t xml:space="preserve">based service provides education and care to 25 or more but less than 60 children preschool age or under on a given </w:t>
      </w:r>
      <w:r>
        <w:lastRenderedPageBreak/>
        <w:t xml:space="preserve">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268" w:name="_Toc109833074"/>
      <w:r>
        <w:rPr>
          <w:rStyle w:val="CharSectno"/>
        </w:rPr>
        <w:t>133</w:t>
      </w:r>
      <w:r>
        <w:t>.</w:t>
      </w:r>
      <w:r>
        <w:tab/>
        <w:t>Requirement for early childhood teacher — centre</w:t>
      </w:r>
      <w:r>
        <w:noBreakHyphen/>
        <w:t>based services — 60 to 80 children</w:t>
      </w:r>
      <w:bookmarkEnd w:id="268"/>
      <w:r>
        <w:t xml:space="preserve"> </w:t>
      </w:r>
    </w:p>
    <w:p>
      <w:pPr>
        <w:pStyle w:val="Subsection"/>
        <w:keepNext/>
      </w:pPr>
      <w:r>
        <w:tab/>
        <w:t>(1)</w:t>
      </w:r>
      <w:r>
        <w:tab/>
        <w:t>If a centre</w:t>
      </w:r>
      <w:r>
        <w:noBreakHyphen/>
        <w:t xml:space="preserve">based service provides education and care to 60 or more but not more than 80 children preschool age or under on a given day — </w:t>
      </w:r>
    </w:p>
    <w:p>
      <w:pPr>
        <w:pStyle w:val="Indenta"/>
        <w:keepNext/>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 suitably qualified person must be in attendance at the service — </w:t>
      </w:r>
    </w:p>
    <w:p>
      <w:pPr>
        <w:pStyle w:val="Indenti"/>
      </w:pPr>
      <w:r>
        <w:tab/>
        <w:t>(i)</w:t>
      </w:r>
      <w:r>
        <w:tab/>
        <w:t>for at least 3 hours on that day, if the service operates for 50 or more hours a week; or</w:t>
      </w:r>
    </w:p>
    <w:p>
      <w:pPr>
        <w:pStyle w:val="Indenti"/>
      </w:pPr>
      <w:r>
        <w:lastRenderedPageBreak/>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Footnotesection"/>
      </w:pPr>
      <w:r>
        <w:tab/>
        <w:t>[Regulation 133 amended: Gazette 24 Dec 2019 p. 4424.]</w:t>
      </w:r>
    </w:p>
    <w:p>
      <w:pPr>
        <w:pStyle w:val="Heading5"/>
      </w:pPr>
      <w:bookmarkStart w:id="269" w:name="_Toc109833075"/>
      <w:r>
        <w:rPr>
          <w:rStyle w:val="CharSectno"/>
        </w:rPr>
        <w:t>134</w:t>
      </w:r>
      <w:r>
        <w:t>.</w:t>
      </w:r>
      <w:r>
        <w:tab/>
        <w:t>Requirement for early childhood teacher — centre</w:t>
      </w:r>
      <w:r>
        <w:noBreakHyphen/>
        <w:t>based services — more than 80 children</w:t>
      </w:r>
      <w:bookmarkEnd w:id="269"/>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lastRenderedPageBreak/>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Footnotesection"/>
      </w:pPr>
      <w:r>
        <w:tab/>
        <w:t>[Regulation 134 amended: Gazette 24 Dec 2019 p. 4424.]</w:t>
      </w:r>
    </w:p>
    <w:p>
      <w:pPr>
        <w:pStyle w:val="Heading5"/>
      </w:pPr>
      <w:bookmarkStart w:id="270" w:name="_Toc109833076"/>
      <w:r>
        <w:rPr>
          <w:rStyle w:val="CharSectno"/>
        </w:rPr>
        <w:t>135</w:t>
      </w:r>
      <w:r>
        <w:t>.</w:t>
      </w:r>
      <w:r>
        <w:tab/>
        <w:t>Illness or absence of early childhood teacher or suitably qualified person</w:t>
      </w:r>
      <w:bookmarkEnd w:id="270"/>
    </w:p>
    <w:p>
      <w:pPr>
        <w:pStyle w:val="Subsection"/>
        <w:keepNext/>
      </w:pPr>
      <w:r>
        <w:tab/>
        <w:t>(1)</w:t>
      </w:r>
      <w:r>
        <w:tab/>
        <w:t>If an early childhood teacher who is required under regulation 132(1), 133(1)(a) or 134(1)(a) to be in attendance at a centre</w:t>
      </w:r>
      <w:r>
        <w:noBreakHyphen/>
        <w:t>based service is absent from the centre</w:t>
      </w:r>
      <w:r>
        <w:noBreakHyphen/>
        <w:t>based service because of short</w:t>
      </w:r>
      <w:r>
        <w:noBreakHyphen/>
        <w:t xml:space="preserve">term illness or leave, the following persons may be taken to be an early childhood teacher during that absence — </w:t>
      </w:r>
    </w:p>
    <w:p>
      <w:pPr>
        <w:pStyle w:val="Indenta"/>
        <w:keepNext/>
      </w:pPr>
      <w:r>
        <w:tab/>
        <w:t>(a)</w:t>
      </w:r>
      <w:r>
        <w:tab/>
        <w:t xml:space="preserve">in any case — </w:t>
      </w:r>
    </w:p>
    <w:p>
      <w:pPr>
        <w:pStyle w:val="Indenti"/>
      </w:pPr>
      <w:r>
        <w:tab/>
        <w:t>(i)</w:t>
      </w:r>
      <w:r>
        <w:tab/>
        <w:t>a person who holds an approved diploma level education and care qualification; or</w:t>
      </w:r>
    </w:p>
    <w:p>
      <w:pPr>
        <w:pStyle w:val="Indenti"/>
      </w:pPr>
      <w:r>
        <w:tab/>
        <w:t>(ii)</w:t>
      </w:r>
      <w:r>
        <w:tab/>
        <w:t xml:space="preserve">a person who holds a qualification in primary teaching; </w:t>
      </w:r>
    </w:p>
    <w:p>
      <w:pPr>
        <w:pStyle w:val="Indenta"/>
      </w:pPr>
      <w:r>
        <w:tab/>
      </w:r>
      <w:r>
        <w:tab/>
        <w:t>and</w:t>
      </w:r>
    </w:p>
    <w:p>
      <w:pPr>
        <w:pStyle w:val="Indenta"/>
      </w:pPr>
      <w:r>
        <w:tab/>
        <w:t>(b)</w:t>
      </w:r>
      <w:r>
        <w:tab/>
        <w:t>in the case of an early childhood teacher who is required to be in attendance under regulation 133(1)(a) or 134(1)(a), a suitably qualified person.</w:t>
      </w:r>
    </w:p>
    <w:p>
      <w:pPr>
        <w:pStyle w:val="Subsection"/>
      </w:pPr>
      <w:r>
        <w:lastRenderedPageBreak/>
        <w:tab/>
        <w:t>(2)</w:t>
      </w:r>
      <w:r>
        <w:tab/>
        <w:t>If a second early childhood teacher or a suitably qualified person who is required under regulation 133(1)(b) or 134(1)(b) to be in attendance at a centre</w:t>
      </w:r>
      <w:r>
        <w:noBreakHyphen/>
        <w:t>based service is absent from the centre</w:t>
      </w:r>
      <w:r>
        <w:noBreakHyphen/>
        <w:t>based service because of short</w:t>
      </w:r>
      <w:r>
        <w:noBreakHyphen/>
        <w:t xml:space="preserve">term illness or leave, the following persons may be taken for the purposes of regulation 133(1)(b) or 134(1)(b) to be a second early childhood teacher or suitably qualified person during that absence — </w:t>
      </w:r>
    </w:p>
    <w:p>
      <w:pPr>
        <w:pStyle w:val="Indenta"/>
      </w:pPr>
      <w:r>
        <w:tab/>
        <w:t>(a)</w:t>
      </w:r>
      <w:r>
        <w:tab/>
        <w:t xml:space="preserve">a person who holds an approved diploma level education and care qualification; </w:t>
      </w:r>
    </w:p>
    <w:p>
      <w:pPr>
        <w:pStyle w:val="Indenta"/>
      </w:pPr>
      <w:r>
        <w:tab/>
        <w:t>(b)</w:t>
      </w:r>
      <w:r>
        <w:tab/>
        <w:t>a person who holds a qualification in primary teaching.</w:t>
      </w:r>
    </w:p>
    <w:p>
      <w:pPr>
        <w:pStyle w:val="Subsection"/>
      </w:pPr>
      <w:r>
        <w:tab/>
        <w:t>(3)</w:t>
      </w:r>
      <w:r>
        <w:tab/>
        <w:t>An early childhood teacher required to be in attendance under regulation 132(1), 133(1)(a) or 134(1)(a) may be replaced in accordance with subregulation (1) for a maximum of 60 days in any 12 month period.</w:t>
      </w:r>
    </w:p>
    <w:p>
      <w:pPr>
        <w:pStyle w:val="Subsection"/>
      </w:pPr>
      <w:r>
        <w:tab/>
        <w:t>(4)</w:t>
      </w:r>
      <w:r>
        <w:tab/>
        <w:t>A second early childhood teacher or a suitably qualified person required to be in attendance under regulation 133(1)(b) or 134(1)(b) may be replaced in accordance with subregulation (2) for a maximum of 60 days in any 12 month period.</w:t>
      </w:r>
    </w:p>
    <w:p>
      <w:pPr>
        <w:pStyle w:val="Subsection"/>
      </w:pPr>
      <w:r>
        <w:tab/>
        <w:t>(5)</w:t>
      </w:r>
      <w:r>
        <w:tab/>
        <w:t>For the purposes of subregulations (3) and (4), in relation to a part</w:t>
      </w:r>
      <w:r>
        <w:noBreakHyphen/>
        <w:t>time early childhood teacher, part</w:t>
      </w:r>
      <w:r>
        <w:noBreakHyphen/>
        <w:t>time second early childhood teacher or part</w:t>
      </w:r>
      <w:r>
        <w:noBreakHyphen/>
        <w:t>time suitably qualified person (as the case requires), 60 days is to be calculated on a pro rata basis.</w:t>
      </w:r>
    </w:p>
    <w:p>
      <w:pPr>
        <w:pStyle w:val="Footnotesection"/>
      </w:pPr>
      <w:r>
        <w:tab/>
        <w:t>[Regulation 135 inserted: Gazette 24 Dec 2019 p. 4424</w:t>
      </w:r>
      <w:r>
        <w:noBreakHyphen/>
        <w:t>5.]</w:t>
      </w:r>
    </w:p>
    <w:p>
      <w:pPr>
        <w:pStyle w:val="Heading4"/>
      </w:pPr>
      <w:bookmarkStart w:id="271" w:name="_Toc109740653"/>
      <w:bookmarkStart w:id="272" w:name="_Toc109741482"/>
      <w:bookmarkStart w:id="273" w:name="_Toc109833077"/>
      <w:r>
        <w:t>Division 6 — First aid qualifications</w:t>
      </w:r>
      <w:bookmarkEnd w:id="271"/>
      <w:bookmarkEnd w:id="272"/>
      <w:bookmarkEnd w:id="273"/>
    </w:p>
    <w:p>
      <w:pPr>
        <w:pStyle w:val="Heading5"/>
      </w:pPr>
      <w:bookmarkStart w:id="274" w:name="_Toc109833078"/>
      <w:r>
        <w:rPr>
          <w:rStyle w:val="CharSectno"/>
        </w:rPr>
        <w:t>136</w:t>
      </w:r>
      <w:r>
        <w:t>.</w:t>
      </w:r>
      <w:r>
        <w:tab/>
        <w:t>First aid qualifications</w:t>
      </w:r>
      <w:bookmarkEnd w:id="274"/>
      <w:r>
        <w:t xml:space="preserve"> </w:t>
      </w:r>
    </w:p>
    <w:p>
      <w:pPr>
        <w:pStyle w:val="Subsection"/>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lastRenderedPageBreak/>
        <w:tab/>
        <w:t>(a)</w:t>
      </w:r>
      <w:r>
        <w:tab/>
        <w:t>at least one staff member or one nominated supervisor of the service who holds a current approved first aid qualification;</w:t>
      </w:r>
    </w:p>
    <w:p>
      <w:pPr>
        <w:pStyle w:val="Indenta"/>
        <w:spacing w:before="100"/>
      </w:pPr>
      <w:r>
        <w:tab/>
        <w:t>(b)</w:t>
      </w:r>
      <w:r>
        <w:tab/>
        <w:t>at least one staff member or one nominated supervisor of the service who has undertaken current approved anaphylaxis management training;</w:t>
      </w:r>
    </w:p>
    <w:p>
      <w:pPr>
        <w:pStyle w:val="Indenta"/>
        <w:spacing w:before="100"/>
      </w:pPr>
      <w:r>
        <w:tab/>
        <w:t>(c)</w:t>
      </w:r>
      <w:r>
        <w:tab/>
        <w:t>at least one staff member or one nominated supervisor of the service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for the purposes of subregulation (1)(a), at least one staff member of the school who holds a current approved first aid qualification;</w:t>
      </w:r>
    </w:p>
    <w:p>
      <w:pPr>
        <w:pStyle w:val="Indenta"/>
      </w:pPr>
      <w:r>
        <w:tab/>
        <w:t>(b)</w:t>
      </w:r>
      <w:r>
        <w:tab/>
        <w:t>for the purposes of subregulation (1)(b), at least one staff member of the school who has undertaken current approved anaphylaxis management training;</w:t>
      </w:r>
    </w:p>
    <w:p>
      <w:pPr>
        <w:pStyle w:val="Indenta"/>
      </w:pPr>
      <w:r>
        <w:tab/>
        <w:t>(c)</w:t>
      </w:r>
      <w:r>
        <w:tab/>
        <w:t>for the purposes of subregulation (1)(c),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keepNext/>
        <w:spacing w:before="100"/>
      </w:pPr>
      <w:r>
        <w:tab/>
        <w:t>(c)</w:t>
      </w:r>
      <w:r>
        <w:tab/>
        <w:t>has undertaken current approved emergency asthma management training.</w:t>
      </w:r>
    </w:p>
    <w:p>
      <w:pPr>
        <w:pStyle w:val="Penstart"/>
        <w:spacing w:before="100"/>
      </w:pPr>
      <w:r>
        <w:tab/>
        <w:t>Penalty: $2000.</w:t>
      </w:r>
    </w:p>
    <w:p>
      <w:pPr>
        <w:pStyle w:val="Subsection"/>
        <w:spacing w:before="200"/>
      </w:pPr>
      <w:r>
        <w:lastRenderedPageBreak/>
        <w:tab/>
        <w:t>(4)</w:t>
      </w:r>
      <w:r>
        <w:tab/>
        <w:t>The same person may hold one or more of the qualifications set out in subregulation (1).</w:t>
      </w:r>
    </w:p>
    <w:p>
      <w:pPr>
        <w:pStyle w:val="Subsection"/>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Lines w:val="0"/>
      </w:pPr>
      <w:r>
        <w:tab/>
        <w:t>(vii)</w:t>
      </w:r>
      <w:r>
        <w:tab/>
        <w:t>administration of an auto</w:t>
      </w:r>
      <w:r>
        <w:noBreakHyphen/>
        <w:t>immune adrenalin device;</w:t>
      </w:r>
    </w:p>
    <w:p>
      <w:pPr>
        <w:pStyle w:val="Defpara"/>
      </w:pPr>
      <w:r>
        <w:tab/>
      </w:r>
      <w:r>
        <w:tab/>
        <w:t>and</w:t>
      </w:r>
    </w:p>
    <w:p>
      <w:pPr>
        <w:pStyle w:val="Defpara"/>
        <w:keepNext/>
      </w:pPr>
      <w:r>
        <w:tab/>
        <w:t>(b)</w:t>
      </w:r>
      <w:r>
        <w:tab/>
        <w:t>has been approved by the National Authority in accordance with Division 7.</w:t>
      </w:r>
    </w:p>
    <w:p>
      <w:pPr>
        <w:pStyle w:val="PermNoteHeading"/>
      </w:pPr>
      <w:r>
        <w:tab/>
        <w:t>Note for this regulation:</w:t>
      </w:r>
    </w:p>
    <w:p>
      <w:pPr>
        <w:pStyle w:val="PermNoteText"/>
        <w:keepNext/>
      </w:pPr>
      <w:r>
        <w:tab/>
      </w:r>
      <w:r>
        <w:tab/>
        <w:t>A compliance direction may be issued for failure to comply with subregulation (1).</w:t>
      </w:r>
    </w:p>
    <w:p>
      <w:pPr>
        <w:pStyle w:val="Footnotesection"/>
      </w:pPr>
      <w:r>
        <w:tab/>
        <w:t>[Regulation 136 amended: Gazette 28 Nov 2014 p. 4406-7; 3 Nov 2017 p. 5483.]</w:t>
      </w:r>
    </w:p>
    <w:p>
      <w:pPr>
        <w:pStyle w:val="Heading4"/>
      </w:pPr>
      <w:bookmarkStart w:id="275" w:name="_Toc109740655"/>
      <w:bookmarkStart w:id="276" w:name="_Toc109741484"/>
      <w:bookmarkStart w:id="277" w:name="_Toc109833079"/>
      <w:r>
        <w:lastRenderedPageBreak/>
        <w:t>Division 7 — Approval and determination of qualifications</w:t>
      </w:r>
      <w:bookmarkEnd w:id="275"/>
      <w:bookmarkEnd w:id="276"/>
      <w:bookmarkEnd w:id="277"/>
    </w:p>
    <w:p>
      <w:pPr>
        <w:pStyle w:val="Heading5"/>
      </w:pPr>
      <w:bookmarkStart w:id="278" w:name="_Toc109833080"/>
      <w:r>
        <w:rPr>
          <w:rStyle w:val="CharSectno"/>
        </w:rPr>
        <w:t>137</w:t>
      </w:r>
      <w:r>
        <w:t>.</w:t>
      </w:r>
      <w:r>
        <w:tab/>
        <w:t>Approval of qualifications</w:t>
      </w:r>
      <w:bookmarkEnd w:id="278"/>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Queensland, a list of former qualifications approved as either of the following — </w:t>
      </w:r>
    </w:p>
    <w:p>
      <w:pPr>
        <w:pStyle w:val="Indenti"/>
      </w:pPr>
      <w:r>
        <w:tab/>
        <w:t>(i)</w:t>
      </w:r>
      <w:r>
        <w:tab/>
        <w:t>diploma level education and care qualifications;</w:t>
      </w:r>
    </w:p>
    <w:p>
      <w:pPr>
        <w:pStyle w:val="Indenti"/>
      </w:pPr>
      <w:r>
        <w:tab/>
        <w:t>(ii)</w:t>
      </w:r>
      <w:r>
        <w:tab/>
        <w:t xml:space="preserve">certificate III level education and care qualifications; </w:t>
      </w:r>
    </w:p>
    <w:p>
      <w:pPr>
        <w:pStyle w:val="Indenta"/>
      </w:pPr>
      <w:r>
        <w:lastRenderedPageBreak/>
        <w:tab/>
      </w:r>
      <w:r>
        <w:tab/>
        <w:t>and</w:t>
      </w:r>
    </w:p>
    <w:p>
      <w:pPr>
        <w:pStyle w:val="Indenta"/>
      </w:pPr>
      <w:r>
        <w:tab/>
        <w:t>(c)</w:t>
      </w:r>
      <w:r>
        <w:tab/>
        <w:t>a list of qualifications for working with children over preschool age for each participating jurisdiction; and</w:t>
      </w:r>
    </w:p>
    <w:p>
      <w:pPr>
        <w:pStyle w:val="Indenta"/>
      </w:pPr>
      <w:r>
        <w:tab/>
        <w:t>(d)</w:t>
      </w:r>
      <w:r>
        <w:tab/>
        <w:t>a list of qualifications and former qualifications for family day care co-ordinators in Queensland.</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pPr>
      <w:r>
        <w:tab/>
        <w:t>(b)</w:t>
      </w:r>
      <w:r>
        <w:tab/>
        <w:t>the percentage of total units required for completion of an approved early childhood teaching qualification.</w:t>
      </w:r>
    </w:p>
    <w:p>
      <w:pPr>
        <w:pStyle w:val="Footnotesection"/>
      </w:pPr>
      <w:r>
        <w:tab/>
        <w:t>[Regulation 137 amended: Gazette 28 Nov 2014 p. 4407.]</w:t>
      </w:r>
    </w:p>
    <w:p>
      <w:pPr>
        <w:pStyle w:val="Heading5"/>
      </w:pPr>
      <w:bookmarkStart w:id="279" w:name="_Toc109833081"/>
      <w:r>
        <w:rPr>
          <w:rStyle w:val="CharSectno"/>
        </w:rPr>
        <w:t>138</w:t>
      </w:r>
      <w:r>
        <w:t>.</w:t>
      </w:r>
      <w:r>
        <w:tab/>
        <w:t>Application for qualification to be assessed for inclusion on the list of approved qualifications</w:t>
      </w:r>
      <w:bookmarkEnd w:id="279"/>
      <w:r>
        <w:t xml:space="preserve"> </w:t>
      </w:r>
    </w:p>
    <w:p>
      <w:pPr>
        <w:pStyle w:val="Subsection"/>
      </w:pPr>
      <w:r>
        <w:tab/>
        <w:t>(1)</w:t>
      </w:r>
      <w:r>
        <w:tab/>
        <w:t>A person may apply to the National Authority to assess a qualification for the purpose of approving that qualification under the Law.</w:t>
      </w:r>
    </w:p>
    <w:p>
      <w:pPr>
        <w:pStyle w:val="Subsection"/>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set out in Schedule 2.</w:t>
      </w:r>
    </w:p>
    <w:p>
      <w:pPr>
        <w:pStyle w:val="Heading5"/>
      </w:pPr>
      <w:bookmarkStart w:id="280" w:name="_Toc109833082"/>
      <w:r>
        <w:rPr>
          <w:rStyle w:val="CharSectno"/>
        </w:rPr>
        <w:lastRenderedPageBreak/>
        <w:t>139</w:t>
      </w:r>
      <w:r>
        <w:t>.</w:t>
      </w:r>
      <w:r>
        <w:tab/>
        <w:t>Application for determination of equivalent qualification</w:t>
      </w:r>
      <w:bookmarkEnd w:id="280"/>
      <w:r>
        <w:t xml:space="preserve"> </w:t>
      </w:r>
    </w:p>
    <w:p>
      <w:pPr>
        <w:pStyle w:val="Subsection"/>
        <w:keepNext/>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set out in Schedule 2.</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pPr>
      <w:r>
        <w:tab/>
        <w:t>(4)</w:t>
      </w:r>
      <w:r>
        <w:tab/>
        <w:t>An applicant must provide any additional information about the application and documents that the National Authority reasonably requires.</w:t>
      </w:r>
    </w:p>
    <w:p>
      <w:pPr>
        <w:pStyle w:val="Footnotesection"/>
      </w:pPr>
      <w:r>
        <w:tab/>
        <w:t>[Regulation 139 amended: Gazette 13 Dec 2013 p.</w:t>
      </w:r>
      <w:r>
        <w:rPr>
          <w:sz w:val="19"/>
        </w:rPr>
        <w:t> </w:t>
      </w:r>
      <w:r>
        <w:t>6162.]</w:t>
      </w:r>
    </w:p>
    <w:p>
      <w:pPr>
        <w:pStyle w:val="Heading5"/>
      </w:pPr>
      <w:bookmarkStart w:id="281" w:name="_Toc109833083"/>
      <w:r>
        <w:rPr>
          <w:rStyle w:val="CharSectno"/>
        </w:rPr>
        <w:t>140</w:t>
      </w:r>
      <w:r>
        <w:t>.</w:t>
      </w:r>
      <w:r>
        <w:tab/>
        <w:t>Application for determination of an equivalent qualification</w:t>
      </w:r>
      <w:bookmarkEnd w:id="281"/>
      <w:r>
        <w:t xml:space="preserve"> </w:t>
      </w:r>
    </w:p>
    <w:p>
      <w:pPr>
        <w:pStyle w:val="Subsection"/>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lastRenderedPageBreak/>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if the applicant is not an Australian citizen, the applicant’s visa or residency status in Australia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lastRenderedPageBreak/>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spacing w:before="50"/>
      </w:pPr>
      <w:r>
        <w:tab/>
        <w:t>(j)</w:t>
      </w:r>
      <w:r>
        <w:tab/>
        <w:t xml:space="preserve">a summary of the applicant’s education, other than the qualification that is to be determined, including — </w:t>
      </w:r>
    </w:p>
    <w:p>
      <w:pPr>
        <w:pStyle w:val="Indenti"/>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spacing w:before="60"/>
      </w:pPr>
      <w:r>
        <w:tab/>
        <w:t>(C)</w:t>
      </w:r>
      <w:r>
        <w:tab/>
        <w:t>any relevant vocational schooling;</w:t>
      </w:r>
    </w:p>
    <w:p>
      <w:pPr>
        <w:pStyle w:val="Indenti"/>
        <w:spacing w:before="60"/>
      </w:pPr>
      <w:r>
        <w:tab/>
      </w:r>
      <w:r>
        <w:tab/>
        <w:t>and</w:t>
      </w:r>
    </w:p>
    <w:p>
      <w:pPr>
        <w:pStyle w:val="Indenti"/>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Gazette 13 Dec 2013 p.</w:t>
      </w:r>
      <w:r>
        <w:rPr>
          <w:sz w:val="19"/>
        </w:rPr>
        <w:t> </w:t>
      </w:r>
      <w:r>
        <w:t>6162.]</w:t>
      </w:r>
    </w:p>
    <w:p>
      <w:pPr>
        <w:pStyle w:val="Heading5"/>
      </w:pPr>
      <w:bookmarkStart w:id="282" w:name="_Toc109833084"/>
      <w:r>
        <w:rPr>
          <w:rStyle w:val="CharSectno"/>
        </w:rPr>
        <w:lastRenderedPageBreak/>
        <w:t>141</w:t>
      </w:r>
      <w:r>
        <w:t>.</w:t>
      </w:r>
      <w:r>
        <w:tab/>
        <w:t>Additional information for application for determination of equivalent qualification</w:t>
      </w:r>
      <w:bookmarkEnd w:id="282"/>
      <w:r>
        <w:t xml:space="preserve"> </w:t>
      </w:r>
    </w:p>
    <w:p>
      <w:pPr>
        <w:pStyle w:val="Subsection"/>
      </w:pPr>
      <w:r>
        <w:tab/>
        <w:t>(1)</w:t>
      </w:r>
      <w:r>
        <w:tab/>
        <w:t xml:space="preserve">The following documents must also be provided with an application for determination of an equivalent qualification — </w:t>
      </w:r>
    </w:p>
    <w:p>
      <w:pPr>
        <w:pStyle w:val="Indenta"/>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lastRenderedPageBreak/>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Gazette 13 Dec 2013 p.</w:t>
      </w:r>
      <w:r>
        <w:rPr>
          <w:sz w:val="19"/>
        </w:rPr>
        <w:t> </w:t>
      </w:r>
      <w:r>
        <w:t>6162</w:t>
      </w:r>
      <w:r>
        <w:noBreakHyphen/>
        <w:t>3.]</w:t>
      </w:r>
    </w:p>
    <w:p>
      <w:pPr>
        <w:pStyle w:val="Heading5"/>
      </w:pPr>
      <w:bookmarkStart w:id="283" w:name="_Toc109833085"/>
      <w:r>
        <w:rPr>
          <w:rStyle w:val="CharSectno"/>
        </w:rPr>
        <w:t>142</w:t>
      </w:r>
      <w:r>
        <w:t>.</w:t>
      </w:r>
      <w:r>
        <w:tab/>
        <w:t>Translations of documents</w:t>
      </w:r>
      <w:bookmarkEnd w:id="283"/>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284" w:name="_Toc109833086"/>
      <w:r>
        <w:rPr>
          <w:rStyle w:val="CharSectno"/>
        </w:rPr>
        <w:t>143</w:t>
      </w:r>
      <w:r>
        <w:t>.</w:t>
      </w:r>
      <w:r>
        <w:tab/>
        <w:t>Certification of documents</w:t>
      </w:r>
      <w:bookmarkEnd w:id="284"/>
      <w:r>
        <w:t xml:space="preserve"> </w:t>
      </w:r>
    </w:p>
    <w:p>
      <w:pPr>
        <w:pStyle w:val="Subsection"/>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Gazette 13 Dec 2013 p.</w:t>
      </w:r>
      <w:r>
        <w:rPr>
          <w:sz w:val="19"/>
        </w:rPr>
        <w:t> </w:t>
      </w:r>
      <w:r>
        <w:t>6163.]</w:t>
      </w:r>
    </w:p>
    <w:p>
      <w:pPr>
        <w:pStyle w:val="Heading3"/>
      </w:pPr>
      <w:bookmarkStart w:id="285" w:name="_Toc109740663"/>
      <w:bookmarkStart w:id="286" w:name="_Toc109741492"/>
      <w:bookmarkStart w:id="287" w:name="_Toc109833087"/>
      <w:r>
        <w:lastRenderedPageBreak/>
        <w:t>Division 7A — Minimum requirements for a family day care educator</w:t>
      </w:r>
      <w:bookmarkEnd w:id="285"/>
      <w:bookmarkEnd w:id="286"/>
      <w:bookmarkEnd w:id="287"/>
    </w:p>
    <w:p>
      <w:pPr>
        <w:pStyle w:val="Footnoteheading"/>
      </w:pPr>
      <w:r>
        <w:tab/>
        <w:t>[Heading inserted: Gazette 28 Sep 2018 p. 3627.]</w:t>
      </w:r>
    </w:p>
    <w:p>
      <w:pPr>
        <w:pStyle w:val="Heading5"/>
      </w:pPr>
      <w:bookmarkStart w:id="288" w:name="_Toc109833088"/>
      <w:r>
        <w:rPr>
          <w:rStyle w:val="CharSectno"/>
        </w:rPr>
        <w:t>143A</w:t>
      </w:r>
      <w:r>
        <w:t>.</w:t>
      </w:r>
      <w:r>
        <w:tab/>
        <w:t>Minimum requirements for a family day care educator</w:t>
      </w:r>
      <w:bookmarkEnd w:id="288"/>
    </w:p>
    <w:p>
      <w:pPr>
        <w:pStyle w:val="Subsection"/>
      </w:pPr>
      <w:r>
        <w:tab/>
        <w:t>(1)</w:t>
      </w:r>
      <w:r>
        <w:tab/>
        <w:t xml:space="preserve">An approved provider of a family day care service must not register or engage a person as a family day care educator unless the approved provider — </w:t>
      </w:r>
    </w:p>
    <w:p>
      <w:pPr>
        <w:pStyle w:val="Indenta"/>
      </w:pPr>
      <w:r>
        <w:tab/>
        <w:t>(a)</w:t>
      </w:r>
      <w:r>
        <w:tab/>
        <w:t>has had regard to the matters set out in subregulation (2); and</w:t>
      </w:r>
    </w:p>
    <w:p>
      <w:pPr>
        <w:pStyle w:val="Indenta"/>
      </w:pPr>
      <w:r>
        <w:tab/>
        <w:t>(b)</w:t>
      </w:r>
      <w:r>
        <w:tab/>
        <w:t>has taken reasonable steps to ensure that the person has adequate knowledge and understanding of the provision of education and care to children.</w:t>
      </w:r>
    </w:p>
    <w:p>
      <w:pPr>
        <w:pStyle w:val="Penstart"/>
      </w:pPr>
      <w:r>
        <w:tab/>
        <w:t>Penalty: $2 000.</w:t>
      </w:r>
    </w:p>
    <w:p>
      <w:pPr>
        <w:pStyle w:val="Subsection"/>
      </w:pPr>
      <w:r>
        <w:tab/>
        <w:t>(2)</w:t>
      </w:r>
      <w:r>
        <w:tab/>
        <w:t xml:space="preserve">For the purposes of subregulation (1)(a),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lastRenderedPageBreak/>
        <w:tab/>
        <w:t>(iii)</w:t>
      </w:r>
      <w:r>
        <w:tab/>
        <w:t>a children’s services law of a participating jurisdiction; and</w:t>
      </w:r>
    </w:p>
    <w:p>
      <w:pPr>
        <w:pStyle w:val="Indenti"/>
      </w:pPr>
      <w:r>
        <w:tab/>
        <w:t>(iv)</w:t>
      </w:r>
      <w:r>
        <w:tab/>
        <w:t>an education law of a participating jurisdiction.</w:t>
      </w:r>
    </w:p>
    <w:p>
      <w:pPr>
        <w:pStyle w:val="Footnotesection"/>
      </w:pPr>
      <w:r>
        <w:tab/>
        <w:t>[Regulation 143A inserted: Gazette 28 Sep 2018 p. 3627</w:t>
      </w:r>
      <w:r>
        <w:noBreakHyphen/>
        <w:t>8.]</w:t>
      </w:r>
    </w:p>
    <w:p>
      <w:pPr>
        <w:pStyle w:val="Heading5"/>
      </w:pPr>
      <w:bookmarkStart w:id="289" w:name="_Toc109833089"/>
      <w:r>
        <w:rPr>
          <w:rStyle w:val="CharSectno"/>
        </w:rPr>
        <w:t>143B</w:t>
      </w:r>
      <w:r>
        <w:t>.</w:t>
      </w:r>
      <w:r>
        <w:tab/>
        <w:t>Ongoing management of family day care educators</w:t>
      </w:r>
      <w:bookmarkEnd w:id="289"/>
    </w:p>
    <w:p>
      <w:pPr>
        <w:pStyle w:val="Subsection"/>
      </w:pPr>
      <w:r>
        <w:tab/>
      </w:r>
      <w:r>
        <w:tab/>
        <w:t xml:space="preserve">An approved provider of a family day care service must take reasonable steps to ensure that — </w:t>
      </w:r>
    </w:p>
    <w:p>
      <w:pPr>
        <w:pStyle w:val="Indenta"/>
      </w:pPr>
      <w:r>
        <w:tab/>
        <w:t>(a)</w:t>
      </w:r>
      <w:r>
        <w:tab/>
        <w:t>each family day care educator engaged by or registered with the service maintains an adequate knowledge and understanding of the provision of education and care to children; and</w:t>
      </w:r>
    </w:p>
    <w:p>
      <w:pPr>
        <w:pStyle w:val="Indenta"/>
      </w:pPr>
      <w:r>
        <w:tab/>
        <w:t>(b)</w:t>
      </w:r>
      <w:r>
        <w:tab/>
        <w:t>any serious incident that occurs while a child is being educated and cared for by a family day care educator as part of the service is adequately addressed; and</w:t>
      </w:r>
    </w:p>
    <w:p>
      <w:pPr>
        <w:pStyle w:val="Indenta"/>
      </w:pPr>
      <w:r>
        <w:tab/>
        <w:t>(c)</w:t>
      </w:r>
      <w:r>
        <w:tab/>
        <w:t>any complaints alleging that the Law has been contravened or that a serious incident has occurred or is occurring while a child was or is being educated and cared for by a family day care educator are adequately addressed.</w:t>
      </w:r>
    </w:p>
    <w:p>
      <w:pPr>
        <w:pStyle w:val="Penstart"/>
      </w:pPr>
      <w:r>
        <w:tab/>
        <w:t>Penalty: $2 000.</w:t>
      </w:r>
    </w:p>
    <w:p>
      <w:pPr>
        <w:pStyle w:val="Footnotesection"/>
      </w:pPr>
      <w:r>
        <w:tab/>
        <w:t>[Regulation 143B inserted: Gazette 28 Sep 2018 p. 3628</w:t>
      </w:r>
      <w:r>
        <w:noBreakHyphen/>
        <w:t>9.]</w:t>
      </w:r>
    </w:p>
    <w:p>
      <w:pPr>
        <w:pStyle w:val="Heading4"/>
      </w:pPr>
      <w:bookmarkStart w:id="290" w:name="_Toc109740666"/>
      <w:bookmarkStart w:id="291" w:name="_Toc109741495"/>
      <w:bookmarkStart w:id="292" w:name="_Toc109833090"/>
      <w:r>
        <w:t>Division 8 — Family day care educator assistant</w:t>
      </w:r>
      <w:bookmarkEnd w:id="290"/>
      <w:bookmarkEnd w:id="291"/>
      <w:bookmarkEnd w:id="292"/>
    </w:p>
    <w:p>
      <w:pPr>
        <w:pStyle w:val="Heading5"/>
      </w:pPr>
      <w:bookmarkStart w:id="293" w:name="_Toc109833091"/>
      <w:r>
        <w:rPr>
          <w:rStyle w:val="CharSectno"/>
        </w:rPr>
        <w:t>144</w:t>
      </w:r>
      <w:r>
        <w:t>.</w:t>
      </w:r>
      <w:r>
        <w:tab/>
        <w:t>Family day care educator assistant</w:t>
      </w:r>
      <w:bookmarkEnd w:id="293"/>
    </w:p>
    <w:p>
      <w:pPr>
        <w:pStyle w:val="Subsection"/>
      </w:pPr>
      <w:r>
        <w:tab/>
        <w:t>(1)</w:t>
      </w:r>
      <w:r>
        <w:tab/>
        <w:t xml:space="preserve">For the purposes of section 164A(1) and (2) of the Law, a person other than a family day care educator may educate and care for a child as part of a family day care service if — </w:t>
      </w:r>
    </w:p>
    <w:p>
      <w:pPr>
        <w:pStyle w:val="Indenta"/>
      </w:pPr>
      <w:r>
        <w:tab/>
        <w:t>(a)</w:t>
      </w:r>
      <w:r>
        <w:tab/>
        <w:t>the person is a family day care educator assistant approved under subregulation (2); and</w:t>
      </w:r>
    </w:p>
    <w:p>
      <w:pPr>
        <w:pStyle w:val="Indenta"/>
      </w:pPr>
      <w:r>
        <w:tab/>
        <w:t>(b)</w:t>
      </w:r>
      <w:r>
        <w:tab/>
        <w:t>the person provides education and care in the circumstances set out in subregulation (4).</w:t>
      </w:r>
    </w:p>
    <w:p>
      <w:pPr>
        <w:pStyle w:val="Subsection"/>
      </w:pPr>
      <w:r>
        <w:lastRenderedPageBreak/>
        <w:tab/>
        <w:t>(2)</w:t>
      </w:r>
      <w:r>
        <w:tab/>
        <w:t>An approved provider of a family day care service may approve a person as a family day care educator assistant to assist a family day care educator in providing education and care to children as part of the family day care service.</w:t>
      </w:r>
    </w:p>
    <w:p>
      <w:pPr>
        <w:pStyle w:val="Subsection"/>
      </w:pPr>
      <w:r>
        <w:tab/>
        <w:t>(3)</w:t>
      </w:r>
      <w:r>
        <w:tab/>
        <w:t>An approved provider must not approve a person under subregulation (2) unless the family day care educator provides the written consent of a parent of each child being educated and cared for by the educator to the use of the family day care educator assistant in the circumstances set out in subregulation (4).</w:t>
      </w:r>
    </w:p>
    <w:p>
      <w:pPr>
        <w:pStyle w:val="Subsection"/>
      </w:pPr>
      <w:r>
        <w:tab/>
        <w:t>(4)</w:t>
      </w:r>
      <w:r>
        <w:tab/>
        <w:t xml:space="preserve">An approved family day care educator assistant may assist the family day care educator — </w:t>
      </w:r>
    </w:p>
    <w:p>
      <w:pPr>
        <w:pStyle w:val="Indenta"/>
      </w:pPr>
      <w:r>
        <w:tab/>
        <w:t>(a)</w:t>
      </w:r>
      <w:r>
        <w:tab/>
        <w:t xml:space="preserve">in the absence of the family day care educator, to transport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or</w:t>
      </w:r>
    </w:p>
    <w:p>
      <w:pPr>
        <w:pStyle w:val="Indenta"/>
      </w:pPr>
      <w:r>
        <w:tab/>
        <w:t>(b)</w:t>
      </w:r>
      <w:r>
        <w:tab/>
        <w:t>in the absence of the family day care educator, in emergency situations, including when the educator requires urgent medical care or treatment; or</w:t>
      </w:r>
    </w:p>
    <w:p>
      <w:pPr>
        <w:pStyle w:val="Indenta"/>
      </w:pPr>
      <w:r>
        <w:tab/>
        <w:t>(c)</w:t>
      </w:r>
      <w:r>
        <w:tab/>
        <w:t xml:space="preserve">in the absence of the family day care educator, to enable the educator to attend an appointment (other than a regular appointment) in unforeseen or exceptional circumstances,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w:t>
      </w:r>
    </w:p>
    <w:p>
      <w:pPr>
        <w:pStyle w:val="Indenta"/>
      </w:pPr>
      <w:r>
        <w:tab/>
      </w:r>
      <w:r>
        <w:tab/>
        <w:t>or</w:t>
      </w:r>
    </w:p>
    <w:p>
      <w:pPr>
        <w:pStyle w:val="Indenta"/>
      </w:pPr>
      <w:r>
        <w:lastRenderedPageBreak/>
        <w:tab/>
        <w:t>(d)</w:t>
      </w:r>
      <w:r>
        <w:tab/>
        <w:t>while the educator is educating and caring for children as part of the family day care service.</w:t>
      </w:r>
    </w:p>
    <w:p>
      <w:pPr>
        <w:pStyle w:val="Footnotesection"/>
      </w:pPr>
      <w:r>
        <w:tab/>
        <w:t>[Regulation 144 inserted: Gazette 28 Sep 2018 p. 3629</w:t>
      </w:r>
      <w:r>
        <w:noBreakHyphen/>
        <w:t>30.]</w:t>
      </w:r>
    </w:p>
    <w:p>
      <w:pPr>
        <w:pStyle w:val="Heading4"/>
        <w:spacing w:before="220"/>
      </w:pPr>
      <w:bookmarkStart w:id="294" w:name="_Toc109740668"/>
      <w:bookmarkStart w:id="295" w:name="_Toc109741497"/>
      <w:bookmarkStart w:id="296" w:name="_Toc109833092"/>
      <w:r>
        <w:t>Division 9 — Staff and educator records — centre</w:t>
      </w:r>
      <w:r>
        <w:noBreakHyphen/>
        <w:t>based services</w:t>
      </w:r>
      <w:bookmarkEnd w:id="294"/>
      <w:bookmarkEnd w:id="295"/>
      <w:bookmarkEnd w:id="296"/>
    </w:p>
    <w:p>
      <w:pPr>
        <w:pStyle w:val="Heading5"/>
        <w:spacing w:before="180"/>
      </w:pPr>
      <w:bookmarkStart w:id="297" w:name="_Toc109833093"/>
      <w:r>
        <w:rPr>
          <w:rStyle w:val="CharSectno"/>
        </w:rPr>
        <w:t>145</w:t>
      </w:r>
      <w:r>
        <w:t>.</w:t>
      </w:r>
      <w:r>
        <w:tab/>
        <w:t>Staff record</w:t>
      </w:r>
      <w:bookmarkEnd w:id="297"/>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spacing w:before="60"/>
      </w:pPr>
      <w:r>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298" w:name="_Toc109833094"/>
      <w:r>
        <w:rPr>
          <w:rStyle w:val="CharSectno"/>
        </w:rPr>
        <w:t>146</w:t>
      </w:r>
      <w:r>
        <w:t>.</w:t>
      </w:r>
      <w:r>
        <w:tab/>
        <w:t>Nominated supervisor</w:t>
      </w:r>
      <w:bookmarkEnd w:id="298"/>
      <w:r>
        <w:t xml:space="preserve"> </w:t>
      </w:r>
    </w:p>
    <w:p>
      <w:pPr>
        <w:pStyle w:val="Subsection"/>
        <w:spacing w:before="140"/>
      </w:pPr>
      <w:r>
        <w:tab/>
      </w:r>
      <w:r>
        <w:tab/>
        <w:t xml:space="preserve">The staff record must include the following information in relation to each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nominated supervisor is actively working towards that qualification as provided under regulation 10;</w:t>
      </w:r>
    </w:p>
    <w:p>
      <w:pPr>
        <w:pStyle w:val="Indenta"/>
      </w:pPr>
      <w:r>
        <w:lastRenderedPageBreak/>
        <w:tab/>
        <w:t>(c)</w:t>
      </w:r>
      <w:r>
        <w:tab/>
        <w:t>evidence of any approved training (including first aid training) completed by the nominated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is a teacher registered under an education law of a participating jurisdiction and has provided proof of that registration, a record of the identifying number of the teacher registration and the expiry date of that registration;</w:t>
      </w:r>
    </w:p>
    <w:p>
      <w:pPr>
        <w:pStyle w:val="Indenta"/>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146 amended: Gazette 13 Dec 2013 p.</w:t>
      </w:r>
      <w:r>
        <w:rPr>
          <w:sz w:val="19"/>
        </w:rPr>
        <w:t> </w:t>
      </w:r>
      <w:r>
        <w:t>6164; 28 Nov 2014 p. 4407; 26 Jun 2018 p. 2359; 28 Sep 2018 p. 3630</w:t>
      </w:r>
      <w:r>
        <w:noBreakHyphen/>
        <w:t>1.]</w:t>
      </w:r>
    </w:p>
    <w:p>
      <w:pPr>
        <w:pStyle w:val="Heading5"/>
      </w:pPr>
      <w:bookmarkStart w:id="299" w:name="_Toc109833095"/>
      <w:r>
        <w:rPr>
          <w:rStyle w:val="CharSectno"/>
        </w:rPr>
        <w:t>147</w:t>
      </w:r>
      <w:r>
        <w:t>.</w:t>
      </w:r>
      <w:r>
        <w:tab/>
        <w:t>Staff members</w:t>
      </w:r>
      <w:bookmarkEnd w:id="299"/>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lastRenderedPageBreak/>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147 amended: Gazette 13 Dec 2013 p.</w:t>
      </w:r>
      <w:r>
        <w:rPr>
          <w:sz w:val="19"/>
        </w:rPr>
        <w:t> </w:t>
      </w:r>
      <w:r>
        <w:t>6164</w:t>
      </w:r>
      <w:r>
        <w:noBreakHyphen/>
        <w:t>5; 28 Nov 2014 p. 4407; 26 Jun 2018 p. 2359; 28 Sep 2018 p. 3631.]</w:t>
      </w:r>
    </w:p>
    <w:p>
      <w:pPr>
        <w:pStyle w:val="Heading5"/>
      </w:pPr>
      <w:bookmarkStart w:id="300" w:name="_Toc109833096"/>
      <w:r>
        <w:rPr>
          <w:rStyle w:val="CharSectno"/>
        </w:rPr>
        <w:t>148</w:t>
      </w:r>
      <w:r>
        <w:t>.</w:t>
      </w:r>
      <w:r>
        <w:tab/>
        <w:t>Educational leader</w:t>
      </w:r>
      <w:bookmarkEnd w:id="300"/>
      <w:r>
        <w:t xml:space="preserve"> </w:t>
      </w:r>
    </w:p>
    <w:p>
      <w:pPr>
        <w:pStyle w:val="Subsection"/>
      </w:pPr>
      <w:r>
        <w:tab/>
      </w:r>
      <w:r>
        <w:tab/>
        <w:t>The staff record must include the name of the person designated as the educational leader in accordance with regulation 118.</w:t>
      </w:r>
    </w:p>
    <w:p>
      <w:pPr>
        <w:pStyle w:val="Heading5"/>
      </w:pPr>
      <w:bookmarkStart w:id="301" w:name="_Toc109833097"/>
      <w:r>
        <w:rPr>
          <w:rStyle w:val="CharSectno"/>
        </w:rPr>
        <w:t>149</w:t>
      </w:r>
      <w:r>
        <w:t>.</w:t>
      </w:r>
      <w:r>
        <w:tab/>
        <w:t>Volunteers and students</w:t>
      </w:r>
      <w:bookmarkEnd w:id="301"/>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302" w:name="_Toc109833098"/>
      <w:r>
        <w:rPr>
          <w:rStyle w:val="CharSectno"/>
        </w:rPr>
        <w:lastRenderedPageBreak/>
        <w:t>150</w:t>
      </w:r>
      <w:r>
        <w:t>.</w:t>
      </w:r>
      <w:r>
        <w:tab/>
        <w:t>Responsible person</w:t>
      </w:r>
      <w:bookmarkEnd w:id="302"/>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303" w:name="_Toc109833099"/>
      <w:r>
        <w:rPr>
          <w:rStyle w:val="CharSectno"/>
        </w:rPr>
        <w:t>151</w:t>
      </w:r>
      <w:r>
        <w:t>.</w:t>
      </w:r>
      <w:r>
        <w:tab/>
        <w:t>Record of educators working directly with children</w:t>
      </w:r>
      <w:bookmarkEnd w:id="303"/>
      <w:r>
        <w:t xml:space="preserve"> </w:t>
      </w:r>
    </w:p>
    <w:p>
      <w:pPr>
        <w:pStyle w:val="Subsection"/>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304" w:name="_Toc109833100"/>
      <w:r>
        <w:rPr>
          <w:rStyle w:val="CharSectno"/>
        </w:rPr>
        <w:t>152</w:t>
      </w:r>
      <w:r>
        <w:t>.</w:t>
      </w:r>
      <w:r>
        <w:tab/>
        <w:t>Record of access to early childhood teachers</w:t>
      </w:r>
      <w:bookmarkEnd w:id="304"/>
      <w:r>
        <w:t xml:space="preserve"> </w:t>
      </w:r>
    </w:p>
    <w:p>
      <w:pPr>
        <w:pStyle w:val="Subsection"/>
        <w:keepNext/>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but not more than 59 children preschool age or under must ensure that a record is kept of the period that an early childhood teacher is in attendance at the service.</w:t>
      </w:r>
    </w:p>
    <w:p>
      <w:pPr>
        <w:pStyle w:val="Subsection"/>
      </w:pPr>
      <w:r>
        <w:tab/>
        <w:t>(3)</w:t>
      </w:r>
      <w:r>
        <w:tab/>
        <w:t>The approved provider of a centre</w:t>
      </w:r>
      <w:r>
        <w:noBreakHyphen/>
        <w:t xml:space="preserve">based service that provides education and care to 60 or more children preschool age or </w:t>
      </w:r>
      <w:r>
        <w:lastRenderedPageBreak/>
        <w:t>under must ensure that a record is kept of the period that each early childhood teacher and each suitably qualified person is in attendance at the service.</w:t>
      </w:r>
    </w:p>
    <w:p>
      <w:pPr>
        <w:pStyle w:val="Footnotesection"/>
      </w:pPr>
      <w:r>
        <w:tab/>
        <w:t>[Regulation 152 amended: Gazette 24 Dec 2019 p. 4425</w:t>
      </w:r>
      <w:r>
        <w:noBreakHyphen/>
        <w:t>6.]</w:t>
      </w:r>
    </w:p>
    <w:p>
      <w:pPr>
        <w:pStyle w:val="Heading4"/>
      </w:pPr>
      <w:bookmarkStart w:id="305" w:name="_Toc109740677"/>
      <w:bookmarkStart w:id="306" w:name="_Toc109741506"/>
      <w:bookmarkStart w:id="307" w:name="_Toc109833101"/>
      <w:r>
        <w:t>Division 10 — Register of family day care educators, co</w:t>
      </w:r>
      <w:r>
        <w:noBreakHyphen/>
        <w:t>ordinators and assistants and records of family day care service</w:t>
      </w:r>
      <w:bookmarkEnd w:id="305"/>
      <w:bookmarkEnd w:id="306"/>
      <w:bookmarkEnd w:id="307"/>
    </w:p>
    <w:p>
      <w:pPr>
        <w:pStyle w:val="Footnoteheading"/>
      </w:pPr>
      <w:r>
        <w:tab/>
        <w:t>[Heading amended: Gazette 28 Sep 2018 p. 3632.]</w:t>
      </w:r>
    </w:p>
    <w:p>
      <w:pPr>
        <w:pStyle w:val="Heading5"/>
      </w:pPr>
      <w:bookmarkStart w:id="308" w:name="_Toc109833102"/>
      <w:r>
        <w:rPr>
          <w:rStyle w:val="CharSectno"/>
        </w:rPr>
        <w:t>153</w:t>
      </w:r>
      <w:r>
        <w:t>.</w:t>
      </w:r>
      <w:r>
        <w:tab/>
        <w:t>Register of family day care educators, co-ordinators and educator assistants</w:t>
      </w:r>
      <w:bookmarkEnd w:id="308"/>
    </w:p>
    <w:p>
      <w:pPr>
        <w:pStyle w:val="Subsection"/>
      </w:pPr>
      <w:r>
        <w:tab/>
        <w:t>(1)</w:t>
      </w:r>
      <w:r>
        <w:tab/>
        <w:t xml:space="preserve">For the purposes of section 269(1)(a) of the Law, the register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the date that the educator ceased to be engaged by or registered with the service (if applicable);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Ednotepara"/>
      </w:pPr>
      <w:r>
        <w:tab/>
        <w:t>[(h)</w:t>
      </w:r>
      <w:r>
        <w:tab/>
        <w:t>deleted]</w:t>
      </w:r>
    </w:p>
    <w:p>
      <w:pPr>
        <w:pStyle w:val="Indenta"/>
        <w:keepNext/>
      </w:pPr>
      <w:r>
        <w:lastRenderedPageBreak/>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keepNext/>
      </w:pPr>
      <w:r>
        <w:tab/>
        <w:t>(l)</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has provided proof of the educator’s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educator’s current working with vulnerable people registration and the expiry date of that registration (if applicable);</w:t>
      </w:r>
    </w:p>
    <w:p>
      <w:pPr>
        <w:pStyle w:val="Indenta"/>
      </w:pPr>
      <w:r>
        <w:tab/>
        <w:t>(la)</w:t>
      </w:r>
      <w:r>
        <w:tab/>
        <w:t xml:space="preserve">in relation to a check or registration referred to in paragraph (l), the date that the check or registration was </w:t>
      </w:r>
      <w:r>
        <w:lastRenderedPageBreak/>
        <w:t>sighted by the approved provider or a nominated supervisor of the service;</w:t>
      </w:r>
    </w:p>
    <w:p>
      <w:pPr>
        <w:pStyle w:val="Indenta"/>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current working with children check, current working with children card, current working with vulnerable people check or criminal history record check or current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a nominated supervisor of the service;</w:t>
      </w:r>
    </w:p>
    <w:p>
      <w:pPr>
        <w:pStyle w:val="Indenta"/>
      </w:pPr>
      <w:r>
        <w:tab/>
        <w:t>(p)</w:t>
      </w:r>
      <w:r>
        <w:tab/>
        <w:t>evidence that the educator is adequately monitored and supported by a family day care co</w:t>
      </w:r>
      <w:r>
        <w:noBreakHyphen/>
        <w:t xml:space="preserve">ordinator while the educator is providing education and care to children, including the following information — </w:t>
      </w:r>
    </w:p>
    <w:p>
      <w:pPr>
        <w:pStyle w:val="Indenti"/>
      </w:pPr>
      <w:r>
        <w:tab/>
        <w:t>(i)</w:t>
      </w:r>
      <w:r>
        <w:tab/>
        <w:t>the dates and times of any visits by the co</w:t>
      </w:r>
      <w:r>
        <w:noBreakHyphen/>
        <w:t xml:space="preserve">ordinator to the family day care  residence or </w:t>
      </w:r>
      <w:r>
        <w:lastRenderedPageBreak/>
        <w:t>family day care venue for the purpose of monitoring or support;</w:t>
      </w:r>
    </w:p>
    <w:p>
      <w:pPr>
        <w:pStyle w:val="Indenti"/>
      </w:pPr>
      <w:r>
        <w:tab/>
        <w:t>(ii)</w:t>
      </w:r>
      <w:r>
        <w:tab/>
        <w:t>the dates and times of any telephone calls between the co</w:t>
      </w:r>
      <w:r>
        <w:noBreakHyphen/>
        <w:t>ordinator and the educator for the purpose of monitoring or support;</w:t>
      </w:r>
    </w:p>
    <w:p>
      <w:pPr>
        <w:pStyle w:val="Indenti"/>
      </w:pPr>
      <w:r>
        <w:tab/>
        <w:t>(iii)</w:t>
      </w:r>
      <w:r>
        <w:tab/>
        <w:t>details of any correspondence or written materials provided to the educator by the co</w:t>
      </w:r>
      <w:r>
        <w:noBreakHyphen/>
        <w:t>ordinator for the purpose of monitoring or support and the dates and times the correspondence or materials were provided to the educator.</w:t>
      </w:r>
    </w:p>
    <w:p>
      <w:pPr>
        <w:pStyle w:val="Subsection"/>
        <w:keepNext/>
      </w:pPr>
      <w:r>
        <w:tab/>
        <w:t>(2)</w:t>
      </w:r>
      <w:r>
        <w:tab/>
        <w:t>For the purposes of section 269(1)(b) of the Law, the register must include the following information in relation to each family day care co</w:t>
      </w:r>
      <w:r>
        <w:noBreakHyphen/>
        <w:t xml:space="preserve">ordinator employed or engaged by the service — </w:t>
      </w:r>
    </w:p>
    <w:p>
      <w:pPr>
        <w:pStyle w:val="Indenta"/>
      </w:pPr>
      <w:r>
        <w:tab/>
        <w:t>(a)</w:t>
      </w:r>
      <w:r>
        <w:tab/>
        <w:t>the full name, address and date of birth of the co</w:t>
      </w:r>
      <w:r>
        <w:noBreakHyphen/>
        <w:t>ordinator;</w:t>
      </w:r>
    </w:p>
    <w:p>
      <w:pPr>
        <w:pStyle w:val="Indenta"/>
      </w:pPr>
      <w:r>
        <w:tab/>
        <w:t>(b)</w:t>
      </w:r>
      <w:r>
        <w:tab/>
        <w:t>the contact details of the co</w:t>
      </w:r>
      <w:r>
        <w:noBreakHyphen/>
        <w:t xml:space="preserve">ordinator; </w:t>
      </w:r>
    </w:p>
    <w:p>
      <w:pPr>
        <w:pStyle w:val="Indenta"/>
      </w:pPr>
      <w:r>
        <w:tab/>
        <w:t>(c)</w:t>
      </w:r>
      <w:r>
        <w:tab/>
        <w:t>the date that the co</w:t>
      </w:r>
      <w:r>
        <w:noBreakHyphen/>
        <w:t xml:space="preserve">ordinator was employed or engaged by the service; </w:t>
      </w:r>
    </w:p>
    <w:p>
      <w:pPr>
        <w:pStyle w:val="Indenta"/>
      </w:pPr>
      <w:r>
        <w:tab/>
        <w:t>(d)</w:t>
      </w:r>
      <w:r>
        <w:tab/>
        <w:t>the date that the co</w:t>
      </w:r>
      <w:r>
        <w:noBreakHyphen/>
        <w:t>ordinator ceased to be employed or engaged by the service (if applicable);</w:t>
      </w:r>
    </w:p>
    <w:p>
      <w:pPr>
        <w:pStyle w:val="Indenta"/>
      </w:pPr>
      <w:r>
        <w:tab/>
        <w:t>(e)</w:t>
      </w:r>
      <w:r>
        <w:tab/>
        <w:t>if the co</w:t>
      </w:r>
      <w:r>
        <w:noBreakHyphen/>
        <w:t xml:space="preserve">ordinator is an approved provider, the number of the provider approval and the date the approval was granted; </w:t>
      </w:r>
    </w:p>
    <w:p>
      <w:pPr>
        <w:pStyle w:val="Indenta"/>
      </w:pPr>
      <w:r>
        <w:tab/>
        <w:t>(f)</w:t>
      </w:r>
      <w:r>
        <w:tab/>
        <w:t>evidence of any relevant qualifications held by the co</w:t>
      </w:r>
      <w:r>
        <w:noBreakHyphen/>
        <w:t>ordinator;</w:t>
      </w:r>
    </w:p>
    <w:p>
      <w:pPr>
        <w:pStyle w:val="Indenta"/>
      </w:pPr>
      <w:r>
        <w:tab/>
        <w:t>(g)</w:t>
      </w:r>
      <w:r>
        <w:tab/>
        <w:t>if the co</w:t>
      </w:r>
      <w:r>
        <w:noBreakHyphen/>
        <w:t>ordinator will be providing education and care to children, evidence that the co</w:t>
      </w:r>
      <w:r>
        <w:noBreakHyphen/>
        <w:t xml:space="preserve">ordinator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lastRenderedPageBreak/>
        <w:tab/>
        <w:t>(iii)</w:t>
      </w:r>
      <w:r>
        <w:tab/>
        <w:t>current approved emergency asthma management training;</w:t>
      </w:r>
    </w:p>
    <w:p>
      <w:pPr>
        <w:pStyle w:val="Indenta"/>
      </w:pPr>
      <w:r>
        <w:tab/>
        <w:t>(h)</w:t>
      </w:r>
      <w:r>
        <w:tab/>
        <w:t>evidence of any other training completed by the co</w:t>
      </w:r>
      <w:r>
        <w:noBreakHyphen/>
        <w:t>ordinator;</w:t>
      </w:r>
    </w:p>
    <w:p>
      <w:pPr>
        <w:pStyle w:val="Indenta"/>
      </w:pPr>
      <w:r>
        <w:tab/>
        <w:t>(i)</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co</w:t>
      </w:r>
      <w:r>
        <w:noBreakHyphen/>
        <w:t>ordinator has provided proof of the co</w:t>
      </w:r>
      <w:r>
        <w:noBreakHyphen/>
        <w:t>ordinator’s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co</w:t>
      </w:r>
      <w:r>
        <w:noBreakHyphen/>
        <w:t>ordinator’s current working with vulnerable people registration and the expiry date of that registration (if applicable);</w:t>
      </w:r>
    </w:p>
    <w:p>
      <w:pPr>
        <w:pStyle w:val="Indenta"/>
      </w:pPr>
      <w:r>
        <w:tab/>
        <w:t>(j)</w:t>
      </w:r>
      <w:r>
        <w:tab/>
        <w:t>in relation to a check or registration referred to in paragraph (i), the date that the check or registration was sighted by the approved provider or a nominated supervisor of the service.</w:t>
      </w:r>
    </w:p>
    <w:p>
      <w:pPr>
        <w:pStyle w:val="Subsection"/>
      </w:pPr>
      <w:r>
        <w:tab/>
        <w:t>(3)</w:t>
      </w:r>
      <w:r>
        <w:tab/>
        <w:t xml:space="preserve">For the purposes of section 269(1)(c) of the Law, the register must include the following information in relation to each family day care educator assistant engaged by or registered with the service — </w:t>
      </w:r>
    </w:p>
    <w:p>
      <w:pPr>
        <w:pStyle w:val="Indenta"/>
      </w:pPr>
      <w:r>
        <w:tab/>
        <w:t>(a)</w:t>
      </w:r>
      <w:r>
        <w:tab/>
        <w:t>the full name, address and date of birth of the educator assistant;</w:t>
      </w:r>
    </w:p>
    <w:p>
      <w:pPr>
        <w:pStyle w:val="Indenta"/>
      </w:pPr>
      <w:r>
        <w:tab/>
        <w:t>(b)</w:t>
      </w:r>
      <w:r>
        <w:tab/>
        <w:t>the contact details of the educator assistant;</w:t>
      </w:r>
    </w:p>
    <w:p>
      <w:pPr>
        <w:pStyle w:val="Indenta"/>
      </w:pPr>
      <w:r>
        <w:lastRenderedPageBreak/>
        <w:tab/>
        <w:t>(c)</w:t>
      </w:r>
      <w:r>
        <w:tab/>
        <w:t>the name of the family day care educator to be assisted by the educator assistant;</w:t>
      </w:r>
    </w:p>
    <w:p>
      <w:pPr>
        <w:pStyle w:val="Indenta"/>
      </w:pPr>
      <w:r>
        <w:tab/>
        <w:t>(d)</w:t>
      </w:r>
      <w:r>
        <w:tab/>
        <w:t>the address of the residence or approved family day care venue where the educator assistant will be providing education and care to children as part of the service, including a statement as to whether it is a residence or a venue;</w:t>
      </w:r>
    </w:p>
    <w:p>
      <w:pPr>
        <w:pStyle w:val="Indenta"/>
      </w:pPr>
      <w:r>
        <w:tab/>
        <w:t>(e)</w:t>
      </w:r>
      <w:r>
        <w:tab/>
        <w:t>the date that the educator assistant was engaged by or registered with the service;</w:t>
      </w:r>
    </w:p>
    <w:p>
      <w:pPr>
        <w:pStyle w:val="Indenta"/>
      </w:pPr>
      <w:r>
        <w:tab/>
        <w:t>(f)</w:t>
      </w:r>
      <w:r>
        <w:tab/>
        <w:t>the date that the educator assistant ceased to be engaged by or registered with the service (if applicable);</w:t>
      </w:r>
    </w:p>
    <w:p>
      <w:pPr>
        <w:pStyle w:val="Indenta"/>
      </w:pPr>
      <w:r>
        <w:tab/>
        <w:t>(g)</w:t>
      </w:r>
      <w:r>
        <w:tab/>
        <w:t>if the educator assistant is an approved provider, the number of the provider approval and the date the approval was granted;</w:t>
      </w:r>
    </w:p>
    <w:p>
      <w:pPr>
        <w:pStyle w:val="Indenta"/>
      </w:pPr>
      <w:r>
        <w:tab/>
        <w:t>(h)</w:t>
      </w:r>
      <w:r>
        <w:tab/>
        <w:t>evidence of any relevant qualifications held by the educator assistant;</w:t>
      </w:r>
    </w:p>
    <w:p>
      <w:pPr>
        <w:pStyle w:val="Indenta"/>
      </w:pPr>
      <w:r>
        <w:tab/>
        <w:t>(i)</w:t>
      </w:r>
      <w:r>
        <w:tab/>
        <w:t xml:space="preserve">evidence that the educator assistant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(j)</w:t>
      </w:r>
      <w:r>
        <w:tab/>
        <w:t>evidence of any other training completed by the educator assistant;</w:t>
      </w:r>
    </w:p>
    <w:p>
      <w:pPr>
        <w:pStyle w:val="Indenta"/>
      </w:pPr>
      <w:r>
        <w:tab/>
        <w:t>(k)</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 xml:space="preserve">except in the case of a service located in New South Wales, Queensland or Tasmania, if the </w:t>
      </w:r>
      <w:r>
        <w:lastRenderedPageBreak/>
        <w:t>educator assistant has provided proof of the educator assistant’s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 assistant’s current working with vulnerable people registration and the expiry date of that registration (if applicable);</w:t>
      </w:r>
    </w:p>
    <w:p>
      <w:pPr>
        <w:pStyle w:val="Indenta"/>
      </w:pPr>
      <w:r>
        <w:tab/>
        <w:t>(l)</w:t>
      </w:r>
      <w:r>
        <w:tab/>
        <w:t>in relation to a check or registration referred to in paragraph (k), the date that the check or registration was sighted by the approved provider or a nominated supervisor of the service.</w:t>
      </w:r>
    </w:p>
    <w:p>
      <w:pPr>
        <w:pStyle w:val="Subsection"/>
      </w:pPr>
      <w:r>
        <w:tab/>
        <w:t>(4)</w:t>
      </w:r>
      <w:r>
        <w:tab/>
        <w:t>Information held on the register in relation to a family day care educator, a family day care co</w:t>
      </w:r>
      <w:r>
        <w:noBreakHyphen/>
        <w:t>ordinator or a family day care educator assistant must be kept on the register until the end of 3 years after the date on which the family day care educator, the family day care co</w:t>
      </w:r>
      <w:r>
        <w:noBreakHyphen/>
        <w:t>ordinator or the family day care educator assistant ceased to be employed or engaged by or registered with the service.</w:t>
      </w:r>
    </w:p>
    <w:p>
      <w:pPr>
        <w:pStyle w:val="Footnotesection"/>
      </w:pPr>
      <w:r>
        <w:tab/>
        <w:t>[Regulation 153 amended: Gazette 28 Sep 2018 p. 3632</w:t>
      </w:r>
      <w:r>
        <w:noBreakHyphen/>
        <w:t>8.]</w:t>
      </w:r>
    </w:p>
    <w:p>
      <w:pPr>
        <w:pStyle w:val="Heading5"/>
      </w:pPr>
      <w:bookmarkStart w:id="309" w:name="_Toc109833103"/>
      <w:r>
        <w:rPr>
          <w:rStyle w:val="CharSectno"/>
        </w:rPr>
        <w:t>154</w:t>
      </w:r>
      <w:r>
        <w:t>.</w:t>
      </w:r>
      <w:r>
        <w:tab/>
        <w:t>Record of staff engaged or employed by family day care service</w:t>
      </w:r>
      <w:bookmarkEnd w:id="309"/>
    </w:p>
    <w:p>
      <w:pPr>
        <w:pStyle w:val="Subsection"/>
      </w:pPr>
      <w:r>
        <w:tab/>
      </w:r>
      <w:r>
        <w:tab/>
        <w:t>The approved provider of a family day care service must keep a record of staff (other than family day care educators, family day care co</w:t>
      </w:r>
      <w:r>
        <w:noBreakHyphen/>
        <w:t xml:space="preserve">ordinators or family day care educator assistants) engaged or employed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lastRenderedPageBreak/>
        <w:tab/>
        <w:t>(b)</w:t>
      </w:r>
      <w:r>
        <w:tab/>
        <w:t>in relation to a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w:t>
      </w:r>
    </w:p>
    <w:p>
      <w:pPr>
        <w:pStyle w:val="Ednotepara"/>
      </w:pPr>
      <w:r>
        <w:tab/>
        <w:t>[(e)</w:t>
      </w:r>
      <w:r>
        <w:tab/>
        <w:t>deleted]</w:t>
      </w:r>
    </w:p>
    <w:p>
      <w:pPr>
        <w:pStyle w:val="Footnotesection"/>
      </w:pPr>
      <w:r>
        <w:tab/>
        <w:t>[Regulation 154 amended: Gazette 28 Sep 2018 p. 3638</w:t>
      </w:r>
      <w:r>
        <w:noBreakHyphen/>
        <w:t>9.]</w:t>
      </w:r>
    </w:p>
    <w:p>
      <w:pPr>
        <w:pStyle w:val="Heading3"/>
      </w:pPr>
      <w:bookmarkStart w:id="310" w:name="_Toc109740680"/>
      <w:bookmarkStart w:id="311" w:name="_Toc109741509"/>
      <w:bookmarkStart w:id="312" w:name="_Toc109833104"/>
      <w:r>
        <w:rPr>
          <w:rStyle w:val="CharDivNo"/>
        </w:rPr>
        <w:t>Part 4.5</w:t>
      </w:r>
      <w:r>
        <w:t> — </w:t>
      </w:r>
      <w:r>
        <w:rPr>
          <w:rStyle w:val="CharDivText"/>
        </w:rPr>
        <w:t>Relationships with children</w:t>
      </w:r>
      <w:bookmarkEnd w:id="310"/>
      <w:bookmarkEnd w:id="311"/>
      <w:bookmarkEnd w:id="312"/>
    </w:p>
    <w:p>
      <w:pPr>
        <w:pStyle w:val="Heading5"/>
      </w:pPr>
      <w:bookmarkStart w:id="313" w:name="_Toc109833105"/>
      <w:r>
        <w:rPr>
          <w:rStyle w:val="CharSectno"/>
        </w:rPr>
        <w:t>155</w:t>
      </w:r>
      <w:r>
        <w:t>.</w:t>
      </w:r>
      <w:r>
        <w:tab/>
        <w:t>Interactions with children</w:t>
      </w:r>
      <w:bookmarkEnd w:id="313"/>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314" w:name="_Toc109833106"/>
      <w:r>
        <w:rPr>
          <w:rStyle w:val="CharSectno"/>
        </w:rPr>
        <w:t>156</w:t>
      </w:r>
      <w:r>
        <w:t>.</w:t>
      </w:r>
      <w:r>
        <w:tab/>
        <w:t>Relationships in groups</w:t>
      </w:r>
      <w:bookmarkEnd w:id="314"/>
      <w:r>
        <w:t xml:space="preserve"> </w:t>
      </w:r>
    </w:p>
    <w:p>
      <w:pPr>
        <w:pStyle w:val="Subsection"/>
      </w:pPr>
      <w:r>
        <w:tab/>
        <w:t>(1)</w:t>
      </w:r>
      <w:r>
        <w:tab/>
        <w:t xml:space="preserve">The approved provider of an education and care service must take reasonable steps to ensure that the service provides children being educated and cared for by the service with opportunities to interact and develop respectful and positive relationships with </w:t>
      </w:r>
      <w:r>
        <w:lastRenderedPageBreak/>
        <w:t>each other and with staff members of, and volunteers at, the service.</w:t>
      </w:r>
    </w:p>
    <w:p>
      <w:pPr>
        <w:pStyle w:val="Subsection"/>
      </w:pPr>
      <w:r>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315" w:name="_Toc109740683"/>
      <w:bookmarkStart w:id="316" w:name="_Toc109741512"/>
      <w:bookmarkStart w:id="317" w:name="_Toc109833107"/>
      <w:r>
        <w:rPr>
          <w:rStyle w:val="CharDivNo"/>
        </w:rPr>
        <w:t>Part 4.6</w:t>
      </w:r>
      <w:r>
        <w:t> — </w:t>
      </w:r>
      <w:r>
        <w:rPr>
          <w:rStyle w:val="CharDivText"/>
        </w:rPr>
        <w:t>Collaborative partnerships with families and communities</w:t>
      </w:r>
      <w:bookmarkEnd w:id="315"/>
      <w:bookmarkEnd w:id="316"/>
      <w:bookmarkEnd w:id="317"/>
    </w:p>
    <w:p>
      <w:pPr>
        <w:pStyle w:val="Heading5"/>
      </w:pPr>
      <w:bookmarkStart w:id="318" w:name="_Toc109833108"/>
      <w:r>
        <w:rPr>
          <w:rStyle w:val="CharSectno"/>
        </w:rPr>
        <w:t>157</w:t>
      </w:r>
      <w:r>
        <w:t>.</w:t>
      </w:r>
      <w:r>
        <w:tab/>
        <w:t>Access for parents</w:t>
      </w:r>
      <w:bookmarkEnd w:id="318"/>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t>A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spacing w:before="140"/>
      </w:pPr>
      <w:r>
        <w:tab/>
        <w:t>(4)</w:t>
      </w:r>
      <w:r>
        <w:tab/>
        <w:t xml:space="preserve">Despite subregulations (1) to (3), the approved provider, nominated supervisor or family day care educator is not required </w:t>
      </w:r>
      <w:r>
        <w:lastRenderedPageBreak/>
        <w:t xml:space="preserve">to allow a parent to enter the education and care service premises if — </w:t>
      </w:r>
    </w:p>
    <w:p>
      <w:pPr>
        <w:pStyle w:val="Indenta"/>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spacing w:before="60"/>
      </w:pPr>
      <w:r>
        <w:tab/>
        <w:t>(ii)</w:t>
      </w:r>
      <w:r>
        <w:tab/>
        <w:t>conflict with any duty of the provider, supervisor or educator under the Law;</w:t>
      </w:r>
    </w:p>
    <w:p>
      <w:pPr>
        <w:pStyle w:val="Indenta"/>
        <w:spacing w:before="60"/>
      </w:pPr>
      <w:r>
        <w:tab/>
      </w:r>
      <w:r>
        <w:tab/>
        <w:t>or</w:t>
      </w:r>
    </w:p>
    <w:p>
      <w:pPr>
        <w:pStyle w:val="Indenta"/>
      </w:pPr>
      <w:r>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Gazette 28 Nov 2014 p. 4407; 28 Sep 2018 p. 3639.]</w:t>
      </w:r>
    </w:p>
    <w:p>
      <w:pPr>
        <w:pStyle w:val="Heading3"/>
      </w:pPr>
      <w:bookmarkStart w:id="319" w:name="_Toc109740685"/>
      <w:bookmarkStart w:id="320" w:name="_Toc109741514"/>
      <w:bookmarkStart w:id="321" w:name="_Toc109833109"/>
      <w:r>
        <w:rPr>
          <w:rStyle w:val="CharDivNo"/>
        </w:rPr>
        <w:t>Part 4.7</w:t>
      </w:r>
      <w:r>
        <w:t> — </w:t>
      </w:r>
      <w:r>
        <w:rPr>
          <w:rStyle w:val="CharDivText"/>
        </w:rPr>
        <w:t>Governance and leadership</w:t>
      </w:r>
      <w:bookmarkEnd w:id="319"/>
      <w:bookmarkEnd w:id="320"/>
      <w:bookmarkEnd w:id="321"/>
    </w:p>
    <w:p>
      <w:pPr>
        <w:pStyle w:val="Footnoteheading"/>
      </w:pPr>
      <w:r>
        <w:tab/>
        <w:t>[Heading inserted: Gazette 26 Jun 2018 p. 2359.]</w:t>
      </w:r>
    </w:p>
    <w:p>
      <w:pPr>
        <w:pStyle w:val="Heading4"/>
        <w:spacing w:before="200"/>
      </w:pPr>
      <w:bookmarkStart w:id="322" w:name="_Toc109740686"/>
      <w:bookmarkStart w:id="323" w:name="_Toc109741515"/>
      <w:bookmarkStart w:id="324" w:name="_Toc109833110"/>
      <w:r>
        <w:t>Division 1 — Management of services</w:t>
      </w:r>
      <w:bookmarkEnd w:id="322"/>
      <w:bookmarkEnd w:id="323"/>
      <w:bookmarkEnd w:id="324"/>
    </w:p>
    <w:p>
      <w:pPr>
        <w:pStyle w:val="MiscellaneousHeading"/>
        <w:spacing w:before="200"/>
        <w:rPr>
          <w:b/>
        </w:rPr>
      </w:pPr>
      <w:r>
        <w:rPr>
          <w:b/>
        </w:rPr>
        <w:t>Subdivision 1 — Attendance and enrolment records</w:t>
      </w:r>
    </w:p>
    <w:p>
      <w:pPr>
        <w:pStyle w:val="Heading5"/>
        <w:spacing w:before="180"/>
      </w:pPr>
      <w:bookmarkStart w:id="325" w:name="_Toc109833111"/>
      <w:r>
        <w:rPr>
          <w:rStyle w:val="CharSectno"/>
        </w:rPr>
        <w:t>158</w:t>
      </w:r>
      <w:r>
        <w:t>.</w:t>
      </w:r>
      <w:r>
        <w:tab/>
        <w:t>Children’s attendance record to be kept by approved provider</w:t>
      </w:r>
      <w:bookmarkEnd w:id="325"/>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lastRenderedPageBreak/>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a nominated supervisor or an educator.</w:t>
      </w:r>
    </w:p>
    <w:p>
      <w:pPr>
        <w:pStyle w:val="Subsection"/>
        <w:spacing w:before="120"/>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Footnotesection"/>
      </w:pPr>
      <w:r>
        <w:tab/>
        <w:t>[Regulation 158 amended: Gazette 28 Sep 2018 p. 3639.]</w:t>
      </w:r>
    </w:p>
    <w:p>
      <w:pPr>
        <w:pStyle w:val="Heading5"/>
        <w:spacing w:before="200"/>
      </w:pPr>
      <w:bookmarkStart w:id="326" w:name="_Toc109833112"/>
      <w:r>
        <w:rPr>
          <w:rStyle w:val="CharSectno"/>
        </w:rPr>
        <w:t>159</w:t>
      </w:r>
      <w:r>
        <w:t>.</w:t>
      </w:r>
      <w:r>
        <w:tab/>
        <w:t>Children’s attendance record to be kept by family day care educator</w:t>
      </w:r>
      <w:bookmarkEnd w:id="326"/>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327" w:name="_Toc109833113"/>
      <w:r>
        <w:rPr>
          <w:rStyle w:val="CharSectno"/>
        </w:rPr>
        <w:lastRenderedPageBreak/>
        <w:t>160</w:t>
      </w:r>
      <w:r>
        <w:t>.</w:t>
      </w:r>
      <w:r>
        <w:tab/>
        <w:t>Child enrolment records to be kept by approved provider and family day care educator</w:t>
      </w:r>
      <w:bookmarkEnd w:id="327"/>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 and</w:t>
      </w:r>
    </w:p>
    <w:p>
      <w:pPr>
        <w:pStyle w:val="Indenti"/>
      </w:pPr>
      <w:r>
        <w:tab/>
        <w:t>(vi)</w:t>
      </w:r>
      <w:r>
        <w:tab/>
        <w:t>any person who is authorised to authorise the education and care service to transport the child or arrange transportation of the child;</w:t>
      </w:r>
    </w:p>
    <w:p>
      <w:pPr>
        <w:pStyle w:val="Indenta"/>
      </w:pPr>
      <w:r>
        <w:tab/>
        <w:t>(c)</w:t>
      </w:r>
      <w:r>
        <w:tab/>
        <w:t xml:space="preserve">details of any court orders, parenting orders or parenting plans provided to the approved provider relating to </w:t>
      </w:r>
      <w:r>
        <w:lastRenderedPageBreak/>
        <w:t>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 Gazette 28 Nov 2014 p. 4408; SL 2021/140 r. 6.]</w:t>
      </w:r>
    </w:p>
    <w:p>
      <w:pPr>
        <w:pStyle w:val="Heading5"/>
      </w:pPr>
      <w:bookmarkStart w:id="328" w:name="_Toc109833114"/>
      <w:r>
        <w:rPr>
          <w:rStyle w:val="CharSectno"/>
        </w:rPr>
        <w:t>161</w:t>
      </w:r>
      <w:r>
        <w:t>.</w:t>
      </w:r>
      <w:r>
        <w:tab/>
        <w:t>Authorisations to be kept in enrolment record</w:t>
      </w:r>
      <w:bookmarkEnd w:id="328"/>
      <w:r>
        <w:t xml:space="preserve"> </w:t>
      </w:r>
    </w:p>
    <w:p>
      <w:pPr>
        <w:pStyle w:val="Subsection"/>
      </w:pPr>
      <w:r>
        <w:tab/>
        <w:t>(1)</w:t>
      </w:r>
      <w:r>
        <w:tab/>
        <w:t xml:space="preserve">The authorisations to be kept in the enrolment record for each child enrolled at an education and care service are — </w:t>
      </w:r>
    </w:p>
    <w:p>
      <w:pPr>
        <w:pStyle w:val="Indenta"/>
      </w:pPr>
      <w:r>
        <w:tab/>
        <w:t>(a)</w:t>
      </w:r>
      <w:r>
        <w:tab/>
        <w:t xml:space="preserve">an authorisation, signed by a parent or a person named in the enrolment record as authorised to consent to the </w:t>
      </w:r>
      <w:r>
        <w:lastRenderedPageBreak/>
        <w:t xml:space="preserve">medical treatment of the child, for the approved provider, a nominated supervisor or an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 and</w:t>
      </w:r>
    </w:p>
    <w:p>
      <w:pPr>
        <w:pStyle w:val="Indenta"/>
      </w:pPr>
      <w:r>
        <w:tab/>
        <w:t>(c)</w:t>
      </w:r>
      <w:r>
        <w:tab/>
        <w:t>if relevant, an authorisation given under regulation 102D(4) for regular transportation of the child.</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 and</w:t>
      </w:r>
    </w:p>
    <w:p>
      <w:pPr>
        <w:pStyle w:val="Indenta"/>
      </w:pPr>
      <w:r>
        <w:lastRenderedPageBreak/>
        <w:tab/>
        <w:t>(c)</w:t>
      </w:r>
      <w:r>
        <w:tab/>
        <w:t>if relevant, an authorisation given under regulation 102D(4) for regular transportation of the child.</w:t>
      </w:r>
    </w:p>
    <w:p>
      <w:pPr>
        <w:pStyle w:val="Footnotesection"/>
      </w:pPr>
      <w:r>
        <w:tab/>
        <w:t>[Regulation 161 amended: Gazette 28 Sep 2018 p. 3639; SL 2021/140 r. 7.]</w:t>
      </w:r>
    </w:p>
    <w:p>
      <w:pPr>
        <w:pStyle w:val="Heading5"/>
      </w:pPr>
      <w:bookmarkStart w:id="329" w:name="_Toc109833115"/>
      <w:r>
        <w:rPr>
          <w:rStyle w:val="CharSectno"/>
        </w:rPr>
        <w:t>162</w:t>
      </w:r>
      <w:r>
        <w:t>.</w:t>
      </w:r>
      <w:r>
        <w:tab/>
        <w:t>Health information to be kept in enrolment record</w:t>
      </w:r>
      <w:bookmarkEnd w:id="329"/>
      <w:r>
        <w:t xml:space="preserve"> </w:t>
      </w:r>
    </w:p>
    <w:p>
      <w:pPr>
        <w:pStyle w:val="Subsection"/>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 and</w:t>
      </w:r>
    </w:p>
    <w:p>
      <w:pPr>
        <w:pStyle w:val="Indenta"/>
      </w:pPr>
      <w:r>
        <w:lastRenderedPageBreak/>
        <w:tab/>
        <w:t>(i)</w:t>
      </w:r>
      <w:r>
        <w:tab/>
        <w:t xml:space="preserve">in relation to Victoria, in the case of an education and care service specified in paragraph (a) of the definition of </w:t>
      </w:r>
      <w:r>
        <w:rPr>
          <w:rStyle w:val="CharDefText"/>
        </w:rPr>
        <w:t>early childhood service</w:t>
      </w:r>
      <w:r>
        <w:t xml:space="preserve"> in section 3(1) of the </w:t>
      </w:r>
      <w:r>
        <w:rPr>
          <w:i/>
        </w:rPr>
        <w:t>Public Health and Wellbeing Act 2008</w:t>
      </w:r>
      <w:r>
        <w:t xml:space="preserve"> of Victoria — </w:t>
      </w:r>
    </w:p>
    <w:p>
      <w:pPr>
        <w:pStyle w:val="Indenti"/>
      </w:pPr>
      <w:r>
        <w:tab/>
        <w:t>(i)</w:t>
      </w:r>
      <w:r>
        <w:tab/>
        <w:t xml:space="preserve">an immunisation status certificate within the meaning of section 147 of the </w:t>
      </w:r>
      <w:r>
        <w:rPr>
          <w:i/>
        </w:rPr>
        <w:t>Public Health and Wellbeing Act 2008</w:t>
      </w:r>
      <w:r>
        <w:t xml:space="preserve"> of Victoria that is issued in relation to the child and that is provided under section 143B of the </w:t>
      </w:r>
      <w:r>
        <w:rPr>
          <w:i/>
        </w:rPr>
        <w:t>Public Health and Wellbeing Act 2008</w:t>
      </w:r>
      <w:r>
        <w:t xml:space="preserve"> of Victoria; or</w:t>
      </w:r>
    </w:p>
    <w:p>
      <w:pPr>
        <w:pStyle w:val="Indenti"/>
      </w:pPr>
      <w:r>
        <w:tab/>
        <w:t>(ii)</w:t>
      </w:r>
      <w:r>
        <w:tab/>
        <w:t xml:space="preserve">details of any exemption in relation to the child under section 143C of the </w:t>
      </w:r>
      <w:r>
        <w:rPr>
          <w:i/>
        </w:rPr>
        <w:t>Public Health and Wellbeing Act 2008</w:t>
      </w:r>
      <w:r>
        <w:t xml:space="preserve"> of Victoria.</w:t>
      </w:r>
    </w:p>
    <w:p>
      <w:pPr>
        <w:pStyle w:val="Footnotesection"/>
      </w:pPr>
      <w:r>
        <w:tab/>
        <w:t>[Regulation 162 amended: Gazette 28 Nov 2014 p. 4408; 28 Sep 2018 p. 3639</w:t>
      </w:r>
      <w:r>
        <w:noBreakHyphen/>
        <w:t>40.]</w:t>
      </w:r>
    </w:p>
    <w:p>
      <w:pPr>
        <w:pStyle w:val="MiscellaneousHeading"/>
        <w:spacing w:before="300"/>
        <w:rPr>
          <w:b/>
          <w:bCs/>
        </w:rPr>
      </w:pPr>
      <w:r>
        <w:rPr>
          <w:b/>
          <w:bCs/>
        </w:rPr>
        <w:t>Subdivision 2 — Residents at family day care residences and family day care educator assistants</w:t>
      </w:r>
    </w:p>
    <w:p>
      <w:pPr>
        <w:pStyle w:val="Heading5"/>
      </w:pPr>
      <w:bookmarkStart w:id="330" w:name="_Toc109833116"/>
      <w:r>
        <w:rPr>
          <w:rStyle w:val="CharSectno"/>
        </w:rPr>
        <w:t>163</w:t>
      </w:r>
      <w:r>
        <w:t>.</w:t>
      </w:r>
      <w:r>
        <w:tab/>
        <w:t>Residents at family day care residence and family day care educator assistants to be fit and proper persons</w:t>
      </w:r>
      <w:bookmarkEnd w:id="330"/>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pPr>
      <w:r>
        <w:lastRenderedPageBreak/>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current working with vulnerable people registration.</w:t>
      </w:r>
    </w:p>
    <w:p>
      <w:pPr>
        <w:pStyle w:val="Subsection"/>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spacing w:before="60"/>
      </w:pPr>
      <w:r>
        <w:tab/>
        <w:t>(b)</w:t>
      </w:r>
      <w:r>
        <w:tab/>
        <w:t xml:space="preserve">has applied for a working with children check or working with children card — </w:t>
      </w:r>
    </w:p>
    <w:p>
      <w:pPr>
        <w:pStyle w:val="Subsection"/>
        <w:spacing w:before="120"/>
      </w:pPr>
      <w:r>
        <w:tab/>
      </w:r>
      <w:r>
        <w:tab/>
        <w:t>the person is taken to hold the check or card until the application is determined.</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163 amended: Gazette 13 Dec 2013 p.</w:t>
      </w:r>
      <w:r>
        <w:rPr>
          <w:sz w:val="19"/>
        </w:rPr>
        <w:t> </w:t>
      </w:r>
      <w:r>
        <w:t>6165; 28 Nov 2014 p. 4408; 28 Sep 2018 p. 3640.]</w:t>
      </w:r>
    </w:p>
    <w:p>
      <w:pPr>
        <w:pStyle w:val="Heading5"/>
      </w:pPr>
      <w:bookmarkStart w:id="331" w:name="_Toc109833117"/>
      <w:r>
        <w:rPr>
          <w:rStyle w:val="CharSectno"/>
        </w:rPr>
        <w:lastRenderedPageBreak/>
        <w:t>164</w:t>
      </w:r>
      <w:r>
        <w:t>.</w:t>
      </w:r>
      <w:r>
        <w:tab/>
        <w:t>Requirement for notice of new persons at residence</w:t>
      </w:r>
      <w:bookmarkEnd w:id="331"/>
      <w:r>
        <w:t xml:space="preserve"> </w:t>
      </w:r>
    </w:p>
    <w:p>
      <w:pPr>
        <w:pStyle w:val="Subsection"/>
        <w:spacing w:before="150"/>
      </w:pPr>
      <w:r>
        <w:tab/>
        <w:t>(1)</w:t>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spacing w:before="60"/>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Subsection"/>
        <w:keepNext/>
      </w:pPr>
      <w:r>
        <w:tab/>
        <w:t>(2)</w:t>
      </w:r>
      <w:r>
        <w:tab/>
        <w:t xml:space="preserve">The family day care educator must notify the approved provider of — </w:t>
      </w:r>
    </w:p>
    <w:p>
      <w:pPr>
        <w:pStyle w:val="Indenta"/>
      </w:pPr>
      <w:r>
        <w:tab/>
        <w:t>(a)</w:t>
      </w:r>
      <w:r>
        <w:tab/>
        <w:t>any new person aged 18 years or over who resides, or intends to reside, at the educator’s family day care residence; and</w:t>
      </w:r>
    </w:p>
    <w:p>
      <w:pPr>
        <w:pStyle w:val="Indenta"/>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$2 000.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164 amended: Gazette 28 Sep 2018 p. 3640</w:t>
      </w:r>
      <w:r>
        <w:noBreakHyphen/>
        <w:t>1.]</w:t>
      </w:r>
    </w:p>
    <w:p>
      <w:pPr>
        <w:pStyle w:val="Heading5"/>
      </w:pPr>
      <w:bookmarkStart w:id="332" w:name="_Toc109833118"/>
      <w:r>
        <w:rPr>
          <w:rStyle w:val="CharSectno"/>
        </w:rPr>
        <w:t>165</w:t>
      </w:r>
      <w:r>
        <w:t>.</w:t>
      </w:r>
      <w:r>
        <w:tab/>
        <w:t>Record of visitors</w:t>
      </w:r>
      <w:bookmarkEnd w:id="332"/>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pPr>
      <w:r>
        <w:lastRenderedPageBreak/>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333" w:name="_Toc109833119"/>
      <w:r>
        <w:rPr>
          <w:rStyle w:val="CharSectno"/>
        </w:rPr>
        <w:t>166</w:t>
      </w:r>
      <w:r>
        <w:t>.</w:t>
      </w:r>
      <w:r>
        <w:tab/>
        <w:t>Children not to be alone with visitors</w:t>
      </w:r>
      <w:bookmarkEnd w:id="333"/>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spacing w:before="240"/>
        <w:outlineLvl w:val="0"/>
        <w:rPr>
          <w:b/>
          <w:bCs/>
        </w:rPr>
      </w:pPr>
      <w:r>
        <w:rPr>
          <w:b/>
          <w:bCs/>
        </w:rPr>
        <w:t>Subdivision 3 — Record of service’s compliance</w:t>
      </w:r>
    </w:p>
    <w:p>
      <w:pPr>
        <w:pStyle w:val="Heading5"/>
      </w:pPr>
      <w:bookmarkStart w:id="334" w:name="_Toc109833120"/>
      <w:r>
        <w:rPr>
          <w:rStyle w:val="CharSectno"/>
        </w:rPr>
        <w:t>167</w:t>
      </w:r>
      <w:r>
        <w:t>.</w:t>
      </w:r>
      <w:r>
        <w:tab/>
        <w:t>Record of service’s compliance</w:t>
      </w:r>
      <w:bookmarkEnd w:id="334"/>
      <w:r>
        <w:t xml:space="preserve"> </w:t>
      </w:r>
    </w:p>
    <w:p>
      <w:pPr>
        <w:pStyle w:val="Subsection"/>
      </w:pPr>
      <w:r>
        <w:tab/>
        <w:t>(1)</w:t>
      </w:r>
      <w:r>
        <w:tab/>
        <w:t xml:space="preserve">Subject to subregulations (2) and (3), the record of the service’s compliance must include the following information — </w:t>
      </w:r>
    </w:p>
    <w:p>
      <w:pPr>
        <w:pStyle w:val="Indenta"/>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pPr>
      <w:r>
        <w:lastRenderedPageBreak/>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pPr>
      <w:r>
        <w:tab/>
        <w:t>(ii)</w:t>
      </w:r>
      <w:r>
        <w:tab/>
        <w:t>the date on which the suspension took, or takes, effect;</w:t>
      </w:r>
    </w:p>
    <w:p>
      <w:pPr>
        <w:pStyle w:val="Indenti"/>
      </w:pPr>
      <w:r>
        <w:tab/>
        <w:t>(iii)</w:t>
      </w:r>
      <w:r>
        <w:tab/>
        <w:t>the date that the suspension ends;</w:t>
      </w:r>
    </w:p>
    <w:p>
      <w:pPr>
        <w:pStyle w:val="Indenta"/>
        <w:keepNext/>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spacing w:before="280"/>
      </w:pPr>
      <w:bookmarkStart w:id="335" w:name="_Toc109740697"/>
      <w:bookmarkStart w:id="336" w:name="_Toc109741526"/>
      <w:bookmarkStart w:id="337" w:name="_Toc109833121"/>
      <w:r>
        <w:lastRenderedPageBreak/>
        <w:t>Division 2 — Policies and procedures</w:t>
      </w:r>
      <w:bookmarkEnd w:id="335"/>
      <w:bookmarkEnd w:id="336"/>
      <w:bookmarkEnd w:id="337"/>
    </w:p>
    <w:p>
      <w:pPr>
        <w:pStyle w:val="Heading5"/>
      </w:pPr>
      <w:bookmarkStart w:id="338" w:name="_Toc109833122"/>
      <w:r>
        <w:rPr>
          <w:rStyle w:val="CharSectno"/>
        </w:rPr>
        <w:t>168</w:t>
      </w:r>
      <w:r>
        <w:t>.</w:t>
      </w:r>
      <w:r>
        <w:tab/>
        <w:t>Education and care service must have policies and procedures</w:t>
      </w:r>
      <w:bookmarkEnd w:id="338"/>
      <w:r>
        <w:t xml:space="preserve"> </w:t>
      </w:r>
    </w:p>
    <w:p>
      <w:pPr>
        <w:pStyle w:val="Subsection"/>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 and</w:t>
      </w:r>
    </w:p>
    <w:p>
      <w:pPr>
        <w:pStyle w:val="Indenti"/>
      </w:pPr>
      <w:r>
        <w:tab/>
        <w:t>(v)</w:t>
      </w:r>
      <w:r>
        <w:tab/>
        <w:t>sleep and rest for children;</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spacing w:before="100"/>
      </w:pPr>
      <w:r>
        <w:lastRenderedPageBreak/>
        <w:tab/>
        <w:t>(f)</w:t>
      </w:r>
      <w:r>
        <w:tab/>
        <w:t xml:space="preserve">delivery of children to, and collection of children from, education and care service premises, including procedures complying with — </w:t>
      </w:r>
    </w:p>
    <w:p>
      <w:pPr>
        <w:pStyle w:val="Indenti"/>
        <w:spacing w:before="100"/>
      </w:pPr>
      <w:r>
        <w:tab/>
        <w:t>(i)</w:t>
      </w:r>
      <w:r>
        <w:tab/>
        <w:t>for all participating jurisdictions other than Western Australia — regulation 99; and</w:t>
      </w:r>
    </w:p>
    <w:p>
      <w:pPr>
        <w:pStyle w:val="Indenti"/>
        <w:spacing w:before="100"/>
      </w:pPr>
      <w:r>
        <w:tab/>
        <w:t>(ii)</w:t>
      </w:r>
      <w:r>
        <w:tab/>
        <w:t>for Western Australia —section 165A of the Law as applying in Western Australia;</w:t>
      </w:r>
    </w:p>
    <w:p>
      <w:pPr>
        <w:pStyle w:val="Indenta"/>
        <w:spacing w:before="100"/>
      </w:pPr>
      <w:r>
        <w:tab/>
        <w:t>(g)</w:t>
      </w:r>
      <w:r>
        <w:tab/>
        <w:t>excursions, including procedures complying with regulations 100 to 102;</w:t>
      </w:r>
    </w:p>
    <w:p>
      <w:pPr>
        <w:pStyle w:val="Indenta"/>
      </w:pPr>
      <w:r>
        <w:tab/>
        <w:t>(ga)</w:t>
      </w:r>
      <w:r>
        <w:tab/>
        <w:t>if the service transports or arranges transportation of children other than as part of excursions, transportation including procedures complying with Chapter 4 Part 4.2 Division 7;</w:t>
      </w:r>
    </w:p>
    <w:p>
      <w:pPr>
        <w:pStyle w:val="Indenta"/>
        <w:spacing w:before="100"/>
      </w:pPr>
      <w:r>
        <w:tab/>
        <w:t>(h)</w:t>
      </w:r>
      <w:r>
        <w:tab/>
        <w:t>providing a child safe environment;</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dealing with complaints.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lastRenderedPageBreak/>
        <w:tab/>
        <w:t>2.</w:t>
      </w:r>
      <w:r>
        <w:tab/>
        <w:t>This regulation differs from regulation 168 of the national regulations made by the Ministerial Council.</w:t>
      </w:r>
    </w:p>
    <w:p>
      <w:pPr>
        <w:pStyle w:val="Footnotesection"/>
        <w:spacing w:before="100"/>
      </w:pPr>
      <w:r>
        <w:tab/>
        <w:t>[Regulation 168 amended: Gazette 28 Sep 2018 p. 3641; SL 2020/143 r. 11.]</w:t>
      </w:r>
    </w:p>
    <w:p>
      <w:pPr>
        <w:pStyle w:val="Heading5"/>
      </w:pPr>
      <w:bookmarkStart w:id="339" w:name="_Toc109833123"/>
      <w:r>
        <w:rPr>
          <w:rStyle w:val="CharSectno"/>
        </w:rPr>
        <w:t>169</w:t>
      </w:r>
      <w:r>
        <w:t>.</w:t>
      </w:r>
      <w:r>
        <w:tab/>
        <w:t>Additional policies and procedures — family day care service</w:t>
      </w:r>
      <w:bookmarkEnd w:id="339"/>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$1000.</w:t>
      </w:r>
    </w:p>
    <w:p>
      <w:pPr>
        <w:pStyle w:val="Subsection"/>
      </w:pPr>
      <w:r>
        <w:tab/>
        <w:t>(2)</w:t>
      </w:r>
      <w:r>
        <w:tab/>
        <w:t xml:space="preserve">Policies and procedures are required in relation to the following — </w:t>
      </w:r>
    </w:p>
    <w:p>
      <w:pPr>
        <w:pStyle w:val="Indenta"/>
      </w:pPr>
      <w:r>
        <w:tab/>
        <w:t>(a)</w:t>
      </w:r>
      <w:r>
        <w:tab/>
        <w:t>assessment of proposed family day care venues and proposed family day care residences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family day care co-ordinators and family day care educator assistants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lastRenderedPageBreak/>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169 amended: Gazette 28 Sep 2018 p. 3642.]</w:t>
      </w:r>
    </w:p>
    <w:p>
      <w:pPr>
        <w:pStyle w:val="Heading5"/>
      </w:pPr>
      <w:bookmarkStart w:id="340" w:name="_Toc109833124"/>
      <w:r>
        <w:rPr>
          <w:rStyle w:val="CharSectno"/>
        </w:rPr>
        <w:t>170</w:t>
      </w:r>
      <w:r>
        <w:t>.</w:t>
      </w:r>
      <w:r>
        <w:tab/>
        <w:t>Policies and procedures to be followed</w:t>
      </w:r>
      <w:bookmarkEnd w:id="340"/>
      <w:r>
        <w:t xml:space="preserve"> </w:t>
      </w:r>
    </w:p>
    <w:p>
      <w:pPr>
        <w:pStyle w:val="Subsection"/>
      </w:pPr>
      <w:r>
        <w:tab/>
        <w:t>(1)</w:t>
      </w:r>
      <w:r>
        <w:tab/>
        <w:t>The approved provider of a centre</w:t>
      </w:r>
      <w:r>
        <w:noBreakHyphen/>
        <w:t>based service must take reasonable steps to ensure that nominated supervisors and staff members of, and volunteers at, the service follow the policies and procedures required under regulation 168.</w:t>
      </w:r>
    </w:p>
    <w:p>
      <w:pPr>
        <w:pStyle w:val="Penstart"/>
      </w:pPr>
      <w:r>
        <w:tab/>
        <w:t>Penalty: $1000.</w:t>
      </w:r>
    </w:p>
    <w:p>
      <w:pPr>
        <w:pStyle w:val="Subsection"/>
      </w:pPr>
      <w:r>
        <w:tab/>
        <w:t>(2)</w:t>
      </w:r>
      <w:r>
        <w:tab/>
        <w:t>The approved provider of a family day care service must take reasonable steps to ensure that nominated supervisors and staff members of, and family day care educators engaged by or registered with, the service follow the policies and procedures required under regulations 168 and 169.</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170 amended: Gazette 28 Sep 2018 p. 3642.]</w:t>
      </w:r>
    </w:p>
    <w:p>
      <w:pPr>
        <w:pStyle w:val="Heading5"/>
      </w:pPr>
      <w:bookmarkStart w:id="341" w:name="_Toc109833125"/>
      <w:r>
        <w:rPr>
          <w:rStyle w:val="CharSectno"/>
        </w:rPr>
        <w:t>171</w:t>
      </w:r>
      <w:r>
        <w:t>.</w:t>
      </w:r>
      <w:r>
        <w:tab/>
        <w:t>Policies and procedures to be kept available</w:t>
      </w:r>
      <w:bookmarkEnd w:id="341"/>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nominated supervisors and staff members of, volunteers at, and family day care educators engaged by or registered with, the service.</w:t>
      </w:r>
    </w:p>
    <w:p>
      <w:pPr>
        <w:pStyle w:val="Penstart"/>
      </w:pPr>
      <w:r>
        <w:tab/>
        <w:t>Penalty: $1000.</w:t>
      </w:r>
    </w:p>
    <w:p>
      <w:pPr>
        <w:pStyle w:val="Subsection"/>
      </w:pPr>
      <w:r>
        <w:lastRenderedPageBreak/>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171 amended: Gazette 28 Sep 2018 p. 3642.]</w:t>
      </w:r>
    </w:p>
    <w:p>
      <w:pPr>
        <w:pStyle w:val="Heading5"/>
      </w:pPr>
      <w:bookmarkStart w:id="342" w:name="_Toc109833126"/>
      <w:r>
        <w:rPr>
          <w:rStyle w:val="CharSectno"/>
        </w:rPr>
        <w:t>172</w:t>
      </w:r>
      <w:r>
        <w:t>.</w:t>
      </w:r>
      <w:r>
        <w:tab/>
        <w:t>Notification of change to policies or procedures</w:t>
      </w:r>
      <w:bookmarkEnd w:id="342"/>
      <w:r>
        <w:t xml:space="preserve"> </w:t>
      </w:r>
    </w:p>
    <w:p>
      <w:pPr>
        <w:pStyle w:val="Subsection"/>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tab/>
        <w:t>Note for this regulation:</w:t>
      </w:r>
    </w:p>
    <w:p>
      <w:pPr>
        <w:pStyle w:val="PermNoteText"/>
      </w:pPr>
      <w:r>
        <w:tab/>
      </w:r>
      <w:r>
        <w:tab/>
        <w:t>A compliance direction may be issued for failure to comply with subregulation (1)(b).</w:t>
      </w:r>
    </w:p>
    <w:p>
      <w:pPr>
        <w:pStyle w:val="Heading4"/>
        <w:spacing w:before="220"/>
      </w:pPr>
      <w:bookmarkStart w:id="343" w:name="_Toc109740703"/>
      <w:bookmarkStart w:id="344" w:name="_Toc109741532"/>
      <w:bookmarkStart w:id="345" w:name="_Toc109833127"/>
      <w:r>
        <w:lastRenderedPageBreak/>
        <w:t>Division 3 — Information and record</w:t>
      </w:r>
      <w:r>
        <w:noBreakHyphen/>
        <w:t>keeping requirements</w:t>
      </w:r>
      <w:bookmarkEnd w:id="343"/>
      <w:bookmarkEnd w:id="344"/>
      <w:bookmarkEnd w:id="345"/>
    </w:p>
    <w:p>
      <w:pPr>
        <w:pStyle w:val="MiscellaneousHeading"/>
        <w:spacing w:before="220"/>
        <w:rPr>
          <w:b/>
          <w:bCs/>
        </w:rPr>
      </w:pPr>
      <w:r>
        <w:rPr>
          <w:b/>
          <w:bCs/>
        </w:rPr>
        <w:t>Subdivision 1 — Display and reporting of prescribed information</w:t>
      </w:r>
    </w:p>
    <w:p>
      <w:pPr>
        <w:pStyle w:val="Heading5"/>
      </w:pPr>
      <w:bookmarkStart w:id="346" w:name="_Toc109833128"/>
      <w:r>
        <w:rPr>
          <w:rStyle w:val="CharSectno"/>
        </w:rPr>
        <w:t>173</w:t>
      </w:r>
      <w:r>
        <w:t>.</w:t>
      </w:r>
      <w:r>
        <w:tab/>
        <w:t>Prescribed information to be displayed</w:t>
      </w:r>
      <w:bookmarkEnd w:id="346"/>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the name of each nominated supervisor;</w:t>
      </w:r>
    </w:p>
    <w:p>
      <w:pPr>
        <w:pStyle w:val="Indenta"/>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keepNext/>
      </w:pPr>
      <w:r>
        <w:tab/>
        <w:t>(ii)</w:t>
      </w:r>
      <w:r>
        <w:tab/>
        <w:t>the overall rating of the service;</w:t>
      </w:r>
    </w:p>
    <w:p>
      <w:pPr>
        <w:pStyle w:val="Indenta"/>
      </w:pPr>
      <w:r>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keepNext/>
      </w:pPr>
      <w:r>
        <w:lastRenderedPageBreak/>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in the case of a centre</w:t>
      </w:r>
      <w:r>
        <w:noBreakHyphen/>
        <w:t>based service,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 xml:space="preserve">if applicable — </w:t>
      </w:r>
    </w:p>
    <w:p>
      <w:pPr>
        <w:pStyle w:val="Indenti"/>
      </w:pPr>
      <w:r>
        <w:tab/>
        <w:t>(i)</w:t>
      </w:r>
      <w:r>
        <w:tab/>
        <w:t>in the case of a centre</w:t>
      </w:r>
      <w:r>
        <w:noBreakHyphen/>
        <w:t>based service, a notice stating that a child who has been diagnosed as at risk of anaphylaxis is enrolled at the service; or</w:t>
      </w:r>
    </w:p>
    <w:p>
      <w:pPr>
        <w:pStyle w:val="Indenti"/>
      </w:pPr>
      <w:r>
        <w:tab/>
        <w:t>(ii)</w:t>
      </w:r>
      <w:r>
        <w:tab/>
        <w:t xml:space="preserve">in the case of a family day care residence or approved family day care venue, a notice stating that a child who has been diagnosed as at risk of anaphylaxis — </w:t>
      </w:r>
    </w:p>
    <w:p>
      <w:pPr>
        <w:pStyle w:val="IndentI0"/>
      </w:pPr>
      <w:r>
        <w:tab/>
        <w:t>(A)</w:t>
      </w:r>
      <w:r>
        <w:tab/>
        <w:t>is enrolled at the family day care service; and</w:t>
      </w:r>
    </w:p>
    <w:p>
      <w:pPr>
        <w:pStyle w:val="IndentI0"/>
      </w:pPr>
      <w:r>
        <w:tab/>
        <w:t>(B)</w:t>
      </w:r>
      <w:r>
        <w:tab/>
        <w:t>attends the family day care residence or family day care venue;</w:t>
      </w:r>
    </w:p>
    <w:p>
      <w:pPr>
        <w:pStyle w:val="Indenta"/>
        <w:keepNext/>
      </w:pPr>
      <w:r>
        <w:tab/>
        <w:t>(g)</w:t>
      </w:r>
      <w:r>
        <w:tab/>
        <w:t xml:space="preserve">if applicable — </w:t>
      </w:r>
    </w:p>
    <w:p>
      <w:pPr>
        <w:pStyle w:val="Indenti"/>
      </w:pPr>
      <w:r>
        <w:tab/>
        <w:t>(i)</w:t>
      </w:r>
      <w:r>
        <w:tab/>
        <w:t>in the case of a centre</w:t>
      </w:r>
      <w:r>
        <w:noBreakHyphen/>
        <w:t>based service, a notice stating that there has been an occurrence of an infectious disease at the premises; or</w:t>
      </w:r>
    </w:p>
    <w:p>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pPr>
        <w:pStyle w:val="Subsection"/>
      </w:pPr>
      <w:r>
        <w:lastRenderedPageBreak/>
        <w:tab/>
        <w:t>(3)</w:t>
      </w:r>
      <w:r>
        <w:tab/>
        <w:t xml:space="preserve">An approved provider of an education and care service must display information specified in subregulation (1)(d) by displaying 1 or both of the following certificates — </w:t>
      </w:r>
    </w:p>
    <w:p>
      <w:pPr>
        <w:pStyle w:val="Indenta"/>
      </w:pPr>
      <w:r>
        <w:tab/>
        <w:t>(a)</w:t>
      </w:r>
      <w:r>
        <w:tab/>
        <w:t xml:space="preserve">the certificate issued to the approved provider by or on behalf of the Regulatory Authority about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(b)</w:t>
      </w:r>
      <w:r>
        <w:tab/>
        <w:t>if the National Authority has given the service the highest rating level — the certificate about the overall rating of the service issued to the approved provider by the National Authority.</w:t>
      </w:r>
    </w:p>
    <w:p>
      <w:pPr>
        <w:pStyle w:val="Penstart"/>
      </w:pPr>
      <w:r>
        <w:tab/>
        <w:t>Penalty for this subregulation: a fine of $2 000.</w:t>
      </w:r>
    </w:p>
    <w:p>
      <w:pPr>
        <w:pStyle w:val="Footnotesection"/>
      </w:pPr>
      <w:r>
        <w:tab/>
        <w:t>[Regulation 173 amended: Gazette 3 Nov 2017 p. 5483</w:t>
      </w:r>
      <w:r>
        <w:noBreakHyphen/>
        <w:t>4; 28 Sep 2018 p. 3642; SL 2021/140 r. 8.]</w:t>
      </w:r>
    </w:p>
    <w:p>
      <w:pPr>
        <w:pStyle w:val="Heading5"/>
      </w:pPr>
      <w:bookmarkStart w:id="347" w:name="_Toc109833129"/>
      <w:r>
        <w:rPr>
          <w:rStyle w:val="CharSectno"/>
        </w:rPr>
        <w:t>174</w:t>
      </w:r>
      <w:r>
        <w:t>.</w:t>
      </w:r>
      <w:r>
        <w:tab/>
        <w:t>Time to notify certain circumstances to Regulatory Authority</w:t>
      </w:r>
      <w:bookmarkEnd w:id="347"/>
      <w:r>
        <w:t xml:space="preserve"> </w:t>
      </w:r>
    </w:p>
    <w:p>
      <w:pPr>
        <w:pStyle w:val="Subsection"/>
      </w:pPr>
      <w:r>
        <w:tab/>
        <w:t>(1)</w:t>
      </w:r>
      <w:r>
        <w:tab/>
        <w:t>For the purposes of section 173(4) of the Law, a notice must be provided within 14 days of the relevant event or within 14 days of the approved provider becoming aware of the relevant event.</w:t>
      </w:r>
    </w:p>
    <w:p>
      <w:pPr>
        <w:pStyle w:val="Subsection"/>
        <w:keepNext/>
      </w:pPr>
      <w:r>
        <w:tab/>
        <w:t>(2)</w:t>
      </w:r>
      <w:r>
        <w:tab/>
        <w:t xml:space="preserve">For the purposes of section 173(5) of the Law, a notice must be provided — </w:t>
      </w:r>
    </w:p>
    <w:p>
      <w:pPr>
        <w:pStyle w:val="Indenta"/>
      </w:pPr>
      <w:r>
        <w:tab/>
        <w:t>(aa)</w:t>
      </w:r>
      <w:r>
        <w:tab/>
        <w:t>in the case of a notice under section 173(2)(e), at least 14 days before the change in the location of the principal office takes place; or</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Footnotesection"/>
        <w:spacing w:before="100"/>
      </w:pPr>
      <w:r>
        <w:tab/>
        <w:t>[Regulation 174 amended: Gazette 28 Sep 2018 p. 3643.]</w:t>
      </w:r>
    </w:p>
    <w:p>
      <w:pPr>
        <w:pStyle w:val="Heading5"/>
      </w:pPr>
      <w:bookmarkStart w:id="348" w:name="_Toc109833130"/>
      <w:r>
        <w:rPr>
          <w:rStyle w:val="CharSectno"/>
        </w:rPr>
        <w:lastRenderedPageBreak/>
        <w:t>174A</w:t>
      </w:r>
      <w:r>
        <w:t>.</w:t>
      </w:r>
      <w:r>
        <w:tab/>
        <w:t>Prescribed information to accompany notice</w:t>
      </w:r>
      <w:bookmarkEnd w:id="348"/>
    </w:p>
    <w:p>
      <w:pPr>
        <w:pStyle w:val="Subsection"/>
      </w:pPr>
      <w:r>
        <w:tab/>
      </w:r>
      <w:r>
        <w:tab/>
        <w:t>A notice under section 173(2)(e) of the Law must be accompanied by a statement that the applicant has the right to occupy and use the premises as a principal office and any document evidencing this.</w:t>
      </w:r>
    </w:p>
    <w:p>
      <w:pPr>
        <w:pStyle w:val="PermNoteHeading"/>
      </w:pPr>
      <w:r>
        <w:tab/>
        <w:t>Example for this regulation:</w:t>
      </w:r>
    </w:p>
    <w:p>
      <w:pPr>
        <w:pStyle w:val="PermNoteText"/>
      </w:pPr>
      <w:r>
        <w:tab/>
      </w:r>
      <w:r>
        <w:tab/>
        <w:t>A lease of the premises.</w:t>
      </w:r>
    </w:p>
    <w:p>
      <w:pPr>
        <w:pStyle w:val="Footnotesection"/>
        <w:spacing w:before="100"/>
      </w:pPr>
      <w:r>
        <w:tab/>
        <w:t>[Regulation 174A inserted: Gazette 28 Sep 2018 p. 3643.]</w:t>
      </w:r>
    </w:p>
    <w:p>
      <w:pPr>
        <w:pStyle w:val="Heading5"/>
      </w:pPr>
      <w:bookmarkStart w:id="349" w:name="_Toc109833131"/>
      <w:r>
        <w:rPr>
          <w:rStyle w:val="CharSectno"/>
        </w:rPr>
        <w:t>175</w:t>
      </w:r>
      <w:r>
        <w:t>.</w:t>
      </w:r>
      <w:r>
        <w:tab/>
        <w:t>Prescribed information to be notified to Regulatory Authority</w:t>
      </w:r>
      <w:bookmarkEnd w:id="349"/>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lastRenderedPageBreak/>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any incident where the approved provider reasonably believes that physical abuse or sexual abuse of a child or children has occurred or is occurring while the child is or the children are being educated and cared for by the education and care service;</w:t>
      </w:r>
    </w:p>
    <w:p>
      <w:pPr>
        <w:pStyle w:val="Indenta"/>
      </w:pPr>
      <w:r>
        <w:tab/>
        <w:t>(e)</w:t>
      </w:r>
      <w:r>
        <w:tab/>
        <w:t>allegations that physical or sexual abuse of a child or children has occurred or is occurring while the child is or the children are being educated and cared for by the education and care service (other than an allegation that has been notified under section 174(2)(b) of the Law).</w:t>
      </w:r>
    </w:p>
    <w:p>
      <w:pPr>
        <w:pStyle w:val="Footnotesection"/>
      </w:pPr>
      <w:r>
        <w:tab/>
        <w:t>[Regulation 175 amended: Gazette 13 Dec 2013 p.</w:t>
      </w:r>
      <w:r>
        <w:rPr>
          <w:sz w:val="19"/>
        </w:rPr>
        <w:t> </w:t>
      </w:r>
      <w:r>
        <w:t>6166; 28 Sep 2018 p. 3644.]</w:t>
      </w:r>
    </w:p>
    <w:p>
      <w:pPr>
        <w:pStyle w:val="Heading5"/>
      </w:pPr>
      <w:bookmarkStart w:id="350" w:name="_Toc109833132"/>
      <w:r>
        <w:rPr>
          <w:rStyle w:val="CharSectno"/>
        </w:rPr>
        <w:t>176</w:t>
      </w:r>
      <w:r>
        <w:t>.</w:t>
      </w:r>
      <w:r>
        <w:tab/>
        <w:t>Time to notify certain information to Regulatory Authority</w:t>
      </w:r>
      <w:bookmarkEnd w:id="350"/>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 xml:space="preserve">in the case of the death of a child, as soon as practicable but within 24 hours of the death, or </w:t>
      </w:r>
      <w:r>
        <w:lastRenderedPageBreak/>
        <w:t>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pPr>
      <w:r>
        <w:tab/>
        <w:t>(c)</w:t>
      </w:r>
      <w:r>
        <w:tab/>
        <w:t>in any other case, within 7 days of the relevant event or within 7 days of the approved provider becoming aware of the relevant information.</w:t>
      </w:r>
    </w:p>
    <w:p>
      <w:pPr>
        <w:pStyle w:val="Footnotesection"/>
      </w:pPr>
      <w:r>
        <w:tab/>
        <w:t>[Regulation 176 amended: Gazette 13 Dec 2013 p.</w:t>
      </w:r>
      <w:r>
        <w:rPr>
          <w:sz w:val="19"/>
        </w:rPr>
        <w:t> </w:t>
      </w:r>
      <w:r>
        <w:t>6166.]</w:t>
      </w:r>
    </w:p>
    <w:p>
      <w:pPr>
        <w:pStyle w:val="MiscellaneousHeading"/>
        <w:outlineLvl w:val="0"/>
        <w:rPr>
          <w:b/>
          <w:bCs/>
        </w:rPr>
      </w:pPr>
      <w:r>
        <w:rPr>
          <w:b/>
          <w:bCs/>
        </w:rPr>
        <w:t>Subdivision 2 — Prescribed records</w:t>
      </w:r>
    </w:p>
    <w:p>
      <w:pPr>
        <w:pStyle w:val="Heading5"/>
      </w:pPr>
      <w:bookmarkStart w:id="351" w:name="_Toc109833133"/>
      <w:r>
        <w:rPr>
          <w:rStyle w:val="CharSectno"/>
        </w:rPr>
        <w:t>176A</w:t>
      </w:r>
      <w:r>
        <w:t>.</w:t>
      </w:r>
      <w:r>
        <w:tab/>
        <w:t>Prescribed information to be notified to approved provider by family day care educator</w:t>
      </w:r>
      <w:bookmarkEnd w:id="351"/>
    </w:p>
    <w:p>
      <w:pPr>
        <w:pStyle w:val="Subsection"/>
      </w:pPr>
      <w:r>
        <w:tab/>
      </w:r>
      <w:r>
        <w:tab/>
        <w:t xml:space="preserve">For the purposes of section 174A(c) of the Law, the following matters are prescribed — </w:t>
      </w:r>
    </w:p>
    <w:p>
      <w:pPr>
        <w:pStyle w:val="Indenta"/>
      </w:pPr>
      <w:r>
        <w:tab/>
        <w:t>(a)</w:t>
      </w:r>
      <w:r>
        <w:tab/>
        <w:t>any renovations or other changes to the family day care residence that create a serious risk to the health, safety and wellbeing of children attending or likely to attend the family day care residence;</w:t>
      </w:r>
    </w:p>
    <w:p>
      <w:pPr>
        <w:pStyle w:val="Indenta"/>
      </w:pPr>
      <w:r>
        <w:tab/>
        <w:t>(b)</w:t>
      </w:r>
      <w:r>
        <w:tab/>
        <w:t>any renovations or other changes to an approved family day care venue that create a serious risk to the health, safety and wellbeing of children attending or likely to attend the approved family day care venue.</w:t>
      </w:r>
    </w:p>
    <w:p>
      <w:pPr>
        <w:pStyle w:val="Footnotesection"/>
        <w:spacing w:before="100"/>
      </w:pPr>
      <w:r>
        <w:tab/>
        <w:t>[Regulation 176A inserted: Gazette 28 Sep 2018 p. 3644</w:t>
      </w:r>
      <w:r>
        <w:noBreakHyphen/>
        <w:t>5.]</w:t>
      </w:r>
    </w:p>
    <w:p>
      <w:pPr>
        <w:pStyle w:val="Heading5"/>
      </w:pPr>
      <w:bookmarkStart w:id="352" w:name="_Toc109833134"/>
      <w:r>
        <w:rPr>
          <w:rStyle w:val="CharSectno"/>
        </w:rPr>
        <w:lastRenderedPageBreak/>
        <w:t>177</w:t>
      </w:r>
      <w:r>
        <w:t>.</w:t>
      </w:r>
      <w:r>
        <w:tab/>
        <w:t>Prescribed enrolment and other documents to be kept by approved provider</w:t>
      </w:r>
      <w:bookmarkEnd w:id="352"/>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engaged or employed by the service kept under regulation 154;</w:t>
      </w:r>
    </w:p>
    <w:p>
      <w:pPr>
        <w:pStyle w:val="Indenta"/>
      </w:pPr>
      <w:r>
        <w:tab/>
        <w:t>(k)</w:t>
      </w:r>
      <w:r>
        <w:tab/>
        <w:t>a children’s attendance record as set out in regulation 158;</w:t>
      </w:r>
    </w:p>
    <w:p>
      <w:pPr>
        <w:pStyle w:val="Indenta"/>
      </w:pPr>
      <w:r>
        <w:lastRenderedPageBreak/>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each nominated supervisor and any person in day</w:t>
      </w:r>
      <w:r>
        <w:noBreakHyphen/>
        <w:t>to</w:t>
      </w:r>
      <w:r>
        <w:noBreakHyphen/>
        <w:t>day charge of the education and care service under section 162 of the Law.</w:t>
      </w:r>
    </w:p>
    <w:p>
      <w:pPr>
        <w:pStyle w:val="Subsection"/>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spacing w:before="120"/>
      </w:pPr>
      <w:r>
        <w:tab/>
        <w:t>(5)</w:t>
      </w:r>
      <w:r>
        <w:tab/>
        <w:t>An approved provider of a family day care service is not required to keep a document set out in subregulation (1) if an equivalent record is kept by a family day care educator under regulation 178.</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PermNoteText"/>
      </w:pPr>
      <w:r>
        <w:lastRenderedPageBreak/>
        <w:tab/>
        <w:t>3.</w:t>
      </w:r>
      <w:r>
        <w:tab/>
        <w:t>See section 269(1) of the Law which requires the approved provider to keep a register of each family day care educator, each family day care co</w:t>
      </w:r>
      <w:r>
        <w:noBreakHyphen/>
        <w:t>ordinator and each family day care educator assistant engaged, employed or registered to provide education and care to a child.</w:t>
      </w:r>
    </w:p>
    <w:p>
      <w:pPr>
        <w:pStyle w:val="Footnotesection"/>
      </w:pPr>
      <w:r>
        <w:tab/>
        <w:t>[Regulation 177 amended: Gazette 5 Mar 2013 p. 1108; 13 Dec 2013 p.</w:t>
      </w:r>
      <w:r>
        <w:rPr>
          <w:sz w:val="19"/>
        </w:rPr>
        <w:t> </w:t>
      </w:r>
      <w:r>
        <w:t>6166</w:t>
      </w:r>
      <w:r>
        <w:noBreakHyphen/>
        <w:t>7; 28 Sep 2018 p. 3645.]</w:t>
      </w:r>
    </w:p>
    <w:p>
      <w:pPr>
        <w:pStyle w:val="Heading5"/>
      </w:pPr>
      <w:bookmarkStart w:id="353" w:name="_Toc109833135"/>
      <w:r>
        <w:rPr>
          <w:rStyle w:val="CharSectno"/>
        </w:rPr>
        <w:t>178</w:t>
      </w:r>
      <w:r>
        <w:t>.</w:t>
      </w:r>
      <w:r>
        <w:tab/>
        <w:t>Prescribed enrolment and other documents to be kept by family day care educator</w:t>
      </w:r>
      <w:bookmarkEnd w:id="353"/>
      <w:r>
        <w:t xml:space="preserve"> </w:t>
      </w:r>
    </w:p>
    <w:p>
      <w:pPr>
        <w:pStyle w:val="Subsection"/>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pPr>
      <w:r>
        <w:tab/>
        <w:t>(2)</w:t>
      </w:r>
      <w:r>
        <w:tab/>
        <w:t>The family day care educator must take reasonable steps to ensure the documents referred to in subregulation (1) are accurate.</w:t>
      </w:r>
    </w:p>
    <w:p>
      <w:pPr>
        <w:pStyle w:val="Penstart"/>
      </w:pPr>
      <w:r>
        <w:tab/>
        <w:t>Penalty: $2000.</w:t>
      </w:r>
    </w:p>
    <w:p>
      <w:pPr>
        <w:pStyle w:val="Subsection"/>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lastRenderedPageBreak/>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354" w:name="_Toc109833136"/>
      <w:r>
        <w:rPr>
          <w:rStyle w:val="CharSectno"/>
        </w:rPr>
        <w:t>179</w:t>
      </w:r>
      <w:r>
        <w:t>.</w:t>
      </w:r>
      <w:r>
        <w:tab/>
        <w:t>Family day care educator to provide documents on leaving service</w:t>
      </w:r>
      <w:bookmarkEnd w:id="354"/>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spacing w:before="240"/>
        <w:outlineLvl w:val="0"/>
        <w:rPr>
          <w:b/>
          <w:bCs/>
        </w:rPr>
      </w:pPr>
      <w:r>
        <w:rPr>
          <w:b/>
          <w:bCs/>
        </w:rPr>
        <w:t>Subdivision 3 — Insurance information</w:t>
      </w:r>
    </w:p>
    <w:p>
      <w:pPr>
        <w:pStyle w:val="Heading5"/>
        <w:spacing w:before="200"/>
      </w:pPr>
      <w:bookmarkStart w:id="355" w:name="_Toc109833137"/>
      <w:r>
        <w:rPr>
          <w:rStyle w:val="CharSectno"/>
        </w:rPr>
        <w:t>180</w:t>
      </w:r>
      <w:r>
        <w:t>.</w:t>
      </w:r>
      <w:r>
        <w:tab/>
        <w:t>Evidence of prescribed insurance</w:t>
      </w:r>
      <w:bookmarkEnd w:id="355"/>
      <w:r>
        <w:t xml:space="preserve"> </w:t>
      </w:r>
    </w:p>
    <w:p>
      <w:pPr>
        <w:pStyle w:val="Subsection"/>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spacing w:before="240"/>
        <w:outlineLvl w:val="0"/>
        <w:rPr>
          <w:b/>
          <w:bCs/>
        </w:rPr>
      </w:pPr>
      <w:r>
        <w:rPr>
          <w:b/>
          <w:bCs/>
        </w:rPr>
        <w:t>Subdivision 4 — Confidentiality and storage of records</w:t>
      </w:r>
    </w:p>
    <w:p>
      <w:pPr>
        <w:pStyle w:val="Heading5"/>
        <w:spacing w:before="200"/>
      </w:pPr>
      <w:bookmarkStart w:id="356" w:name="_Toc109833138"/>
      <w:r>
        <w:rPr>
          <w:rStyle w:val="CharSectno"/>
        </w:rPr>
        <w:t>181</w:t>
      </w:r>
      <w:r>
        <w:t>.</w:t>
      </w:r>
      <w:r>
        <w:tab/>
        <w:t>Confidentiality of records kept by approved provider</w:t>
      </w:r>
      <w:bookmarkEnd w:id="356"/>
      <w:r>
        <w:t xml:space="preserve"> </w:t>
      </w:r>
    </w:p>
    <w:p>
      <w:pPr>
        <w:pStyle w:val="Subsection"/>
        <w:spacing w:before="140"/>
      </w:pPr>
      <w:r>
        <w:tab/>
      </w:r>
      <w:r>
        <w:tab/>
        <w:t xml:space="preserve">The approved provider of an education and care service must ensure that information kept in a record under these Regulations </w:t>
      </w:r>
      <w:r>
        <w:lastRenderedPageBreak/>
        <w:t xml:space="preserve">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pPr>
      <w:r>
        <w:tab/>
        <w:t>(e)</w:t>
      </w:r>
      <w:r>
        <w:tab/>
        <w:t>with the written consent of the person who provided the information.</w:t>
      </w:r>
    </w:p>
    <w:p>
      <w:pPr>
        <w:pStyle w:val="Penstart"/>
      </w:pPr>
      <w:r>
        <w:tab/>
        <w:t>Penalty: $2000.</w:t>
      </w:r>
    </w:p>
    <w:p>
      <w:pPr>
        <w:pStyle w:val="Heading5"/>
      </w:pPr>
      <w:bookmarkStart w:id="357" w:name="_Toc109833139"/>
      <w:r>
        <w:rPr>
          <w:rStyle w:val="CharSectno"/>
        </w:rPr>
        <w:t>182</w:t>
      </w:r>
      <w:r>
        <w:t>.</w:t>
      </w:r>
      <w:r>
        <w:tab/>
        <w:t>Confidentiality of records kept by family day care educator</w:t>
      </w:r>
      <w:bookmarkEnd w:id="357"/>
      <w:r>
        <w:t xml:space="preserve"> </w:t>
      </w:r>
    </w:p>
    <w:p>
      <w:pPr>
        <w:pStyle w:val="Subsection"/>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or</w:t>
      </w:r>
    </w:p>
    <w:p>
      <w:pPr>
        <w:pStyle w:val="Indenta"/>
      </w:pPr>
      <w:r>
        <w:tab/>
        <w:t>(c)</w:t>
      </w:r>
      <w:r>
        <w:tab/>
        <w:t>the approved provider or a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pPr>
      <w:r>
        <w:tab/>
        <w:t>(f)</w:t>
      </w:r>
      <w:r>
        <w:tab/>
        <w:t>with the written consent of the person who provided the information.</w:t>
      </w:r>
    </w:p>
    <w:p>
      <w:pPr>
        <w:pStyle w:val="Penstart"/>
      </w:pPr>
      <w:r>
        <w:tab/>
        <w:t>Penalty: $2000.</w:t>
      </w:r>
    </w:p>
    <w:p>
      <w:pPr>
        <w:pStyle w:val="Footnotesection"/>
      </w:pPr>
      <w:r>
        <w:tab/>
        <w:t>[Regulation 182 amended: Gazette 28 Sep 2018 p. 3645.]</w:t>
      </w:r>
    </w:p>
    <w:p>
      <w:pPr>
        <w:pStyle w:val="Heading5"/>
      </w:pPr>
      <w:bookmarkStart w:id="358" w:name="_Toc109833140"/>
      <w:r>
        <w:rPr>
          <w:rStyle w:val="CharSectno"/>
        </w:rPr>
        <w:lastRenderedPageBreak/>
        <w:t>183</w:t>
      </w:r>
      <w:r>
        <w:t>.</w:t>
      </w:r>
      <w:r>
        <w:tab/>
        <w:t>Storage of records and other documents</w:t>
      </w:r>
      <w:bookmarkEnd w:id="358"/>
      <w:r>
        <w:t xml:space="preserve"> </w:t>
      </w:r>
    </w:p>
    <w:p>
      <w:pPr>
        <w:pStyle w:val="Subsection"/>
        <w:keepNext/>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a nominated supervisor or staff member of an education and care service, until the end of 3 years after the last date on which the nominated supervisor or staff member provided education and care on behalf of the service;</w:t>
      </w:r>
    </w:p>
    <w:p>
      <w:pPr>
        <w:pStyle w:val="Indenta"/>
      </w:pPr>
      <w:r>
        <w:lastRenderedPageBreak/>
        <w:tab/>
        <w:t>(g)</w:t>
      </w:r>
      <w:r>
        <w:tab/>
        <w:t>in case of any other record, until the end of 3 years after the date on which the record was made.</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183 amended: Gazette 28 Sep 2018 p. 3646.]</w:t>
      </w:r>
    </w:p>
    <w:p>
      <w:pPr>
        <w:pStyle w:val="Heading5"/>
      </w:pPr>
      <w:bookmarkStart w:id="359" w:name="_Toc109833141"/>
      <w:r>
        <w:rPr>
          <w:rStyle w:val="CharSectno"/>
        </w:rPr>
        <w:t>184</w:t>
      </w:r>
      <w:r>
        <w:t>.</w:t>
      </w:r>
      <w:r>
        <w:tab/>
        <w:t>Storage of records after service approval transferred</w:t>
      </w:r>
      <w:bookmarkEnd w:id="359"/>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spacing w:before="240"/>
        <w:outlineLvl w:val="0"/>
        <w:rPr>
          <w:b/>
          <w:bCs/>
        </w:rPr>
      </w:pPr>
      <w:r>
        <w:rPr>
          <w:b/>
          <w:bCs/>
        </w:rPr>
        <w:t>Subdivision 5 — Law and regulations to be available</w:t>
      </w:r>
    </w:p>
    <w:p>
      <w:pPr>
        <w:pStyle w:val="Heading5"/>
      </w:pPr>
      <w:bookmarkStart w:id="360" w:name="_Toc109833142"/>
      <w:r>
        <w:rPr>
          <w:rStyle w:val="CharSectno"/>
        </w:rPr>
        <w:t>185</w:t>
      </w:r>
      <w:r>
        <w:t>.</w:t>
      </w:r>
      <w:r>
        <w:tab/>
        <w:t>Law and regulations to be available</w:t>
      </w:r>
      <w:bookmarkEnd w:id="360"/>
      <w:r>
        <w:t xml:space="preserve"> </w:t>
      </w:r>
    </w:p>
    <w:p>
      <w:pPr>
        <w:pStyle w:val="Subsection"/>
      </w:pPr>
      <w:r>
        <w:tab/>
      </w:r>
      <w:r>
        <w:tab/>
        <w:t>The approved provider of an education and care service must ensure that a copy of the Law and these Regulations is accessible at the education and care service premises at all times for use by nominated supervisors, staff members, volunteers, 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185 of the national regulations made by the Ministerial Council.</w:t>
      </w:r>
    </w:p>
    <w:p>
      <w:pPr>
        <w:pStyle w:val="Footnotesection"/>
      </w:pPr>
      <w:r>
        <w:tab/>
        <w:t>[Regulation 185 amended: Gazette 28 Nov 2014 p. 4408; 28 Sep 2018 p. 3646.]</w:t>
      </w:r>
    </w:p>
    <w:p>
      <w:pPr>
        <w:pStyle w:val="Heading2"/>
      </w:pPr>
      <w:bookmarkStart w:id="361" w:name="_Toc109740719"/>
      <w:bookmarkStart w:id="362" w:name="_Toc109741548"/>
      <w:bookmarkStart w:id="363" w:name="_Toc109833143"/>
      <w:r>
        <w:rPr>
          <w:rStyle w:val="CharPartNo"/>
          <w:szCs w:val="34"/>
        </w:rPr>
        <w:lastRenderedPageBreak/>
        <w:t>Chapter 5</w:t>
      </w:r>
      <w:r>
        <w:t> — </w:t>
      </w:r>
      <w:r>
        <w:rPr>
          <w:rStyle w:val="CharPartText"/>
        </w:rPr>
        <w:t>Review, enforcement and compliance</w:t>
      </w:r>
      <w:bookmarkEnd w:id="361"/>
      <w:bookmarkEnd w:id="362"/>
      <w:bookmarkEnd w:id="363"/>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364" w:name="_Toc109740720"/>
      <w:bookmarkStart w:id="365" w:name="_Toc109741549"/>
      <w:bookmarkStart w:id="366" w:name="_Toc109833144"/>
      <w:r>
        <w:rPr>
          <w:rStyle w:val="CharDivNo"/>
        </w:rPr>
        <w:t>Part 5.1</w:t>
      </w:r>
      <w:r>
        <w:t> — </w:t>
      </w:r>
      <w:r>
        <w:rPr>
          <w:rStyle w:val="CharDivText"/>
        </w:rPr>
        <w:t>Internal review</w:t>
      </w:r>
      <w:bookmarkEnd w:id="364"/>
      <w:bookmarkEnd w:id="365"/>
      <w:bookmarkEnd w:id="366"/>
    </w:p>
    <w:p>
      <w:pPr>
        <w:pStyle w:val="Heading5"/>
      </w:pPr>
      <w:bookmarkStart w:id="367" w:name="_Toc109833145"/>
      <w:r>
        <w:rPr>
          <w:rStyle w:val="CharSectno"/>
        </w:rPr>
        <w:t>186</w:t>
      </w:r>
      <w:r>
        <w:t>.</w:t>
      </w:r>
      <w:r>
        <w:tab/>
        <w:t>Application for internal review of reviewable decision</w:t>
      </w:r>
      <w:bookmarkEnd w:id="367"/>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or service approval number to which the reviewable decision relates;</w:t>
      </w:r>
    </w:p>
    <w:p>
      <w:pPr>
        <w:pStyle w:val="Indenta"/>
      </w:pPr>
      <w:r>
        <w:tab/>
        <w:t>(d)</w:t>
      </w:r>
      <w:r>
        <w:tab/>
        <w:t>the full name of the person to whom the provider approval or service approval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Footnotesection"/>
      </w:pPr>
      <w:r>
        <w:tab/>
        <w:t>[Regulation 186 amended: Gazette 28 Sep 2018 p. 3646.]</w:t>
      </w:r>
    </w:p>
    <w:p>
      <w:pPr>
        <w:pStyle w:val="Heading3"/>
      </w:pPr>
      <w:bookmarkStart w:id="368" w:name="_Toc109740722"/>
      <w:bookmarkStart w:id="369" w:name="_Toc109741551"/>
      <w:bookmarkStart w:id="370" w:name="_Toc109833146"/>
      <w:r>
        <w:rPr>
          <w:rStyle w:val="CharDivNo"/>
        </w:rPr>
        <w:lastRenderedPageBreak/>
        <w:t>Part 5.2</w:t>
      </w:r>
      <w:r>
        <w:t> — </w:t>
      </w:r>
      <w:r>
        <w:rPr>
          <w:rStyle w:val="CharDivText"/>
        </w:rPr>
        <w:t>Enforcement and compliance</w:t>
      </w:r>
      <w:bookmarkEnd w:id="368"/>
      <w:bookmarkEnd w:id="369"/>
      <w:bookmarkEnd w:id="370"/>
    </w:p>
    <w:p>
      <w:pPr>
        <w:pStyle w:val="Heading5"/>
      </w:pPr>
      <w:bookmarkStart w:id="371" w:name="_Toc109833147"/>
      <w:r>
        <w:rPr>
          <w:rStyle w:val="CharSectno"/>
        </w:rPr>
        <w:t>187</w:t>
      </w:r>
      <w:r>
        <w:t>.</w:t>
      </w:r>
      <w:r>
        <w:tab/>
        <w:t>Prescribed form of identity card</w:t>
      </w:r>
      <w:bookmarkEnd w:id="371"/>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372" w:name="_Toc109833148"/>
      <w:r>
        <w:rPr>
          <w:rStyle w:val="CharSectno"/>
        </w:rPr>
        <w:t>188</w:t>
      </w:r>
      <w:r>
        <w:t>.</w:t>
      </w:r>
      <w:r>
        <w:tab/>
        <w:t>Compliance directions</w:t>
      </w:r>
      <w:bookmarkEnd w:id="372"/>
      <w:r>
        <w:t xml:space="preserve"> </w:t>
      </w:r>
    </w:p>
    <w:p>
      <w:pPr>
        <w:pStyle w:val="Subsection"/>
      </w:pPr>
      <w:r>
        <w:tab/>
      </w:r>
      <w:r>
        <w:tab/>
        <w:t>The provisions of the regulations set out in Schedule 3 are prescribed for the purposes of section 176 of the Law.</w:t>
      </w:r>
    </w:p>
    <w:p>
      <w:pPr>
        <w:pStyle w:val="Heading5"/>
      </w:pPr>
      <w:bookmarkStart w:id="373" w:name="_Toc109833149"/>
      <w:r>
        <w:rPr>
          <w:rStyle w:val="CharSectno"/>
        </w:rPr>
        <w:t>189</w:t>
      </w:r>
      <w:r>
        <w:t>.</w:t>
      </w:r>
      <w:r>
        <w:tab/>
        <w:t>Application to cancel prohibition notice</w:t>
      </w:r>
      <w:bookmarkEnd w:id="373"/>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lastRenderedPageBreak/>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374" w:name="_Toc109833150"/>
      <w:r>
        <w:rPr>
          <w:rStyle w:val="CharSectno"/>
        </w:rPr>
        <w:t>190</w:t>
      </w:r>
      <w:r>
        <w:t>.</w:t>
      </w:r>
      <w:r>
        <w:tab/>
        <w:t>Infringement offences</w:t>
      </w:r>
      <w:bookmarkEnd w:id="374"/>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Subsection"/>
      </w:pPr>
      <w:r>
        <w:tab/>
        <w:t>(2)</w:t>
      </w:r>
      <w:r>
        <w:tab/>
        <w:t xml:space="preserve">For the purposes of section 291(4)(d) of the Law as applying in Western Australia — </w:t>
      </w:r>
    </w:p>
    <w:p>
      <w:pPr>
        <w:pStyle w:val="Indenta"/>
      </w:pPr>
      <w:r>
        <w:tab/>
        <w:t>(a)</w:t>
      </w:r>
      <w:r>
        <w:tab/>
        <w:t xml:space="preserve">the persons referred to in section 291(1) of the Law who may serve an infringement notice are taken to be </w:t>
      </w:r>
      <w:r>
        <w:lastRenderedPageBreak/>
        <w:t>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Western Australia is Part 2 of the </w:t>
      </w:r>
      <w:r>
        <w:rPr>
          <w:i/>
        </w:rPr>
        <w:t>Criminal Procedure Act 2004</w:t>
      </w:r>
      <w:r>
        <w:t xml:space="preserve"> of Western Australia.</w:t>
      </w:r>
    </w:p>
    <w:p>
      <w:pPr>
        <w:pStyle w:val="Heading5"/>
      </w:pPr>
      <w:bookmarkStart w:id="375" w:name="_Toc109833151"/>
      <w:r>
        <w:rPr>
          <w:rStyle w:val="CharSectno"/>
        </w:rPr>
        <w:t>191</w:t>
      </w:r>
      <w:r>
        <w:t>.</w:t>
      </w:r>
      <w:r>
        <w:tab/>
        <w:t>False or misleading information or documents</w:t>
      </w:r>
      <w:bookmarkEnd w:id="375"/>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376" w:name="_Toc109740728"/>
      <w:bookmarkStart w:id="377" w:name="_Toc109741557"/>
      <w:bookmarkStart w:id="378" w:name="_Toc109833152"/>
      <w:r>
        <w:rPr>
          <w:rStyle w:val="CharPartNo"/>
        </w:rPr>
        <w:lastRenderedPageBreak/>
        <w:t>Chapter 6</w:t>
      </w:r>
      <w:r>
        <w:t> — </w:t>
      </w:r>
      <w:r>
        <w:rPr>
          <w:rStyle w:val="CharPartText"/>
        </w:rPr>
        <w:t>Administration</w:t>
      </w:r>
      <w:bookmarkEnd w:id="376"/>
      <w:bookmarkEnd w:id="377"/>
      <w:bookmarkEnd w:id="378"/>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New South Wales </w:t>
      </w:r>
      <w:r>
        <w:rPr>
          <w:i/>
        </w:rPr>
        <w:t>State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379" w:name="_Toc109740729"/>
      <w:bookmarkStart w:id="380" w:name="_Toc109741558"/>
      <w:bookmarkStart w:id="381" w:name="_Toc109833153"/>
      <w:r>
        <w:rPr>
          <w:rStyle w:val="CharDivNo"/>
        </w:rPr>
        <w:t>Part 6.1</w:t>
      </w:r>
      <w:r>
        <w:t> — </w:t>
      </w:r>
      <w:r>
        <w:rPr>
          <w:rStyle w:val="CharDivText"/>
        </w:rPr>
        <w:t>Australian Children’s Education and Care Quality Authority</w:t>
      </w:r>
      <w:bookmarkEnd w:id="379"/>
      <w:bookmarkEnd w:id="380"/>
      <w:bookmarkEnd w:id="381"/>
    </w:p>
    <w:p>
      <w:pPr>
        <w:pStyle w:val="Heading5"/>
      </w:pPr>
      <w:bookmarkStart w:id="382" w:name="_Toc109833154"/>
      <w:r>
        <w:rPr>
          <w:rStyle w:val="CharSectno"/>
        </w:rPr>
        <w:t>192</w:t>
      </w:r>
      <w:r>
        <w:t>.</w:t>
      </w:r>
      <w:r>
        <w:tab/>
        <w:t>Co</w:t>
      </w:r>
      <w:r>
        <w:noBreakHyphen/>
        <w:t>operation with prescribed classes of body</w:t>
      </w:r>
      <w:bookmarkEnd w:id="382"/>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lastRenderedPageBreak/>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383" w:name="_Toc109833155"/>
      <w:r>
        <w:rPr>
          <w:rStyle w:val="CharSectno"/>
        </w:rPr>
        <w:t>193</w:t>
      </w:r>
      <w:r>
        <w:t>.</w:t>
      </w:r>
      <w:r>
        <w:tab/>
        <w:t>Allocating, transferring or reimbursing money to a participating jurisdiction</w:t>
      </w:r>
      <w:bookmarkEnd w:id="383"/>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384" w:name="_Toc109833156"/>
      <w:r>
        <w:rPr>
          <w:rStyle w:val="CharSectno"/>
        </w:rPr>
        <w:t>194</w:t>
      </w:r>
      <w:r>
        <w:t>.</w:t>
      </w:r>
      <w:r>
        <w:tab/>
        <w:t>Investment of Authority Fund</w:t>
      </w:r>
      <w:bookmarkEnd w:id="384"/>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385" w:name="_Toc109740733"/>
      <w:bookmarkStart w:id="386" w:name="_Toc109741562"/>
      <w:bookmarkStart w:id="387" w:name="_Toc109833157"/>
      <w:r>
        <w:rPr>
          <w:rStyle w:val="CharDivNo"/>
        </w:rPr>
        <w:lastRenderedPageBreak/>
        <w:t>Part 6.2</w:t>
      </w:r>
      <w:r>
        <w:t> — </w:t>
      </w:r>
      <w:r>
        <w:rPr>
          <w:rStyle w:val="CharDivText"/>
        </w:rPr>
        <w:t>Information, records and privacy — National Authority and Regulatory Authorities</w:t>
      </w:r>
      <w:bookmarkEnd w:id="385"/>
      <w:bookmarkEnd w:id="386"/>
      <w:bookmarkEnd w:id="387"/>
    </w:p>
    <w:p>
      <w:pPr>
        <w:pStyle w:val="Heading4"/>
      </w:pPr>
      <w:bookmarkStart w:id="388" w:name="_Toc109740734"/>
      <w:bookmarkStart w:id="389" w:name="_Toc109741563"/>
      <w:bookmarkStart w:id="390" w:name="_Toc109833158"/>
      <w:r>
        <w:t xml:space="preserve">Division 1 — Application of Commonwealth </w:t>
      </w:r>
      <w:r>
        <w:rPr>
          <w:i/>
        </w:rPr>
        <w:t>Privacy Act 1988</w:t>
      </w:r>
      <w:bookmarkEnd w:id="388"/>
      <w:bookmarkEnd w:id="389"/>
      <w:bookmarkEnd w:id="390"/>
    </w:p>
    <w:p>
      <w:pPr>
        <w:pStyle w:val="Heading5"/>
      </w:pPr>
      <w:bookmarkStart w:id="391" w:name="_Toc109833159"/>
      <w:r>
        <w:rPr>
          <w:rStyle w:val="CharSectno"/>
        </w:rPr>
        <w:t>195</w:t>
      </w:r>
      <w:r>
        <w:t>.</w:t>
      </w:r>
      <w:r>
        <w:tab/>
        <w:t xml:space="preserve">Application of Commonwealth </w:t>
      </w:r>
      <w:r>
        <w:rPr>
          <w:i/>
        </w:rPr>
        <w:t>Privacy Act 1988</w:t>
      </w:r>
      <w:bookmarkEnd w:id="391"/>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392" w:name="_Toc109833160"/>
      <w:r>
        <w:rPr>
          <w:rStyle w:val="CharSectno"/>
        </w:rPr>
        <w:t>196</w:t>
      </w:r>
      <w:r>
        <w:t>.</w:t>
      </w:r>
      <w:r>
        <w:tab/>
        <w:t>Modifications relating to National Education and Care Services Privacy Commissioner and staff</w:t>
      </w:r>
      <w:bookmarkEnd w:id="392"/>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lastRenderedPageBreak/>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393" w:name="_Toc109833161"/>
      <w:r>
        <w:rPr>
          <w:rStyle w:val="CharSectno"/>
        </w:rPr>
        <w:lastRenderedPageBreak/>
        <w:t>197</w:t>
      </w:r>
      <w:r>
        <w:t>.</w:t>
      </w:r>
      <w:r>
        <w:tab/>
        <w:t>Modifications about financial matters</w:t>
      </w:r>
      <w:bookmarkEnd w:id="393"/>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394" w:name="_Toc109833162"/>
      <w:r>
        <w:rPr>
          <w:rStyle w:val="CharSectno"/>
        </w:rPr>
        <w:lastRenderedPageBreak/>
        <w:t>198</w:t>
      </w:r>
      <w:r>
        <w:t>.</w:t>
      </w:r>
      <w:r>
        <w:tab/>
        <w:t>Modifications about annual report</w:t>
      </w:r>
      <w:bookmarkEnd w:id="394"/>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395" w:name="_Toc109833163"/>
      <w:r>
        <w:rPr>
          <w:rStyle w:val="CharSectno"/>
        </w:rPr>
        <w:t>199</w:t>
      </w:r>
      <w:r>
        <w:t>.</w:t>
      </w:r>
      <w:r>
        <w:tab/>
        <w:t>Modifications relating to National Authority and Regulatory Authorities</w:t>
      </w:r>
      <w:bookmarkEnd w:id="395"/>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lastRenderedPageBreak/>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396" w:name="_Toc109833164"/>
      <w:r>
        <w:rPr>
          <w:rStyle w:val="CharSectno"/>
        </w:rPr>
        <w:t>200</w:t>
      </w:r>
      <w:r>
        <w:t>.</w:t>
      </w:r>
      <w:r>
        <w:tab/>
        <w:t>Modifications relating to determinations</w:t>
      </w:r>
      <w:bookmarkEnd w:id="396"/>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397" w:name="_Toc109833165"/>
      <w:r>
        <w:rPr>
          <w:rStyle w:val="CharSectno"/>
        </w:rPr>
        <w:t>201</w:t>
      </w:r>
      <w:r>
        <w:t>.</w:t>
      </w:r>
      <w:r>
        <w:tab/>
        <w:t>Miscellaneous modifications</w:t>
      </w:r>
      <w:bookmarkEnd w:id="397"/>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 xml:space="preserve">as if a reference to the Commonwealth or the Government of the Commonwealth were a reference to a </w:t>
      </w:r>
      <w:r>
        <w:lastRenderedPageBreak/>
        <w:t>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 xml:space="preserve">as if it were modified so that the Commissioner’s power to authorise persons to enter premises occupied by an agency and inspect documents extends to a power to </w:t>
      </w:r>
      <w:r>
        <w:lastRenderedPageBreak/>
        <w:t>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398" w:name="_Toc109833166"/>
      <w:r>
        <w:rPr>
          <w:rStyle w:val="CharSectno"/>
        </w:rPr>
        <w:t>202</w:t>
      </w:r>
      <w:r>
        <w:t>.</w:t>
      </w:r>
      <w:r>
        <w:tab/>
        <w:t>Relevant administrative tribunal</w:t>
      </w:r>
      <w:bookmarkEnd w:id="398"/>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lastRenderedPageBreak/>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399" w:name="_Toc109833167"/>
      <w:r>
        <w:rPr>
          <w:rStyle w:val="CharSectno"/>
        </w:rPr>
        <w:t>203</w:t>
      </w:r>
      <w:r>
        <w:t>.</w:t>
      </w:r>
      <w:r>
        <w:tab/>
        <w:t>Regulations</w:t>
      </w:r>
      <w:bookmarkEnd w:id="399"/>
      <w:r>
        <w:t xml:space="preserve"> </w:t>
      </w:r>
    </w:p>
    <w:p>
      <w:pPr>
        <w:pStyle w:val="Subsection"/>
      </w:pPr>
      <w:r>
        <w:tab/>
      </w:r>
      <w:r>
        <w:tab/>
        <w:t>The regulations made under the Privacy Act do not apply.</w:t>
      </w:r>
    </w:p>
    <w:p>
      <w:pPr>
        <w:pStyle w:val="Heading4"/>
      </w:pPr>
      <w:bookmarkStart w:id="400" w:name="_Toc109740744"/>
      <w:bookmarkStart w:id="401" w:name="_Toc109741573"/>
      <w:bookmarkStart w:id="402" w:name="_Toc109833168"/>
      <w:r>
        <w:t xml:space="preserve">Division 2 — Application of Commonwealth </w:t>
      </w:r>
      <w:r>
        <w:rPr>
          <w:i/>
        </w:rPr>
        <w:t>Freedom of Information Act 1982</w:t>
      </w:r>
      <w:bookmarkEnd w:id="400"/>
      <w:bookmarkEnd w:id="401"/>
      <w:bookmarkEnd w:id="402"/>
    </w:p>
    <w:p>
      <w:pPr>
        <w:pStyle w:val="Heading5"/>
      </w:pPr>
      <w:bookmarkStart w:id="403" w:name="_Toc109833169"/>
      <w:r>
        <w:rPr>
          <w:rStyle w:val="CharSectno"/>
        </w:rPr>
        <w:t>204</w:t>
      </w:r>
      <w:r>
        <w:t>.</w:t>
      </w:r>
      <w:r>
        <w:tab/>
        <w:t>Application of Commonwealth</w:t>
      </w:r>
      <w:r>
        <w:rPr>
          <w:i/>
        </w:rPr>
        <w:t xml:space="preserve"> Freedom of Information Act 1982</w:t>
      </w:r>
      <w:bookmarkEnd w:id="403"/>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404" w:name="_Toc109833170"/>
      <w:r>
        <w:rPr>
          <w:rStyle w:val="CharSectno"/>
        </w:rPr>
        <w:t>205</w:t>
      </w:r>
      <w:r>
        <w:t>.</w:t>
      </w:r>
      <w:r>
        <w:tab/>
        <w:t>Modifications relating to National Education and Care Services Freedom of Information Commissioner and staff</w:t>
      </w:r>
      <w:bookmarkEnd w:id="404"/>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lastRenderedPageBreak/>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lastRenderedPageBreak/>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405" w:name="_Toc109833171"/>
      <w:r>
        <w:rPr>
          <w:rStyle w:val="CharSectno"/>
        </w:rPr>
        <w:lastRenderedPageBreak/>
        <w:t>206</w:t>
      </w:r>
      <w:r>
        <w:t>.</w:t>
      </w:r>
      <w:r>
        <w:tab/>
        <w:t>Modifications about financial matters</w:t>
      </w:r>
      <w:bookmarkEnd w:id="405"/>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406" w:name="_Toc109833172"/>
      <w:r>
        <w:rPr>
          <w:rStyle w:val="CharSectno"/>
        </w:rPr>
        <w:lastRenderedPageBreak/>
        <w:t>207</w:t>
      </w:r>
      <w:r>
        <w:t>.</w:t>
      </w:r>
      <w:r>
        <w:tab/>
        <w:t>Modifications about annual report</w:t>
      </w:r>
      <w:bookmarkEnd w:id="406"/>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407" w:name="_Toc109833173"/>
      <w:r>
        <w:rPr>
          <w:rStyle w:val="CharSectno"/>
        </w:rPr>
        <w:t>208</w:t>
      </w:r>
      <w:r>
        <w:t>.</w:t>
      </w:r>
      <w:r>
        <w:tab/>
        <w:t>Modifications relating to National Authority and Regulatory Authorities</w:t>
      </w:r>
      <w:bookmarkEnd w:id="407"/>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lastRenderedPageBreak/>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p>
    <w:p>
      <w:pPr>
        <w:pStyle w:val="Ednotepara"/>
      </w:pPr>
      <w:r>
        <w:tab/>
        <w:t>[(e), (f)</w:t>
      </w:r>
      <w:r>
        <w:tab/>
        <w:t>deleted]</w:t>
      </w:r>
    </w:p>
    <w:p>
      <w:pPr>
        <w:pStyle w:val="Footnotesection"/>
      </w:pPr>
      <w:r>
        <w:tab/>
        <w:t>[Regulation 208 amended: Gazette 13 Dec 2013 p.</w:t>
      </w:r>
      <w:r>
        <w:rPr>
          <w:sz w:val="19"/>
        </w:rPr>
        <w:t> </w:t>
      </w:r>
      <w:r>
        <w:t>6167; 3 Nov 2017 p. 5484.]</w:t>
      </w:r>
    </w:p>
    <w:p>
      <w:pPr>
        <w:pStyle w:val="Heading5"/>
      </w:pPr>
      <w:bookmarkStart w:id="408" w:name="_Toc109833174"/>
      <w:r>
        <w:rPr>
          <w:rStyle w:val="CharSectno"/>
        </w:rPr>
        <w:t>209</w:t>
      </w:r>
      <w:r>
        <w:t>.</w:t>
      </w:r>
      <w:r>
        <w:tab/>
        <w:t>Miscellaneous modifications</w:t>
      </w:r>
      <w:bookmarkEnd w:id="408"/>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lastRenderedPageBreak/>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General of Intelligence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lastRenderedPageBreak/>
        <w:tab/>
        <w:t>(k)</w:t>
      </w:r>
      <w:r>
        <w:tab/>
        <w:t>with any other modifications that are necessary for the effective administration of the FOI Act for the purposes of the National Quality Framework.</w:t>
      </w:r>
    </w:p>
    <w:p>
      <w:pPr>
        <w:pStyle w:val="Heading5"/>
      </w:pPr>
      <w:bookmarkStart w:id="409" w:name="_Toc109833175"/>
      <w:r>
        <w:rPr>
          <w:rStyle w:val="CharSectno"/>
        </w:rPr>
        <w:t>210</w:t>
      </w:r>
      <w:r>
        <w:t>.</w:t>
      </w:r>
      <w:r>
        <w:tab/>
        <w:t>Relevant administrative tribunal</w:t>
      </w:r>
      <w:bookmarkEnd w:id="409"/>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410" w:name="_Toc109833176"/>
      <w:r>
        <w:rPr>
          <w:rStyle w:val="CharSectno"/>
        </w:rPr>
        <w:t>211</w:t>
      </w:r>
      <w:r>
        <w:t>.</w:t>
      </w:r>
      <w:r>
        <w:tab/>
        <w:t>Regulations</w:t>
      </w:r>
      <w:bookmarkEnd w:id="410"/>
      <w:r>
        <w:t xml:space="preserve"> </w:t>
      </w:r>
    </w:p>
    <w:p>
      <w:pPr>
        <w:pStyle w:val="Subsection"/>
      </w:pPr>
      <w:r>
        <w:tab/>
      </w:r>
      <w:r>
        <w:tab/>
        <w:t>The regulations made under the FOI Act, other than the provisions providing for fees and charges, do not apply.</w:t>
      </w:r>
    </w:p>
    <w:p>
      <w:pPr>
        <w:pStyle w:val="Heading4"/>
        <w:rPr>
          <w:i/>
        </w:rPr>
      </w:pPr>
      <w:bookmarkStart w:id="411" w:name="_Toc109740753"/>
      <w:bookmarkStart w:id="412" w:name="_Toc109741582"/>
      <w:bookmarkStart w:id="413" w:name="_Toc109833177"/>
      <w:r>
        <w:lastRenderedPageBreak/>
        <w:t xml:space="preserve">Division 3 — Application of New South Wales </w:t>
      </w:r>
      <w:r>
        <w:rPr>
          <w:i/>
        </w:rPr>
        <w:t>State Records Act 1998</w:t>
      </w:r>
      <w:bookmarkEnd w:id="411"/>
      <w:bookmarkEnd w:id="412"/>
      <w:bookmarkEnd w:id="413"/>
    </w:p>
    <w:p>
      <w:pPr>
        <w:pStyle w:val="Heading5"/>
      </w:pPr>
      <w:bookmarkStart w:id="414" w:name="_Toc109833178"/>
      <w:r>
        <w:rPr>
          <w:rStyle w:val="CharSectno"/>
        </w:rPr>
        <w:t>212</w:t>
      </w:r>
      <w:r>
        <w:t>.</w:t>
      </w:r>
      <w:r>
        <w:tab/>
        <w:t>Application of State Records Act</w:t>
      </w:r>
      <w:bookmarkEnd w:id="414"/>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415" w:name="_Toc109833179"/>
      <w:r>
        <w:rPr>
          <w:rStyle w:val="CharSectno"/>
        </w:rPr>
        <w:t>213</w:t>
      </w:r>
      <w:r>
        <w:t>.</w:t>
      </w:r>
      <w:r>
        <w:tab/>
        <w:t>Modifications relating to State Records Authority and its Board and Director</w:t>
      </w:r>
      <w:bookmarkEnd w:id="415"/>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416" w:name="_Toc109833180"/>
      <w:r>
        <w:rPr>
          <w:rStyle w:val="CharSectno"/>
        </w:rPr>
        <w:t>214</w:t>
      </w:r>
      <w:r>
        <w:t>.</w:t>
      </w:r>
      <w:r>
        <w:tab/>
        <w:t>Modifications relating to National Authority</w:t>
      </w:r>
      <w:bookmarkEnd w:id="416"/>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417" w:name="_Toc109833181"/>
      <w:r>
        <w:rPr>
          <w:rStyle w:val="CharSectno"/>
        </w:rPr>
        <w:lastRenderedPageBreak/>
        <w:t>215</w:t>
      </w:r>
      <w:r>
        <w:t>.</w:t>
      </w:r>
      <w:r>
        <w:tab/>
        <w:t>Modifications relating to Ministerial Council</w:t>
      </w:r>
      <w:bookmarkEnd w:id="417"/>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418" w:name="_Toc109833182"/>
      <w:r>
        <w:rPr>
          <w:rStyle w:val="CharSectno"/>
        </w:rPr>
        <w:t>216</w:t>
      </w:r>
      <w:r>
        <w:t>.</w:t>
      </w:r>
      <w:r>
        <w:tab/>
        <w:t>Miscellaneous modifications</w:t>
      </w:r>
      <w:bookmarkEnd w:id="418"/>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lastRenderedPageBreak/>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as if a reference in section 19 to the State were a reference to New South Wales;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Queensland;</w:t>
      </w:r>
    </w:p>
    <w:p>
      <w:pPr>
        <w:pStyle w:val="Indenti"/>
      </w:pPr>
      <w:r>
        <w:tab/>
        <w:t>(ii)</w:t>
      </w:r>
      <w:r>
        <w:tab/>
        <w:t>the Anti</w:t>
      </w:r>
      <w:r>
        <w:noBreakHyphen/>
        <w:t>Corruption Branch of the South Australia Police;</w:t>
      </w:r>
    </w:p>
    <w:p>
      <w:pPr>
        <w:pStyle w:val="Indenti"/>
      </w:pPr>
      <w:r>
        <w:tab/>
        <w:t>(iii)</w:t>
      </w:r>
      <w:r>
        <w:tab/>
        <w:t xml:space="preserve">the Integrity Commission of Tasmania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Western Australia;</w:t>
      </w:r>
    </w:p>
    <w:p>
      <w:pPr>
        <w:pStyle w:val="Indenti"/>
      </w:pPr>
      <w:r>
        <w:lastRenderedPageBreak/>
        <w:tab/>
        <w:t>(va)</w:t>
      </w:r>
      <w:r>
        <w:tab/>
        <w:t xml:space="preserve">the Public Sector Commissioner, where information is divulged or any document or other thing is produced to the Public Sector Commissioner for the purposes of the Public Sector Commissioner’s functions under the </w:t>
      </w:r>
      <w:r>
        <w:rPr>
          <w:i/>
        </w:rPr>
        <w:t>Corruption, Crime and Misconduct Act 2003</w:t>
      </w:r>
      <w:r>
        <w:t xml:space="preserve"> of Western Australia;</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Gazette 26 Jun 2015 p. 2272; 28 Sep 2018 p. 3646</w:t>
      </w:r>
      <w:r>
        <w:noBreakHyphen/>
        <w:t>7.]</w:t>
      </w:r>
    </w:p>
    <w:p>
      <w:pPr>
        <w:pStyle w:val="Heading5"/>
      </w:pPr>
      <w:bookmarkStart w:id="419" w:name="_Toc109833183"/>
      <w:r>
        <w:rPr>
          <w:rStyle w:val="CharSectno"/>
        </w:rPr>
        <w:lastRenderedPageBreak/>
        <w:t>217</w:t>
      </w:r>
      <w:r>
        <w:t>.</w:t>
      </w:r>
      <w:r>
        <w:tab/>
        <w:t>Regulations</w:t>
      </w:r>
      <w:bookmarkEnd w:id="419"/>
      <w:r>
        <w:t xml:space="preserve"> </w:t>
      </w:r>
    </w:p>
    <w:p>
      <w:pPr>
        <w:pStyle w:val="Subsection"/>
      </w:pPr>
      <w:r>
        <w:tab/>
      </w:r>
      <w:r>
        <w:tab/>
        <w:t>The regulations made under the State Records Act do not apply.</w:t>
      </w:r>
    </w:p>
    <w:p>
      <w:pPr>
        <w:pStyle w:val="Heading4"/>
      </w:pPr>
      <w:bookmarkStart w:id="420" w:name="_Toc109740760"/>
      <w:bookmarkStart w:id="421" w:name="_Toc109741589"/>
      <w:bookmarkStart w:id="422" w:name="_Toc109833184"/>
      <w:r>
        <w:t xml:space="preserve">Division 4 — Application of Commonwealth </w:t>
      </w:r>
      <w:r>
        <w:rPr>
          <w:i/>
        </w:rPr>
        <w:t>Ombudsman Act 1976</w:t>
      </w:r>
      <w:bookmarkEnd w:id="420"/>
      <w:bookmarkEnd w:id="421"/>
      <w:bookmarkEnd w:id="422"/>
    </w:p>
    <w:p>
      <w:pPr>
        <w:pStyle w:val="Heading5"/>
      </w:pPr>
      <w:bookmarkStart w:id="423" w:name="_Toc109833185"/>
      <w:r>
        <w:rPr>
          <w:rStyle w:val="CharSectno"/>
        </w:rPr>
        <w:t>218</w:t>
      </w:r>
      <w:r>
        <w:t>.</w:t>
      </w:r>
      <w:r>
        <w:tab/>
        <w:t>Application of Commonwealth Ombudsman Act</w:t>
      </w:r>
      <w:bookmarkEnd w:id="423"/>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424" w:name="_Toc109833186"/>
      <w:r>
        <w:rPr>
          <w:rStyle w:val="CharSectno"/>
        </w:rPr>
        <w:t>219</w:t>
      </w:r>
      <w:r>
        <w:t>.</w:t>
      </w:r>
      <w:r>
        <w:tab/>
        <w:t>Modifications relating to Education and Care Services Ombudsman and staff</w:t>
      </w:r>
      <w:bookmarkEnd w:id="424"/>
      <w:r>
        <w:t xml:space="preserve"> </w:t>
      </w:r>
    </w:p>
    <w:p>
      <w:pPr>
        <w:pStyle w:val="Subsection"/>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lastRenderedPageBreak/>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Footnotesection"/>
      </w:pPr>
      <w:r>
        <w:tab/>
        <w:t>[Regulation 219 amended: Gazette 3 Nov 2017 p. 5484.]</w:t>
      </w:r>
    </w:p>
    <w:p>
      <w:pPr>
        <w:pStyle w:val="Heading5"/>
      </w:pPr>
      <w:bookmarkStart w:id="425" w:name="_Toc109833187"/>
      <w:r>
        <w:rPr>
          <w:rStyle w:val="CharSectno"/>
        </w:rPr>
        <w:t>220</w:t>
      </w:r>
      <w:r>
        <w:t>.</w:t>
      </w:r>
      <w:r>
        <w:tab/>
        <w:t>Modifications about financial matters</w:t>
      </w:r>
      <w:bookmarkEnd w:id="425"/>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keepNext/>
        <w:spacing w:before="70"/>
      </w:pPr>
      <w:r>
        <w:lastRenderedPageBreak/>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426" w:name="_Toc109833188"/>
      <w:r>
        <w:rPr>
          <w:rStyle w:val="CharSectno"/>
        </w:rPr>
        <w:t>221</w:t>
      </w:r>
      <w:r>
        <w:t>.</w:t>
      </w:r>
      <w:r>
        <w:tab/>
        <w:t>Modifications about annual report</w:t>
      </w:r>
      <w:bookmarkEnd w:id="426"/>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 xml:space="preserve">the Education and Care Services Ombudsman is required to include in the annual report a report about the performance of the Ombudsman’s functions under </w:t>
      </w:r>
      <w:r>
        <w:lastRenderedPageBreak/>
        <w:t>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427" w:name="_Toc109833189"/>
      <w:r>
        <w:rPr>
          <w:rStyle w:val="CharSectno"/>
        </w:rPr>
        <w:t>222</w:t>
      </w:r>
      <w:r>
        <w:t>.</w:t>
      </w:r>
      <w:r>
        <w:tab/>
        <w:t>Modifications relating to National Authority and Regulatory Authorities</w:t>
      </w:r>
      <w:bookmarkEnd w:id="427"/>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428" w:name="_Toc109833190"/>
      <w:r>
        <w:rPr>
          <w:rStyle w:val="CharSectno"/>
        </w:rPr>
        <w:t>223</w:t>
      </w:r>
      <w:r>
        <w:t>.</w:t>
      </w:r>
      <w:r>
        <w:tab/>
        <w:t>Miscellaneous modifications</w:t>
      </w:r>
      <w:bookmarkEnd w:id="428"/>
      <w:r>
        <w:t xml:space="preserve"> </w:t>
      </w:r>
    </w:p>
    <w:p>
      <w:pPr>
        <w:pStyle w:val="Subsection"/>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lastRenderedPageBreak/>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spacing w:before="56"/>
      </w:pPr>
      <w:r>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spacing w:before="56"/>
      </w:pPr>
      <w:r>
        <w:lastRenderedPageBreak/>
        <w:tab/>
        <w:t>(ii)</w:t>
      </w:r>
      <w:r>
        <w:tab/>
        <w:t>does not prevent a member of the Ministerial Council making a record of, or divulging or communicating to another member of the 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429" w:name="_Toc109833191"/>
      <w:r>
        <w:rPr>
          <w:rStyle w:val="CharSectno"/>
        </w:rPr>
        <w:t>224</w:t>
      </w:r>
      <w:r>
        <w:t>.</w:t>
      </w:r>
      <w:r>
        <w:tab/>
        <w:t>Relevant administrative tribunal</w:t>
      </w:r>
      <w:bookmarkEnd w:id="429"/>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spacing w:before="60"/>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Western Australia;</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430" w:name="_Toc109833192"/>
      <w:r>
        <w:rPr>
          <w:rStyle w:val="CharSectno"/>
        </w:rPr>
        <w:lastRenderedPageBreak/>
        <w:t>225</w:t>
      </w:r>
      <w:r>
        <w:t>.</w:t>
      </w:r>
      <w:r>
        <w:tab/>
        <w:t>Regulations</w:t>
      </w:r>
      <w:bookmarkEnd w:id="430"/>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431" w:name="_Toc109740769"/>
      <w:bookmarkStart w:id="432" w:name="_Toc109741598"/>
      <w:bookmarkStart w:id="433" w:name="_Toc109833193"/>
      <w:r>
        <w:t>Division 5 — Publication of information</w:t>
      </w:r>
      <w:bookmarkEnd w:id="431"/>
      <w:bookmarkEnd w:id="432"/>
      <w:bookmarkEnd w:id="433"/>
    </w:p>
    <w:p>
      <w:pPr>
        <w:pStyle w:val="Heading5"/>
      </w:pPr>
      <w:bookmarkStart w:id="434" w:name="_Toc109833194"/>
      <w:r>
        <w:rPr>
          <w:rStyle w:val="CharSectno"/>
        </w:rPr>
        <w:t>226</w:t>
      </w:r>
      <w:r>
        <w:t>.</w:t>
      </w:r>
      <w:r>
        <w:tab/>
        <w:t>Publication of information</w:t>
      </w:r>
      <w:bookmarkEnd w:id="434"/>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435" w:name="_Toc109833195"/>
      <w:r>
        <w:rPr>
          <w:rStyle w:val="CharSectno"/>
        </w:rPr>
        <w:t>227</w:t>
      </w:r>
      <w:r>
        <w:t>.</w:t>
      </w:r>
      <w:r>
        <w:tab/>
        <w:t>Compliance and enforcement information</w:t>
      </w:r>
      <w:bookmarkEnd w:id="435"/>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or service approval;</w:t>
      </w:r>
    </w:p>
    <w:p>
      <w:pPr>
        <w:pStyle w:val="Indenta"/>
      </w:pPr>
      <w:r>
        <w:lastRenderedPageBreak/>
        <w:tab/>
        <w:t>(e)</w:t>
      </w:r>
      <w:r>
        <w:tab/>
        <w:t>an amendment made to a provider approval or service approval for purposes of enforcement;</w:t>
      </w:r>
    </w:p>
    <w:p>
      <w:pPr>
        <w:pStyle w:val="Indenta"/>
      </w:pPr>
      <w:r>
        <w:tab/>
        <w:t>(f)</w:t>
      </w:r>
      <w:r>
        <w:tab/>
        <w:t>the giving of an emergency action notice under section 179 of the Law.</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pPr>
      <w:r>
        <w:tab/>
        <w:t>(ab)</w:t>
      </w:r>
      <w:r>
        <w:tab/>
        <w:t>where enforcement action has been taken against the approved provider and if the Regulatory Authority is satisfied that it is in the public interest to do so, information which identifies a person with management or control of an education and care service;</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pPr>
      <w:r>
        <w:tab/>
        <w:t>(AB)</w:t>
      </w:r>
      <w:r>
        <w:tab/>
        <w:t>the service approval number;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pPr>
      <w:r>
        <w:tab/>
        <w:t>(iv)</w:t>
      </w:r>
      <w:r>
        <w:tab/>
        <w:t>for an individual, the name of the individual;</w:t>
      </w:r>
    </w:p>
    <w:p>
      <w:pPr>
        <w:pStyle w:val="Indenta"/>
        <w:spacing w:before="52"/>
      </w:pPr>
      <w:r>
        <w:lastRenderedPageBreak/>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lastRenderedPageBreak/>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for the amendment of a provider approval or service approval —</w:t>
      </w:r>
    </w:p>
    <w:p>
      <w:pPr>
        <w:pStyle w:val="IndentI0"/>
      </w:pPr>
      <w:r>
        <w:tab/>
        <w:t>(A)</w:t>
      </w:r>
      <w:r>
        <w:tab/>
        <w:t>the details of the amendment; and</w:t>
      </w:r>
    </w:p>
    <w:p>
      <w:pPr>
        <w:pStyle w:val="IndentI0"/>
      </w:pPr>
      <w:r>
        <w:tab/>
        <w:t>(B)</w:t>
      </w:r>
      <w:r>
        <w:tab/>
        <w:t>the date on which the amendment took effect;</w:t>
      </w:r>
    </w:p>
    <w:p>
      <w:pPr>
        <w:pStyle w:val="Indenti"/>
      </w:pPr>
      <w:r>
        <w:tab/>
        <w:t>(v)</w:t>
      </w:r>
      <w:r>
        <w:tab/>
        <w:t>for a suspension of a provider approval or service approval —</w:t>
      </w:r>
    </w:p>
    <w:p>
      <w:pPr>
        <w:pStyle w:val="IndentI0"/>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or service approval,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lastRenderedPageBreak/>
        <w:tab/>
        <w:t>(4)</w:t>
      </w:r>
      <w:r>
        <w:tab/>
        <w:t>In this regulation, a reference to information does not include information that could identify or lead to the identification of a child.</w:t>
      </w:r>
    </w:p>
    <w:p>
      <w:pPr>
        <w:pStyle w:val="PermNoteHeading"/>
      </w:pPr>
      <w:r>
        <w:tab/>
        <w:t>Note for this regulation:</w:t>
      </w:r>
    </w:p>
    <w:p>
      <w:pPr>
        <w:pStyle w:val="PermNoteText"/>
      </w:pPr>
      <w:r>
        <w:tab/>
        <w:t>1.</w:t>
      </w:r>
      <w:r>
        <w:tab/>
        <w:t>This regulation differs from regulation 227 of the national regulations made by the Ministerial Council.</w:t>
      </w:r>
    </w:p>
    <w:p>
      <w:pPr>
        <w:pStyle w:val="PermNoteText"/>
        <w:keepNext/>
      </w:pPr>
      <w:r>
        <w:tab/>
        <w:t>2.</w:t>
      </w:r>
      <w:r>
        <w:tab/>
        <w:t>Section 270(6) of the Law further restricts the publication of identifying information.</w:t>
      </w:r>
    </w:p>
    <w:p>
      <w:pPr>
        <w:pStyle w:val="Footnotesection"/>
      </w:pPr>
      <w:r>
        <w:tab/>
        <w:t>[Regulation 227 amended: Gazette 5 Mar 2013 p. 1108</w:t>
      </w:r>
      <w:r>
        <w:noBreakHyphen/>
        <w:t>9; 13 Dec 2013 p.</w:t>
      </w:r>
      <w:r>
        <w:rPr>
          <w:sz w:val="19"/>
        </w:rPr>
        <w:t> </w:t>
      </w:r>
      <w:r>
        <w:t>6167</w:t>
      </w:r>
      <w:r>
        <w:noBreakHyphen/>
        <w:t>8; 28 Sep 2018 p. 3647</w:t>
      </w:r>
      <w:r>
        <w:noBreakHyphen/>
        <w:t>8.]</w:t>
      </w:r>
    </w:p>
    <w:p>
      <w:pPr>
        <w:pStyle w:val="Heading5"/>
      </w:pPr>
      <w:bookmarkStart w:id="436" w:name="_Toc109833196"/>
      <w:r>
        <w:rPr>
          <w:rStyle w:val="CharSectno"/>
        </w:rPr>
        <w:t>228</w:t>
      </w:r>
      <w:r>
        <w:t>.</w:t>
      </w:r>
      <w:r>
        <w:tab/>
        <w:t>Timing of publication where internal or external review of enforcement action is available</w:t>
      </w:r>
      <w:bookmarkEnd w:id="436"/>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 xml:space="preserve">If an application is made for an external review, the Regulatory Authority may publish the information on or after the day on </w:t>
      </w:r>
      <w:r>
        <w:lastRenderedPageBreak/>
        <w:t>which the decision with respect to the review is made if the enforcement action is confirmed or amended on review, or if another enforcement action is substituted on review.</w:t>
      </w:r>
    </w:p>
    <w:p>
      <w:pPr>
        <w:pStyle w:val="Heading4"/>
      </w:pPr>
      <w:bookmarkStart w:id="437" w:name="_Toc109740773"/>
      <w:bookmarkStart w:id="438" w:name="_Toc109741602"/>
      <w:bookmarkStart w:id="439" w:name="_Toc109833197"/>
      <w:r>
        <w:t>Division 6 — Registers</w:t>
      </w:r>
      <w:bookmarkEnd w:id="437"/>
      <w:bookmarkEnd w:id="438"/>
      <w:bookmarkEnd w:id="439"/>
    </w:p>
    <w:p>
      <w:pPr>
        <w:pStyle w:val="Heading5"/>
      </w:pPr>
      <w:bookmarkStart w:id="440" w:name="_Toc109833198"/>
      <w:r>
        <w:rPr>
          <w:rStyle w:val="CharSectno"/>
        </w:rPr>
        <w:t>229</w:t>
      </w:r>
      <w:r>
        <w:t>.</w:t>
      </w:r>
      <w:r>
        <w:tab/>
        <w:t>Register of approved providers</w:t>
      </w:r>
      <w:bookmarkEnd w:id="440"/>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441" w:name="_Toc109833199"/>
      <w:r>
        <w:rPr>
          <w:rStyle w:val="CharSectno"/>
        </w:rPr>
        <w:t>230</w:t>
      </w:r>
      <w:r>
        <w:t>.</w:t>
      </w:r>
      <w:r>
        <w:tab/>
        <w:t>Register of approved education and care services</w:t>
      </w:r>
      <w:bookmarkEnd w:id="441"/>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Ednotesection"/>
        <w:rPr>
          <w:rStyle w:val="CharSectno"/>
        </w:rPr>
      </w:pPr>
      <w:r>
        <w:rPr>
          <w:rStyle w:val="CharSectno"/>
        </w:rPr>
        <w:t>[</w:t>
      </w:r>
      <w:r>
        <w:rPr>
          <w:rStyle w:val="CharSectno"/>
          <w:b/>
        </w:rPr>
        <w:t>231.</w:t>
      </w:r>
      <w:r>
        <w:rPr>
          <w:rStyle w:val="CharSectno"/>
        </w:rPr>
        <w:tab/>
        <w:t>Deleted: Gazette</w:t>
      </w:r>
      <w:r>
        <w:t xml:space="preserve"> 28 Sep 2018 p. 3648.]</w:t>
      </w:r>
    </w:p>
    <w:p>
      <w:pPr>
        <w:pStyle w:val="Heading3"/>
      </w:pPr>
      <w:bookmarkStart w:id="442" w:name="_Toc109740776"/>
      <w:bookmarkStart w:id="443" w:name="_Toc109741605"/>
      <w:bookmarkStart w:id="444" w:name="_Toc109833200"/>
      <w:r>
        <w:rPr>
          <w:rStyle w:val="CharDivNo"/>
        </w:rPr>
        <w:lastRenderedPageBreak/>
        <w:t>Part 6.3</w:t>
      </w:r>
      <w:r>
        <w:t> — </w:t>
      </w:r>
      <w:r>
        <w:rPr>
          <w:rStyle w:val="CharDivText"/>
        </w:rPr>
        <w:t>Fees</w:t>
      </w:r>
      <w:bookmarkEnd w:id="442"/>
      <w:bookmarkEnd w:id="443"/>
      <w:bookmarkEnd w:id="444"/>
    </w:p>
    <w:p>
      <w:pPr>
        <w:pStyle w:val="Heading5"/>
      </w:pPr>
      <w:bookmarkStart w:id="445" w:name="_Toc109833201"/>
      <w:r>
        <w:rPr>
          <w:rStyle w:val="CharSectno"/>
        </w:rPr>
        <w:t>232</w:t>
      </w:r>
      <w:r>
        <w:t>.</w:t>
      </w:r>
      <w:r>
        <w:tab/>
        <w:t>Prescribed fees</w:t>
      </w:r>
      <w:bookmarkEnd w:id="445"/>
      <w:r>
        <w:t xml:space="preserve"> </w:t>
      </w:r>
    </w:p>
    <w:p>
      <w:pPr>
        <w:pStyle w:val="Subsection"/>
      </w:pPr>
      <w:r>
        <w:tab/>
      </w:r>
      <w:r>
        <w:tab/>
        <w:t>The prescribed fee payable under a provision of the Law is the relevant fee in Schedule 2 in relation to that provision of the Law.</w:t>
      </w:r>
    </w:p>
    <w:p>
      <w:pPr>
        <w:pStyle w:val="PermNoteHeading"/>
      </w:pPr>
      <w:r>
        <w:tab/>
        <w:t>Note for this regulation:</w:t>
      </w:r>
    </w:p>
    <w:p>
      <w:pPr>
        <w:pStyle w:val="PermNoteText"/>
      </w:pPr>
      <w:r>
        <w:tab/>
      </w:r>
      <w:r>
        <w:tab/>
        <w:t>See also regulations 138 and 139, which also provide for the payment of fees.</w:t>
      </w:r>
    </w:p>
    <w:p>
      <w:pPr>
        <w:pStyle w:val="Heading5"/>
      </w:pPr>
      <w:bookmarkStart w:id="446" w:name="_Toc109833202"/>
      <w:r>
        <w:rPr>
          <w:rStyle w:val="CharSectno"/>
        </w:rPr>
        <w:t>233</w:t>
      </w:r>
      <w:r>
        <w:t>.</w:t>
      </w:r>
      <w:r>
        <w:tab/>
        <w:t>Late payment fees (annual fees)</w:t>
      </w:r>
      <w:bookmarkEnd w:id="446"/>
      <w:r>
        <w:t xml:space="preserve"> </w:t>
      </w:r>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The late payment fee is 15% of the relevant annual fee prescribed for the purposes of regulation 33.</w:t>
      </w:r>
    </w:p>
    <w:p>
      <w:pPr>
        <w:pStyle w:val="Heading5"/>
      </w:pPr>
      <w:bookmarkStart w:id="447" w:name="_Toc109833203"/>
      <w:r>
        <w:rPr>
          <w:rStyle w:val="CharSectno"/>
        </w:rPr>
        <w:t>234</w:t>
      </w:r>
      <w:r>
        <w:t>.</w:t>
      </w:r>
      <w:r>
        <w:tab/>
        <w:t>Waiver, reduction, deferral and refund of fees</w:t>
      </w:r>
      <w:bookmarkEnd w:id="447"/>
      <w:r>
        <w:t xml:space="preserve"> </w:t>
      </w:r>
    </w:p>
    <w:p>
      <w:pPr>
        <w:pStyle w:val="Subsection"/>
      </w:pPr>
      <w:r>
        <w:tab/>
      </w:r>
      <w:r>
        <w:tab/>
        <w:t>The National Authority may waive, reduce, defer or refund any fee payable or paid to it under the Law if there are exceptional circumstances.</w:t>
      </w:r>
    </w:p>
    <w:p>
      <w:pPr>
        <w:pStyle w:val="Heading5"/>
      </w:pPr>
      <w:bookmarkStart w:id="448" w:name="_Toc109833204"/>
      <w:r>
        <w:rPr>
          <w:rStyle w:val="CharSectno"/>
        </w:rPr>
        <w:t>235</w:t>
      </w:r>
      <w:r>
        <w:t>.</w:t>
      </w:r>
      <w:r>
        <w:tab/>
        <w:t>Indexation of fees</w:t>
      </w:r>
      <w:bookmarkEnd w:id="448"/>
      <w:r>
        <w:t xml:space="preserve"> </w:t>
      </w:r>
    </w:p>
    <w:p>
      <w:pPr>
        <w:pStyle w:val="Ednotesubsection"/>
      </w:pPr>
      <w:r>
        <w:tab/>
        <w:t>[(1)</w:t>
      </w:r>
      <w:r>
        <w:tab/>
        <w:t>deleted]</w:t>
      </w:r>
    </w:p>
    <w:p>
      <w:pPr>
        <w:pStyle w:val="Subsection"/>
      </w:pPr>
      <w:r>
        <w:tab/>
        <w:t>(2)</w:t>
      </w:r>
      <w:r>
        <w:tab/>
        <w:t xml:space="preserve">If a fee is required to be paid under the Law or these regulations in a financial year starting on 1 July 2013, or 1 July in a later year (the </w:t>
      </w:r>
      <w:r>
        <w:rPr>
          <w:rStyle w:val="CharDefText"/>
        </w:rPr>
        <w:t>relevant year</w:t>
      </w:r>
      <w:r>
        <w:t xml:space="preserve">), the amount of the fee is to be worked out as follows — </w:t>
      </w:r>
    </w:p>
    <w:p>
      <w:pPr>
        <w:pStyle w:val="Indenta"/>
      </w:pPr>
      <w:r>
        <w:tab/>
        <w:t>(a)</w:t>
      </w:r>
      <w:r>
        <w:tab/>
        <w:t>identify the amount of the fee payable for the relevant matter in the previous year;</w:t>
      </w:r>
    </w:p>
    <w:p>
      <w:pPr>
        <w:pStyle w:val="Indenta"/>
      </w:pPr>
      <w:r>
        <w:tab/>
        <w:t>(b)</w:t>
      </w:r>
      <w:r>
        <w:tab/>
        <w:t>multiply the amount by the indexation factor for the relevant year;</w:t>
      </w:r>
    </w:p>
    <w:p>
      <w:pPr>
        <w:pStyle w:val="Indenta"/>
      </w:pPr>
      <w:r>
        <w:lastRenderedPageBreak/>
        <w:tab/>
        <w:t>(c)</w:t>
      </w:r>
      <w:r>
        <w:tab/>
        <w:t>round the result down to the nearest whole dollar.</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An indexed fee for an application for a provider approval for the year starting 1 July 2013 would be worked out by multiplying $200 (the fee payable in the previous year) by the indexation factor for 2013</w:t>
      </w:r>
      <w:r>
        <w:rPr>
          <w:rFonts w:ascii="Arial" w:hAnsi="Arial" w:cs="Arial"/>
          <w:sz w:val="18"/>
          <w:szCs w:val="18"/>
        </w:rPr>
        <w:noBreakHyphen/>
        <w:t>2014 worked out under subregulation (3), and then rounding the result down.</w:t>
      </w:r>
    </w:p>
    <w:p>
      <w:pPr>
        <w:pStyle w:val="Subsection"/>
      </w:pPr>
      <w:r>
        <w:tab/>
        <w:t>(3)</w:t>
      </w:r>
      <w:r>
        <w:tab/>
        <w:t xml:space="preserve">The indexation factor is worked out using the following formula — </w:t>
      </w:r>
    </w:p>
    <w:p>
      <w:pPr>
        <w:pStyle w:val="Equation"/>
        <w:spacing w:before="160"/>
        <w:jc w:val="center"/>
      </w:pPr>
      <w:r>
        <w:rPr>
          <w:position w:val="-24"/>
        </w:rPr>
        <w:object w:dxaOrig="4500" w:dyaOrig="5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4.65pt;height:26.9pt" o:ole="">
            <v:imagedata r:id="rId21" o:title=""/>
          </v:shape>
          <o:OLEObject Type="Embed" ProgID="Equation.3" ShapeID="_x0000_i1025" DrawAspect="Content" ObjectID="_1720528598" r:id="rId22"/>
        </w:object>
      </w:r>
    </w:p>
    <w:p>
      <w:pPr>
        <w:pStyle w:val="Subsection"/>
      </w:pPr>
      <w:r>
        <w:tab/>
      </w:r>
      <w:r>
        <w:tab/>
        <w:t>Where —</w:t>
      </w:r>
    </w:p>
    <w:p>
      <w:pPr>
        <w:pStyle w:val="Defstart"/>
      </w:pPr>
      <w:r>
        <w:tab/>
      </w:r>
      <w:r>
        <w:rPr>
          <w:rStyle w:val="CharDefText"/>
        </w:rPr>
        <w:t>index number</w:t>
      </w:r>
      <w:r>
        <w:t>, for a quarter, means the All Groups Consumer Price Index Number (being the weighted average of the 8 capital cities) published by the Australian Statistician for that quarter;</w:t>
      </w:r>
    </w:p>
    <w:p>
      <w:pPr>
        <w:pStyle w:val="Defstart"/>
      </w:pPr>
      <w:r>
        <w:tab/>
      </w:r>
      <w:r>
        <w:rPr>
          <w:rStyle w:val="CharDefText"/>
        </w:rPr>
        <w:t>most recent March year</w:t>
      </w:r>
      <w:r>
        <w:t xml:space="preserve"> means the period of 12 months ending on 31 March in the financial year that occurred immediately before the application year;</w:t>
      </w:r>
    </w:p>
    <w:p>
      <w:pPr>
        <w:pStyle w:val="Defstart"/>
      </w:pPr>
      <w:r>
        <w:tab/>
      </w:r>
      <w:r>
        <w:rPr>
          <w:rStyle w:val="CharDefText"/>
        </w:rPr>
        <w:t>previous March year</w:t>
      </w:r>
      <w:r>
        <w:t xml:space="preserve"> means the period of 12 months immediately preceding the most recent March year;</w:t>
      </w:r>
    </w:p>
    <w:p>
      <w:pPr>
        <w:pStyle w:val="Defstart"/>
      </w:pPr>
      <w:r>
        <w:tab/>
      </w:r>
      <w:r>
        <w:rPr>
          <w:rStyle w:val="CharDefText"/>
        </w:rPr>
        <w:t>quarter</w:t>
      </w:r>
      <w:r>
        <w:t xml:space="preserve"> means a period of 3 months ending on 31 March, 30 June, 30 September or 31 December.</w:t>
      </w:r>
    </w:p>
    <w:p>
      <w:pPr>
        <w:pStyle w:val="Subsection"/>
      </w:pPr>
      <w:r>
        <w:tab/>
        <w:t>(4)</w:t>
      </w:r>
      <w:r>
        <w:tab/>
        <w:t>The result worked out under subregulation (3) must be rounded up or down to 3 decimal places, rounding up if the result ends in 0·0005.</w:t>
      </w:r>
    </w:p>
    <w:p>
      <w:pPr>
        <w:pStyle w:val="Subsection"/>
        <w:keepNext/>
      </w:pPr>
      <w:r>
        <w:tab/>
        <w:t>(5)</w:t>
      </w:r>
      <w:r>
        <w:tab/>
        <w:t xml:space="preserve">A calculation under subregulation (3) is to be made — </w:t>
      </w:r>
    </w:p>
    <w:p>
      <w:pPr>
        <w:pStyle w:val="Indenta"/>
      </w:pPr>
      <w:r>
        <w:tab/>
        <w:t>(a)</w:t>
      </w:r>
      <w:r>
        <w:tab/>
        <w:t>using the index numbers published in terms of the most recently published reference base for the Consumer Price Index; and</w:t>
      </w:r>
    </w:p>
    <w:p>
      <w:pPr>
        <w:pStyle w:val="Indenta"/>
        <w:keepNext/>
      </w:pPr>
      <w:r>
        <w:tab/>
        <w:t>(b)</w:t>
      </w:r>
      <w:r>
        <w:tab/>
        <w:t xml:space="preserve">disregarding index numbers that are published in substitution for previously published index numbers </w:t>
      </w:r>
      <w:r>
        <w:lastRenderedPageBreak/>
        <w:t>(unless the substituted numbers are published to take account of changes in the reference base).</w:t>
      </w:r>
    </w:p>
    <w:p>
      <w:pPr>
        <w:pStyle w:val="Footnotesection"/>
      </w:pPr>
      <w:r>
        <w:tab/>
        <w:t>[Regulation 235 amended: Gazette 24 Dec 2019 p. 4426.]</w:t>
      </w:r>
    </w:p>
    <w:p>
      <w:pPr>
        <w:pStyle w:val="Heading5"/>
      </w:pPr>
      <w:bookmarkStart w:id="449" w:name="_Toc109833205"/>
      <w:r>
        <w:rPr>
          <w:rStyle w:val="CharSectno"/>
        </w:rPr>
        <w:t>236</w:t>
      </w:r>
      <w:r>
        <w:t>.</w:t>
      </w:r>
      <w:r>
        <w:tab/>
        <w:t>Publication of indexed fees</w:t>
      </w:r>
      <w:bookmarkEnd w:id="449"/>
      <w:r>
        <w:t xml:space="preserve"> </w:t>
      </w:r>
    </w:p>
    <w:p>
      <w:pPr>
        <w:pStyle w:val="Subsection"/>
      </w:pPr>
      <w:r>
        <w:tab/>
        <w:t>(1)</w:t>
      </w:r>
      <w:r>
        <w:tab/>
        <w:t>The National Authority must, before the financial year commencing 1 July in each year after 2012, publish the fees applicable for that financial year determined in accordance with regulation 235.</w:t>
      </w:r>
    </w:p>
    <w:p>
      <w:pPr>
        <w:pStyle w:val="Subsection"/>
      </w:pPr>
      <w:r>
        <w:tab/>
        <w:t>(2)</w:t>
      </w:r>
      <w:r>
        <w:tab/>
        <w:t>The Regulatory Authority may also publish the fees referred to in subregulation (1).</w:t>
      </w:r>
    </w:p>
    <w:p>
      <w:pPr>
        <w:pStyle w:val="Heading3"/>
      </w:pPr>
      <w:bookmarkStart w:id="450" w:name="_Toc109740782"/>
      <w:bookmarkStart w:id="451" w:name="_Toc109741611"/>
      <w:bookmarkStart w:id="452" w:name="_Toc109833206"/>
      <w:r>
        <w:rPr>
          <w:rStyle w:val="CharDivNo"/>
        </w:rPr>
        <w:t>Part 6.4</w:t>
      </w:r>
      <w:r>
        <w:t> — </w:t>
      </w:r>
      <w:r>
        <w:rPr>
          <w:rStyle w:val="CharDivText"/>
        </w:rPr>
        <w:t>Delegations</w:t>
      </w:r>
      <w:bookmarkEnd w:id="450"/>
      <w:bookmarkEnd w:id="451"/>
      <w:bookmarkEnd w:id="452"/>
    </w:p>
    <w:p>
      <w:pPr>
        <w:pStyle w:val="Heading5"/>
      </w:pPr>
      <w:bookmarkStart w:id="453" w:name="_Toc109833207"/>
      <w:r>
        <w:rPr>
          <w:rStyle w:val="CharSectno"/>
        </w:rPr>
        <w:t>237</w:t>
      </w:r>
      <w:r>
        <w:t>.</w:t>
      </w:r>
      <w:r>
        <w:tab/>
        <w:t>Delegation</w:t>
      </w:r>
      <w:bookmarkEnd w:id="453"/>
      <w:r>
        <w:t xml:space="preserve"> </w:t>
      </w:r>
    </w:p>
    <w:p>
      <w:pPr>
        <w:pStyle w:val="Subsection"/>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the Catholic Education Commission of Western Australia.</w:t>
      </w:r>
    </w:p>
    <w:p>
      <w:pPr>
        <w:pStyle w:val="Heading2"/>
      </w:pPr>
      <w:bookmarkStart w:id="454" w:name="_Toc109740784"/>
      <w:bookmarkStart w:id="455" w:name="_Toc109741613"/>
      <w:bookmarkStart w:id="456" w:name="_Toc109833208"/>
      <w:r>
        <w:rPr>
          <w:rStyle w:val="CharPartNo"/>
        </w:rPr>
        <w:lastRenderedPageBreak/>
        <w:t>Chapter 7</w:t>
      </w:r>
      <w:r>
        <w:t> — </w:t>
      </w:r>
      <w:r>
        <w:rPr>
          <w:rStyle w:val="CharPartText"/>
        </w:rPr>
        <w:t>Jurisdiction</w:t>
      </w:r>
      <w:r>
        <w:rPr>
          <w:rStyle w:val="CharPartText"/>
        </w:rPr>
        <w:noBreakHyphen/>
        <w:t>specific and transitional and saving provisions</w:t>
      </w:r>
      <w:bookmarkEnd w:id="454"/>
      <w:bookmarkEnd w:id="455"/>
      <w:bookmarkEnd w:id="456"/>
    </w:p>
    <w:p>
      <w:pPr>
        <w:pStyle w:val="MiscellaneousBody"/>
        <w:rPr>
          <w:rFonts w:ascii="Arial" w:hAnsi="Arial" w:cs="Arial"/>
          <w:sz w:val="18"/>
          <w:szCs w:val="18"/>
        </w:rPr>
      </w:pPr>
      <w:r>
        <w:rPr>
          <w:rFonts w:ascii="Arial" w:hAnsi="Arial" w:cs="Arial"/>
          <w:sz w:val="18"/>
          <w:szCs w:val="18"/>
        </w:rPr>
        <w:t>This Chapter contains transitional and saving provisions.</w:t>
      </w:r>
    </w:p>
    <w:p>
      <w:pPr>
        <w:pStyle w:val="MiscellaneousBody"/>
        <w:rPr>
          <w:rFonts w:ascii="Arial" w:hAnsi="Arial" w:cs="Arial"/>
          <w:sz w:val="18"/>
          <w:szCs w:val="18"/>
        </w:rPr>
      </w:pPr>
      <w:r>
        <w:rPr>
          <w:rFonts w:ascii="Arial" w:hAnsi="Arial" w:cs="Arial"/>
          <w:b/>
          <w:sz w:val="18"/>
          <w:szCs w:val="18"/>
        </w:rPr>
        <w:t>Part 7.1</w:t>
      </w:r>
      <w:r>
        <w:rPr>
          <w:rFonts w:ascii="Arial" w:hAnsi="Arial" w:cs="Arial"/>
          <w:sz w:val="18"/>
          <w:szCs w:val="18"/>
        </w:rPr>
        <w:t xml:space="preserve"> contains general transitional and saving provisions.</w:t>
      </w:r>
    </w:p>
    <w:p>
      <w:pPr>
        <w:pStyle w:val="MiscellaneousBody"/>
        <w:rPr>
          <w:rFonts w:ascii="Arial" w:hAnsi="Arial" w:cs="Arial"/>
          <w:sz w:val="18"/>
          <w:szCs w:val="18"/>
        </w:rPr>
      </w:pPr>
      <w:r>
        <w:rPr>
          <w:rFonts w:ascii="Arial" w:hAnsi="Arial" w:cs="Arial"/>
          <w:b/>
          <w:sz w:val="18"/>
          <w:szCs w:val="18"/>
        </w:rPr>
        <w:t>Part 7.2</w:t>
      </w:r>
      <w:r>
        <w:rPr>
          <w:rFonts w:ascii="Arial" w:hAnsi="Arial" w:cs="Arial"/>
          <w:sz w:val="18"/>
          <w:szCs w:val="18"/>
        </w:rPr>
        <w:t xml:space="preserve"> contains provisions relating to the Australian Capital Territory.</w:t>
      </w:r>
    </w:p>
    <w:p>
      <w:pPr>
        <w:pStyle w:val="MiscellaneousBody"/>
        <w:rPr>
          <w:rFonts w:ascii="Arial" w:hAnsi="Arial" w:cs="Arial"/>
          <w:sz w:val="18"/>
          <w:szCs w:val="18"/>
        </w:rPr>
      </w:pPr>
      <w:r>
        <w:rPr>
          <w:rFonts w:ascii="Arial" w:hAnsi="Arial" w:cs="Arial"/>
          <w:b/>
          <w:sz w:val="18"/>
          <w:szCs w:val="18"/>
        </w:rPr>
        <w:t>Part 7.3</w:t>
      </w:r>
      <w:r>
        <w:rPr>
          <w:rFonts w:ascii="Arial" w:hAnsi="Arial" w:cs="Arial"/>
          <w:sz w:val="18"/>
          <w:szCs w:val="18"/>
        </w:rPr>
        <w:t xml:space="preserve"> contains provisions relating to New South Wales.</w:t>
      </w:r>
    </w:p>
    <w:p>
      <w:pPr>
        <w:pStyle w:val="MiscellaneousBody"/>
        <w:rPr>
          <w:rFonts w:ascii="Arial" w:hAnsi="Arial" w:cs="Arial"/>
          <w:sz w:val="18"/>
          <w:szCs w:val="18"/>
        </w:rPr>
      </w:pPr>
      <w:r>
        <w:rPr>
          <w:rFonts w:ascii="Arial" w:hAnsi="Arial" w:cs="Arial"/>
          <w:b/>
          <w:sz w:val="18"/>
          <w:szCs w:val="18"/>
        </w:rPr>
        <w:t>Part 7.4</w:t>
      </w:r>
      <w:r>
        <w:rPr>
          <w:rFonts w:ascii="Arial" w:hAnsi="Arial" w:cs="Arial"/>
          <w:sz w:val="18"/>
          <w:szCs w:val="18"/>
        </w:rPr>
        <w:t xml:space="preserve"> contains provisions relating to the Northern Territory.</w:t>
      </w:r>
    </w:p>
    <w:p>
      <w:pPr>
        <w:pStyle w:val="MiscellaneousBody"/>
        <w:rPr>
          <w:rFonts w:ascii="Arial" w:hAnsi="Arial" w:cs="Arial"/>
          <w:sz w:val="18"/>
          <w:szCs w:val="18"/>
        </w:rPr>
      </w:pPr>
      <w:r>
        <w:rPr>
          <w:rFonts w:ascii="Arial" w:hAnsi="Arial" w:cs="Arial"/>
          <w:b/>
          <w:sz w:val="18"/>
          <w:szCs w:val="18"/>
        </w:rPr>
        <w:t>Part 7.5</w:t>
      </w:r>
      <w:r>
        <w:rPr>
          <w:rFonts w:ascii="Arial" w:hAnsi="Arial" w:cs="Arial"/>
          <w:sz w:val="18"/>
          <w:szCs w:val="18"/>
        </w:rPr>
        <w:t xml:space="preserve"> contains provisions relating to Queensland.</w:t>
      </w:r>
    </w:p>
    <w:p>
      <w:pPr>
        <w:pStyle w:val="MiscellaneousBody"/>
        <w:rPr>
          <w:rFonts w:ascii="Arial" w:hAnsi="Arial" w:cs="Arial"/>
          <w:sz w:val="18"/>
          <w:szCs w:val="18"/>
        </w:rPr>
      </w:pPr>
      <w:r>
        <w:rPr>
          <w:rFonts w:ascii="Arial" w:hAnsi="Arial" w:cs="Arial"/>
          <w:b/>
          <w:sz w:val="18"/>
          <w:szCs w:val="18"/>
        </w:rPr>
        <w:t>Part 7.6</w:t>
      </w:r>
      <w:r>
        <w:rPr>
          <w:rFonts w:ascii="Arial" w:hAnsi="Arial" w:cs="Arial"/>
          <w:sz w:val="18"/>
          <w:szCs w:val="18"/>
        </w:rPr>
        <w:t xml:space="preserve"> contains provisions relating to South Australia.</w:t>
      </w:r>
    </w:p>
    <w:p>
      <w:pPr>
        <w:pStyle w:val="MiscellaneousBody"/>
        <w:rPr>
          <w:rFonts w:ascii="Arial" w:hAnsi="Arial" w:cs="Arial"/>
          <w:sz w:val="18"/>
          <w:szCs w:val="18"/>
        </w:rPr>
      </w:pPr>
      <w:r>
        <w:rPr>
          <w:rFonts w:ascii="Arial" w:hAnsi="Arial" w:cs="Arial"/>
          <w:b/>
          <w:sz w:val="18"/>
          <w:szCs w:val="18"/>
        </w:rPr>
        <w:t>Part 7.7</w:t>
      </w:r>
      <w:r>
        <w:rPr>
          <w:rFonts w:ascii="Arial" w:hAnsi="Arial" w:cs="Arial"/>
          <w:sz w:val="18"/>
          <w:szCs w:val="18"/>
        </w:rPr>
        <w:t xml:space="preserve"> contains provisions relating to Tasmania.</w:t>
      </w:r>
    </w:p>
    <w:p>
      <w:pPr>
        <w:pStyle w:val="MiscellaneousBody"/>
        <w:rPr>
          <w:rFonts w:ascii="Arial" w:hAnsi="Arial" w:cs="Arial"/>
          <w:sz w:val="18"/>
          <w:szCs w:val="18"/>
        </w:rPr>
      </w:pPr>
      <w:r>
        <w:rPr>
          <w:rFonts w:ascii="Arial" w:hAnsi="Arial" w:cs="Arial"/>
          <w:b/>
          <w:sz w:val="18"/>
          <w:szCs w:val="18"/>
        </w:rPr>
        <w:t>Part 7.8</w:t>
      </w:r>
      <w:r>
        <w:rPr>
          <w:rFonts w:ascii="Arial" w:hAnsi="Arial" w:cs="Arial"/>
          <w:sz w:val="18"/>
          <w:szCs w:val="18"/>
        </w:rPr>
        <w:t xml:space="preserve"> contains provisions relating to Victoria.</w:t>
      </w:r>
    </w:p>
    <w:p>
      <w:pPr>
        <w:pStyle w:val="MiscellaneousBody"/>
        <w:rPr>
          <w:rFonts w:ascii="Arial" w:hAnsi="Arial" w:cs="Arial"/>
          <w:sz w:val="18"/>
          <w:szCs w:val="18"/>
        </w:rPr>
      </w:pPr>
      <w:r>
        <w:rPr>
          <w:rFonts w:ascii="Arial" w:hAnsi="Arial" w:cs="Arial"/>
          <w:b/>
          <w:sz w:val="18"/>
          <w:szCs w:val="18"/>
        </w:rPr>
        <w:t>Part 7.9</w:t>
      </w:r>
      <w:r>
        <w:rPr>
          <w:rFonts w:ascii="Arial" w:hAnsi="Arial" w:cs="Arial"/>
          <w:sz w:val="18"/>
          <w:szCs w:val="18"/>
        </w:rPr>
        <w:t xml:space="preserve"> contains provisions relating to Western Australia.</w:t>
      </w:r>
    </w:p>
    <w:p>
      <w:pPr>
        <w:pStyle w:val="MiscellaneousBody"/>
        <w:rPr>
          <w:sz w:val="18"/>
          <w:szCs w:val="18"/>
        </w:rPr>
      </w:pPr>
      <w:r>
        <w:rPr>
          <w:rFonts w:ascii="Arial" w:hAnsi="Arial" w:cs="Arial"/>
          <w:b/>
          <w:sz w:val="18"/>
          <w:szCs w:val="18"/>
        </w:rPr>
        <w:t>Part 7.10</w:t>
      </w:r>
      <w:r>
        <w:rPr>
          <w:rFonts w:ascii="Arial" w:hAnsi="Arial" w:cs="Arial"/>
          <w:sz w:val="18"/>
          <w:szCs w:val="18"/>
        </w:rPr>
        <w:t xml:space="preserve"> contains transitional and savings provisions that relate to the </w:t>
      </w:r>
      <w:r>
        <w:rPr>
          <w:rFonts w:ascii="Arial" w:hAnsi="Arial" w:cs="Arial"/>
          <w:i/>
          <w:sz w:val="18"/>
          <w:szCs w:val="18"/>
        </w:rPr>
        <w:t>Education and Care Services National Amendment Regulations (No. 3) 2018</w:t>
      </w:r>
      <w:r>
        <w:rPr>
          <w:sz w:val="18"/>
          <w:szCs w:val="18"/>
        </w:rPr>
        <w:t>.</w:t>
      </w:r>
    </w:p>
    <w:p>
      <w:pPr>
        <w:pStyle w:val="Heading3"/>
      </w:pPr>
      <w:bookmarkStart w:id="457" w:name="_Toc109740785"/>
      <w:bookmarkStart w:id="458" w:name="_Toc109741614"/>
      <w:bookmarkStart w:id="459" w:name="_Toc109833209"/>
      <w:r>
        <w:rPr>
          <w:rStyle w:val="CharDivNo"/>
        </w:rPr>
        <w:t>Part 7.1</w:t>
      </w:r>
      <w:r>
        <w:t> — </w:t>
      </w:r>
      <w:r>
        <w:rPr>
          <w:rStyle w:val="CharDivText"/>
        </w:rPr>
        <w:t>General transitional and saving provisions</w:t>
      </w:r>
      <w:bookmarkEnd w:id="457"/>
      <w:bookmarkEnd w:id="458"/>
      <w:bookmarkEnd w:id="459"/>
    </w:p>
    <w:p>
      <w:pPr>
        <w:pStyle w:val="Ednotedivision"/>
      </w:pPr>
      <w:r>
        <w:t>[Divisions 1 and 1A deleted: Gazette 28 Sep 2018 p. 3648.]</w:t>
      </w:r>
    </w:p>
    <w:p>
      <w:pPr>
        <w:pStyle w:val="Heading4"/>
      </w:pPr>
      <w:bookmarkStart w:id="460" w:name="_Toc109740786"/>
      <w:bookmarkStart w:id="461" w:name="_Toc109741615"/>
      <w:bookmarkStart w:id="462" w:name="_Toc109833210"/>
      <w:r>
        <w:t>Division 2 — Staffing arrangements</w:t>
      </w:r>
      <w:bookmarkEnd w:id="460"/>
      <w:bookmarkEnd w:id="461"/>
      <w:bookmarkEnd w:id="462"/>
    </w:p>
    <w:p>
      <w:pPr>
        <w:pStyle w:val="Heading5"/>
      </w:pPr>
      <w:bookmarkStart w:id="463" w:name="_Toc109833211"/>
      <w:r>
        <w:rPr>
          <w:rStyle w:val="CharSectno"/>
        </w:rPr>
        <w:t>239</w:t>
      </w:r>
      <w:r>
        <w:t>.</w:t>
      </w:r>
      <w:r>
        <w:tab/>
        <w:t>Centre</w:t>
      </w:r>
      <w:r>
        <w:noBreakHyphen/>
        <w:t>based service offering a preschool program in a composite class in a school</w:t>
      </w:r>
      <w:bookmarkEnd w:id="463"/>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lastRenderedPageBreak/>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464" w:name="_Toc109833212"/>
      <w:r>
        <w:rPr>
          <w:rStyle w:val="CharSectno"/>
        </w:rPr>
        <w:t>239A</w:t>
      </w:r>
      <w:r>
        <w:t>.</w:t>
      </w:r>
      <w:r>
        <w:tab/>
        <w:t>Centre</w:t>
      </w:r>
      <w:r>
        <w:noBreakHyphen/>
        <w:t>based services in remote and very remote areas — attendance of early childhood teachers</w:t>
      </w:r>
      <w:bookmarkEnd w:id="464"/>
    </w:p>
    <w:p>
      <w:pPr>
        <w:pStyle w:val="Subsection"/>
      </w:pPr>
      <w:r>
        <w:tab/>
        <w:t>(1)</w:t>
      </w:r>
      <w:r>
        <w:tab/>
        <w:t>This regulation applies until 31 December 2023 to a centre</w:t>
      </w:r>
      <w:r>
        <w:noBreakHyphen/>
        <w:t>based service that is located in a remote area or a very remote area.</w:t>
      </w:r>
    </w:p>
    <w:p>
      <w:pPr>
        <w:pStyle w:val="PermNoteHeading"/>
      </w:pPr>
      <w:r>
        <w:tab/>
        <w:t>Note for this subregulation:</w:t>
      </w:r>
    </w:p>
    <w:p>
      <w:pPr>
        <w:pStyle w:val="PermNoteText"/>
      </w:pPr>
      <w:r>
        <w:tab/>
      </w:r>
      <w:r>
        <w:tab/>
        <w:t>This subregulation differs from regulation 239A(1) of the national regulations made by the Ministerial Council.</w:t>
      </w:r>
    </w:p>
    <w:p>
      <w:pPr>
        <w:pStyle w:val="Subsection"/>
      </w:pPr>
      <w:r>
        <w:tab/>
        <w:t>(2)</w:t>
      </w:r>
      <w:r>
        <w:tab/>
        <w:t>The centre</w:t>
      </w:r>
      <w:r>
        <w:noBreakHyphen/>
        <w:t>based service may meet the requirements of regulation 132(1) for attendance of an early childhood teacher if the service has access to an early childhood teacher working with the service at least 20% of the time that the service provides education and care.</w:t>
      </w:r>
    </w:p>
    <w:p>
      <w:pPr>
        <w:pStyle w:val="PermNoteHeading"/>
      </w:pPr>
      <w:r>
        <w:tab/>
        <w:t>Note for this subregulation:</w:t>
      </w:r>
    </w:p>
    <w:p>
      <w:pPr>
        <w:pStyle w:val="PermNoteText"/>
      </w:pPr>
      <w:r>
        <w:tab/>
      </w:r>
      <w:r>
        <w:tab/>
        <w:t>This subregulation differs from regulation 239A(2) of the national regulations made by the Ministerial Council.</w:t>
      </w:r>
    </w:p>
    <w:p>
      <w:pPr>
        <w:pStyle w:val="Subsection"/>
      </w:pPr>
      <w:r>
        <w:tab/>
        <w:t>(2A)</w:t>
      </w:r>
      <w:r>
        <w:tab/>
        <w:t>The centre</w:t>
      </w:r>
      <w:r>
        <w:noBreakHyphen/>
        <w:t xml:space="preserve">based service may meet the requirements of regulation 133(1) or 134(1) for attendance of an early childhood teacher if — </w:t>
      </w:r>
    </w:p>
    <w:p>
      <w:pPr>
        <w:pStyle w:val="Indenta"/>
      </w:pPr>
      <w:r>
        <w:tab/>
        <w:t>(a)</w:t>
      </w:r>
      <w:r>
        <w:tab/>
        <w:t>the service has access to an early childhood teacher working with the service at least 40% of the time that the service provides education and care; or</w:t>
      </w:r>
    </w:p>
    <w:p>
      <w:pPr>
        <w:pStyle w:val="Indenta"/>
      </w:pPr>
      <w:r>
        <w:tab/>
        <w:t>(b)</w:t>
      </w:r>
      <w:r>
        <w:tab/>
        <w:t xml:space="preserve">the service has access to — </w:t>
      </w:r>
    </w:p>
    <w:p>
      <w:pPr>
        <w:pStyle w:val="Indenti"/>
      </w:pPr>
      <w:r>
        <w:tab/>
        <w:t>(i)</w:t>
      </w:r>
      <w:r>
        <w:tab/>
        <w:t>an early childhood teacher working with the service at least 20% of the time that the service provides education and care; and</w:t>
      </w:r>
    </w:p>
    <w:p>
      <w:pPr>
        <w:pStyle w:val="Indenti"/>
      </w:pPr>
      <w:r>
        <w:tab/>
        <w:t>(ii)</w:t>
      </w:r>
      <w:r>
        <w:tab/>
        <w:t xml:space="preserve">a second early childhood teacher or a suitably qualified person working with the service at least </w:t>
      </w:r>
      <w:r>
        <w:lastRenderedPageBreak/>
        <w:t>20% of the time that the service provides education and care.</w:t>
      </w:r>
    </w:p>
    <w:p>
      <w:pPr>
        <w:pStyle w:val="Subsection"/>
      </w:pPr>
      <w:r>
        <w:tab/>
        <w:t>(3)</w:t>
      </w:r>
      <w:r>
        <w:tab/>
        <w:t>To comply with subregulation (2) or (2A), the early childhood teacher or suitably qualified person may be working with the service by means of information communication technology.</w:t>
      </w:r>
    </w:p>
    <w:p>
      <w:pPr>
        <w:pStyle w:val="Subsection"/>
      </w:pPr>
      <w:r>
        <w:tab/>
        <w:t>(4)</w:t>
      </w:r>
      <w:r>
        <w:tab/>
        <w:t>For the purposes of this regulation, the period that an early childhood teacher or suitably qualified person works with the centre</w:t>
      </w:r>
      <w:r>
        <w:noBreakHyphen/>
        <w:t>based service may be calculated on a quarterly basis.</w:t>
      </w:r>
    </w:p>
    <w:p>
      <w:pPr>
        <w:pStyle w:val="Subsection"/>
      </w:pPr>
      <w:r>
        <w:tab/>
        <w:t>(5)</w:t>
      </w:r>
      <w:r>
        <w:tab/>
        <w:t xml:space="preserve">In this regulation and regulation 240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Gazette 28 Nov 2014 p. 4409</w:t>
      </w:r>
      <w:r>
        <w:noBreakHyphen/>
        <w:t>10; amended: Gazette 3 Nov 2017 p. 5484; 24 Dec 2019 p. 4426-7.]</w:t>
      </w:r>
    </w:p>
    <w:p>
      <w:pPr>
        <w:pStyle w:val="Heading5"/>
      </w:pPr>
      <w:bookmarkStart w:id="465" w:name="_Toc109833213"/>
      <w:r>
        <w:rPr>
          <w:rStyle w:val="CharSectno"/>
        </w:rPr>
        <w:t>240</w:t>
      </w:r>
      <w:r>
        <w:t>.</w:t>
      </w:r>
      <w:r>
        <w:tab/>
        <w:t>Qualifications for educators — centre</w:t>
      </w:r>
      <w:r>
        <w:noBreakHyphen/>
        <w:t>based service</w:t>
      </w:r>
      <w:bookmarkEnd w:id="465"/>
      <w:r>
        <w:t xml:space="preserve"> </w:t>
      </w:r>
    </w:p>
    <w:p>
      <w:pPr>
        <w:pStyle w:val="Subsection"/>
      </w:pPr>
      <w:r>
        <w:tab/>
        <w:t>(1)</w:t>
      </w:r>
      <w:r>
        <w:tab/>
        <w:t>This regulation applies until 31 December 2023 to a centre</w:t>
      </w:r>
      <w:r>
        <w:noBreakHyphen/>
        <w:t>based service located in a remote area or a very remote area.</w:t>
      </w:r>
    </w:p>
    <w:p>
      <w:pPr>
        <w:pStyle w:val="PermNoteHeading"/>
      </w:pPr>
      <w:r>
        <w:tab/>
        <w:t>Note for this subregulation:</w:t>
      </w:r>
    </w:p>
    <w:p>
      <w:pPr>
        <w:pStyle w:val="PermNoteText"/>
      </w:pPr>
      <w:r>
        <w:tab/>
      </w:r>
      <w:r>
        <w:tab/>
        <w:t>This subregulation differs from regulation 240(1) of the national regulations made by the Ministerial Council.</w:t>
      </w:r>
    </w:p>
    <w:p>
      <w:pPr>
        <w:pStyle w:val="Subsection"/>
      </w:pPr>
      <w:r>
        <w:lastRenderedPageBreak/>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pPr>
      <w:r>
        <w:tab/>
        <w:t>[Regulation 240 amended: Gazette 28 Nov 2014 p. 4410; 3 Nov 2017 p. 5485; 26 Jun 2018 p. 2359; 24 Dec 2019 p. 4427.]</w:t>
      </w:r>
    </w:p>
    <w:p>
      <w:pPr>
        <w:pStyle w:val="Heading5"/>
      </w:pPr>
      <w:bookmarkStart w:id="466" w:name="_Toc109833214"/>
      <w:r>
        <w:rPr>
          <w:rStyle w:val="CharSectno"/>
        </w:rPr>
        <w:t>241</w:t>
      </w:r>
      <w:r>
        <w:t>.</w:t>
      </w:r>
      <w:r>
        <w:tab/>
        <w:t>Persons taken to hold an approved early childhood teaching qualification</w:t>
      </w:r>
      <w:bookmarkEnd w:id="466"/>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lastRenderedPageBreak/>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Queensland); or</w:t>
      </w:r>
    </w:p>
    <w:p>
      <w:pPr>
        <w:pStyle w:val="Indenta"/>
      </w:pPr>
      <w:r>
        <w:tab/>
        <w:t>(e)</w:t>
      </w:r>
      <w:r>
        <w:tab/>
        <w:t xml:space="preserve">was registered as a teacher under the </w:t>
      </w:r>
      <w:r>
        <w:rPr>
          <w:i/>
        </w:rPr>
        <w:t>Teachers Registration and Standards Act 2004</w:t>
      </w:r>
      <w:r>
        <w:t xml:space="preserve"> of South Australia and was employed to deliver a preschool program; or</w:t>
      </w:r>
    </w:p>
    <w:p>
      <w:pPr>
        <w:pStyle w:val="Indenta"/>
      </w:pPr>
      <w:r>
        <w:tab/>
        <w:t>(f)</w:t>
      </w:r>
      <w:r>
        <w:tab/>
        <w:t xml:space="preserve">was registered as a teacher under the </w:t>
      </w:r>
      <w:r>
        <w:rPr>
          <w:i/>
        </w:rPr>
        <w:t>Teachers Registration Act 2000</w:t>
      </w:r>
      <w:r>
        <w:t xml:space="preserve"> of Tasmania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Queensland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lastRenderedPageBreak/>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Queensland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lastRenderedPageBreak/>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Gazette 13 Dec 2013 p.</w:t>
      </w:r>
      <w:r>
        <w:rPr>
          <w:sz w:val="19"/>
        </w:rPr>
        <w:t> </w:t>
      </w:r>
      <w:r>
        <w:t>6169; 28 Nov 2014 p. 4410.]</w:t>
      </w:r>
    </w:p>
    <w:p>
      <w:pPr>
        <w:pStyle w:val="Heading5"/>
        <w:spacing w:before="260"/>
      </w:pPr>
      <w:bookmarkStart w:id="467" w:name="_Toc109833215"/>
      <w:r>
        <w:rPr>
          <w:rStyle w:val="CharSectno"/>
        </w:rPr>
        <w:t>242</w:t>
      </w:r>
      <w:r>
        <w:t>.</w:t>
      </w:r>
      <w:r>
        <w:tab/>
        <w:t>Persons taken to be early childhood teachers</w:t>
      </w:r>
      <w:bookmarkEnd w:id="467"/>
      <w:r>
        <w:t xml:space="preserve"> </w:t>
      </w:r>
    </w:p>
    <w:p>
      <w:pPr>
        <w:pStyle w:val="Subsection"/>
        <w:spacing w:before="180"/>
      </w:pPr>
      <w:r>
        <w:tab/>
        <w:t>(1)</w:t>
      </w:r>
      <w:r>
        <w:tab/>
        <w:t>This regulation applies on and after 1 January 2014 and before 31 December 2023.</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pPr>
      <w:r>
        <w:tab/>
        <w:t>(3)</w:t>
      </w:r>
      <w:r>
        <w:tab/>
        <w:t xml:space="preserve">In this regulation — </w:t>
      </w:r>
    </w:p>
    <w:p>
      <w:pPr>
        <w:pStyle w:val="Defstar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 Gazette 13 Dec 2013 p.</w:t>
      </w:r>
      <w:r>
        <w:rPr>
          <w:sz w:val="19"/>
        </w:rPr>
        <w:t> </w:t>
      </w:r>
      <w:r>
        <w:t>6169; 28 Nov 2014 p. 4410; 3 Nov 2017 p. 5485; 24 Dec 2019 p. 4427.]</w:t>
      </w:r>
    </w:p>
    <w:p>
      <w:pPr>
        <w:pStyle w:val="Heading5"/>
      </w:pPr>
      <w:bookmarkStart w:id="468" w:name="_Toc109833216"/>
      <w:r>
        <w:rPr>
          <w:rStyle w:val="CharSectno"/>
        </w:rPr>
        <w:lastRenderedPageBreak/>
        <w:t>243</w:t>
      </w:r>
      <w:r>
        <w:t>.</w:t>
      </w:r>
      <w:r>
        <w:tab/>
        <w:t>Persons taken to hold an approved diploma level education and care qualification</w:t>
      </w:r>
      <w:bookmarkEnd w:id="468"/>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in Queensland, held a qualification that is published under regulation 137(2)(b) in the list of former qualifications approved as diploma level education and care qualifications.</w:t>
      </w:r>
    </w:p>
    <w:p>
      <w:pPr>
        <w:pStyle w:val="Footnotesection"/>
      </w:pPr>
      <w:r>
        <w:tab/>
        <w:t>[Regulation 243 amended: Gazette 28 Nov 2014 p. 4410</w:t>
      </w:r>
      <w:r>
        <w:noBreakHyphen/>
        <w:t>11.]</w:t>
      </w:r>
    </w:p>
    <w:p>
      <w:pPr>
        <w:pStyle w:val="Heading5"/>
      </w:pPr>
      <w:bookmarkStart w:id="469" w:name="_Toc109833217"/>
      <w:r>
        <w:rPr>
          <w:rStyle w:val="CharSectno"/>
        </w:rPr>
        <w:t>243A</w:t>
      </w:r>
      <w:r>
        <w:t>.</w:t>
      </w:r>
      <w:r>
        <w:tab/>
        <w:t>Persons taken to hold an approved diploma level education and care qualification for regulation 128 in Queensland</w:t>
      </w:r>
      <w:bookmarkEnd w:id="469"/>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Gazette 13 Dec 2013 p.</w:t>
      </w:r>
      <w:r>
        <w:rPr>
          <w:sz w:val="19"/>
        </w:rPr>
        <w:t> </w:t>
      </w:r>
      <w:r>
        <w:t>6169.]</w:t>
      </w:r>
    </w:p>
    <w:p>
      <w:pPr>
        <w:pStyle w:val="Heading5"/>
      </w:pPr>
      <w:bookmarkStart w:id="470" w:name="_Toc109833218"/>
      <w:r>
        <w:rPr>
          <w:rStyle w:val="CharSectno"/>
        </w:rPr>
        <w:lastRenderedPageBreak/>
        <w:t>244</w:t>
      </w:r>
      <w:r>
        <w:t>.</w:t>
      </w:r>
      <w:r>
        <w:tab/>
        <w:t>Persons taken to hold an approved certificate III level education and care qualification</w:t>
      </w:r>
      <w:bookmarkEnd w:id="470"/>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in Queensland, held a qualification that is published under regulation 137(2)(b) in the list of former qualifications approved as certificate III level education and care qualifications.</w:t>
      </w:r>
    </w:p>
    <w:p>
      <w:pPr>
        <w:pStyle w:val="Footnotesection"/>
      </w:pPr>
      <w:r>
        <w:tab/>
        <w:t>[Regulation 244 amended: Gazette 28 Nov 2014 p. 4411.]</w:t>
      </w:r>
    </w:p>
    <w:p>
      <w:pPr>
        <w:pStyle w:val="Ednotesection"/>
      </w:pPr>
      <w:r>
        <w:t>[</w:t>
      </w:r>
      <w:r>
        <w:rPr>
          <w:b/>
        </w:rPr>
        <w:t>245-247.</w:t>
      </w:r>
      <w:r>
        <w:tab/>
        <w:t>Deleted: Gazette 28 Sep 2018 p. 3648.]</w:t>
      </w:r>
    </w:p>
    <w:p>
      <w:pPr>
        <w:pStyle w:val="Heading4"/>
      </w:pPr>
      <w:bookmarkStart w:id="471" w:name="_Toc109740795"/>
      <w:bookmarkStart w:id="472" w:name="_Toc109741624"/>
      <w:bookmarkStart w:id="473" w:name="_Toc109833219"/>
      <w:r>
        <w:t>Division 3 — Physical environment</w:t>
      </w:r>
      <w:bookmarkEnd w:id="471"/>
      <w:bookmarkEnd w:id="472"/>
      <w:bookmarkEnd w:id="473"/>
    </w:p>
    <w:p>
      <w:pPr>
        <w:pStyle w:val="Heading5"/>
      </w:pPr>
      <w:bookmarkStart w:id="474" w:name="_Toc109833220"/>
      <w:r>
        <w:rPr>
          <w:rStyle w:val="CharSectno"/>
        </w:rPr>
        <w:t>248</w:t>
      </w:r>
      <w:r>
        <w:t>.</w:t>
      </w:r>
      <w:r>
        <w:tab/>
        <w:t>Centre</w:t>
      </w:r>
      <w:r>
        <w:noBreakHyphen/>
        <w:t>based service offering a preschool program in a composite class in a school</w:t>
      </w:r>
      <w:bookmarkEnd w:id="474"/>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lastRenderedPageBreak/>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475" w:name="_Toc109833221"/>
      <w:r>
        <w:rPr>
          <w:rStyle w:val="CharSectno"/>
        </w:rPr>
        <w:t>249</w:t>
      </w:r>
      <w:r>
        <w:t>.</w:t>
      </w:r>
      <w:r>
        <w:tab/>
        <w:t>Declared approved services (other than declared approved family day care services)</w:t>
      </w:r>
      <w:bookmarkEnd w:id="475"/>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that regulation does not apply to the declared approved service until —</w:t>
      </w:r>
    </w:p>
    <w:p>
      <w:pPr>
        <w:pStyle w:val="Indenta"/>
      </w:pPr>
      <w:r>
        <w:tab/>
        <w:t>(a)</w:t>
      </w:r>
      <w:r>
        <w:tab/>
        <w:t>the premises of the declared approved service are renovated; or</w:t>
      </w:r>
    </w:p>
    <w:p>
      <w:pPr>
        <w:pStyle w:val="Indenta"/>
      </w:pPr>
      <w:r>
        <w:tab/>
        <w:t>(b)</w:t>
      </w:r>
      <w:r>
        <w:tab/>
        <w:t>the service approval for the declared approved service is transferred under section 58 of the Law.</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t>Notes for this regulation:</w:t>
      </w:r>
    </w:p>
    <w:p>
      <w:pPr>
        <w:pStyle w:val="PermNoteText"/>
      </w:pPr>
      <w:r>
        <w:tab/>
        <w:t>1.</w:t>
      </w:r>
      <w:r>
        <w:tab/>
        <w:t>See also Division 7.</w:t>
      </w:r>
    </w:p>
    <w:p>
      <w:pPr>
        <w:pStyle w:val="PermNoteText"/>
      </w:pPr>
      <w:r>
        <w:tab/>
        <w:t>2.</w:t>
      </w:r>
      <w:r>
        <w:tab/>
        <w:t>This regulation differs from regulation 249 of the national regulations made by the Ministerial Council.</w:t>
      </w:r>
    </w:p>
    <w:p>
      <w:pPr>
        <w:pStyle w:val="Footnotesection"/>
      </w:pPr>
      <w:r>
        <w:tab/>
        <w:t>[Regulation 249 amended: Gazette 28 Sep 2018 p. 3649.]</w:t>
      </w:r>
    </w:p>
    <w:p>
      <w:pPr>
        <w:pStyle w:val="Heading5"/>
      </w:pPr>
      <w:bookmarkStart w:id="476" w:name="_Toc109833222"/>
      <w:r>
        <w:rPr>
          <w:rStyle w:val="CharSectno"/>
        </w:rPr>
        <w:lastRenderedPageBreak/>
        <w:t>250</w:t>
      </w:r>
      <w:r>
        <w:t>.</w:t>
      </w:r>
      <w:r>
        <w:tab/>
        <w:t>Declared approved family day care services</w:t>
      </w:r>
      <w:bookmarkEnd w:id="476"/>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477" w:name="_Toc109833223"/>
      <w:r>
        <w:rPr>
          <w:rStyle w:val="CharSectno"/>
        </w:rPr>
        <w:t>251</w:t>
      </w:r>
      <w:r>
        <w:t>.</w:t>
      </w:r>
      <w:r>
        <w:tab/>
        <w:t>Declared out of scope services</w:t>
      </w:r>
      <w:bookmarkEnd w:id="477"/>
    </w:p>
    <w:p>
      <w:pPr>
        <w:pStyle w:val="Subsection"/>
      </w:pPr>
      <w:r>
        <w:tab/>
        <w:t>(1)</w:t>
      </w:r>
      <w:r>
        <w:tab/>
        <w:t>This regulation applies to a declared out of scope service for which a person is taken to hold a service approval under section 309 of the Law.</w:t>
      </w:r>
    </w:p>
    <w:p>
      <w:pPr>
        <w:pStyle w:val="Subsection"/>
      </w:pPr>
      <w:r>
        <w:lastRenderedPageBreak/>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keepNext/>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478" w:name="_Toc109740800"/>
      <w:bookmarkStart w:id="479" w:name="_Toc109741629"/>
      <w:bookmarkStart w:id="480" w:name="_Toc109833224"/>
      <w:r>
        <w:t>Division 4 — Information retention and sharing</w:t>
      </w:r>
      <w:bookmarkEnd w:id="478"/>
      <w:bookmarkEnd w:id="479"/>
      <w:bookmarkEnd w:id="480"/>
    </w:p>
    <w:p>
      <w:pPr>
        <w:pStyle w:val="Heading5"/>
      </w:pPr>
      <w:bookmarkStart w:id="481" w:name="_Toc109833225"/>
      <w:r>
        <w:rPr>
          <w:rStyle w:val="CharSectno"/>
        </w:rPr>
        <w:t>252</w:t>
      </w:r>
      <w:r>
        <w:t>.</w:t>
      </w:r>
      <w:r>
        <w:tab/>
        <w:t>Information held by Regulatory Authority or regulatory body</w:t>
      </w:r>
      <w:bookmarkEnd w:id="481"/>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482" w:name="_Toc109833226"/>
      <w:r>
        <w:rPr>
          <w:rStyle w:val="CharSectno"/>
        </w:rPr>
        <w:lastRenderedPageBreak/>
        <w:t>253</w:t>
      </w:r>
      <w:r>
        <w:t>.</w:t>
      </w:r>
      <w:r>
        <w:tab/>
        <w:t>Information kept by approved provider</w:t>
      </w:r>
      <w:bookmarkEnd w:id="482"/>
    </w:p>
    <w:p>
      <w:pPr>
        <w:pStyle w:val="Subsection"/>
      </w:pPr>
      <w:r>
        <w:tab/>
      </w:r>
      <w:r>
        <w:tab/>
        <w:t>For the purposes of section 322(3) of the Law, the documents must be kept in accordance with regulation 183.</w:t>
      </w:r>
    </w:p>
    <w:p>
      <w:pPr>
        <w:pStyle w:val="Heading4"/>
      </w:pPr>
      <w:bookmarkStart w:id="483" w:name="_Toc109740803"/>
      <w:bookmarkStart w:id="484" w:name="_Toc109741632"/>
      <w:bookmarkStart w:id="485" w:name="_Toc109833227"/>
      <w:r>
        <w:t>Division 5 — Declared approved learning frameworks</w:t>
      </w:r>
      <w:bookmarkEnd w:id="483"/>
      <w:bookmarkEnd w:id="484"/>
      <w:bookmarkEnd w:id="485"/>
    </w:p>
    <w:p>
      <w:pPr>
        <w:pStyle w:val="Heading5"/>
      </w:pPr>
      <w:bookmarkStart w:id="486" w:name="_Toc109833228"/>
      <w:r>
        <w:rPr>
          <w:rStyle w:val="CharSectno"/>
        </w:rPr>
        <w:t>254</w:t>
      </w:r>
      <w:r>
        <w:t>.</w:t>
      </w:r>
      <w:r>
        <w:tab/>
        <w:t>Declared approved learning frameworks</w:t>
      </w:r>
      <w:bookmarkEnd w:id="486"/>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Belonging, Being and Becoming: The Early Years Learning Framework for Australia, produced by the Department of Education, Employment and Workplace Relations of the Commonwealth for the Council of Australian Governments, 2009;</w:t>
      </w:r>
    </w:p>
    <w:p>
      <w:pPr>
        <w:pStyle w:val="Indenta"/>
      </w:pPr>
      <w:r>
        <w:tab/>
        <w:t>(b)</w:t>
      </w:r>
      <w:r>
        <w:tab/>
        <w:t>My Time, Our Place: Framework for School Age Care in Australia produced by the Commonwealth Government Department of Education, Employment and Workplace Relations for the Council of Australian Governments, 2011.</w:t>
      </w:r>
    </w:p>
    <w:p>
      <w:pPr>
        <w:pStyle w:val="Subsection"/>
      </w:pPr>
      <w:r>
        <w:tab/>
        <w:t>(2)</w:t>
      </w:r>
      <w:r>
        <w:tab/>
        <w:t>For the purpose of section 323 of the Law, the Curriculum Framework for Kindergarten to Year 12 Education in Western Australia, as in force on the scheme commencement day, is a declared approved learning framework for the purpose of the Law as it applies in that jurisdiction.</w:t>
      </w:r>
    </w:p>
    <w:p>
      <w:pPr>
        <w:pStyle w:val="Ednotesubsection"/>
      </w:pPr>
      <w:r>
        <w:tab/>
        <w:t>[(3)</w:t>
      </w:r>
      <w:r>
        <w:tab/>
        <w:t>deleted]</w:t>
      </w:r>
    </w:p>
    <w:p>
      <w:pPr>
        <w:pStyle w:val="Footnotesection"/>
      </w:pPr>
      <w:r>
        <w:tab/>
        <w:t>[Regulation 254 amended: Gazette 3 Nov 2017 p. 5485.]</w:t>
      </w:r>
    </w:p>
    <w:p>
      <w:pPr>
        <w:pStyle w:val="Heading4"/>
        <w:keepNext w:val="0"/>
      </w:pPr>
      <w:bookmarkStart w:id="487" w:name="_Toc109740805"/>
      <w:bookmarkStart w:id="488" w:name="_Toc109741634"/>
      <w:bookmarkStart w:id="489" w:name="_Toc109833229"/>
      <w:r>
        <w:t>Division 6 — Fees</w:t>
      </w:r>
      <w:bookmarkEnd w:id="487"/>
      <w:bookmarkEnd w:id="488"/>
      <w:bookmarkEnd w:id="489"/>
    </w:p>
    <w:p>
      <w:pPr>
        <w:pStyle w:val="Heading5"/>
        <w:keepNext w:val="0"/>
      </w:pPr>
      <w:bookmarkStart w:id="490" w:name="_Toc109833230"/>
      <w:r>
        <w:rPr>
          <w:rStyle w:val="CharSectno"/>
        </w:rPr>
        <w:t>255</w:t>
      </w:r>
      <w:r>
        <w:t>.</w:t>
      </w:r>
      <w:r>
        <w:tab/>
        <w:t>Fees for application for provider approval for declared out of scope service</w:t>
      </w:r>
      <w:bookmarkEnd w:id="490"/>
      <w:r>
        <w:t xml:space="preserve"> </w:t>
      </w:r>
    </w:p>
    <w:p>
      <w:pPr>
        <w:pStyle w:val="Subsection"/>
      </w:pPr>
      <w:r>
        <w:tab/>
      </w:r>
      <w:r>
        <w:tab/>
        <w:t xml:space="preserve">Despite anything to the contrary in these Regulations, the fee for an application for a provider approval for a declared out of </w:t>
      </w:r>
      <w:r>
        <w:lastRenderedPageBreak/>
        <w:t>scope service made in accordance with section 309 of the Law is nil.</w:t>
      </w:r>
    </w:p>
    <w:p>
      <w:pPr>
        <w:pStyle w:val="Heading4"/>
      </w:pPr>
      <w:bookmarkStart w:id="491" w:name="_Toc109740807"/>
      <w:bookmarkStart w:id="492" w:name="_Toc109741636"/>
      <w:bookmarkStart w:id="493" w:name="_Toc109833231"/>
      <w:r>
        <w:t>Division 7 — General provisions relating to exemptions</w:t>
      </w:r>
      <w:bookmarkEnd w:id="491"/>
      <w:bookmarkEnd w:id="492"/>
      <w:bookmarkEnd w:id="493"/>
    </w:p>
    <w:p>
      <w:pPr>
        <w:pStyle w:val="Heading5"/>
      </w:pPr>
      <w:bookmarkStart w:id="494" w:name="_Toc109833232"/>
      <w:r>
        <w:rPr>
          <w:rStyle w:val="CharSectno"/>
        </w:rPr>
        <w:t>256</w:t>
      </w:r>
      <w:r>
        <w:t>.</w:t>
      </w:r>
      <w:r>
        <w:tab/>
        <w:t>Publication where service taken to comply with regulations</w:t>
      </w:r>
      <w:bookmarkEnd w:id="494"/>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495" w:name="_Toc109833233"/>
      <w:r>
        <w:rPr>
          <w:rStyle w:val="CharSectno"/>
        </w:rPr>
        <w:t>257</w:t>
      </w:r>
      <w:r>
        <w:t>.</w:t>
      </w:r>
      <w:r>
        <w:tab/>
        <w:t>Application for removal of exemption</w:t>
      </w:r>
      <w:bookmarkEnd w:id="495"/>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lastRenderedPageBreak/>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pPr>
      <w:bookmarkStart w:id="496" w:name="_Toc109740810"/>
      <w:bookmarkStart w:id="497" w:name="_Toc109741639"/>
      <w:bookmarkStart w:id="498" w:name="_Toc109833234"/>
      <w:r>
        <w:rPr>
          <w:rStyle w:val="CharDivNo"/>
        </w:rPr>
        <w:t>Part 7.2</w:t>
      </w:r>
      <w:r>
        <w:t> — </w:t>
      </w:r>
      <w:r>
        <w:rPr>
          <w:rStyle w:val="CharDivText"/>
        </w:rPr>
        <w:t>Australian Capital Territory — specific provisions</w:t>
      </w:r>
      <w:bookmarkEnd w:id="496"/>
      <w:bookmarkEnd w:id="497"/>
      <w:bookmarkEnd w:id="498"/>
    </w:p>
    <w:p>
      <w:pPr>
        <w:pStyle w:val="PermNoteHeading"/>
      </w:pPr>
      <w:r>
        <w:tab/>
        <w:t>Note for this Part:</w:t>
      </w:r>
    </w:p>
    <w:p>
      <w:pPr>
        <w:pStyle w:val="PermNoteText"/>
      </w:pPr>
      <w:r>
        <w:tab/>
      </w:r>
      <w:r>
        <w:tab/>
        <w:t>The national regulations made by the Ministerial Council include provisions as Part 7.2.</w:t>
      </w:r>
    </w:p>
    <w:p>
      <w:pPr>
        <w:pStyle w:val="Heading3"/>
        <w:rPr>
          <w:rStyle w:val="CharDivText"/>
        </w:rPr>
      </w:pPr>
      <w:bookmarkStart w:id="499" w:name="_Toc109740811"/>
      <w:bookmarkStart w:id="500" w:name="_Toc109741640"/>
      <w:bookmarkStart w:id="501" w:name="_Toc109833235"/>
      <w:r>
        <w:rPr>
          <w:rStyle w:val="CharDivNo"/>
        </w:rPr>
        <w:t>Part 7.3</w:t>
      </w:r>
      <w:r>
        <w:t> — </w:t>
      </w:r>
      <w:r>
        <w:rPr>
          <w:rStyle w:val="CharDivText"/>
        </w:rPr>
        <w:t>New South Wales — specific provisions</w:t>
      </w:r>
      <w:bookmarkEnd w:id="499"/>
      <w:bookmarkEnd w:id="500"/>
      <w:bookmarkEnd w:id="501"/>
    </w:p>
    <w:p>
      <w:pPr>
        <w:pStyle w:val="PermNoteHeading"/>
      </w:pPr>
      <w:r>
        <w:tab/>
        <w:t>Note for this Part:</w:t>
      </w:r>
    </w:p>
    <w:p>
      <w:pPr>
        <w:pStyle w:val="PermNoteText"/>
      </w:pPr>
      <w:r>
        <w:tab/>
      </w:r>
      <w:r>
        <w:tab/>
        <w:t>The national regulations made by the Ministerial Council include provisions as Part 7.3.</w:t>
      </w:r>
    </w:p>
    <w:p>
      <w:pPr>
        <w:pStyle w:val="Heading3"/>
        <w:rPr>
          <w:rStyle w:val="CharDivText"/>
        </w:rPr>
      </w:pPr>
      <w:bookmarkStart w:id="502" w:name="_Toc109740812"/>
      <w:bookmarkStart w:id="503" w:name="_Toc109741641"/>
      <w:bookmarkStart w:id="504" w:name="_Toc109833236"/>
      <w:r>
        <w:rPr>
          <w:rStyle w:val="CharDivNo"/>
        </w:rPr>
        <w:t>Part 7.4</w:t>
      </w:r>
      <w:r>
        <w:t> — </w:t>
      </w:r>
      <w:r>
        <w:rPr>
          <w:rStyle w:val="CharDivText"/>
        </w:rPr>
        <w:t>Northern Territory — specific provisions</w:t>
      </w:r>
      <w:bookmarkEnd w:id="502"/>
      <w:bookmarkEnd w:id="503"/>
      <w:bookmarkEnd w:id="504"/>
    </w:p>
    <w:p>
      <w:pPr>
        <w:pStyle w:val="PermNoteHeading"/>
      </w:pPr>
      <w:r>
        <w:tab/>
        <w:t>Note for this Part:</w:t>
      </w:r>
    </w:p>
    <w:p>
      <w:pPr>
        <w:pStyle w:val="PermNoteText"/>
      </w:pPr>
      <w:r>
        <w:tab/>
      </w:r>
      <w:r>
        <w:tab/>
        <w:t>The national regulations made by the Ministerial Council include provisions as Part 7.4.</w:t>
      </w:r>
    </w:p>
    <w:p>
      <w:pPr>
        <w:pStyle w:val="Heading3"/>
        <w:rPr>
          <w:rStyle w:val="CharDivText"/>
        </w:rPr>
      </w:pPr>
      <w:bookmarkStart w:id="505" w:name="_Toc109740813"/>
      <w:bookmarkStart w:id="506" w:name="_Toc109741642"/>
      <w:bookmarkStart w:id="507" w:name="_Toc109833237"/>
      <w:r>
        <w:rPr>
          <w:rStyle w:val="CharDivNo"/>
        </w:rPr>
        <w:t>Part 7.5</w:t>
      </w:r>
      <w:r>
        <w:t> — </w:t>
      </w:r>
      <w:r>
        <w:rPr>
          <w:rStyle w:val="CharDivText"/>
        </w:rPr>
        <w:t>Queensland — specific provisions</w:t>
      </w:r>
      <w:bookmarkEnd w:id="505"/>
      <w:bookmarkEnd w:id="506"/>
      <w:bookmarkEnd w:id="507"/>
    </w:p>
    <w:p>
      <w:pPr>
        <w:pStyle w:val="PermNoteHeading"/>
      </w:pPr>
      <w:r>
        <w:tab/>
        <w:t>Note for this Part:</w:t>
      </w:r>
    </w:p>
    <w:p>
      <w:pPr>
        <w:pStyle w:val="PermNoteText"/>
      </w:pPr>
      <w:r>
        <w:tab/>
      </w:r>
      <w:r>
        <w:tab/>
        <w:t>The national regulations made by the Ministerial Council include provisions as Part 7.5.</w:t>
      </w:r>
    </w:p>
    <w:p>
      <w:pPr>
        <w:pStyle w:val="Heading3"/>
        <w:rPr>
          <w:rStyle w:val="CharDivText"/>
        </w:rPr>
      </w:pPr>
      <w:bookmarkStart w:id="508" w:name="_Toc109740814"/>
      <w:bookmarkStart w:id="509" w:name="_Toc109741643"/>
      <w:bookmarkStart w:id="510" w:name="_Toc109833238"/>
      <w:r>
        <w:rPr>
          <w:rStyle w:val="CharDivNo"/>
        </w:rPr>
        <w:t>Part 7.6</w:t>
      </w:r>
      <w:r>
        <w:t> — </w:t>
      </w:r>
      <w:r>
        <w:rPr>
          <w:rStyle w:val="CharDivText"/>
        </w:rPr>
        <w:t>South Australia — specific provisions</w:t>
      </w:r>
      <w:bookmarkEnd w:id="508"/>
      <w:bookmarkEnd w:id="509"/>
      <w:bookmarkEnd w:id="510"/>
    </w:p>
    <w:p>
      <w:pPr>
        <w:pStyle w:val="PermNoteHeading"/>
      </w:pPr>
      <w:r>
        <w:tab/>
        <w:t>Note for this Part:</w:t>
      </w:r>
    </w:p>
    <w:p>
      <w:pPr>
        <w:pStyle w:val="PermNoteText"/>
      </w:pPr>
      <w:r>
        <w:tab/>
      </w:r>
      <w:r>
        <w:tab/>
        <w:t>The national regulations made by the Ministerial Council include provisions as Part 7.6.</w:t>
      </w:r>
    </w:p>
    <w:p>
      <w:pPr>
        <w:pStyle w:val="Heading3"/>
        <w:rPr>
          <w:rStyle w:val="CharDivText"/>
        </w:rPr>
      </w:pPr>
      <w:bookmarkStart w:id="511" w:name="_Toc109740815"/>
      <w:bookmarkStart w:id="512" w:name="_Toc109741644"/>
      <w:bookmarkStart w:id="513" w:name="_Toc109833239"/>
      <w:r>
        <w:rPr>
          <w:rStyle w:val="CharDivNo"/>
        </w:rPr>
        <w:lastRenderedPageBreak/>
        <w:t>Part 7.7</w:t>
      </w:r>
      <w:r>
        <w:t> — </w:t>
      </w:r>
      <w:r>
        <w:rPr>
          <w:rStyle w:val="CharDivText"/>
        </w:rPr>
        <w:t>Tasmania — specific provisions</w:t>
      </w:r>
      <w:bookmarkEnd w:id="511"/>
      <w:bookmarkEnd w:id="512"/>
      <w:bookmarkEnd w:id="513"/>
    </w:p>
    <w:p>
      <w:pPr>
        <w:pStyle w:val="PermNoteHeading"/>
      </w:pPr>
      <w:r>
        <w:tab/>
        <w:t>Note for this Part:</w:t>
      </w:r>
    </w:p>
    <w:p>
      <w:pPr>
        <w:pStyle w:val="PermNoteText"/>
      </w:pPr>
      <w:r>
        <w:tab/>
      </w:r>
      <w:r>
        <w:tab/>
        <w:t>The national regulations made by the Ministerial Council include provisions as Part 7.7.</w:t>
      </w:r>
    </w:p>
    <w:p>
      <w:pPr>
        <w:pStyle w:val="Heading3"/>
        <w:rPr>
          <w:rStyle w:val="CharDivText"/>
        </w:rPr>
      </w:pPr>
      <w:bookmarkStart w:id="514" w:name="_Toc109740816"/>
      <w:bookmarkStart w:id="515" w:name="_Toc109741645"/>
      <w:bookmarkStart w:id="516" w:name="_Toc109833240"/>
      <w:r>
        <w:rPr>
          <w:rStyle w:val="CharDivNo"/>
        </w:rPr>
        <w:t>Part 7.8</w:t>
      </w:r>
      <w:r>
        <w:t> — </w:t>
      </w:r>
      <w:r>
        <w:rPr>
          <w:rStyle w:val="CharDivText"/>
        </w:rPr>
        <w:t>Victoria — specific provisions</w:t>
      </w:r>
      <w:bookmarkEnd w:id="514"/>
      <w:bookmarkEnd w:id="515"/>
      <w:bookmarkEnd w:id="516"/>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517" w:name="_Toc109740817"/>
      <w:bookmarkStart w:id="518" w:name="_Toc109741646"/>
      <w:bookmarkStart w:id="519" w:name="_Toc109833241"/>
      <w:r>
        <w:rPr>
          <w:rStyle w:val="CharDivNo"/>
        </w:rPr>
        <w:t>Part 7.9</w:t>
      </w:r>
      <w:r>
        <w:t> — </w:t>
      </w:r>
      <w:r>
        <w:rPr>
          <w:rStyle w:val="CharDivText"/>
        </w:rPr>
        <w:t>Western Australia — specific provisions</w:t>
      </w:r>
      <w:bookmarkEnd w:id="517"/>
      <w:bookmarkEnd w:id="518"/>
      <w:bookmarkEnd w:id="519"/>
    </w:p>
    <w:p>
      <w:pPr>
        <w:pStyle w:val="Heading4"/>
        <w:spacing w:before="220"/>
      </w:pPr>
      <w:bookmarkStart w:id="520" w:name="_Toc109740818"/>
      <w:bookmarkStart w:id="521" w:name="_Toc109741647"/>
      <w:bookmarkStart w:id="522" w:name="_Toc109833242"/>
      <w:r>
        <w:t>Division 1 — Application of Part 7.9</w:t>
      </w:r>
      <w:bookmarkEnd w:id="520"/>
      <w:bookmarkEnd w:id="521"/>
      <w:bookmarkEnd w:id="522"/>
    </w:p>
    <w:p>
      <w:pPr>
        <w:pStyle w:val="Heading5"/>
        <w:spacing w:before="210"/>
      </w:pPr>
      <w:bookmarkStart w:id="523" w:name="_Toc109833243"/>
      <w:r>
        <w:rPr>
          <w:rStyle w:val="CharSectno"/>
        </w:rPr>
        <w:t>367</w:t>
      </w:r>
      <w:r>
        <w:t>.</w:t>
      </w:r>
      <w:r>
        <w:tab/>
        <w:t>Application of Part 7.9</w:t>
      </w:r>
      <w:bookmarkEnd w:id="523"/>
      <w:r>
        <w:t xml:space="preserve"> </w:t>
      </w:r>
    </w:p>
    <w:p>
      <w:pPr>
        <w:pStyle w:val="Subsection"/>
        <w:spacing w:before="140"/>
      </w:pPr>
      <w:r>
        <w:tab/>
      </w:r>
      <w:r>
        <w:tab/>
        <w:t>This Part applies to Western Australia.</w:t>
      </w:r>
    </w:p>
    <w:p>
      <w:pPr>
        <w:pStyle w:val="Heading5"/>
      </w:pPr>
      <w:bookmarkStart w:id="524" w:name="_Toc109833244"/>
      <w:r>
        <w:rPr>
          <w:rStyle w:val="CharSectno"/>
        </w:rPr>
        <w:t>368</w:t>
      </w:r>
      <w:r>
        <w:t>.</w:t>
      </w:r>
      <w:r>
        <w:tab/>
        <w:t>Definitions</w:t>
      </w:r>
      <w:bookmarkEnd w:id="524"/>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Western Australia;</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lastRenderedPageBreak/>
        <w:tab/>
      </w:r>
      <w:r>
        <w:rPr>
          <w:rStyle w:val="CharDefText"/>
        </w:rPr>
        <w:t>school</w:t>
      </w:r>
      <w:r>
        <w:t xml:space="preserve"> means a school or community kindergarten established or registered pursuant to the </w:t>
      </w:r>
      <w:r>
        <w:rPr>
          <w:i/>
          <w:iCs/>
        </w:rPr>
        <w:t>School Education Act 1999</w:t>
      </w:r>
      <w:r>
        <w:t xml:space="preserve"> of Western Australia;</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Western Australia.</w:t>
      </w:r>
    </w:p>
    <w:p>
      <w:pPr>
        <w:pStyle w:val="Heading4"/>
      </w:pPr>
      <w:bookmarkStart w:id="525" w:name="_Toc109740821"/>
      <w:bookmarkStart w:id="526" w:name="_Toc109741650"/>
      <w:bookmarkStart w:id="527" w:name="_Toc109833245"/>
      <w:r>
        <w:t>Division 1A — Exceeding National Quality Standard</w:t>
      </w:r>
      <w:bookmarkEnd w:id="525"/>
      <w:bookmarkEnd w:id="526"/>
      <w:bookmarkEnd w:id="527"/>
    </w:p>
    <w:p>
      <w:pPr>
        <w:pStyle w:val="Footnoteheading"/>
      </w:pPr>
      <w:r>
        <w:tab/>
        <w:t>[Heading inserted: Gazette 28 Nov 2014 p. 4411.]</w:t>
      </w:r>
    </w:p>
    <w:p>
      <w:pPr>
        <w:pStyle w:val="Heading5"/>
      </w:pPr>
      <w:bookmarkStart w:id="528" w:name="_Toc109833246"/>
      <w:r>
        <w:rPr>
          <w:rStyle w:val="CharSectno"/>
        </w:rPr>
        <w:t>368A</w:t>
      </w:r>
      <w:r>
        <w:t>.</w:t>
      </w:r>
      <w:r>
        <w:tab/>
        <w:t>Exceeding National Quality Standard: educational program and practice quality area</w:t>
      </w:r>
      <w:bookmarkEnd w:id="528"/>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tab/>
        <w:t>[Regulation 368A inserted: Gazette 6 Jun 2014 p. 1788; amended: Gazette 28 Nov 2014 p. 4411.]</w:t>
      </w:r>
    </w:p>
    <w:p>
      <w:pPr>
        <w:pStyle w:val="Heading4"/>
      </w:pPr>
      <w:bookmarkStart w:id="529" w:name="_Toc109740823"/>
      <w:bookmarkStart w:id="530" w:name="_Toc109741652"/>
      <w:bookmarkStart w:id="531" w:name="_Toc109833247"/>
      <w:r>
        <w:lastRenderedPageBreak/>
        <w:t>Division 2 — Minimum number of educators and qualifications required — children over preschool age</w:t>
      </w:r>
      <w:bookmarkEnd w:id="529"/>
      <w:bookmarkEnd w:id="530"/>
      <w:bookmarkEnd w:id="531"/>
    </w:p>
    <w:p>
      <w:pPr>
        <w:pStyle w:val="Heading5"/>
      </w:pPr>
      <w:bookmarkStart w:id="532" w:name="_Toc109833248"/>
      <w:r>
        <w:rPr>
          <w:rStyle w:val="CharSectno"/>
        </w:rPr>
        <w:t>369</w:t>
      </w:r>
      <w:r>
        <w:t>.</w:t>
      </w:r>
      <w:r>
        <w:tab/>
        <w:t>Educator to child ratios — children over preschool age</w:t>
      </w:r>
      <w:bookmarkEnd w:id="532"/>
      <w:r>
        <w:t xml:space="preserve"> </w:t>
      </w:r>
    </w:p>
    <w:p>
      <w:pPr>
        <w:pStyle w:val="Subsection"/>
        <w:spacing w:after="120"/>
      </w:pPr>
      <w:r>
        <w:tab/>
      </w:r>
      <w:r>
        <w:tab/>
        <w:t>For the purposes of regulation 123(1)(d), the educator to child ratios for children over preschool age are set out in column 3 of the following 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Over preschool age (at least one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bl>
    <w:p>
      <w:pPr>
        <w:pStyle w:val="PermNoteHeading"/>
      </w:pPr>
      <w:r>
        <w:tab/>
        <w:t>Note for this regulation:</w:t>
      </w:r>
    </w:p>
    <w:p>
      <w:pPr>
        <w:pStyle w:val="PermNoteText"/>
      </w:pPr>
      <w:r>
        <w:tab/>
      </w:r>
      <w:r>
        <w:tab/>
        <w:t>This regulation differs from regulation 369 of the national regulations made by the Ministerial Council.</w:t>
      </w:r>
    </w:p>
    <w:p>
      <w:pPr>
        <w:pStyle w:val="Heading5"/>
      </w:pPr>
      <w:bookmarkStart w:id="533" w:name="_Toc109833249"/>
      <w:r>
        <w:rPr>
          <w:rStyle w:val="CharSectno"/>
        </w:rPr>
        <w:t>370</w:t>
      </w:r>
      <w:r>
        <w:t>.</w:t>
      </w:r>
      <w:r>
        <w:tab/>
        <w:t>General qualification requirements for educators — children over preschool age</w:t>
      </w:r>
      <w:bookmarkEnd w:id="533"/>
      <w:r>
        <w:t xml:space="preserve"> </w:t>
      </w:r>
    </w:p>
    <w:p>
      <w:pPr>
        <w:pStyle w:val="Subsection"/>
        <w:spacing w:before="150"/>
      </w:pPr>
      <w:r>
        <w:tab/>
        <w:t>(1)</w:t>
      </w:r>
      <w:r>
        <w:tab/>
        <w:t>This regulation sets out the qualification requirement for educators at a centre</w:t>
      </w:r>
      <w:r>
        <w:noBreakHyphen/>
        <w:t>based service educating and caring for children over preschool age for the purposes of regulation 126(2).</w:t>
      </w:r>
    </w:p>
    <w:p>
      <w:pPr>
        <w:pStyle w:val="Subsection"/>
        <w:spacing w:before="150"/>
      </w:pPr>
      <w:r>
        <w:tab/>
        <w:t>(2)</w:t>
      </w:r>
      <w:r>
        <w:tab/>
        <w:t>The number of educators at the service who are required to be qualified educators is the relevant number set out in column 4 of the Table to regulation 369 in relation to the service.</w:t>
      </w:r>
    </w:p>
    <w:p>
      <w:pPr>
        <w:pStyle w:val="Subsection"/>
        <w:spacing w:before="150"/>
      </w:pPr>
      <w:r>
        <w:tab/>
        <w:t>(3)</w:t>
      </w:r>
      <w:r>
        <w:tab/>
        <w:t xml:space="preserve">In subregulation (2) — </w:t>
      </w:r>
    </w:p>
    <w:p>
      <w:pPr>
        <w:pStyle w:val="Defstart"/>
      </w:pPr>
      <w:r>
        <w:tab/>
      </w:r>
      <w:r>
        <w:rPr>
          <w:rStyle w:val="CharDefText"/>
        </w:rPr>
        <w:t>qualified educator</w:t>
      </w:r>
      <w:r>
        <w:t xml:space="preserve"> means a person who holds a qualification published under regulation 137(2) in the list of approved qualifications for educators working with children over preschool age for Western Australia.</w:t>
      </w:r>
    </w:p>
    <w:p>
      <w:pPr>
        <w:pStyle w:val="Heading4"/>
      </w:pPr>
      <w:bookmarkStart w:id="534" w:name="_Toc109740826"/>
      <w:bookmarkStart w:id="535" w:name="_Toc109741655"/>
      <w:bookmarkStart w:id="536" w:name="_Toc109833250"/>
      <w:r>
        <w:t>Division 3 — Minimum number of educators and qualifications required — centre</w:t>
      </w:r>
      <w:r>
        <w:noBreakHyphen/>
        <w:t>based services — children preschool age or under</w:t>
      </w:r>
      <w:bookmarkEnd w:id="534"/>
      <w:bookmarkEnd w:id="535"/>
      <w:bookmarkEnd w:id="536"/>
    </w:p>
    <w:p>
      <w:pPr>
        <w:pStyle w:val="Ednotesection"/>
      </w:pPr>
      <w:r>
        <w:t>[</w:t>
      </w:r>
      <w:r>
        <w:rPr>
          <w:b/>
        </w:rPr>
        <w:t>371.</w:t>
      </w:r>
      <w:r>
        <w:tab/>
        <w:t>Deleted: Gazette 28 Sep 2018 p. 3649.]</w:t>
      </w:r>
    </w:p>
    <w:p>
      <w:pPr>
        <w:pStyle w:val="Heading5"/>
      </w:pPr>
      <w:bookmarkStart w:id="537" w:name="_Toc109833251"/>
      <w:r>
        <w:rPr>
          <w:rStyle w:val="CharSectno"/>
        </w:rPr>
        <w:lastRenderedPageBreak/>
        <w:t>372</w:t>
      </w:r>
      <w:r>
        <w:t>.</w:t>
      </w:r>
      <w:r>
        <w:tab/>
        <w:t>Educator to child ratio — pre</w:t>
      </w:r>
      <w:r>
        <w:noBreakHyphen/>
        <w:t>kindergarten programme or kindergarten programme provided by a school</w:t>
      </w:r>
      <w:bookmarkEnd w:id="537"/>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538" w:name="_Toc109833252"/>
      <w:r>
        <w:rPr>
          <w:rStyle w:val="CharSectno"/>
        </w:rPr>
        <w:t>373</w:t>
      </w:r>
      <w:r>
        <w:t>.</w:t>
      </w:r>
      <w:r>
        <w:tab/>
        <w:t>Early childhood teachers — pre</w:t>
      </w:r>
      <w:r>
        <w:noBreakHyphen/>
        <w:t>kindergarten programme or kindergarten programme provided by a school</w:t>
      </w:r>
      <w:bookmarkEnd w:id="538"/>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pPr>
      <w:r>
        <w:tab/>
        <w:t>(4)</w:t>
      </w:r>
      <w:r>
        <w:tab/>
        <w:t>An early childhood teacher, or a suitably qualified person if regulation 133 or 134 would otherwise apply, must be in attendance at all times that children are being educated and cared for by the programme.</w:t>
      </w:r>
    </w:p>
    <w:p>
      <w:pPr>
        <w:pStyle w:val="Footnotesection"/>
      </w:pPr>
      <w:r>
        <w:tab/>
        <w:t>[Regulation 373 amended: Gazette 24 Dec 2019 p. 4427.]</w:t>
      </w:r>
    </w:p>
    <w:p>
      <w:pPr>
        <w:pStyle w:val="Heading4"/>
      </w:pPr>
      <w:bookmarkStart w:id="539" w:name="_Toc109740829"/>
      <w:bookmarkStart w:id="540" w:name="_Toc109741658"/>
      <w:bookmarkStart w:id="541" w:name="_Toc109833253"/>
      <w:r>
        <w:lastRenderedPageBreak/>
        <w:t>Division 4 — Transitional provisions — staffing arrangements</w:t>
      </w:r>
      <w:bookmarkEnd w:id="539"/>
      <w:bookmarkEnd w:id="540"/>
      <w:bookmarkEnd w:id="541"/>
    </w:p>
    <w:p>
      <w:pPr>
        <w:pStyle w:val="MiscellaneousHeading"/>
        <w:rPr>
          <w:b/>
          <w:bCs/>
        </w:rPr>
      </w:pPr>
      <w:r>
        <w:rPr>
          <w:b/>
          <w:bCs/>
        </w:rPr>
        <w:t>Subdivision 1 — Centre</w:t>
      </w:r>
      <w:r>
        <w:rPr>
          <w:b/>
          <w:bCs/>
        </w:rPr>
        <w:noBreakHyphen/>
        <w:t>based services</w:t>
      </w:r>
    </w:p>
    <w:p>
      <w:pPr>
        <w:pStyle w:val="Ednotesection"/>
      </w:pPr>
      <w:r>
        <w:t>[</w:t>
      </w:r>
      <w:r>
        <w:rPr>
          <w:b/>
        </w:rPr>
        <w:t>374.</w:t>
      </w:r>
      <w:r>
        <w:tab/>
        <w:t>Deleted: Gazette 28 Sep 2018 p. 3649.]</w:t>
      </w:r>
    </w:p>
    <w:p>
      <w:pPr>
        <w:pStyle w:val="Ednotesection"/>
      </w:pPr>
      <w:r>
        <w:t>[</w:t>
      </w:r>
      <w:r>
        <w:rPr>
          <w:b/>
        </w:rPr>
        <w:t>374A.</w:t>
      </w:r>
      <w:r>
        <w:tab/>
        <w:t>Deleted: Gazette 3 Jul 2015 p. 2668.]</w:t>
      </w:r>
    </w:p>
    <w:p>
      <w:pPr>
        <w:pStyle w:val="Ednotesection"/>
      </w:pPr>
      <w:r>
        <w:t>[</w:t>
      </w:r>
      <w:r>
        <w:rPr>
          <w:b/>
        </w:rPr>
        <w:t>375-378.</w:t>
      </w:r>
      <w:r>
        <w:tab/>
        <w:t>Deleted: Gazette 28 Sep 2018 p. 3649.]</w:t>
      </w:r>
    </w:p>
    <w:p>
      <w:pPr>
        <w:pStyle w:val="Heading5"/>
      </w:pPr>
      <w:bookmarkStart w:id="542" w:name="_Toc109833254"/>
      <w:r>
        <w:rPr>
          <w:rStyle w:val="CharSectno"/>
        </w:rPr>
        <w:t>379</w:t>
      </w:r>
      <w:r>
        <w:t>.</w:t>
      </w:r>
      <w:r>
        <w:tab/>
        <w:t>Educators required to be early childhood teachers</w:t>
      </w:r>
      <w:bookmarkEnd w:id="542"/>
      <w:r>
        <w:t xml:space="preserve"> </w:t>
      </w:r>
    </w:p>
    <w:p>
      <w:pPr>
        <w:pStyle w:val="Ednotesubsection"/>
      </w:pPr>
      <w:r>
        <w:tab/>
        <w:t>[(1)</w:t>
      </w:r>
      <w:r>
        <w:tab/>
        <w:t>deleted]</w:t>
      </w:r>
    </w:p>
    <w:p>
      <w:pPr>
        <w:pStyle w:val="Subsection"/>
      </w:pPr>
      <w:r>
        <w:tab/>
        <w:t>(2)</w:t>
      </w:r>
      <w:r>
        <w:tab/>
        <w:t>Regulations 133(1)(b) and 134(1)(b) do not apply to a centre</w:t>
      </w:r>
      <w:r>
        <w:noBreakHyphen/>
        <w:t>based service until 1 January 2020.</w:t>
      </w:r>
    </w:p>
    <w:p>
      <w:pPr>
        <w:pStyle w:val="Subsection"/>
      </w:pPr>
      <w:r>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pPr>
      <w:r>
        <w:tab/>
      </w:r>
      <w:r>
        <w:tab/>
        <w:t>This regulation differs from regulation 379 of the national regulations made by the Ministerial Council.</w:t>
      </w:r>
    </w:p>
    <w:p>
      <w:pPr>
        <w:pStyle w:val="Footnotesection"/>
      </w:pPr>
      <w:r>
        <w:tab/>
        <w:t>[Regulation 379 amended: Gazette 13 Dec 2013 p.</w:t>
      </w:r>
      <w:r>
        <w:rPr>
          <w:sz w:val="19"/>
        </w:rPr>
        <w:t> </w:t>
      </w:r>
      <w:r>
        <w:t>6170; 28 Sep 2018 p. 3649.]</w:t>
      </w:r>
    </w:p>
    <w:p>
      <w:pPr>
        <w:pStyle w:val="Ednotesubdivision"/>
      </w:pPr>
      <w:r>
        <w:t>[Subdivision 2 deleted: Gazette 28 Sep 2018 p. 3649.]</w:t>
      </w:r>
    </w:p>
    <w:p>
      <w:pPr>
        <w:pStyle w:val="Heading4"/>
      </w:pPr>
      <w:bookmarkStart w:id="543" w:name="_Toc109740831"/>
      <w:bookmarkStart w:id="544" w:name="_Toc109741660"/>
      <w:bookmarkStart w:id="545" w:name="_Toc109833255"/>
      <w:r>
        <w:t>Division 5 — Saving provision — physical environment</w:t>
      </w:r>
      <w:bookmarkEnd w:id="543"/>
      <w:bookmarkEnd w:id="544"/>
      <w:bookmarkEnd w:id="545"/>
    </w:p>
    <w:p>
      <w:pPr>
        <w:pStyle w:val="Heading5"/>
      </w:pPr>
      <w:bookmarkStart w:id="546" w:name="_Toc109833256"/>
      <w:r>
        <w:rPr>
          <w:rStyle w:val="CharSectno"/>
        </w:rPr>
        <w:t>383</w:t>
      </w:r>
      <w:r>
        <w:t>.</w:t>
      </w:r>
      <w:r>
        <w:tab/>
        <w:t>Saving provision — education and care services provided by a school</w:t>
      </w:r>
      <w:bookmarkEnd w:id="546"/>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lastRenderedPageBreak/>
        <w:tab/>
        <w:t>(3)</w:t>
      </w:r>
      <w:r>
        <w:tab/>
        <w:t>For the purpose of a rating assessment under Part 5 of the Law, the service is taken to comply with regulations 107, 108 and 115.</w:t>
      </w:r>
    </w:p>
    <w:p>
      <w:pPr>
        <w:pStyle w:val="Subsection"/>
      </w:pPr>
      <w:r>
        <w:tab/>
        <w:t>(4)</w:t>
      </w:r>
      <w:r>
        <w:tab/>
        <w:t xml:space="preserve">This regulation ceases to apply if — </w:t>
      </w:r>
    </w:p>
    <w:p>
      <w:pPr>
        <w:pStyle w:val="Indenta"/>
      </w:pPr>
      <w:r>
        <w:tab/>
        <w:t>(a)</w:t>
      </w:r>
      <w:r>
        <w:tab/>
        <w:t>the service approval is transferred to an approved provider that is not a school; or</w:t>
      </w:r>
    </w:p>
    <w:p>
      <w:pPr>
        <w:pStyle w:val="Indenta"/>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547" w:name="_Toc109740833"/>
      <w:bookmarkStart w:id="548" w:name="_Toc109741662"/>
      <w:bookmarkStart w:id="549" w:name="_Toc109833257"/>
      <w:r>
        <w:t>Division 6 — Other transitional matters</w:t>
      </w:r>
      <w:bookmarkEnd w:id="547"/>
      <w:bookmarkEnd w:id="548"/>
      <w:bookmarkEnd w:id="549"/>
    </w:p>
    <w:p>
      <w:pPr>
        <w:pStyle w:val="Heading5"/>
      </w:pPr>
      <w:bookmarkStart w:id="550" w:name="_Toc109833258"/>
      <w:r>
        <w:rPr>
          <w:rStyle w:val="CharSectno"/>
        </w:rPr>
        <w:t>384</w:t>
      </w:r>
      <w:r>
        <w:t>.</w:t>
      </w:r>
      <w:r>
        <w:tab/>
        <w:t>Monetary orders under former education and care services law</w:t>
      </w:r>
      <w:bookmarkEnd w:id="550"/>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pPr>
      <w:r>
        <w:tab/>
        <w:t>(2)</w:t>
      </w:r>
      <w:r>
        <w:tab/>
        <w:t xml:space="preserve">In subregulation (1) — </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551" w:name="_Toc109833259"/>
      <w:r>
        <w:rPr>
          <w:rStyle w:val="CharSectno"/>
        </w:rPr>
        <w:t>385</w:t>
      </w:r>
      <w:r>
        <w:t>.</w:t>
      </w:r>
      <w:r>
        <w:tab/>
        <w:t>Proceedings under former education and care services law</w:t>
      </w:r>
      <w:bookmarkEnd w:id="551"/>
      <w:r>
        <w:t xml:space="preserve"> </w:t>
      </w:r>
    </w:p>
    <w:p>
      <w:pPr>
        <w:pStyle w:val="Subsection"/>
      </w:pPr>
      <w:r>
        <w:tab/>
      </w:r>
      <w:r>
        <w:tab/>
        <w:t xml:space="preserve">The Regulatory Authority may commence or continue proceedings under section 29 of the </w:t>
      </w:r>
      <w:r>
        <w:rPr>
          <w:i/>
        </w:rPr>
        <w:t>Child Care Services Act 2007</w:t>
      </w:r>
      <w:r>
        <w:t xml:space="preserve"> of Western Australia in relation to a person who held a </w:t>
      </w:r>
      <w:r>
        <w:lastRenderedPageBreak/>
        <w:t>licence under that Act in relation to a service that is taken to be an education and care service.</w:t>
      </w:r>
    </w:p>
    <w:p>
      <w:pPr>
        <w:pStyle w:val="PermNoteHeading"/>
      </w:pPr>
      <w:r>
        <w:tab/>
        <w:t>Note for this regulation:</w:t>
      </w:r>
    </w:p>
    <w:p>
      <w:pPr>
        <w:pStyle w:val="PermNoteText"/>
      </w:pPr>
      <w:r>
        <w:tab/>
      </w:r>
      <w:r>
        <w:tab/>
        <w:t>Regulation 385 does not form part of the national regulations made by the Ministerial Council.</w:t>
      </w:r>
    </w:p>
    <w:p>
      <w:pPr>
        <w:pStyle w:val="Footnotesection"/>
      </w:pPr>
      <w:r>
        <w:tab/>
        <w:t>[Regulation 385 amended: Gazette 5 Mar 2013 p. 1109.]</w:t>
      </w:r>
    </w:p>
    <w:p>
      <w:pPr>
        <w:pStyle w:val="Heading3"/>
      </w:pPr>
      <w:bookmarkStart w:id="552" w:name="_Toc109740836"/>
      <w:bookmarkStart w:id="553" w:name="_Toc109741665"/>
      <w:bookmarkStart w:id="554" w:name="_Toc109833260"/>
      <w:r>
        <w:rPr>
          <w:rStyle w:val="CharDivNo"/>
        </w:rPr>
        <w:t>Part 7.10</w:t>
      </w:r>
      <w:r>
        <w:t> — </w:t>
      </w:r>
      <w:r>
        <w:rPr>
          <w:rStyle w:val="CharDivText"/>
        </w:rPr>
        <w:t>Transitional and savings provisions — </w:t>
      </w:r>
      <w:r>
        <w:rPr>
          <w:rStyle w:val="CharDivText"/>
          <w:i/>
        </w:rPr>
        <w:t>Education and Care Services National Amendment Regulations (No. 3) 2018</w:t>
      </w:r>
      <w:bookmarkEnd w:id="552"/>
      <w:bookmarkEnd w:id="553"/>
      <w:bookmarkEnd w:id="554"/>
    </w:p>
    <w:p>
      <w:pPr>
        <w:pStyle w:val="Footnoteheading"/>
      </w:pPr>
      <w:r>
        <w:tab/>
        <w:t>[Heading inserted: Gazette 28 Sep 2018 p. 3650.]</w:t>
      </w:r>
    </w:p>
    <w:p>
      <w:pPr>
        <w:pStyle w:val="Ednotedivision"/>
      </w:pPr>
      <w:r>
        <w:t>[Division 1 deleted: Gazette 24 Dec 2019 p. 4427.]</w:t>
      </w:r>
    </w:p>
    <w:p>
      <w:pPr>
        <w:pStyle w:val="Heading4"/>
      </w:pPr>
      <w:bookmarkStart w:id="555" w:name="_Toc109740837"/>
      <w:bookmarkStart w:id="556" w:name="_Toc109741666"/>
      <w:bookmarkStart w:id="557" w:name="_Toc109833261"/>
      <w:r>
        <w:t>Division 2 — Australian Capital Territory</w:t>
      </w:r>
      <w:bookmarkEnd w:id="555"/>
      <w:bookmarkEnd w:id="556"/>
      <w:bookmarkEnd w:id="557"/>
    </w:p>
    <w:p>
      <w:pPr>
        <w:pStyle w:val="Footnoteheading"/>
      </w:pPr>
      <w:r>
        <w:tab/>
        <w:t>[Heading inserted: Gazette 28 Sep 2018 p. 3650.]</w:t>
      </w:r>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Heading4"/>
      </w:pPr>
      <w:bookmarkStart w:id="558" w:name="_Toc109740838"/>
      <w:bookmarkStart w:id="559" w:name="_Toc109741667"/>
      <w:bookmarkStart w:id="560" w:name="_Toc109833262"/>
      <w:r>
        <w:t>Division 3 — New South Wales</w:t>
      </w:r>
      <w:bookmarkEnd w:id="558"/>
      <w:bookmarkEnd w:id="559"/>
      <w:bookmarkEnd w:id="560"/>
    </w:p>
    <w:p>
      <w:pPr>
        <w:pStyle w:val="Footnoteheading"/>
        <w:keepNext/>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3 which are not relevant to Western Australia.</w:t>
      </w:r>
    </w:p>
    <w:p>
      <w:pPr>
        <w:pStyle w:val="Heading4"/>
      </w:pPr>
      <w:bookmarkStart w:id="561" w:name="_Toc109740839"/>
      <w:bookmarkStart w:id="562" w:name="_Toc109741668"/>
      <w:bookmarkStart w:id="563" w:name="_Toc109833263"/>
      <w:r>
        <w:t>Division 4 — Queensland</w:t>
      </w:r>
      <w:bookmarkEnd w:id="561"/>
      <w:bookmarkEnd w:id="562"/>
      <w:bookmarkEnd w:id="563"/>
    </w:p>
    <w:p>
      <w:pPr>
        <w:pStyle w:val="Footnoteheading"/>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4 which are not relevant to Western Australia.</w:t>
      </w:r>
    </w:p>
    <w:p>
      <w:pPr>
        <w:pStyle w:val="Heading4"/>
      </w:pPr>
      <w:bookmarkStart w:id="564" w:name="_Toc109740840"/>
      <w:bookmarkStart w:id="565" w:name="_Toc109741669"/>
      <w:bookmarkStart w:id="566" w:name="_Toc109833264"/>
      <w:r>
        <w:lastRenderedPageBreak/>
        <w:t>Division 5 — Tasmania</w:t>
      </w:r>
      <w:bookmarkEnd w:id="564"/>
      <w:bookmarkEnd w:id="565"/>
      <w:bookmarkEnd w:id="566"/>
    </w:p>
    <w:p>
      <w:pPr>
        <w:pStyle w:val="Footnoteheading"/>
        <w:keepNext/>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5 which are not relevant to Western Australia.</w:t>
      </w:r>
    </w:p>
    <w:p>
      <w:pPr>
        <w:pStyle w:val="Heading4"/>
      </w:pPr>
      <w:bookmarkStart w:id="567" w:name="_Toc109740841"/>
      <w:bookmarkStart w:id="568" w:name="_Toc109741670"/>
      <w:bookmarkStart w:id="569" w:name="_Toc109833265"/>
      <w:r>
        <w:t>Division 6 — Western Australia</w:t>
      </w:r>
      <w:bookmarkEnd w:id="567"/>
      <w:bookmarkEnd w:id="568"/>
      <w:bookmarkEnd w:id="569"/>
    </w:p>
    <w:p>
      <w:pPr>
        <w:pStyle w:val="Footnoteheading"/>
      </w:pPr>
      <w:r>
        <w:tab/>
        <w:t>[Heading inserted: Gazette 28 Sep 2018 p. 3651.]</w:t>
      </w:r>
    </w:p>
    <w:p>
      <w:pPr>
        <w:pStyle w:val="Heading5"/>
      </w:pPr>
      <w:bookmarkStart w:id="570" w:name="_Toc109833266"/>
      <w:r>
        <w:rPr>
          <w:rStyle w:val="CharSectno"/>
        </w:rPr>
        <w:t>393</w:t>
      </w:r>
      <w:r>
        <w:t>.</w:t>
      </w:r>
      <w:r>
        <w:tab/>
        <w:t>Application of Division</w:t>
      </w:r>
      <w:bookmarkEnd w:id="570"/>
    </w:p>
    <w:p>
      <w:pPr>
        <w:pStyle w:val="Subsection"/>
      </w:pPr>
      <w:r>
        <w:tab/>
      </w:r>
      <w:r>
        <w:tab/>
        <w:t>This Division applies to Western Australia.</w:t>
      </w:r>
    </w:p>
    <w:p>
      <w:pPr>
        <w:pStyle w:val="Footnotesection"/>
      </w:pPr>
      <w:r>
        <w:tab/>
        <w:t>[Regulation 393 inserted: Gazette 28 Sep 2018 p. 3651.]</w:t>
      </w:r>
    </w:p>
    <w:p>
      <w:pPr>
        <w:pStyle w:val="Heading5"/>
      </w:pPr>
      <w:bookmarkStart w:id="571" w:name="_Toc109833267"/>
      <w:r>
        <w:rPr>
          <w:rStyle w:val="CharSectno"/>
        </w:rPr>
        <w:t>394</w:t>
      </w:r>
      <w:r>
        <w:t>.</w:t>
      </w:r>
      <w:r>
        <w:tab/>
        <w:t>Resignation of early childhood teacher</w:t>
      </w:r>
      <w:bookmarkEnd w:id="571"/>
    </w:p>
    <w:p>
      <w:pPr>
        <w:pStyle w:val="Subsection"/>
      </w:pPr>
      <w:r>
        <w:tab/>
        <w:t>(1)</w:t>
      </w:r>
      <w:r>
        <w:tab/>
        <w:t>Regulation 135 applies as if the reasons for the early childhood teacher to be absent included resignation.</w:t>
      </w:r>
    </w:p>
    <w:p>
      <w:pPr>
        <w:pStyle w:val="Subsection"/>
      </w:pPr>
      <w:r>
        <w:tab/>
        <w:t>(2)</w:t>
      </w:r>
      <w:r>
        <w:tab/>
        <w:t>This regulation ceases to have effect on 31 December 2023.</w:t>
      </w:r>
    </w:p>
    <w:p>
      <w:pPr>
        <w:pStyle w:val="Footnotesection"/>
      </w:pPr>
      <w:r>
        <w:tab/>
        <w:t>[Regulation 394 inserted as regulation 393: Gazette 28 Sep 2018 p. 3651; renumbered as regulation 394: Gazette 24 Dec 2019 p. 4427; amended: SL 2021/140 r. 9.]</w:t>
      </w:r>
    </w:p>
    <w:p>
      <w:pPr>
        <w:pStyle w:val="Heading2"/>
      </w:pPr>
      <w:bookmarkStart w:id="572" w:name="_Toc109740844"/>
      <w:bookmarkStart w:id="573" w:name="_Toc109741673"/>
      <w:bookmarkStart w:id="574" w:name="_Toc109833268"/>
      <w:r>
        <w:rPr>
          <w:rStyle w:val="CharDivNo"/>
        </w:rPr>
        <w:lastRenderedPageBreak/>
        <w:t>Part 7.11</w:t>
      </w:r>
      <w:r>
        <w:t xml:space="preserve"> — </w:t>
      </w:r>
      <w:r>
        <w:rPr>
          <w:rStyle w:val="CharDivText"/>
        </w:rPr>
        <w:t xml:space="preserve">Transitional and savings provisions for </w:t>
      </w:r>
      <w:r>
        <w:rPr>
          <w:rStyle w:val="CharDivText"/>
          <w:i/>
        </w:rPr>
        <w:t>Education and Care Services National Amendment Regulations 2018</w:t>
      </w:r>
      <w:bookmarkEnd w:id="572"/>
      <w:bookmarkEnd w:id="573"/>
      <w:bookmarkEnd w:id="574"/>
    </w:p>
    <w:p>
      <w:pPr>
        <w:pStyle w:val="Footnoteheading"/>
      </w:pPr>
      <w:r>
        <w:tab/>
        <w:t>[Heading inserted: Gazette 23 Jan 2018 p. 248.]</w:t>
      </w:r>
    </w:p>
    <w:p>
      <w:pPr>
        <w:pStyle w:val="Heading5"/>
      </w:pPr>
      <w:bookmarkStart w:id="575" w:name="_Toc109833269"/>
      <w:r>
        <w:rPr>
          <w:rStyle w:val="CharSectno"/>
        </w:rPr>
        <w:t>395</w:t>
      </w:r>
      <w:r>
        <w:t>.</w:t>
      </w:r>
      <w:r>
        <w:tab/>
        <w:t>Definition</w:t>
      </w:r>
      <w:bookmarkEnd w:id="575"/>
    </w:p>
    <w:p>
      <w:pPr>
        <w:pStyle w:val="Subsection"/>
      </w:pPr>
      <w:r>
        <w:tab/>
        <w:t>(1)</w:t>
      </w:r>
      <w:r>
        <w:tab/>
        <w:t xml:space="preserve">In this Part — </w:t>
      </w:r>
    </w:p>
    <w:p>
      <w:pPr>
        <w:pStyle w:val="Defstart"/>
      </w:pPr>
      <w:r>
        <w:tab/>
      </w:r>
      <w:r>
        <w:rPr>
          <w:rStyle w:val="CharDefText"/>
        </w:rPr>
        <w:t>commencement day</w:t>
      </w:r>
      <w:r>
        <w:t xml:space="preserve"> means 1 February 2018.</w:t>
      </w:r>
    </w:p>
    <w:p>
      <w:pPr>
        <w:pStyle w:val="Subsection"/>
      </w:pPr>
      <w:r>
        <w:tab/>
        <w:t>(2)</w:t>
      </w:r>
      <w:r>
        <w:tab/>
        <w:t>For the purposes of this Part, an assessment or a reassessment and re</w:t>
      </w:r>
      <w:r>
        <w:noBreakHyphen/>
        <w:t>rating is ﬁnalised when the National Authority publishes the rating level for the service under section 160 of the Law.</w:t>
      </w:r>
    </w:p>
    <w:p>
      <w:pPr>
        <w:pStyle w:val="Footnotesection"/>
      </w:pPr>
      <w:r>
        <w:tab/>
        <w:t>[Regulation 395 inserted: Gazette 23 Jan 2018 p. 248.]</w:t>
      </w:r>
    </w:p>
    <w:p>
      <w:pPr>
        <w:pStyle w:val="Heading5"/>
      </w:pPr>
      <w:bookmarkStart w:id="576" w:name="_Toc109833270"/>
      <w:r>
        <w:rPr>
          <w:rStyle w:val="CharSectno"/>
        </w:rPr>
        <w:t>396</w:t>
      </w:r>
      <w:r>
        <w:t>.</w:t>
      </w:r>
      <w:r>
        <w:tab/>
        <w:t>Quality improvement plan held prior to commencement day</w:t>
      </w:r>
      <w:bookmarkEnd w:id="576"/>
    </w:p>
    <w:p>
      <w:pPr>
        <w:pStyle w:val="Subsection"/>
      </w:pPr>
      <w:r>
        <w:tab/>
      </w:r>
      <w:r>
        <w:tab/>
        <w:t xml:space="preserve">A quality improvement plan that, immediately before the commencement day, was a current quality improvement plan for an approved education and care service continues, on and after the commencement day, to be a current quality improvement plan for the service for the purposes of these Regulations until the earlier of the following — </w:t>
      </w:r>
    </w:p>
    <w:p>
      <w:pPr>
        <w:pStyle w:val="Indenta"/>
      </w:pPr>
      <w:r>
        <w:tab/>
        <w:t>(a)</w:t>
      </w:r>
      <w:r>
        <w:tab/>
        <w:t>the approved provider for the service next reviews and revises the plan under regulation 56(1)(a);</w:t>
      </w:r>
    </w:p>
    <w:p>
      <w:pPr>
        <w:pStyle w:val="Indenta"/>
      </w:pPr>
      <w:r>
        <w:tab/>
        <w:t>(b)</w:t>
      </w:r>
      <w:r>
        <w:tab/>
        <w:t>the approved provider for the service reviews and revises the plan at the direction of the Regulatory Authority under regulation 56(1)(b).</w:t>
      </w:r>
    </w:p>
    <w:p>
      <w:pPr>
        <w:pStyle w:val="Footnotesection"/>
      </w:pPr>
      <w:r>
        <w:tab/>
        <w:t>[Regulation 396 inserted: Gazette 23 Jan 2018 p. 248.]</w:t>
      </w:r>
    </w:p>
    <w:p>
      <w:pPr>
        <w:pStyle w:val="Heading5"/>
      </w:pPr>
      <w:bookmarkStart w:id="577" w:name="_Toc109833271"/>
      <w:r>
        <w:rPr>
          <w:rStyle w:val="CharSectno"/>
        </w:rPr>
        <w:t>397</w:t>
      </w:r>
      <w:r>
        <w:t>.</w:t>
      </w:r>
      <w:r>
        <w:tab/>
        <w:t>Assessments commenced prior to commencement day</w:t>
      </w:r>
      <w:bookmarkEnd w:id="577"/>
    </w:p>
    <w:p>
      <w:pPr>
        <w:pStyle w:val="Subsection"/>
      </w:pPr>
      <w:r>
        <w:tab/>
      </w:r>
      <w:r>
        <w:tab/>
        <w:t xml:space="preserve">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w:t>
      </w:r>
      <w:r>
        <w:lastRenderedPageBreak/>
        <w:t>Quality Standard as in force immediately before the commencement day.</w:t>
      </w:r>
    </w:p>
    <w:p>
      <w:pPr>
        <w:pStyle w:val="Footnotesection"/>
      </w:pPr>
      <w:r>
        <w:tab/>
        <w:t>[Regulation 397 inserted: Gazette 23 Jan 2018 p. 248.]</w:t>
      </w:r>
    </w:p>
    <w:p>
      <w:pPr>
        <w:pStyle w:val="Heading5"/>
      </w:pPr>
      <w:bookmarkStart w:id="578" w:name="_Toc109833272"/>
      <w:r>
        <w:rPr>
          <w:rStyle w:val="CharSectno"/>
        </w:rPr>
        <w:t>398</w:t>
      </w:r>
      <w:r>
        <w:t>.</w:t>
      </w:r>
      <w:r>
        <w:tab/>
        <w:t>Reassessment or partial reassessment commenced prior to commencement day</w:t>
      </w:r>
      <w:bookmarkEnd w:id="578"/>
    </w:p>
    <w:p>
      <w:pPr>
        <w:pStyle w:val="Subsection"/>
      </w:pPr>
      <w:r>
        <w:tab/>
        <w:t>(1)</w:t>
      </w:r>
      <w:r>
        <w:tab/>
        <w:t xml:space="preserve">This regulation applies to an approved education and care service if, immediately before the commencement day — </w:t>
      </w:r>
    </w:p>
    <w:p>
      <w:pPr>
        <w:pStyle w:val="Indenta"/>
      </w:pPr>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p>
    <w:p>
      <w:pPr>
        <w:pStyle w:val="Indenta"/>
      </w:pPr>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p>
    <w:p>
      <w:pPr>
        <w:pStyle w:val="Subsection"/>
      </w:pPr>
      <w:r>
        <w:tab/>
        <w:t>(2)</w:t>
      </w:r>
      <w:r>
        <w:tab/>
        <w:t>Any reassessment and re</w:t>
      </w:r>
      <w:r>
        <w:noBreakHyphen/>
        <w:t>rating of the service must, on and after the commencement day, be conducted against the National Quality Standard as in force immediately before the commencement day.</w:t>
      </w:r>
    </w:p>
    <w:p>
      <w:pPr>
        <w:pStyle w:val="Footnotesection"/>
      </w:pPr>
      <w:r>
        <w:tab/>
        <w:t>[Regulation 398 inserted: Gazette 23 Jan 2018 p. 249.]</w:t>
      </w:r>
    </w:p>
    <w:p>
      <w:pPr>
        <w:pStyle w:val="Heading5"/>
      </w:pPr>
      <w:bookmarkStart w:id="579" w:name="_Toc109833273"/>
      <w:r>
        <w:rPr>
          <w:rStyle w:val="CharSectno"/>
        </w:rPr>
        <w:t>399</w:t>
      </w:r>
      <w:r>
        <w:t>.</w:t>
      </w:r>
      <w:r>
        <w:tab/>
        <w:t>Partial reassessment between the commencement day and the relevant day</w:t>
      </w:r>
      <w:bookmarkEnd w:id="579"/>
    </w:p>
    <w:p>
      <w:pPr>
        <w:pStyle w:val="Subsection"/>
      </w:pPr>
      <w:r>
        <w:tab/>
        <w:t>(1)</w:t>
      </w:r>
      <w:r>
        <w:tab/>
        <w:t>This regulation applies to an approved education and care service that has not been assessed and rated, or reassessed and re</w:t>
      </w:r>
      <w:r>
        <w:noBreakHyphen/>
        <w:t>rated, against the National Quality Standard as in force on and after the commencement day.</w:t>
      </w:r>
    </w:p>
    <w:p>
      <w:pPr>
        <w:pStyle w:val="Subsection"/>
      </w:pPr>
      <w:r>
        <w:tab/>
        <w:t>(2)</w:t>
      </w:r>
      <w:r>
        <w:tab/>
        <w:t>Any reassessment and re</w:t>
      </w:r>
      <w:r>
        <w:noBreakHyphen/>
        <w:t xml:space="preserve">rating of an aspect or element of the education and care service conducted by the Regulatory Authority under section 138 of the Law or on an application </w:t>
      </w:r>
      <w:r>
        <w:lastRenderedPageBreak/>
        <w:t>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t>
      </w:r>
    </w:p>
    <w:p>
      <w:pPr>
        <w:pStyle w:val="Subsection"/>
      </w:pPr>
      <w:r>
        <w:tab/>
        <w:t>(3)</w:t>
      </w:r>
      <w:r>
        <w:tab/>
        <w:t xml:space="preserve">In this regulation — </w:t>
      </w:r>
    </w:p>
    <w:p>
      <w:pPr>
        <w:pStyle w:val="Defstart"/>
      </w:pPr>
      <w:r>
        <w:rPr>
          <w:b/>
          <w:i/>
        </w:rPr>
        <w:tab/>
      </w:r>
      <w:r>
        <w:rPr>
          <w:rStyle w:val="CharDefText"/>
        </w:rPr>
        <w:t>relevant day</w:t>
      </w:r>
      <w:r>
        <w:t xml:space="preserve"> means — </w:t>
      </w:r>
    </w:p>
    <w:p>
      <w:pPr>
        <w:pStyle w:val="Defpara"/>
      </w:pPr>
      <w:r>
        <w:tab/>
        <w:t>(a)</w:t>
      </w:r>
      <w:r>
        <w:tab/>
        <w:t>in relation to an approved education and care service that was assessed and rated before the commencement day, the day that is 6 months after the commencement day; or</w:t>
      </w:r>
    </w:p>
    <w:p>
      <w:pPr>
        <w:pStyle w:val="Defpara"/>
      </w:pPr>
      <w:r>
        <w:tab/>
        <w:t>(b)</w:t>
      </w:r>
      <w:r>
        <w:tab/>
        <w:t>in relation to an approved education and care service that was assessed and rated after the commencement day, the day that is 6 months after the day on which the rating for the service is published under section 160 of the Law.</w:t>
      </w:r>
    </w:p>
    <w:p>
      <w:pPr>
        <w:pStyle w:val="Footnotesection"/>
      </w:pPr>
      <w:r>
        <w:tab/>
        <w:t>[Regulation 399 inserted: Gazette 23 Jan 2018 p. 249</w:t>
      </w:r>
      <w:r>
        <w:noBreakHyphen/>
        <w:t>50.]</w:t>
      </w:r>
    </w:p>
    <w:p>
      <w:pPr>
        <w:pStyle w:val="Heading5"/>
      </w:pPr>
      <w:bookmarkStart w:id="580" w:name="_Toc109833274"/>
      <w:r>
        <w:rPr>
          <w:rStyle w:val="CharSectno"/>
        </w:rPr>
        <w:t>400</w:t>
      </w:r>
      <w:r>
        <w:t>.</w:t>
      </w:r>
      <w:r>
        <w:tab/>
        <w:t>Suspension of initial assessment or reassessment commenced prior to commencement day</w:t>
      </w:r>
      <w:bookmarkEnd w:id="580"/>
    </w:p>
    <w:p>
      <w:pPr>
        <w:pStyle w:val="Subsection"/>
      </w:pPr>
      <w:r>
        <w:tab/>
        <w:t>(1)</w:t>
      </w:r>
      <w:r>
        <w:tab/>
        <w:t xml:space="preserve">This regulation applies to an approved education and care service if — </w:t>
      </w:r>
    </w:p>
    <w:p>
      <w:pPr>
        <w:pStyle w:val="Indenta"/>
      </w:pPr>
      <w:r>
        <w:tab/>
        <w:t>(a)</w:t>
      </w:r>
      <w:r>
        <w:tab/>
        <w:t xml:space="preserve">before the commencement day, the Regulatory Authority had commenced — </w:t>
      </w:r>
    </w:p>
    <w:p>
      <w:pPr>
        <w:pStyle w:val="Indenti"/>
      </w:pPr>
      <w:r>
        <w:tab/>
        <w:t>(i)</w:t>
      </w:r>
      <w:r>
        <w:tab/>
        <w:t>an assessment of the service under section 133(1) of the Law; or</w:t>
      </w:r>
    </w:p>
    <w:p>
      <w:pPr>
        <w:pStyle w:val="Indenti"/>
      </w:pPr>
      <w:r>
        <w:tab/>
        <w:t>(ii)</w:t>
      </w:r>
      <w:r>
        <w:tab/>
        <w:t>a reassessment and re</w:t>
      </w:r>
      <w:r>
        <w:noBreakHyphen/>
        <w:t xml:space="preserve">rating of the service under section 138 or on an application under section 139 of the Law; </w:t>
      </w:r>
    </w:p>
    <w:p>
      <w:pPr>
        <w:pStyle w:val="Indenta"/>
      </w:pPr>
      <w:r>
        <w:tab/>
      </w:r>
      <w:r>
        <w:tab/>
        <w:t>and</w:t>
      </w:r>
    </w:p>
    <w:p>
      <w:pPr>
        <w:pStyle w:val="Indenta"/>
      </w:pPr>
      <w:r>
        <w:tab/>
        <w:t>(b)</w:t>
      </w:r>
      <w:r>
        <w:tab/>
        <w:t>the assessment or reassessment and re</w:t>
      </w:r>
      <w:r>
        <w:noBreakHyphen/>
        <w:t xml:space="preserve">rating was suspended under section 137(1) of the Law, whether that </w:t>
      </w:r>
      <w:r>
        <w:lastRenderedPageBreak/>
        <w:t>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assess or reassess the approved education and care service against the National Quality Standard as in force on and after the commencement day.</w:t>
      </w:r>
    </w:p>
    <w:p>
      <w:pPr>
        <w:pStyle w:val="Footnotesection"/>
      </w:pPr>
      <w:r>
        <w:tab/>
        <w:t>[Regulation 400 inserted: Gazette 23 Jan 2018 p. 250.]</w:t>
      </w:r>
    </w:p>
    <w:p>
      <w:pPr>
        <w:pStyle w:val="Heading5"/>
      </w:pPr>
      <w:bookmarkStart w:id="581" w:name="_Toc109833275"/>
      <w:r>
        <w:rPr>
          <w:rStyle w:val="CharSectno"/>
        </w:rPr>
        <w:t>401</w:t>
      </w:r>
      <w:r>
        <w:t>.</w:t>
      </w:r>
      <w:r>
        <w:tab/>
        <w:t>Suspension of partial reassessment commenced prior to commencement day</w:t>
      </w:r>
      <w:bookmarkEnd w:id="581"/>
    </w:p>
    <w:p>
      <w:pPr>
        <w:pStyle w:val="Subsection"/>
      </w:pPr>
      <w:r>
        <w:tab/>
        <w:t>(1)</w:t>
      </w:r>
      <w:r>
        <w:tab/>
        <w:t xml:space="preserve">This regulation applies to an approved education and care service if — </w:t>
      </w:r>
    </w:p>
    <w:p>
      <w:pPr>
        <w:pStyle w:val="Indenta"/>
      </w:pPr>
      <w:r>
        <w:tab/>
        <w:t>(a)</w:t>
      </w:r>
      <w:r>
        <w:tab/>
        <w:t>the Regulatory Authority had commenced conducting a reassessment and re</w:t>
      </w:r>
      <w:r>
        <w:noBreakHyphen/>
        <w:t>rating of an aspect or element of the service before the commencement day; and</w:t>
      </w:r>
    </w:p>
    <w:p>
      <w:pPr>
        <w:pStyle w:val="Indenta"/>
      </w:pPr>
      <w:r>
        <w:tab/>
        <w:t>(b)</w:t>
      </w:r>
      <w:r>
        <w:tab/>
        <w:t>the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continue to conduct a reassessment against the National Quality Standard as in force immediately before the commencement day.</w:t>
      </w:r>
    </w:p>
    <w:p>
      <w:pPr>
        <w:pStyle w:val="Footnotesection"/>
      </w:pPr>
      <w:r>
        <w:tab/>
        <w:t>[Regulation 401 inserted: Gazette 23 Jan 2018 p. 250.]</w:t>
      </w:r>
    </w:p>
    <w:p>
      <w:pPr>
        <w:pStyle w:val="Heading5"/>
      </w:pPr>
      <w:bookmarkStart w:id="582" w:name="_Toc109833276"/>
      <w:r>
        <w:rPr>
          <w:rStyle w:val="CharSectno"/>
        </w:rPr>
        <w:t>402</w:t>
      </w:r>
      <w:r>
        <w:t>.</w:t>
      </w:r>
      <w:r>
        <w:tab/>
        <w:t>Prescribed provisional rating level held prior to commencement day</w:t>
      </w:r>
      <w:bookmarkEnd w:id="582"/>
    </w:p>
    <w:p>
      <w:pPr>
        <w:pStyle w:val="Subsection"/>
      </w:pPr>
      <w:r>
        <w:tab/>
      </w:r>
      <w:r>
        <w:tab/>
        <w:t xml:space="preserve">If, immediately before the commencement day, an approved education and care service held a prescribed provisional rating level, the service continues, on and after the commencement </w:t>
      </w:r>
      <w:r>
        <w:lastRenderedPageBreak/>
        <w:t>day, to hold that rating level for the purposes of the Law unless or until the service is assessed under section 133(1) of the Law and rated under section 135 of the Law.</w:t>
      </w:r>
    </w:p>
    <w:p>
      <w:pPr>
        <w:pStyle w:val="Footnotesection"/>
      </w:pPr>
      <w:r>
        <w:tab/>
        <w:t>[Regulation 402 inserted: Gazette 23 Jan 2018 p. 251.]</w:t>
      </w:r>
    </w:p>
    <w:p>
      <w:pPr>
        <w:pStyle w:val="Heading5"/>
      </w:pPr>
      <w:bookmarkStart w:id="583" w:name="_Toc109833277"/>
      <w:r>
        <w:rPr>
          <w:rStyle w:val="CharSectno"/>
        </w:rPr>
        <w:t>403</w:t>
      </w:r>
      <w:r>
        <w:t>.</w:t>
      </w:r>
      <w:r>
        <w:tab/>
        <w:t>Prescribed rating level held prior to commencement day</w:t>
      </w:r>
      <w:bookmarkEnd w:id="583"/>
    </w:p>
    <w:p>
      <w:pPr>
        <w:pStyle w:val="Subsection"/>
      </w:pPr>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p>
    <w:p>
      <w:pPr>
        <w:pStyle w:val="Indenta"/>
      </w:pPr>
      <w:r>
        <w:tab/>
        <w:t>(a)</w:t>
      </w:r>
      <w:r>
        <w:tab/>
        <w:t>is assessed under section 133(1) of the Law and rated under section 135 of the Law; or</w:t>
      </w:r>
    </w:p>
    <w:p>
      <w:pPr>
        <w:pStyle w:val="Indenta"/>
      </w:pPr>
      <w:r>
        <w:tab/>
        <w:t>(b)</w:t>
      </w:r>
      <w:r>
        <w:tab/>
        <w:t>is reassessed and re</w:t>
      </w:r>
      <w:r>
        <w:noBreakHyphen/>
        <w:t>rated under section 138 of the Law or on an application under section 139 of the Law; or</w:t>
      </w:r>
    </w:p>
    <w:p>
      <w:pPr>
        <w:pStyle w:val="Indenta"/>
      </w:pPr>
      <w:r>
        <w:tab/>
        <w:t>(c)</w:t>
      </w:r>
      <w:r>
        <w:tab/>
        <w:t>is awarded the highest rating level under section 155 of the Law.</w:t>
      </w:r>
    </w:p>
    <w:p>
      <w:pPr>
        <w:pStyle w:val="Footnotesection"/>
      </w:pPr>
      <w:r>
        <w:tab/>
        <w:t>[Regulation 403 inserted: Gazette 23 Jan 2018 p. 251.]</w:t>
      </w:r>
    </w:p>
    <w:p>
      <w:pPr>
        <w:pStyle w:val="Heading2"/>
      </w:pPr>
      <w:bookmarkStart w:id="584" w:name="_Toc109740854"/>
      <w:bookmarkStart w:id="585" w:name="_Toc109741683"/>
      <w:bookmarkStart w:id="586" w:name="_Toc109833278"/>
      <w:r>
        <w:rPr>
          <w:rStyle w:val="CharDivNo"/>
        </w:rPr>
        <w:lastRenderedPageBreak/>
        <w:t>Part 7.12</w:t>
      </w:r>
      <w:r>
        <w:t> — </w:t>
      </w:r>
      <w:r>
        <w:rPr>
          <w:rStyle w:val="CharDivText"/>
        </w:rPr>
        <w:t xml:space="preserve">Transitional and saving provisions for </w:t>
      </w:r>
      <w:r>
        <w:rPr>
          <w:rStyle w:val="CharDivText"/>
          <w:i/>
        </w:rPr>
        <w:t>Education and Care Services National Amendment Regulations 2019</w:t>
      </w:r>
      <w:bookmarkEnd w:id="584"/>
      <w:bookmarkEnd w:id="585"/>
      <w:bookmarkEnd w:id="586"/>
    </w:p>
    <w:p>
      <w:pPr>
        <w:pStyle w:val="Footnoteheading"/>
      </w:pPr>
      <w:r>
        <w:tab/>
        <w:t>[Heading inserted: Gazette 24 Dec 2019 p. 4428.]</w:t>
      </w:r>
    </w:p>
    <w:p>
      <w:pPr>
        <w:pStyle w:val="Heading4"/>
      </w:pPr>
      <w:bookmarkStart w:id="587" w:name="_Toc109740855"/>
      <w:bookmarkStart w:id="588" w:name="_Toc109741684"/>
      <w:bookmarkStart w:id="589" w:name="_Toc109833279"/>
      <w:r>
        <w:t>Division 1 — Australian Capital Territory</w:t>
      </w:r>
      <w:bookmarkEnd w:id="587"/>
      <w:bookmarkEnd w:id="588"/>
      <w:bookmarkEnd w:id="589"/>
    </w:p>
    <w:p>
      <w:pPr>
        <w:pStyle w:val="PermNoteHeading"/>
      </w:pPr>
      <w:r>
        <w:tab/>
        <w:t>Note for this Division:</w:t>
      </w:r>
    </w:p>
    <w:p>
      <w:pPr>
        <w:pStyle w:val="PermNoteText"/>
      </w:pPr>
      <w:r>
        <w:tab/>
      </w:r>
      <w:r>
        <w:tab/>
        <w:t>The national regulations made by the Ministerial Council include provisions as Division 1 which are not relevant to Western Australia.</w:t>
      </w:r>
    </w:p>
    <w:p>
      <w:pPr>
        <w:pStyle w:val="Heading4"/>
      </w:pPr>
      <w:bookmarkStart w:id="590" w:name="_Toc109740856"/>
      <w:bookmarkStart w:id="591" w:name="_Toc109741685"/>
      <w:bookmarkStart w:id="592" w:name="_Toc109833280"/>
      <w:r>
        <w:t>Division 2 — Queensland</w:t>
      </w:r>
      <w:bookmarkEnd w:id="590"/>
      <w:bookmarkEnd w:id="591"/>
      <w:bookmarkEnd w:id="592"/>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Heading4"/>
      </w:pPr>
      <w:bookmarkStart w:id="593" w:name="_Toc109740857"/>
      <w:bookmarkStart w:id="594" w:name="_Toc109741686"/>
      <w:bookmarkStart w:id="595" w:name="_Toc109833281"/>
      <w:r>
        <w:t>Division 3 — Tasmania</w:t>
      </w:r>
      <w:bookmarkEnd w:id="593"/>
      <w:bookmarkEnd w:id="594"/>
      <w:bookmarkEnd w:id="595"/>
    </w:p>
    <w:p>
      <w:pPr>
        <w:pStyle w:val="PermNoteHeading"/>
      </w:pPr>
      <w:r>
        <w:tab/>
        <w:t>Note for this Division:</w:t>
      </w:r>
    </w:p>
    <w:p>
      <w:pPr>
        <w:pStyle w:val="PermNoteText"/>
      </w:pPr>
      <w:r>
        <w:tab/>
      </w:r>
      <w:r>
        <w:tab/>
        <w:t>The national regulations made by the Ministerial Council include provisions as Division 3 which are not relevant to Western Australia.</w:t>
      </w:r>
    </w:p>
    <w:p>
      <w:pPr>
        <w:pStyle w:val="Heading4"/>
      </w:pPr>
      <w:bookmarkStart w:id="596" w:name="_Toc109740858"/>
      <w:bookmarkStart w:id="597" w:name="_Toc109741687"/>
      <w:bookmarkStart w:id="598" w:name="_Toc109833282"/>
      <w:r>
        <w:t>Division 4 — Western Australia</w:t>
      </w:r>
      <w:bookmarkEnd w:id="596"/>
      <w:bookmarkEnd w:id="597"/>
      <w:bookmarkEnd w:id="598"/>
    </w:p>
    <w:p>
      <w:pPr>
        <w:pStyle w:val="Heading5"/>
      </w:pPr>
      <w:bookmarkStart w:id="599" w:name="_Toc109833283"/>
      <w:r>
        <w:rPr>
          <w:rStyle w:val="CharSectno"/>
        </w:rPr>
        <w:t>410</w:t>
      </w:r>
      <w:r>
        <w:t>.</w:t>
      </w:r>
      <w:r>
        <w:tab/>
        <w:t>Application of Division</w:t>
      </w:r>
      <w:bookmarkEnd w:id="599"/>
    </w:p>
    <w:p>
      <w:pPr>
        <w:pStyle w:val="Subsection"/>
      </w:pPr>
      <w:r>
        <w:tab/>
      </w:r>
      <w:r>
        <w:tab/>
        <w:t>This Division applies to Western Australia.</w:t>
      </w:r>
    </w:p>
    <w:p>
      <w:pPr>
        <w:pStyle w:val="Footnotesection"/>
      </w:pPr>
      <w:r>
        <w:tab/>
        <w:t>[Regulation 410 inserted: Gazette 24 Dec 2019 p. 4428.]</w:t>
      </w:r>
    </w:p>
    <w:p>
      <w:pPr>
        <w:pStyle w:val="Heading5"/>
      </w:pPr>
      <w:bookmarkStart w:id="600" w:name="_Toc109833284"/>
      <w:r>
        <w:rPr>
          <w:rStyle w:val="CharSectno"/>
        </w:rPr>
        <w:t>411</w:t>
      </w:r>
      <w:r>
        <w:t>.</w:t>
      </w:r>
      <w:r>
        <w:tab/>
        <w:t>Resignation of suitably qualified person</w:t>
      </w:r>
      <w:bookmarkEnd w:id="600"/>
    </w:p>
    <w:p>
      <w:pPr>
        <w:pStyle w:val="Subsection"/>
      </w:pPr>
      <w:r>
        <w:tab/>
        <w:t>(1)</w:t>
      </w:r>
      <w:r>
        <w:tab/>
        <w:t>Regulation 135 applies as if the reasons for the suitably qualified person to be absent included resignation.</w:t>
      </w:r>
    </w:p>
    <w:p>
      <w:pPr>
        <w:pStyle w:val="Subsection"/>
      </w:pPr>
      <w:r>
        <w:tab/>
        <w:t>(2)</w:t>
      </w:r>
      <w:r>
        <w:tab/>
        <w:t>This regulation ceases to have effect on 31 December 2023.</w:t>
      </w:r>
    </w:p>
    <w:p>
      <w:pPr>
        <w:pStyle w:val="Footnotesection"/>
      </w:pPr>
      <w:r>
        <w:tab/>
        <w:t>[Regulation 411 inserted: Gazette 24 Dec 2019 p. 4428; amended: SL 2021/140 r. 10.]</w:t>
      </w:r>
    </w:p>
    <w:p>
      <w:pPr>
        <w:pStyle w:val="Heading2"/>
      </w:pPr>
      <w:bookmarkStart w:id="601" w:name="_Toc109740861"/>
      <w:bookmarkStart w:id="602" w:name="_Toc109741690"/>
      <w:bookmarkStart w:id="603" w:name="_Toc109833285"/>
      <w:r>
        <w:rPr>
          <w:rStyle w:val="CharDivNo"/>
        </w:rPr>
        <w:lastRenderedPageBreak/>
        <w:t>Part 7.13</w:t>
      </w:r>
      <w:r>
        <w:t> — </w:t>
      </w:r>
      <w:r>
        <w:rPr>
          <w:rStyle w:val="CharDivText"/>
        </w:rPr>
        <w:t xml:space="preserve">Transitional and saving provisions for </w:t>
      </w:r>
      <w:r>
        <w:rPr>
          <w:rStyle w:val="CharDivText"/>
          <w:i/>
        </w:rPr>
        <w:t>Education and Care Services National Amendment Regulations (No. 2) 2021</w:t>
      </w:r>
      <w:bookmarkEnd w:id="601"/>
      <w:bookmarkEnd w:id="602"/>
      <w:bookmarkEnd w:id="603"/>
    </w:p>
    <w:p>
      <w:pPr>
        <w:pStyle w:val="Footnoteheading"/>
      </w:pPr>
      <w:r>
        <w:tab/>
        <w:t>[Heading inserted: SL 2021/140 r. 11.]</w:t>
      </w:r>
    </w:p>
    <w:p>
      <w:pPr>
        <w:pStyle w:val="Heading4"/>
      </w:pPr>
      <w:bookmarkStart w:id="604" w:name="_Toc109740862"/>
      <w:bookmarkStart w:id="605" w:name="_Toc109741691"/>
      <w:bookmarkStart w:id="606" w:name="_Toc109833286"/>
      <w:r>
        <w:t>Division 1 — General transitional and savings provision</w:t>
      </w:r>
      <w:bookmarkEnd w:id="604"/>
      <w:bookmarkEnd w:id="605"/>
      <w:bookmarkEnd w:id="606"/>
    </w:p>
    <w:p>
      <w:pPr>
        <w:pStyle w:val="Footnoteheading"/>
      </w:pPr>
      <w:r>
        <w:tab/>
        <w:t>[Heading inserted: SL 2021/140 r. 11.]</w:t>
      </w:r>
    </w:p>
    <w:p>
      <w:pPr>
        <w:pStyle w:val="Heading5"/>
      </w:pPr>
      <w:bookmarkStart w:id="607" w:name="_Toc109833287"/>
      <w:r>
        <w:rPr>
          <w:rStyle w:val="CharSectno"/>
        </w:rPr>
        <w:t>412</w:t>
      </w:r>
      <w:r>
        <w:t>.</w:t>
      </w:r>
      <w:r>
        <w:tab/>
        <w:t>Requirement to display information in relation to the rating of an education and care service</w:t>
      </w:r>
      <w:bookmarkEnd w:id="607"/>
    </w:p>
    <w:p>
      <w:pPr>
        <w:pStyle w:val="Subsection"/>
      </w:pPr>
      <w:r>
        <w:tab/>
      </w:r>
      <w:r>
        <w:tab/>
        <w:t xml:space="preserve">The amendment made to regulation 173 by the </w:t>
      </w:r>
      <w:r>
        <w:rPr>
          <w:i/>
        </w:rPr>
        <w:t>Education and Care Services National Amendment Regulations (No. 2) 2021</w:t>
      </w:r>
      <w:r>
        <w:t xml:space="preserve"> only applies to an approved provider if the provider is issued a certificate referred to in regulation 173(3) on or after 30 July 2021.</w:t>
      </w:r>
    </w:p>
    <w:p>
      <w:pPr>
        <w:pStyle w:val="Footnotesection"/>
      </w:pPr>
      <w:r>
        <w:tab/>
        <w:t>[Regulation 412 inserted: SL 2021/140 r. 11.]</w:t>
      </w:r>
    </w:p>
    <w:p>
      <w:pPr>
        <w:pStyle w:val="Heading4"/>
      </w:pPr>
      <w:bookmarkStart w:id="608" w:name="_Toc109740864"/>
      <w:bookmarkStart w:id="609" w:name="_Toc109741693"/>
      <w:bookmarkStart w:id="610" w:name="_Toc109833288"/>
      <w:r>
        <w:t>Division 2 — Northern Territory</w:t>
      </w:r>
      <w:bookmarkEnd w:id="608"/>
      <w:bookmarkEnd w:id="609"/>
      <w:bookmarkEnd w:id="610"/>
    </w:p>
    <w:p>
      <w:pPr>
        <w:pStyle w:val="Footnoteheading"/>
      </w:pPr>
      <w:r>
        <w:tab/>
        <w:t>[Heading inserted: SL 2021/140 r. 11.]</w:t>
      </w:r>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sectPr>
          <w:headerReference w:type="even" r:id="rId23"/>
          <w:headerReference w:type="default" r:id="rId24"/>
          <w:headerReference w:type="first" r:id="rId25"/>
          <w:pgSz w:w="11907" w:h="16840" w:code="9"/>
          <w:pgMar w:top="2376" w:right="2404" w:bottom="3544" w:left="2404" w:header="709" w:footer="3379" w:gutter="0"/>
          <w:pgNumType w:start="1"/>
          <w:cols w:space="720"/>
          <w:noEndnote/>
          <w:titlePg/>
          <w:docGrid w:linePitch="326"/>
        </w:sectPr>
      </w:pPr>
    </w:p>
    <w:p>
      <w:pPr>
        <w:pStyle w:val="yScheduleHeading"/>
      </w:pPr>
      <w:bookmarkStart w:id="611" w:name="_Toc109740865"/>
      <w:bookmarkStart w:id="612" w:name="_Toc109741694"/>
      <w:bookmarkStart w:id="613" w:name="_Toc109833289"/>
      <w:r>
        <w:rPr>
          <w:rStyle w:val="CharSchNo"/>
        </w:rPr>
        <w:lastRenderedPageBreak/>
        <w:t>Schedule 1</w:t>
      </w:r>
      <w:r>
        <w:t> — </w:t>
      </w:r>
      <w:r>
        <w:rPr>
          <w:rStyle w:val="CharSchText"/>
        </w:rPr>
        <w:t>National Quality Standard</w:t>
      </w:r>
      <w:bookmarkEnd w:id="611"/>
      <w:bookmarkEnd w:id="612"/>
      <w:bookmarkEnd w:id="613"/>
    </w:p>
    <w:p>
      <w:pPr>
        <w:pStyle w:val="yFootnoteheading"/>
      </w:pPr>
      <w:r>
        <w:tab/>
        <w:t>[Heading inserted: Gazette 23 Jan 2018 p. 251.]</w:t>
      </w:r>
    </w:p>
    <w:p>
      <w:pPr>
        <w:pStyle w:val="PermNoteHeading"/>
      </w:pPr>
      <w:r>
        <w:tab/>
        <w:t>Notes for this Schedule:</w:t>
      </w:r>
    </w:p>
    <w:p>
      <w:pPr>
        <w:pStyle w:val="PermNoteText"/>
      </w:pPr>
      <w:r>
        <w:tab/>
        <w:t>1.</w:t>
      </w:r>
      <w:r>
        <w:tab/>
        <w:t>The National Quality Standard is used to assess education and care services to determine rating levels under Part 5 of the Law.</w:t>
      </w:r>
    </w:p>
    <w:p>
      <w:pPr>
        <w:pStyle w:val="PermNoteText"/>
      </w:pPr>
      <w:r>
        <w:tab/>
        <w:t>2.</w:t>
      </w:r>
      <w:r>
        <w:tab/>
        <w: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noBreakHyphen/>
        <w:t>compliance — see section 70(1)(d) of the Law.</w:t>
      </w:r>
    </w:p>
    <w:p>
      <w:pPr>
        <w:pStyle w:val="PermNoteText"/>
      </w:pPr>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p>
    <w:p>
      <w:pPr>
        <w:pStyle w:val="yMiscellaneousHeading"/>
        <w:jc w:val="left"/>
        <w:rPr>
          <w:szCs w:val="24"/>
        </w:rPr>
      </w:pPr>
      <w:r>
        <w:rPr>
          <w:b/>
          <w:sz w:val="24"/>
          <w:szCs w:val="24"/>
        </w:rPr>
        <w:tab/>
        <w:t>Quality area</w:t>
      </w:r>
      <w:r>
        <w:rPr>
          <w:szCs w:val="24"/>
        </w:rPr>
        <w:t> </w:t>
      </w:r>
      <w:r>
        <w:rPr>
          <w:b/>
          <w:sz w:val="24"/>
          <w:szCs w:val="24"/>
        </w:rPr>
        <w:t>1 — Educational program and practice</w:t>
      </w:r>
    </w:p>
    <w:p>
      <w:pPr>
        <w:pStyle w:val="yMiscellaneousBody"/>
        <w:ind w:left="1140" w:hanging="1140"/>
      </w:pPr>
      <w:r>
        <w:tab/>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Heading"/>
        <w:jc w:val="left"/>
        <w:rPr>
          <w:b/>
        </w:rPr>
      </w:pPr>
      <w:r>
        <w:tab/>
      </w:r>
      <w:r>
        <w:rPr>
          <w:b/>
        </w:rPr>
        <w:t>Standard 1.1 — Program</w:t>
      </w:r>
    </w:p>
    <w:p>
      <w:pPr>
        <w:pStyle w:val="yMiscellaneousBody"/>
        <w:ind w:left="1140" w:hanging="1140"/>
      </w:pPr>
      <w:r>
        <w:tab/>
        <w:t>The educational program enhances each child’s learning and development.</w:t>
      </w:r>
    </w:p>
    <w:p>
      <w:pPr>
        <w:pStyle w:val="yMiscellaneousHeading"/>
        <w:jc w:val="left"/>
        <w:rPr>
          <w:b/>
        </w:rPr>
      </w:pPr>
      <w:r>
        <w:rPr>
          <w:b/>
        </w:rPr>
        <w:tab/>
        <w:t>Element 1.1.1 — Approved learning framework</w:t>
      </w:r>
    </w:p>
    <w:p>
      <w:pPr>
        <w:pStyle w:val="yMiscellaneousBody"/>
        <w:ind w:left="1140" w:hanging="1140"/>
      </w:pPr>
      <w:r>
        <w:tab/>
        <w:t>Curriculum decision</w:t>
      </w:r>
      <w:r>
        <w:noBreakHyphen/>
        <w:t>making contributes to each child’s learning and development outcomes in relation to that child’s identity, connection with community, wellbeing, conﬁdence as learners and effectiveness as communicators.</w:t>
      </w:r>
    </w:p>
    <w:p>
      <w:pPr>
        <w:pStyle w:val="yMiscellaneousHeading"/>
        <w:jc w:val="left"/>
        <w:rPr>
          <w:b/>
        </w:rPr>
      </w:pPr>
      <w:r>
        <w:rPr>
          <w:b/>
        </w:rPr>
        <w:tab/>
        <w:t>Element 1.1.2 — Child</w:t>
      </w:r>
      <w:r>
        <w:rPr>
          <w:b/>
        </w:rPr>
        <w:noBreakHyphen/>
        <w:t>centred</w:t>
      </w:r>
    </w:p>
    <w:p>
      <w:pPr>
        <w:pStyle w:val="yMiscellaneousBody"/>
        <w:ind w:left="1140" w:hanging="1140"/>
      </w:pPr>
      <w:r>
        <w:tab/>
        <w:t>Each child’s current knowledge, strengths, ideas, culture, abilities and interests are the foundation of the program.</w:t>
      </w:r>
    </w:p>
    <w:p>
      <w:pPr>
        <w:pStyle w:val="yMiscellaneousHeading"/>
        <w:jc w:val="left"/>
        <w:rPr>
          <w:b/>
        </w:rPr>
      </w:pPr>
      <w:r>
        <w:rPr>
          <w:b/>
        </w:rPr>
        <w:lastRenderedPageBreak/>
        <w:tab/>
        <w:t>Element 1.1.3 — Program learning opportunities</w:t>
      </w:r>
    </w:p>
    <w:p>
      <w:pPr>
        <w:pStyle w:val="yMiscellaneousBody"/>
        <w:ind w:left="1140" w:hanging="1140"/>
      </w:pPr>
      <w:r>
        <w:tab/>
        <w:t>All aspects of the program, including routines, are organised in ways that maximise opportunities for each child’s learning.</w:t>
      </w:r>
    </w:p>
    <w:p>
      <w:pPr>
        <w:pStyle w:val="yMiscellaneousHeading"/>
        <w:jc w:val="left"/>
        <w:rPr>
          <w:b/>
        </w:rPr>
      </w:pPr>
      <w:r>
        <w:rPr>
          <w:b/>
        </w:rPr>
        <w:tab/>
        <w:t>Standard 1.2 — Practice</w:t>
      </w:r>
    </w:p>
    <w:p>
      <w:pPr>
        <w:pStyle w:val="yMiscellaneousBody"/>
        <w:ind w:left="1140" w:hanging="1140"/>
      </w:pPr>
      <w:r>
        <w:tab/>
        <w:t>Educators facilitate and extend each child’s learning and development.</w:t>
      </w:r>
    </w:p>
    <w:p>
      <w:pPr>
        <w:pStyle w:val="yMiscellaneousHeading"/>
        <w:jc w:val="left"/>
        <w:rPr>
          <w:b/>
        </w:rPr>
      </w:pPr>
      <w:r>
        <w:rPr>
          <w:b/>
        </w:rPr>
        <w:tab/>
        <w:t>Element 1.2.1 — Intentional teaching</w:t>
      </w:r>
    </w:p>
    <w:p>
      <w:pPr>
        <w:pStyle w:val="yMiscellaneousBody"/>
        <w:ind w:left="1140" w:hanging="1140"/>
      </w:pPr>
      <w:r>
        <w:tab/>
        <w:t>Educators are deliberate, purposeful, and thoughtful in their decisions and actions.</w:t>
      </w:r>
    </w:p>
    <w:p>
      <w:pPr>
        <w:pStyle w:val="yMiscellaneousHeading"/>
        <w:jc w:val="left"/>
        <w:rPr>
          <w:b/>
        </w:rPr>
      </w:pPr>
      <w:r>
        <w:rPr>
          <w:b/>
        </w:rPr>
        <w:tab/>
        <w:t>Element 1.2.2 — Responsive teaching and scaffolding</w:t>
      </w:r>
    </w:p>
    <w:p>
      <w:pPr>
        <w:pStyle w:val="yMiscellaneousBody"/>
        <w:ind w:left="1140" w:hanging="1140"/>
      </w:pPr>
      <w:r>
        <w:tab/>
        <w:t>Educators respond to children’s ideas and play and extend children’s learning through open</w:t>
      </w:r>
      <w:r>
        <w:noBreakHyphen/>
        <w:t>ended questions, interactions and feedback.</w:t>
      </w:r>
    </w:p>
    <w:p>
      <w:pPr>
        <w:pStyle w:val="yMiscellaneousHeading"/>
        <w:jc w:val="left"/>
        <w:rPr>
          <w:b/>
        </w:rPr>
      </w:pPr>
      <w:r>
        <w:rPr>
          <w:b/>
        </w:rPr>
        <w:tab/>
        <w:t>Element 1.2.3 — Child</w:t>
      </w:r>
      <w:r>
        <w:rPr>
          <w:b/>
        </w:rPr>
        <w:noBreakHyphen/>
        <w:t>directed learning</w:t>
      </w:r>
    </w:p>
    <w:p>
      <w:pPr>
        <w:pStyle w:val="yMiscellaneousBody"/>
        <w:ind w:left="1140" w:hanging="1140"/>
      </w:pPr>
      <w:r>
        <w:tab/>
        <w:t>Each child’s agency is promoted, enabling them to make choices and decisions and inﬂuence events and their world.</w:t>
      </w:r>
    </w:p>
    <w:p>
      <w:pPr>
        <w:pStyle w:val="yMiscellaneousHeading"/>
        <w:jc w:val="left"/>
        <w:rPr>
          <w:b/>
        </w:rPr>
      </w:pPr>
      <w:r>
        <w:rPr>
          <w:b/>
        </w:rPr>
        <w:tab/>
        <w:t>Standard 1.3 — Assessment and planning</w:t>
      </w:r>
    </w:p>
    <w:p>
      <w:pPr>
        <w:pStyle w:val="yMiscellaneousBody"/>
        <w:ind w:left="1140" w:hanging="1140"/>
      </w:pPr>
      <w:r>
        <w:tab/>
        <w:t>Educators and co</w:t>
      </w:r>
      <w:r>
        <w:noBreakHyphen/>
        <w:t>ordinators take a planned and reflective approach to implementing the program for each child.</w:t>
      </w:r>
    </w:p>
    <w:p>
      <w:pPr>
        <w:pStyle w:val="yMiscellaneousHeading"/>
        <w:jc w:val="left"/>
        <w:rPr>
          <w:b/>
        </w:rPr>
      </w:pPr>
      <w:r>
        <w:rPr>
          <w:b/>
        </w:rPr>
        <w:tab/>
        <w:t>Element 1.3.1 — Assessment and planning cycle</w:t>
      </w:r>
    </w:p>
    <w:p>
      <w:pPr>
        <w:pStyle w:val="yMiscellaneousBody"/>
        <w:ind w:left="1140" w:hanging="1140"/>
      </w:pPr>
      <w:r>
        <w:tab/>
        <w:t>Each child’s learning and development is assessed or evaluated as part of an ongoing cycle of observation, analysing, learning, documentation, planning, implementation and reflection.</w:t>
      </w:r>
    </w:p>
    <w:p>
      <w:pPr>
        <w:pStyle w:val="yMiscellaneousHeading"/>
        <w:jc w:val="left"/>
        <w:rPr>
          <w:b/>
        </w:rPr>
      </w:pPr>
      <w:r>
        <w:rPr>
          <w:b/>
        </w:rPr>
        <w:tab/>
        <w:t>Element 1.3.2 — Critical reflection</w:t>
      </w:r>
    </w:p>
    <w:p>
      <w:pPr>
        <w:pStyle w:val="yMiscellaneousBody"/>
        <w:ind w:left="1140" w:hanging="1140"/>
      </w:pPr>
      <w:r>
        <w:tab/>
        <w:t>Critical reﬂection on children’s learning and development, both as individuals and in groups, drives program planning and implementation.</w:t>
      </w:r>
    </w:p>
    <w:p>
      <w:pPr>
        <w:pStyle w:val="yMiscellaneousHeading"/>
        <w:jc w:val="left"/>
        <w:rPr>
          <w:b/>
        </w:rPr>
      </w:pPr>
      <w:r>
        <w:rPr>
          <w:b/>
        </w:rPr>
        <w:tab/>
        <w:t>Element 1.3.3 — Information for families</w:t>
      </w:r>
    </w:p>
    <w:p>
      <w:pPr>
        <w:pStyle w:val="yMiscellaneousBody"/>
        <w:ind w:left="1140" w:hanging="1140"/>
      </w:pPr>
      <w:r>
        <w:tab/>
        <w:t>Families are informed about the program and their child’s progress.</w:t>
      </w:r>
    </w:p>
    <w:p>
      <w:pPr>
        <w:pStyle w:val="yMiscellaneousHeading"/>
        <w:jc w:val="left"/>
        <w:rPr>
          <w:b/>
          <w:sz w:val="24"/>
          <w:szCs w:val="24"/>
        </w:rPr>
      </w:pPr>
      <w:r>
        <w:rPr>
          <w:b/>
          <w:sz w:val="24"/>
          <w:szCs w:val="24"/>
        </w:rPr>
        <w:lastRenderedPageBreak/>
        <w:tab/>
        <w:t>Quality area 2 — Children’s health and safety</w:t>
      </w:r>
    </w:p>
    <w:p>
      <w:pPr>
        <w:pStyle w:val="yMiscellaneousBody"/>
      </w:pPr>
      <w:r>
        <w:tab/>
        <w:t>Every child’s health and wellbeing is safeguarded and promoted.</w:t>
      </w:r>
    </w:p>
    <w:p>
      <w:pPr>
        <w:pStyle w:val="yMiscellaneousHeading"/>
        <w:jc w:val="left"/>
        <w:rPr>
          <w:b/>
        </w:rPr>
      </w:pPr>
      <w:r>
        <w:rPr>
          <w:b/>
        </w:rPr>
        <w:tab/>
        <w:t>Standard 2.1 — Health</w:t>
      </w:r>
    </w:p>
    <w:p>
      <w:pPr>
        <w:pStyle w:val="yMiscellaneousBody"/>
        <w:ind w:left="1140" w:hanging="1140"/>
      </w:pPr>
      <w:r>
        <w:tab/>
        <w:t>Each child’s health and physical activity is supported and promoted.</w:t>
      </w:r>
    </w:p>
    <w:p>
      <w:pPr>
        <w:pStyle w:val="yMiscellaneousHeading"/>
        <w:jc w:val="left"/>
        <w:rPr>
          <w:b/>
        </w:rPr>
      </w:pPr>
      <w:r>
        <w:rPr>
          <w:b/>
        </w:rPr>
        <w:tab/>
        <w:t>Element 2.1.1 — Wellbeing and comfort</w:t>
      </w:r>
    </w:p>
    <w:p>
      <w:pPr>
        <w:pStyle w:val="yMiscellaneousBody"/>
        <w:ind w:left="1140" w:hanging="1140"/>
      </w:pPr>
      <w:r>
        <w:tab/>
        <w:t>Each child’s wellbeing and comfort is provided for, including appropriate opportunities to meet each child’s need for sleep, rest and relaxation.</w:t>
      </w:r>
    </w:p>
    <w:p>
      <w:pPr>
        <w:pStyle w:val="yMiscellaneousHeading"/>
        <w:jc w:val="left"/>
        <w:rPr>
          <w:b/>
        </w:rPr>
      </w:pPr>
      <w:r>
        <w:rPr>
          <w:b/>
        </w:rPr>
        <w:tab/>
        <w:t>Element 2.1.2 — Health practices and procedures</w:t>
      </w:r>
    </w:p>
    <w:p>
      <w:pPr>
        <w:pStyle w:val="yMiscellaneousBody"/>
        <w:ind w:left="1140" w:hanging="1140"/>
      </w:pPr>
      <w:r>
        <w:tab/>
        <w:t>Effective illness and injury management and hygiene practices are promoted and implemented.</w:t>
      </w:r>
    </w:p>
    <w:p>
      <w:pPr>
        <w:pStyle w:val="yMiscellaneousHeading"/>
        <w:jc w:val="left"/>
        <w:rPr>
          <w:b/>
        </w:rPr>
      </w:pPr>
      <w:r>
        <w:rPr>
          <w:b/>
        </w:rPr>
        <w:tab/>
        <w:t>Element 2.1.3 — Healthy lifestyle</w:t>
      </w:r>
    </w:p>
    <w:p>
      <w:pPr>
        <w:pStyle w:val="yMiscellaneousBody"/>
        <w:ind w:left="1140" w:hanging="1140"/>
      </w:pPr>
      <w:r>
        <w:tab/>
        <w:t>Healthy eating and physical activity are promoted and appropriate for each child.</w:t>
      </w:r>
    </w:p>
    <w:p>
      <w:pPr>
        <w:pStyle w:val="yMiscellaneousHeading"/>
        <w:jc w:val="left"/>
        <w:rPr>
          <w:b/>
        </w:rPr>
      </w:pPr>
      <w:r>
        <w:rPr>
          <w:b/>
        </w:rPr>
        <w:tab/>
        <w:t>Standard 2.2 — Safety</w:t>
      </w:r>
    </w:p>
    <w:p>
      <w:pPr>
        <w:pStyle w:val="yMiscellaneousHeading"/>
        <w:jc w:val="left"/>
      </w:pPr>
      <w:r>
        <w:tab/>
        <w:t>Each child is protected.</w:t>
      </w:r>
    </w:p>
    <w:p>
      <w:pPr>
        <w:pStyle w:val="yMiscellaneousHeading"/>
        <w:jc w:val="left"/>
        <w:rPr>
          <w:b/>
        </w:rPr>
      </w:pPr>
      <w:r>
        <w:rPr>
          <w:b/>
        </w:rPr>
        <w:tab/>
        <w:t>Element 2.2.1 — Supervision</w:t>
      </w:r>
    </w:p>
    <w:p>
      <w:pPr>
        <w:pStyle w:val="yMiscellaneousBody"/>
        <w:ind w:left="1140" w:hanging="1140"/>
      </w:pPr>
      <w:r>
        <w:tab/>
        <w:t>At all times, reasonable precautions and adequate supervision ensure children are protected from harm and hazard.</w:t>
      </w:r>
    </w:p>
    <w:p>
      <w:pPr>
        <w:pStyle w:val="yMiscellaneousHeading"/>
        <w:jc w:val="left"/>
        <w:rPr>
          <w:b/>
        </w:rPr>
      </w:pPr>
      <w:r>
        <w:rPr>
          <w:b/>
        </w:rPr>
        <w:tab/>
        <w:t>Element 2.2.2 — Incident and emergency management</w:t>
      </w:r>
    </w:p>
    <w:p>
      <w:pPr>
        <w:pStyle w:val="yMiscellaneousBody"/>
        <w:ind w:left="1140" w:hanging="1140"/>
      </w:pPr>
      <w:r>
        <w:tab/>
        <w:t>Plans to effectively manage incidents and emergencies are developed in consultation with relevant authorities, practised and implemented.</w:t>
      </w:r>
    </w:p>
    <w:p>
      <w:pPr>
        <w:pStyle w:val="yMiscellaneousHeading"/>
        <w:jc w:val="left"/>
        <w:rPr>
          <w:b/>
        </w:rPr>
      </w:pPr>
      <w:r>
        <w:rPr>
          <w:b/>
        </w:rPr>
        <w:tab/>
        <w:t>Element 2.2.3 — Child protection</w:t>
      </w:r>
    </w:p>
    <w:p>
      <w:pPr>
        <w:pStyle w:val="yMiscellaneousBody"/>
        <w:ind w:left="1140" w:hanging="1140"/>
      </w:pPr>
      <w:r>
        <w:tab/>
        <w:t>Management, educators and staff are aware of their roles and responsibilities to identify and respond to every child at risk of abuse or neglect.</w:t>
      </w:r>
    </w:p>
    <w:p>
      <w:pPr>
        <w:pStyle w:val="yMiscellaneousHeading"/>
        <w:jc w:val="left"/>
        <w:rPr>
          <w:szCs w:val="24"/>
        </w:rPr>
      </w:pPr>
      <w:r>
        <w:rPr>
          <w:b/>
          <w:sz w:val="24"/>
          <w:szCs w:val="24"/>
        </w:rPr>
        <w:lastRenderedPageBreak/>
        <w:tab/>
        <w:t>Quality area 3 — Physical environment</w:t>
      </w:r>
    </w:p>
    <w:p>
      <w:pPr>
        <w:pStyle w:val="yMiscellaneousBody"/>
        <w:ind w:left="1140" w:hanging="1140"/>
      </w:pPr>
      <w:r>
        <w:tab/>
        <w:t>The physical environment is safe, suitable and provides a rich and diverse range of experiences which promote children’s learning and development.</w:t>
      </w:r>
    </w:p>
    <w:p>
      <w:pPr>
        <w:pStyle w:val="yMiscellaneousHeading"/>
        <w:jc w:val="left"/>
        <w:rPr>
          <w:b/>
        </w:rPr>
      </w:pPr>
      <w:r>
        <w:rPr>
          <w:b/>
        </w:rPr>
        <w:tab/>
        <w:t>Standard 3.1 — Design</w:t>
      </w:r>
    </w:p>
    <w:p>
      <w:pPr>
        <w:pStyle w:val="yMiscellaneousBody"/>
        <w:ind w:left="1140" w:hanging="1140"/>
      </w:pPr>
      <w:r>
        <w:tab/>
        <w:t>The design and location of the premises is appropriate for the operation of a service.</w:t>
      </w:r>
    </w:p>
    <w:p>
      <w:pPr>
        <w:pStyle w:val="yMiscellaneousHeading"/>
        <w:jc w:val="left"/>
        <w:rPr>
          <w:b/>
        </w:rPr>
      </w:pPr>
      <w:r>
        <w:rPr>
          <w:b/>
        </w:rPr>
        <w:tab/>
        <w:t>Element 3.1.1 — Fit for purpose</w:t>
      </w:r>
    </w:p>
    <w:p>
      <w:pPr>
        <w:pStyle w:val="yMiscellaneousBody"/>
        <w:ind w:left="1140" w:hanging="1140"/>
      </w:pPr>
      <w:r>
        <w:tab/>
        <w:t>Outdoor and indoor spaces, buildings, ﬁxtures and ﬁttings are suitable for their purpose, including supporting the access of every child.</w:t>
      </w:r>
    </w:p>
    <w:p>
      <w:pPr>
        <w:pStyle w:val="yMiscellaneousHeading"/>
        <w:jc w:val="left"/>
        <w:rPr>
          <w:b/>
        </w:rPr>
      </w:pPr>
      <w:r>
        <w:rPr>
          <w:b/>
        </w:rPr>
        <w:tab/>
        <w:t>Element 3.1.2 — Upkeep</w:t>
      </w:r>
    </w:p>
    <w:p>
      <w:pPr>
        <w:pStyle w:val="yMiscellaneousBody"/>
        <w:ind w:left="1140" w:hanging="1140"/>
      </w:pPr>
      <w:r>
        <w:tab/>
        <w:t>Premises, furniture and equipment are safe, clean and well maintained.</w:t>
      </w:r>
    </w:p>
    <w:p>
      <w:pPr>
        <w:pStyle w:val="yMiscellaneousHeading"/>
        <w:jc w:val="left"/>
        <w:rPr>
          <w:b/>
        </w:rPr>
      </w:pPr>
      <w:r>
        <w:rPr>
          <w:b/>
        </w:rPr>
        <w:tab/>
        <w:t>Standard 3.2 — Use</w:t>
      </w:r>
    </w:p>
    <w:p>
      <w:pPr>
        <w:pStyle w:val="yMiscellaneousBody"/>
        <w:ind w:left="1140" w:hanging="1140"/>
      </w:pPr>
      <w:r>
        <w:tab/>
        <w:t>The service environment is inclusive, promotes competence and supports exploration and play</w:t>
      </w:r>
      <w:r>
        <w:noBreakHyphen/>
        <w:t>based learning.</w:t>
      </w:r>
    </w:p>
    <w:p>
      <w:pPr>
        <w:pStyle w:val="yMiscellaneousHeading"/>
        <w:jc w:val="left"/>
        <w:rPr>
          <w:b/>
        </w:rPr>
      </w:pPr>
      <w:r>
        <w:rPr>
          <w:b/>
        </w:rPr>
        <w:tab/>
        <w:t>Element 3.2.1 — Inclusive environment</w:t>
      </w:r>
    </w:p>
    <w:p>
      <w:pPr>
        <w:pStyle w:val="yMiscellaneousBody"/>
        <w:ind w:left="1140" w:hanging="1140"/>
      </w:pPr>
      <w:r>
        <w:tab/>
        <w:t>Outdoor and indoor spaces are organised and adapted to support every child’s participation and to engage every child in quality experiences in both built and natural environments.</w:t>
      </w:r>
    </w:p>
    <w:p>
      <w:pPr>
        <w:pStyle w:val="yMiscellaneousHeading"/>
        <w:jc w:val="left"/>
        <w:rPr>
          <w:b/>
        </w:rPr>
      </w:pPr>
      <w:r>
        <w:rPr>
          <w:b/>
        </w:rPr>
        <w:tab/>
        <w:t>Element 3.2.2 — Resources support play</w:t>
      </w:r>
      <w:r>
        <w:rPr>
          <w:b/>
        </w:rPr>
        <w:noBreakHyphen/>
        <w:t>based learning</w:t>
      </w:r>
    </w:p>
    <w:p>
      <w:pPr>
        <w:pStyle w:val="yMiscellaneousBody"/>
        <w:ind w:left="1140" w:hanging="1140"/>
      </w:pPr>
      <w:r>
        <w:tab/>
        <w:t>Resources, materials and equipment allow for multiple uses, are sufficient in number, and enable every child to engage in play</w:t>
      </w:r>
      <w:r>
        <w:noBreakHyphen/>
        <w:t>based learning.</w:t>
      </w:r>
    </w:p>
    <w:p>
      <w:pPr>
        <w:pStyle w:val="yMiscellaneousHeading"/>
        <w:jc w:val="left"/>
        <w:rPr>
          <w:b/>
        </w:rPr>
      </w:pPr>
      <w:r>
        <w:rPr>
          <w:b/>
        </w:rPr>
        <w:tab/>
        <w:t>Element 3.2.3 — Environmentally responsible</w:t>
      </w:r>
    </w:p>
    <w:p>
      <w:pPr>
        <w:pStyle w:val="yMiscellaneousBody"/>
        <w:ind w:left="1140" w:hanging="1140"/>
      </w:pPr>
      <w:r>
        <w:tab/>
        <w:t>The service cares for the environment and supports children to become environmentally responsible.</w:t>
      </w:r>
    </w:p>
    <w:p>
      <w:pPr>
        <w:pStyle w:val="yMiscellaneousHeading"/>
        <w:jc w:val="left"/>
        <w:rPr>
          <w:szCs w:val="24"/>
        </w:rPr>
      </w:pPr>
      <w:r>
        <w:rPr>
          <w:b/>
          <w:sz w:val="24"/>
          <w:szCs w:val="24"/>
        </w:rPr>
        <w:lastRenderedPageBreak/>
        <w:tab/>
        <w:t>Quality area 4 — Staffing arrangements</w:t>
      </w:r>
    </w:p>
    <w:p>
      <w:pPr>
        <w:pStyle w:val="yMiscellaneousBody"/>
        <w:ind w:left="1140" w:hanging="1140"/>
      </w:pPr>
      <w:r>
        <w:tab/>
        <w:t>Staffing arrangements create a safe and predictable environment for children and support warm, respectful relationships. Qualiﬁed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Heading"/>
        <w:jc w:val="left"/>
        <w:rPr>
          <w:b/>
        </w:rPr>
      </w:pPr>
      <w:r>
        <w:rPr>
          <w:b/>
        </w:rPr>
        <w:tab/>
        <w:t>Standard 4.1 — Staffing arrangements</w:t>
      </w:r>
    </w:p>
    <w:p>
      <w:pPr>
        <w:pStyle w:val="yMiscellaneousBody"/>
        <w:ind w:left="1140" w:hanging="1140"/>
      </w:pPr>
      <w:r>
        <w:tab/>
        <w:t>Staffing arrangements enhance children’s learning and development.</w:t>
      </w:r>
    </w:p>
    <w:p>
      <w:pPr>
        <w:pStyle w:val="yMiscellaneousHeading"/>
        <w:jc w:val="left"/>
        <w:rPr>
          <w:b/>
        </w:rPr>
      </w:pPr>
      <w:r>
        <w:rPr>
          <w:b/>
        </w:rPr>
        <w:tab/>
        <w:t>Element 4.1.1 — Organisation of educators</w:t>
      </w:r>
    </w:p>
    <w:p>
      <w:pPr>
        <w:pStyle w:val="yMiscellaneousBody"/>
        <w:ind w:left="1140" w:hanging="1140"/>
      </w:pPr>
      <w:r>
        <w:tab/>
        <w:t>The organisation of educators across the service supports children’s learning and development.</w:t>
      </w:r>
    </w:p>
    <w:p>
      <w:pPr>
        <w:pStyle w:val="yMiscellaneousHeading"/>
        <w:jc w:val="left"/>
        <w:rPr>
          <w:b/>
        </w:rPr>
      </w:pPr>
      <w:r>
        <w:rPr>
          <w:b/>
        </w:rPr>
        <w:tab/>
        <w:t>Element 4.1.2 — Continuity of staff</w:t>
      </w:r>
    </w:p>
    <w:p>
      <w:pPr>
        <w:pStyle w:val="yMiscellaneousBody"/>
        <w:ind w:left="1140" w:hanging="1140"/>
      </w:pPr>
      <w:r>
        <w:tab/>
        <w:t>Every effort is made for children to experience continuity of educators at the service.</w:t>
      </w:r>
    </w:p>
    <w:p>
      <w:pPr>
        <w:pStyle w:val="yMiscellaneousHeading"/>
        <w:jc w:val="left"/>
        <w:rPr>
          <w:b/>
        </w:rPr>
      </w:pPr>
      <w:r>
        <w:rPr>
          <w:b/>
        </w:rPr>
        <w:tab/>
        <w:t>Standard 4.2 — Professionalism</w:t>
      </w:r>
    </w:p>
    <w:p>
      <w:pPr>
        <w:pStyle w:val="yMiscellaneousBody"/>
        <w:ind w:left="1140" w:hanging="1140"/>
      </w:pPr>
      <w:r>
        <w:tab/>
        <w:t>Management, educators and staff are collaborative, respectful and ethical.</w:t>
      </w:r>
    </w:p>
    <w:p>
      <w:pPr>
        <w:pStyle w:val="yMiscellaneousHeading"/>
        <w:jc w:val="left"/>
        <w:rPr>
          <w:b/>
        </w:rPr>
      </w:pPr>
      <w:r>
        <w:rPr>
          <w:b/>
        </w:rPr>
        <w:tab/>
        <w:t>Element 4.2.1 — Professional collaboration</w:t>
      </w:r>
    </w:p>
    <w:p>
      <w:pPr>
        <w:pStyle w:val="yMiscellaneousBody"/>
        <w:ind w:left="1140" w:hanging="1140"/>
      </w:pPr>
      <w:r>
        <w:tab/>
        <w:t>Management, educators and staff work with mutual respect and collaboratively, and challenge and learn from each other, recognising each other’s strengths and skills.</w:t>
      </w:r>
    </w:p>
    <w:p>
      <w:pPr>
        <w:pStyle w:val="yMiscellaneousHeading"/>
        <w:jc w:val="left"/>
        <w:rPr>
          <w:b/>
        </w:rPr>
      </w:pPr>
      <w:r>
        <w:rPr>
          <w:b/>
        </w:rPr>
        <w:tab/>
        <w:t>Element 4.2.2 — Professional standards</w:t>
      </w:r>
    </w:p>
    <w:p>
      <w:pPr>
        <w:pStyle w:val="yMiscellaneousBody"/>
        <w:ind w:left="1140" w:hanging="1140"/>
      </w:pPr>
      <w:r>
        <w:tab/>
        <w:t>Professional standards guide practice, interactions and relationships.</w:t>
      </w:r>
    </w:p>
    <w:p>
      <w:pPr>
        <w:pStyle w:val="yMiscellaneousHeading"/>
        <w:jc w:val="left"/>
        <w:rPr>
          <w:sz w:val="24"/>
          <w:szCs w:val="24"/>
        </w:rPr>
      </w:pPr>
      <w:r>
        <w:rPr>
          <w:b/>
          <w:sz w:val="24"/>
          <w:szCs w:val="24"/>
        </w:rPr>
        <w:lastRenderedPageBreak/>
        <w:tab/>
        <w:t>Quality area 5 — Relationships with children</w:t>
      </w:r>
    </w:p>
    <w:p>
      <w:pPr>
        <w:pStyle w:val="yMiscellaneousBody"/>
        <w:keepNext/>
        <w:keepLines/>
        <w:ind w:left="1140" w:hanging="1140"/>
      </w:pPr>
      <w:r>
        <w:tab/>
        <w:t>Relationships that are responsive, respectful and promote children’s sense of security and belonging free them to explore the environment and engage in learning.</w:t>
      </w:r>
    </w:p>
    <w:p>
      <w:pPr>
        <w:pStyle w:val="yMiscellaneousHeading"/>
        <w:jc w:val="left"/>
        <w:rPr>
          <w:b/>
        </w:rPr>
      </w:pPr>
      <w:r>
        <w:rPr>
          <w:b/>
        </w:rPr>
        <w:tab/>
        <w:t>Standard 5.1 — Relationships between educators and children</w:t>
      </w:r>
    </w:p>
    <w:p>
      <w:pPr>
        <w:pStyle w:val="yMiscellaneousBody"/>
        <w:ind w:left="1140" w:hanging="1140"/>
      </w:pPr>
      <w:r>
        <w:tab/>
        <w:t>Respectful and equitable relationships are maintained with each child.</w:t>
      </w:r>
    </w:p>
    <w:p>
      <w:pPr>
        <w:pStyle w:val="yMiscellaneousHeading"/>
        <w:jc w:val="left"/>
        <w:rPr>
          <w:b/>
        </w:rPr>
      </w:pPr>
      <w:r>
        <w:rPr>
          <w:b/>
        </w:rPr>
        <w:tab/>
        <w:t>Element 5.1.1 — Positive educator to child interactions</w:t>
      </w:r>
    </w:p>
    <w:p>
      <w:pPr>
        <w:pStyle w:val="yMiscellaneousBody"/>
        <w:ind w:left="1140" w:hanging="1140"/>
      </w:pPr>
      <w:r>
        <w:tab/>
        <w:t>Responsive and meaningful interactions build trusting relationships which engage and support each child to feel secure, conﬁdent and included.</w:t>
      </w:r>
    </w:p>
    <w:p>
      <w:pPr>
        <w:pStyle w:val="yMiscellaneousHeading"/>
        <w:jc w:val="left"/>
        <w:rPr>
          <w:b/>
        </w:rPr>
      </w:pPr>
      <w:r>
        <w:rPr>
          <w:b/>
        </w:rPr>
        <w:tab/>
        <w:t>Element 5.1.2 — Dignity and rights of the child</w:t>
      </w:r>
    </w:p>
    <w:p>
      <w:pPr>
        <w:pStyle w:val="yMiscellaneousBody"/>
      </w:pPr>
      <w:r>
        <w:tab/>
        <w:t>The dignity and rights of every child are maintained.</w:t>
      </w:r>
    </w:p>
    <w:p>
      <w:pPr>
        <w:pStyle w:val="yMiscellaneousHeading"/>
        <w:jc w:val="left"/>
        <w:rPr>
          <w:b/>
        </w:rPr>
      </w:pPr>
      <w:r>
        <w:rPr>
          <w:b/>
        </w:rPr>
        <w:tab/>
        <w:t>Standard 5.2 — Relationships between children</w:t>
      </w:r>
    </w:p>
    <w:p>
      <w:pPr>
        <w:pStyle w:val="yMiscellaneousBody"/>
        <w:ind w:left="1140" w:hanging="1140"/>
      </w:pPr>
      <w:r>
        <w:tab/>
        <w:t>Each child is supported to build and maintain sensitive and responsive relationships.</w:t>
      </w:r>
    </w:p>
    <w:p>
      <w:pPr>
        <w:pStyle w:val="yMiscellaneousHeading"/>
        <w:jc w:val="left"/>
        <w:rPr>
          <w:b/>
        </w:rPr>
      </w:pPr>
      <w:r>
        <w:rPr>
          <w:b/>
        </w:rPr>
        <w:tab/>
        <w:t>Element 5.2.1 — Collaborative learning</w:t>
      </w:r>
    </w:p>
    <w:p>
      <w:pPr>
        <w:pStyle w:val="yMiscellaneousBody"/>
        <w:ind w:left="1140" w:hanging="1140"/>
      </w:pPr>
      <w:r>
        <w:tab/>
        <w:t>Children are supported to collaborate, learn from and help each other.</w:t>
      </w:r>
    </w:p>
    <w:p>
      <w:pPr>
        <w:pStyle w:val="yMiscellaneousHeading"/>
        <w:jc w:val="left"/>
        <w:rPr>
          <w:b/>
        </w:rPr>
      </w:pPr>
      <w:r>
        <w:rPr>
          <w:b/>
        </w:rPr>
        <w:tab/>
        <w:t>Element 5.2.2 — Self</w:t>
      </w:r>
      <w:r>
        <w:rPr>
          <w:b/>
        </w:rPr>
        <w:noBreakHyphen/>
        <w:t>regulation</w:t>
      </w:r>
    </w:p>
    <w:p>
      <w:pPr>
        <w:pStyle w:val="yMiscellaneousBody"/>
        <w:ind w:left="1140" w:hanging="1140"/>
      </w:pPr>
      <w:r>
        <w:tab/>
        <w:t>Each child is supported to regulate their own behaviour, respond appropriately to the behaviour of others and communicate effectively to resolve conﬂicts.</w:t>
      </w:r>
    </w:p>
    <w:p>
      <w:pPr>
        <w:pStyle w:val="yMiscellaneousHeading"/>
        <w:ind w:left="1140" w:hanging="1140"/>
        <w:jc w:val="left"/>
        <w:rPr>
          <w:szCs w:val="24"/>
        </w:rPr>
      </w:pPr>
      <w:r>
        <w:rPr>
          <w:b/>
          <w:sz w:val="24"/>
          <w:szCs w:val="24"/>
        </w:rPr>
        <w:tab/>
        <w:t>Quality area 6 — Collaborative partnerships with families and communities</w:t>
      </w:r>
    </w:p>
    <w:p>
      <w:pPr>
        <w:pStyle w:val="yMiscellaneousBody"/>
        <w:ind w:left="1140" w:hanging="1140"/>
      </w:pPr>
      <w:r>
        <w:tab/>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Heading"/>
        <w:jc w:val="left"/>
        <w:rPr>
          <w:b/>
        </w:rPr>
      </w:pPr>
      <w:r>
        <w:rPr>
          <w:b/>
        </w:rPr>
        <w:lastRenderedPageBreak/>
        <w:tab/>
        <w:t>Standard 6.1 — Supportive relationships with families</w:t>
      </w:r>
    </w:p>
    <w:p>
      <w:pPr>
        <w:pStyle w:val="yMiscellaneousBody"/>
        <w:ind w:left="1140" w:hanging="1140"/>
      </w:pPr>
      <w:r>
        <w:tab/>
        <w:t>Respectful relationships with families are developed and maintained and families are supported in their parenting role.</w:t>
      </w:r>
    </w:p>
    <w:p>
      <w:pPr>
        <w:pStyle w:val="yMiscellaneousHeading"/>
        <w:jc w:val="left"/>
        <w:rPr>
          <w:b/>
        </w:rPr>
      </w:pPr>
      <w:r>
        <w:rPr>
          <w:b/>
        </w:rPr>
        <w:tab/>
        <w:t>Element 6.1.1 — Engagement with the service</w:t>
      </w:r>
    </w:p>
    <w:p>
      <w:pPr>
        <w:pStyle w:val="yMiscellaneousBody"/>
        <w:ind w:left="1140" w:hanging="1140"/>
      </w:pPr>
      <w:r>
        <w:tab/>
        <w:t>Families are supported from enrolment to be involved in the service and contribute to service decisions.</w:t>
      </w:r>
    </w:p>
    <w:p>
      <w:pPr>
        <w:pStyle w:val="yMiscellaneousHeading"/>
        <w:jc w:val="left"/>
        <w:rPr>
          <w:b/>
        </w:rPr>
      </w:pPr>
      <w:r>
        <w:rPr>
          <w:b/>
        </w:rPr>
        <w:tab/>
        <w:t>Element 6.1.2 — Parent views are respected</w:t>
      </w:r>
    </w:p>
    <w:p>
      <w:pPr>
        <w:pStyle w:val="yMiscellaneousBody"/>
        <w:ind w:left="1140" w:hanging="1140"/>
      </w:pPr>
      <w:r>
        <w:tab/>
        <w:t>The expertise, culture, values and beliefs of families are respected and families share in decision</w:t>
      </w:r>
      <w:r>
        <w:noBreakHyphen/>
        <w:t>making about their child’s learning and wellbeing.</w:t>
      </w:r>
    </w:p>
    <w:p>
      <w:pPr>
        <w:pStyle w:val="yMiscellaneousHeading"/>
        <w:jc w:val="left"/>
        <w:rPr>
          <w:b/>
        </w:rPr>
      </w:pPr>
      <w:r>
        <w:rPr>
          <w:b/>
        </w:rPr>
        <w:tab/>
        <w:t>Element 6.1.3 — Families are supported</w:t>
      </w:r>
    </w:p>
    <w:p>
      <w:pPr>
        <w:pStyle w:val="yMiscellaneousBody"/>
        <w:ind w:left="1140" w:hanging="1140"/>
      </w:pPr>
      <w:r>
        <w:tab/>
        <w:t>Current information is available to families about the service and relevant community services and resources to support parenting and family wellbeing.</w:t>
      </w:r>
    </w:p>
    <w:p>
      <w:pPr>
        <w:pStyle w:val="yMiscellaneousHeading"/>
        <w:jc w:val="left"/>
        <w:rPr>
          <w:b/>
        </w:rPr>
      </w:pPr>
      <w:r>
        <w:rPr>
          <w:b/>
        </w:rPr>
        <w:tab/>
        <w:t>Standard 6.2 — Collaborative partnerships</w:t>
      </w:r>
    </w:p>
    <w:p>
      <w:pPr>
        <w:pStyle w:val="yMiscellaneousBody"/>
        <w:ind w:left="1140" w:hanging="1140"/>
      </w:pPr>
      <w:r>
        <w:tab/>
        <w:t>Collaborative partnerships enhance children’s inclusion, learning and wellbeing.</w:t>
      </w:r>
    </w:p>
    <w:p>
      <w:pPr>
        <w:pStyle w:val="yMiscellaneousHeading"/>
        <w:jc w:val="left"/>
        <w:rPr>
          <w:b/>
        </w:rPr>
      </w:pPr>
      <w:r>
        <w:rPr>
          <w:b/>
        </w:rPr>
        <w:tab/>
        <w:t>Element 6.2.1 — Transitions</w:t>
      </w:r>
    </w:p>
    <w:p>
      <w:pPr>
        <w:pStyle w:val="yMiscellaneousBody"/>
        <w:ind w:left="1140" w:hanging="1140"/>
      </w:pPr>
      <w:r>
        <w:tab/>
        <w:t>Continuity of learning and transitions for each child are supported by sharing information and clarifying responsibilities.</w:t>
      </w:r>
    </w:p>
    <w:p>
      <w:pPr>
        <w:pStyle w:val="yMiscellaneousHeading"/>
        <w:jc w:val="left"/>
        <w:rPr>
          <w:b/>
        </w:rPr>
      </w:pPr>
      <w:r>
        <w:rPr>
          <w:b/>
        </w:rPr>
        <w:tab/>
        <w:t>Element 6.2.2 — Access and participation</w:t>
      </w:r>
    </w:p>
    <w:p>
      <w:pPr>
        <w:pStyle w:val="yMiscellaneousBody"/>
        <w:ind w:left="1140" w:hanging="1140"/>
      </w:pPr>
      <w:r>
        <w:tab/>
        <w:t>Effective partnerships support children’s access, inclusion and participation in the program.</w:t>
      </w:r>
    </w:p>
    <w:p>
      <w:pPr>
        <w:pStyle w:val="yMiscellaneousHeading"/>
        <w:jc w:val="left"/>
        <w:rPr>
          <w:b/>
        </w:rPr>
      </w:pPr>
      <w:r>
        <w:rPr>
          <w:b/>
        </w:rPr>
        <w:tab/>
        <w:t>Element 6.2.3 — Community engagement</w:t>
      </w:r>
    </w:p>
    <w:p>
      <w:pPr>
        <w:pStyle w:val="yMiscellaneousBody"/>
      </w:pPr>
      <w:r>
        <w:tab/>
        <w:t>The service builds relationships and engages with its community.</w:t>
      </w:r>
    </w:p>
    <w:p>
      <w:pPr>
        <w:pStyle w:val="yMiscellaneousHeading"/>
        <w:jc w:val="left"/>
        <w:rPr>
          <w:sz w:val="24"/>
          <w:szCs w:val="24"/>
        </w:rPr>
      </w:pPr>
      <w:r>
        <w:rPr>
          <w:sz w:val="24"/>
          <w:szCs w:val="24"/>
        </w:rPr>
        <w:tab/>
      </w:r>
      <w:r>
        <w:rPr>
          <w:b/>
          <w:sz w:val="24"/>
          <w:szCs w:val="24"/>
        </w:rPr>
        <w:t>Quality area 7 — Governance and leadership</w:t>
      </w:r>
    </w:p>
    <w:p>
      <w:pPr>
        <w:pStyle w:val="yMiscellaneousBody"/>
        <w:keepNext/>
        <w:ind w:left="1140" w:hanging="1140"/>
      </w:pPr>
      <w:r>
        <w:tab/>
        <w:t xml:space="preserve">Effective leadership contributes to sustained quality relationships and environments that facilitate children’s learning and development. Well documented policies and practices that are developed and regularly evaluated in partnership with educators, </w:t>
      </w:r>
      <w:r>
        <w:lastRenderedPageBreak/>
        <w:t>co</w:t>
      </w:r>
      <w:r>
        <w:noBreakHyphen/>
        <w:t>ordinators, staff members and families contribute to the ethical management of the service. There is a focus on continuous improvement.</w:t>
      </w:r>
    </w:p>
    <w:p>
      <w:pPr>
        <w:pStyle w:val="yMiscellaneousHeading"/>
        <w:jc w:val="left"/>
        <w:rPr>
          <w:b/>
        </w:rPr>
      </w:pPr>
      <w:r>
        <w:rPr>
          <w:b/>
        </w:rPr>
        <w:tab/>
        <w:t>Standard 7.1 — Governance</w:t>
      </w:r>
    </w:p>
    <w:p>
      <w:pPr>
        <w:pStyle w:val="yMiscellaneousBody"/>
      </w:pPr>
      <w:r>
        <w:tab/>
        <w:t>Governance supports the operation of a quality service.</w:t>
      </w:r>
    </w:p>
    <w:p>
      <w:pPr>
        <w:pStyle w:val="yMiscellaneousHeading"/>
        <w:jc w:val="left"/>
        <w:rPr>
          <w:b/>
        </w:rPr>
      </w:pPr>
      <w:r>
        <w:rPr>
          <w:b/>
        </w:rPr>
        <w:tab/>
        <w:t>Element 7.1.1 — Service philosophy and purpose</w:t>
      </w:r>
    </w:p>
    <w:p>
      <w:pPr>
        <w:pStyle w:val="yMiscellaneousBody"/>
        <w:ind w:left="1140" w:hanging="1140"/>
      </w:pPr>
      <w:r>
        <w:tab/>
        <w:t>A statement of philosophy guides all aspects of the service’s operations.</w:t>
      </w:r>
    </w:p>
    <w:p>
      <w:pPr>
        <w:pStyle w:val="yMiscellaneousHeading"/>
        <w:jc w:val="left"/>
        <w:rPr>
          <w:b/>
        </w:rPr>
      </w:pPr>
      <w:r>
        <w:rPr>
          <w:b/>
        </w:rPr>
        <w:tab/>
        <w:t>Element 7.1.2 — Management systems</w:t>
      </w:r>
    </w:p>
    <w:p>
      <w:pPr>
        <w:pStyle w:val="yMiscellaneousBody"/>
        <w:ind w:left="1140" w:hanging="1140"/>
      </w:pPr>
      <w:r>
        <w:tab/>
        <w:t>Systems are in place to manage risk and enable the effective management and operation of a quality service.</w:t>
      </w:r>
    </w:p>
    <w:p>
      <w:pPr>
        <w:pStyle w:val="yMiscellaneousHeading"/>
        <w:jc w:val="left"/>
        <w:rPr>
          <w:b/>
        </w:rPr>
      </w:pPr>
      <w:r>
        <w:rPr>
          <w:b/>
        </w:rPr>
        <w:tab/>
        <w:t>Element 7.1.3 — Roles and responsibilities</w:t>
      </w:r>
    </w:p>
    <w:p>
      <w:pPr>
        <w:pStyle w:val="yMiscellaneousBody"/>
        <w:ind w:left="1140" w:hanging="1140"/>
      </w:pPr>
      <w:r>
        <w:tab/>
        <w:t>Roles and responsibilities are clearly defined and understood, and support effective decision</w:t>
      </w:r>
      <w:r>
        <w:noBreakHyphen/>
        <w:t>making and operation of the service.</w:t>
      </w:r>
    </w:p>
    <w:p>
      <w:pPr>
        <w:pStyle w:val="yMiscellaneousHeading"/>
        <w:jc w:val="left"/>
        <w:rPr>
          <w:b/>
        </w:rPr>
      </w:pPr>
      <w:r>
        <w:rPr>
          <w:b/>
        </w:rPr>
        <w:tab/>
        <w:t>Standard 7.2 — Leadership</w:t>
      </w:r>
    </w:p>
    <w:p>
      <w:pPr>
        <w:pStyle w:val="yMiscellaneousBody"/>
        <w:ind w:left="1140" w:hanging="1140"/>
      </w:pPr>
      <w:r>
        <w:tab/>
        <w:t>Effective leadership builds and promotes a positive organisational culture and professional learning community.</w:t>
      </w:r>
    </w:p>
    <w:p>
      <w:pPr>
        <w:pStyle w:val="yMiscellaneousHeading"/>
        <w:jc w:val="left"/>
        <w:rPr>
          <w:b/>
        </w:rPr>
      </w:pPr>
      <w:r>
        <w:rPr>
          <w:b/>
        </w:rPr>
        <w:tab/>
        <w:t>Element 7.2.1 — Continuous improvement</w:t>
      </w:r>
    </w:p>
    <w:p>
      <w:pPr>
        <w:pStyle w:val="yMiscellaneousBody"/>
        <w:ind w:left="1140" w:hanging="1140"/>
      </w:pPr>
      <w:r>
        <w:tab/>
        <w:t>There is an effective self</w:t>
      </w:r>
      <w:r>
        <w:noBreakHyphen/>
        <w:t>assessment and quality improvement process in place.</w:t>
      </w:r>
    </w:p>
    <w:p>
      <w:pPr>
        <w:pStyle w:val="yMiscellaneousHeading"/>
        <w:jc w:val="left"/>
        <w:rPr>
          <w:b/>
        </w:rPr>
      </w:pPr>
      <w:r>
        <w:rPr>
          <w:b/>
        </w:rPr>
        <w:tab/>
        <w:t>Element 7.2.2 — Educational leadership</w:t>
      </w:r>
    </w:p>
    <w:p>
      <w:pPr>
        <w:pStyle w:val="yMiscellaneousBody"/>
        <w:ind w:left="1140" w:hanging="1140"/>
      </w:pPr>
      <w:r>
        <w:tab/>
        <w:t>The educational leader is supported and leads the development and implementation of the educational program and assessment and planning cycle.</w:t>
      </w:r>
    </w:p>
    <w:p>
      <w:pPr>
        <w:pStyle w:val="yMiscellaneousHeading"/>
        <w:jc w:val="left"/>
        <w:rPr>
          <w:b/>
        </w:rPr>
      </w:pPr>
      <w:r>
        <w:rPr>
          <w:b/>
        </w:rPr>
        <w:tab/>
        <w:t>Element 7.2.3 — Development of professionals</w:t>
      </w:r>
    </w:p>
    <w:p>
      <w:pPr>
        <w:pStyle w:val="yMiscellaneousBody"/>
        <w:ind w:left="1140" w:hanging="1140"/>
      </w:pPr>
      <w:r>
        <w:tab/>
        <w:t>Educators’, co</w:t>
      </w:r>
      <w:r>
        <w:noBreakHyphen/>
        <w:t>ordinators’ and staff members’ performance is regularly evaluated and individual plans are in place to support learning and development.</w:t>
      </w:r>
    </w:p>
    <w:p>
      <w:pPr>
        <w:pStyle w:val="yFootnotesection"/>
      </w:pPr>
      <w:r>
        <w:tab/>
        <w:t>[Schedule 1 inserted: Gazette 23 Jan 2018 p. 251</w:t>
      </w:r>
      <w:r>
        <w:noBreakHyphen/>
        <w:t>7.]</w:t>
      </w:r>
    </w:p>
    <w:p>
      <w:pPr>
        <w:pStyle w:val="yScheduleHeading"/>
      </w:pPr>
      <w:bookmarkStart w:id="614" w:name="_Toc109740866"/>
      <w:bookmarkStart w:id="615" w:name="_Toc109741695"/>
      <w:bookmarkStart w:id="616" w:name="_Toc109833290"/>
      <w:r>
        <w:rPr>
          <w:rStyle w:val="CharSchNo"/>
        </w:rPr>
        <w:lastRenderedPageBreak/>
        <w:t>Schedule 2</w:t>
      </w:r>
      <w:r>
        <w:t> — </w:t>
      </w:r>
      <w:r>
        <w:rPr>
          <w:rStyle w:val="CharSchText"/>
        </w:rPr>
        <w:t>Prescribed fees</w:t>
      </w:r>
      <w:bookmarkEnd w:id="614"/>
      <w:bookmarkEnd w:id="615"/>
      <w:bookmarkEnd w:id="616"/>
    </w:p>
    <w:p>
      <w:pPr>
        <w:pStyle w:val="yFootnoteheading"/>
      </w:pPr>
      <w:r>
        <w:tab/>
        <w:t>[Heading inserted: Gazette 28 Sep 2018 p. 3652.]</w:t>
      </w:r>
    </w:p>
    <w:p>
      <w:pPr>
        <w:pStyle w:val="yHeading3"/>
        <w:rPr>
          <w:rStyle w:val="CharSDivText"/>
        </w:rPr>
      </w:pPr>
      <w:bookmarkStart w:id="617" w:name="_Toc109740867"/>
      <w:bookmarkStart w:id="618" w:name="_Toc109741696"/>
      <w:bookmarkStart w:id="619" w:name="_Toc109833291"/>
      <w:r>
        <w:rPr>
          <w:rStyle w:val="CharSDivNo"/>
        </w:rPr>
        <w:t>Part 1</w:t>
      </w:r>
      <w:r>
        <w:t> — </w:t>
      </w:r>
      <w:r>
        <w:rPr>
          <w:rStyle w:val="CharSDivText"/>
        </w:rPr>
        <w:t>Fees relating to provider approvals, service approvals and ratings</w:t>
      </w:r>
      <w:bookmarkEnd w:id="617"/>
      <w:bookmarkEnd w:id="618"/>
      <w:bookmarkEnd w:id="619"/>
    </w:p>
    <w:p>
      <w:pPr>
        <w:pStyle w:val="yFootnoteheading"/>
      </w:pPr>
      <w:r>
        <w:tab/>
        <w:t>[Heading inserted: Gazette 28 Sep 2018 p. 3652.]</w:t>
      </w:r>
    </w:p>
    <w:tbl>
      <w:tblPr>
        <w:tblW w:w="7088" w:type="dxa"/>
        <w:tblInd w:w="3" w:type="dxa"/>
        <w:tblLayout w:type="fixed"/>
        <w:tblCellMar>
          <w:left w:w="0" w:type="dxa"/>
          <w:right w:w="0" w:type="dxa"/>
        </w:tblCellMar>
        <w:tblLook w:val="0000" w:firstRow="0" w:lastRow="0" w:firstColumn="0" w:lastColumn="0" w:noHBand="0" w:noVBand="0"/>
      </w:tblPr>
      <w:tblGrid>
        <w:gridCol w:w="1562"/>
        <w:gridCol w:w="1842"/>
        <w:gridCol w:w="1843"/>
        <w:gridCol w:w="1841"/>
      </w:tblGrid>
      <w:tr>
        <w:trPr>
          <w:tblHeader/>
        </w:trPr>
        <w:tc>
          <w:tcPr>
            <w:tcW w:w="1562" w:type="dxa"/>
            <w:tcBorders>
              <w:top w:val="single" w:sz="4" w:space="0" w:color="auto"/>
              <w:left w:val="single" w:sz="4" w:space="0" w:color="auto"/>
              <w:bottom w:val="single" w:sz="4" w:space="0" w:color="auto"/>
              <w:right w:val="single" w:sz="2" w:space="0" w:color="auto"/>
            </w:tcBorders>
          </w:tcPr>
          <w:p>
            <w:pPr>
              <w:pStyle w:val="yTableNAm"/>
              <w:ind w:left="58"/>
              <w:rPr>
                <w:sz w:val="20"/>
              </w:rPr>
            </w:pPr>
          </w:p>
        </w:tc>
        <w:tc>
          <w:tcPr>
            <w:tcW w:w="1842" w:type="dxa"/>
            <w:tcBorders>
              <w:top w:val="single" w:sz="4" w:space="0" w:color="auto"/>
              <w:left w:val="single" w:sz="2" w:space="0" w:color="auto"/>
              <w:bottom w:val="single" w:sz="4" w:space="0" w:color="auto"/>
              <w:right w:val="single" w:sz="2" w:space="0" w:color="auto"/>
            </w:tcBorders>
          </w:tcPr>
          <w:p>
            <w:pPr>
              <w:pStyle w:val="yTableNAm"/>
              <w:ind w:left="144"/>
              <w:rPr>
                <w:sz w:val="20"/>
              </w:rPr>
            </w:pPr>
          </w:p>
        </w:tc>
        <w:tc>
          <w:tcPr>
            <w:tcW w:w="3684" w:type="dxa"/>
            <w:gridSpan w:val="2"/>
            <w:tcBorders>
              <w:top w:val="single" w:sz="4" w:space="0" w:color="auto"/>
              <w:left w:val="single" w:sz="2" w:space="0" w:color="auto"/>
              <w:bottom w:val="single" w:sz="4" w:space="0" w:color="auto"/>
              <w:right w:val="single" w:sz="4" w:space="0" w:color="auto"/>
            </w:tcBorders>
          </w:tcPr>
          <w:p>
            <w:pPr>
              <w:pStyle w:val="yTableNAm"/>
              <w:jc w:val="center"/>
              <w:rPr>
                <w:sz w:val="20"/>
              </w:rPr>
            </w:pPr>
            <w:r>
              <w:rPr>
                <w:i/>
                <w:sz w:val="20"/>
              </w:rPr>
              <w:t>Fee</w:t>
            </w:r>
          </w:p>
        </w:tc>
      </w:tr>
      <w:tr>
        <w:trPr>
          <w:tblHeader/>
        </w:trPr>
        <w:tc>
          <w:tcPr>
            <w:tcW w:w="1562" w:type="dxa"/>
            <w:tcBorders>
              <w:top w:val="single" w:sz="4" w:space="0" w:color="auto"/>
              <w:left w:val="single" w:sz="2" w:space="0" w:color="auto"/>
              <w:bottom w:val="single" w:sz="2" w:space="0" w:color="auto"/>
              <w:right w:val="single" w:sz="2" w:space="0" w:color="auto"/>
            </w:tcBorders>
          </w:tcPr>
          <w:p>
            <w:pPr>
              <w:pStyle w:val="yTableNAm"/>
              <w:ind w:left="58"/>
              <w:rPr>
                <w:i/>
                <w:sz w:val="20"/>
              </w:rPr>
            </w:pPr>
            <w:r>
              <w:rPr>
                <w:i/>
                <w:sz w:val="20"/>
              </w:rPr>
              <w:t>Section of the</w:t>
            </w:r>
            <w:r>
              <w:rPr>
                <w:i/>
                <w:sz w:val="20"/>
              </w:rPr>
              <w:br/>
              <w:t>Law</w:t>
            </w:r>
          </w:p>
        </w:tc>
        <w:tc>
          <w:tcPr>
            <w:tcW w:w="1842" w:type="dxa"/>
            <w:tcBorders>
              <w:top w:val="single" w:sz="4" w:space="0" w:color="auto"/>
              <w:left w:val="single" w:sz="2" w:space="0" w:color="auto"/>
              <w:bottom w:val="single" w:sz="2" w:space="0" w:color="auto"/>
              <w:right w:val="single" w:sz="2" w:space="0" w:color="auto"/>
            </w:tcBorders>
          </w:tcPr>
          <w:p>
            <w:pPr>
              <w:pStyle w:val="yTableNAm"/>
              <w:ind w:left="144"/>
              <w:rPr>
                <w:i/>
                <w:sz w:val="20"/>
              </w:rPr>
            </w:pPr>
            <w:r>
              <w:rPr>
                <w:i/>
                <w:sz w:val="20"/>
              </w:rPr>
              <w:t>Description</w:t>
            </w:r>
          </w:p>
        </w:tc>
        <w:tc>
          <w:tcPr>
            <w:tcW w:w="1843" w:type="dxa"/>
            <w:tcBorders>
              <w:top w:val="single" w:sz="4" w:space="0" w:color="auto"/>
              <w:left w:val="single" w:sz="2" w:space="0" w:color="auto"/>
              <w:bottom w:val="single" w:sz="2" w:space="0" w:color="auto"/>
              <w:right w:val="single" w:sz="2" w:space="0" w:color="auto"/>
            </w:tcBorders>
          </w:tcPr>
          <w:p>
            <w:pPr>
              <w:pStyle w:val="yTableNAm"/>
              <w:ind w:left="142"/>
              <w:rPr>
                <w:i/>
                <w:sz w:val="20"/>
              </w:rPr>
            </w:pPr>
            <w:r>
              <w:rPr>
                <w:i/>
                <w:sz w:val="20"/>
              </w:rPr>
              <w:t>Centre</w:t>
            </w:r>
            <w:r>
              <w:rPr>
                <w:i/>
                <w:sz w:val="20"/>
              </w:rPr>
              <w:noBreakHyphen/>
              <w:t>based</w:t>
            </w:r>
            <w:r>
              <w:rPr>
                <w:i/>
                <w:sz w:val="20"/>
              </w:rPr>
              <w:br/>
              <w:t>service (No. of approved places or places to be offered)</w:t>
            </w:r>
          </w:p>
        </w:tc>
        <w:tc>
          <w:tcPr>
            <w:tcW w:w="1841" w:type="dxa"/>
            <w:tcBorders>
              <w:top w:val="single" w:sz="4" w:space="0" w:color="auto"/>
              <w:left w:val="single" w:sz="2" w:space="0" w:color="auto"/>
              <w:bottom w:val="single" w:sz="2" w:space="0" w:color="auto"/>
              <w:right w:val="single" w:sz="2" w:space="0" w:color="auto"/>
            </w:tcBorders>
          </w:tcPr>
          <w:p>
            <w:pPr>
              <w:pStyle w:val="yTableNAm"/>
              <w:ind w:left="142"/>
              <w:rPr>
                <w:i/>
                <w:sz w:val="20"/>
              </w:rPr>
            </w:pPr>
            <w:r>
              <w:rPr>
                <w:i/>
                <w:sz w:val="20"/>
              </w:rPr>
              <w:t>Family day care service (No. of family day care educators engaged by or registered</w:t>
            </w:r>
            <w:r>
              <w:rPr>
                <w:i/>
                <w:sz w:val="20"/>
              </w:rPr>
              <w:br/>
              <w:t xml:space="preserve">with service)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11(d)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$219</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$219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22(2)(c)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amend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37(2)(c)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voluntarily suspend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39(6)(c)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by executor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40(3)(c)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by legal personal representative or guardian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right w:val="single" w:sz="2" w:space="0" w:color="auto"/>
            </w:tcBorders>
          </w:tcPr>
          <w:p>
            <w:pPr>
              <w:pStyle w:val="yTableNAm"/>
              <w:ind w:left="57"/>
              <w:rPr>
                <w:sz w:val="20"/>
              </w:rPr>
            </w:pPr>
            <w:r>
              <w:rPr>
                <w:sz w:val="20"/>
              </w:rPr>
              <w:t>Section 44(1)(e)</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places or fewer $438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$658 </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$658</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$658 </w:t>
            </w:r>
          </w:p>
        </w:tc>
      </w:tr>
      <w:tr>
        <w:trPr>
          <w:cantSplit/>
        </w:trPr>
        <w:tc>
          <w:tcPr>
            <w:tcW w:w="1562" w:type="dxa"/>
            <w:tcBorders>
              <w:top w:val="single" w:sz="2" w:space="0" w:color="auto"/>
              <w:left w:val="single" w:sz="2" w:space="0" w:color="auto"/>
              <w:right w:val="single" w:sz="2" w:space="0" w:color="auto"/>
            </w:tcBorders>
          </w:tcPr>
          <w:p>
            <w:pPr>
              <w:pStyle w:val="yTableNAm"/>
              <w:keepNext/>
              <w:keepLines/>
              <w:ind w:left="58"/>
              <w:rPr>
                <w:sz w:val="20"/>
              </w:rPr>
            </w:pPr>
            <w:r>
              <w:rPr>
                <w:sz w:val="20"/>
              </w:rPr>
              <w:lastRenderedPageBreak/>
              <w:t>Section 53</w:t>
            </w:r>
          </w:p>
        </w:tc>
        <w:tc>
          <w:tcPr>
            <w:tcW w:w="1842" w:type="dxa"/>
            <w:tcBorders>
              <w:top w:val="single" w:sz="2" w:space="0" w:color="auto"/>
              <w:left w:val="single" w:sz="2" w:space="0" w:color="auto"/>
              <w:right w:val="single" w:sz="2" w:space="0" w:color="auto"/>
            </w:tcBorders>
          </w:tcPr>
          <w:p>
            <w:pPr>
              <w:pStyle w:val="yTableNAm"/>
              <w:keepNext/>
              <w:keepLines/>
              <w:ind w:left="144"/>
              <w:rPr>
                <w:sz w:val="20"/>
              </w:rPr>
            </w:pPr>
            <w:r>
              <w:rPr>
                <w:sz w:val="20"/>
              </w:rPr>
              <w:t>Annual fee — approved service</w:t>
            </w: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5 or fewer family day care educators $200 </w:t>
            </w:r>
          </w:p>
        </w:tc>
      </w:tr>
      <w:tr>
        <w:trPr>
          <w:cantSplit/>
        </w:trPr>
        <w:tc>
          <w:tcPr>
            <w:tcW w:w="1562" w:type="dxa"/>
            <w:tcBorders>
              <w:left w:val="single" w:sz="2" w:space="0" w:color="auto"/>
              <w:right w:val="single" w:sz="2" w:space="0" w:color="auto"/>
            </w:tcBorders>
          </w:tcPr>
          <w:p>
            <w:pPr>
              <w:pStyle w:val="yTableNAm"/>
              <w:keepNext/>
              <w:keepLines/>
              <w:ind w:left="58"/>
              <w:rPr>
                <w:sz w:val="20"/>
              </w:rPr>
            </w:pPr>
          </w:p>
        </w:tc>
        <w:tc>
          <w:tcPr>
            <w:tcW w:w="1842" w:type="dxa"/>
            <w:tcBorders>
              <w:left w:val="single" w:sz="2" w:space="0" w:color="auto"/>
              <w:right w:val="single" w:sz="2" w:space="0" w:color="auto"/>
            </w:tcBorders>
          </w:tcPr>
          <w:p>
            <w:pPr>
              <w:pStyle w:val="yTableNAm"/>
              <w:keepNext/>
              <w:keepLines/>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25 to 80 approved places $301</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6 to 20 family day care educators $301 </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 $399</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 or more family day care educators $399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54(2)(c)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amend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59(2)(c)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Notification of intended transfer of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85(2)(c)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voluntarily suspend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88(c)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service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95(c)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98(4)</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extend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right w:val="single" w:sz="2" w:space="0" w:color="auto"/>
            </w:tcBorders>
          </w:tcPr>
          <w:p>
            <w:pPr>
              <w:pStyle w:val="yTableNAm"/>
              <w:keepNext/>
              <w:ind w:left="58"/>
              <w:rPr>
                <w:sz w:val="20"/>
              </w:rPr>
            </w:pPr>
            <w:r>
              <w:rPr>
                <w:sz w:val="20"/>
              </w:rPr>
              <w:lastRenderedPageBreak/>
              <w:t>Section 139(2)(c)</w:t>
            </w:r>
          </w:p>
        </w:tc>
        <w:tc>
          <w:tcPr>
            <w:tcW w:w="1842" w:type="dxa"/>
            <w:tcBorders>
              <w:top w:val="single" w:sz="2" w:space="0" w:color="auto"/>
              <w:left w:val="single" w:sz="2" w:space="0" w:color="auto"/>
              <w:right w:val="single" w:sz="2" w:space="0" w:color="auto"/>
            </w:tcBorders>
          </w:tcPr>
          <w:p>
            <w:pPr>
              <w:pStyle w:val="yTableNAm"/>
              <w:keepNext/>
              <w:ind w:left="144"/>
              <w:rPr>
                <w:sz w:val="20"/>
              </w:rPr>
            </w:pPr>
            <w:r>
              <w:rPr>
                <w:sz w:val="20"/>
              </w:rPr>
              <w:t>Application for reassessment and re</w:t>
            </w:r>
            <w:r>
              <w:rPr>
                <w:sz w:val="20"/>
              </w:rPr>
              <w:noBreakHyphen/>
              <w:t>rating</w:t>
            </w: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24 or fewer approved places $438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5 or fewer family day care educators $438</w:t>
            </w:r>
          </w:p>
        </w:tc>
      </w:tr>
      <w:tr>
        <w:tc>
          <w:tcPr>
            <w:tcW w:w="1562" w:type="dxa"/>
            <w:tcBorders>
              <w:left w:val="single" w:sz="2" w:space="0" w:color="auto"/>
              <w:right w:val="single" w:sz="2" w:space="0" w:color="auto"/>
            </w:tcBorders>
          </w:tcPr>
          <w:p>
            <w:pPr>
              <w:pStyle w:val="yTableNAm"/>
              <w:keepNext/>
              <w:ind w:left="58"/>
              <w:rPr>
                <w:sz w:val="20"/>
              </w:rPr>
            </w:pPr>
          </w:p>
        </w:tc>
        <w:tc>
          <w:tcPr>
            <w:tcW w:w="1842" w:type="dxa"/>
            <w:tcBorders>
              <w:left w:val="single" w:sz="2" w:space="0" w:color="auto"/>
              <w:right w:val="single" w:sz="2" w:space="0" w:color="auto"/>
            </w:tcBorders>
          </w:tcPr>
          <w:p>
            <w:pPr>
              <w:pStyle w:val="yTableNAm"/>
              <w:keepNext/>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25 to 80 approved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6 to 20 family day care educators $658 </w:t>
            </w:r>
          </w:p>
        </w:tc>
      </w:tr>
      <w:tr>
        <w:tc>
          <w:tcPr>
            <w:tcW w:w="1562" w:type="dxa"/>
            <w:tcBorders>
              <w:left w:val="single" w:sz="2" w:space="0" w:color="auto"/>
              <w:bottom w:val="single" w:sz="2" w:space="0" w:color="auto"/>
              <w:right w:val="single" w:sz="2" w:space="0" w:color="auto"/>
            </w:tcBorders>
          </w:tcPr>
          <w:p>
            <w:pPr>
              <w:pStyle w:val="yTableNAm"/>
              <w:keepNext/>
              <w:ind w:left="58"/>
              <w:rPr>
                <w:sz w:val="20"/>
              </w:rPr>
            </w:pPr>
          </w:p>
        </w:tc>
        <w:tc>
          <w:tcPr>
            <w:tcW w:w="1842" w:type="dxa"/>
            <w:tcBorders>
              <w:left w:val="single" w:sz="2" w:space="0" w:color="auto"/>
              <w:bottom w:val="single" w:sz="2" w:space="0" w:color="auto"/>
              <w:right w:val="single" w:sz="2" w:space="0" w:color="auto"/>
            </w:tcBorders>
          </w:tcPr>
          <w:p>
            <w:pPr>
              <w:pStyle w:val="yTableNAm"/>
              <w:keepNext/>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81 or more approved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21 or more family day care educators $878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141(4)(d)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Request for review by Regulatory Authority</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right w:val="single" w:sz="2" w:space="0" w:color="auto"/>
            </w:tcBorders>
          </w:tcPr>
          <w:p>
            <w:pPr>
              <w:pStyle w:val="yTableNAm"/>
              <w:ind w:left="58"/>
              <w:rPr>
                <w:sz w:val="20"/>
              </w:rPr>
            </w:pPr>
            <w:r>
              <w:rPr>
                <w:sz w:val="20"/>
              </w:rPr>
              <w:t>Section 145(2)(c)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review by Ratings Review Panel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 $438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or fewer family day care educators $438 </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 to 20 family day care educators $658 </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 or more family day care educators $878 </w:t>
            </w:r>
          </w:p>
        </w:tc>
      </w:tr>
      <w:tr>
        <w:tc>
          <w:tcPr>
            <w:tcW w:w="1562" w:type="dxa"/>
            <w:tcBorders>
              <w:top w:val="single" w:sz="2" w:space="0" w:color="auto"/>
              <w:left w:val="single" w:sz="2" w:space="0" w:color="auto"/>
              <w:right w:val="single" w:sz="2" w:space="0" w:color="auto"/>
            </w:tcBorders>
          </w:tcPr>
          <w:p>
            <w:pPr>
              <w:pStyle w:val="yTableNAm"/>
              <w:ind w:left="58"/>
              <w:rPr>
                <w:sz w:val="20"/>
              </w:rPr>
            </w:pPr>
            <w:r>
              <w:rPr>
                <w:sz w:val="20"/>
              </w:rPr>
              <w:t>Section 152(3)(c)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5 or fewer family day care educators</w:t>
            </w:r>
            <w:r>
              <w:rPr>
                <w:sz w:val="20"/>
              </w:rPr>
              <w:br/>
              <w:t>Nil</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 to 20 family day care educators</w:t>
            </w:r>
            <w:r>
              <w:rPr>
                <w:sz w:val="20"/>
              </w:rPr>
              <w:br/>
              <w:t>Nil</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 or more family day care educators</w:t>
            </w:r>
            <w:r>
              <w:rPr>
                <w:sz w:val="20"/>
              </w:rPr>
              <w:br/>
              <w:t>Nil</w:t>
            </w:r>
          </w:p>
        </w:tc>
      </w:tr>
      <w:tr>
        <w:tc>
          <w:tcPr>
            <w:tcW w:w="1562" w:type="dxa"/>
            <w:tcBorders>
              <w:top w:val="single" w:sz="2" w:space="0" w:color="auto"/>
              <w:left w:val="single" w:sz="2" w:space="0" w:color="auto"/>
              <w:right w:val="single" w:sz="2" w:space="0" w:color="auto"/>
            </w:tcBorders>
          </w:tcPr>
          <w:p>
            <w:pPr>
              <w:pStyle w:val="yTableNAm"/>
              <w:pageBreakBefore/>
              <w:ind w:left="57"/>
              <w:rPr>
                <w:sz w:val="20"/>
              </w:rPr>
            </w:pPr>
            <w:r>
              <w:rPr>
                <w:sz w:val="20"/>
              </w:rPr>
              <w:lastRenderedPageBreak/>
              <w:t>Section 159(3)(c)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Re</w:t>
            </w:r>
            <w:r>
              <w:rPr>
                <w:sz w:val="20"/>
              </w:rPr>
              <w:noBreakHyphen/>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5 or fewer family day care educators</w:t>
            </w:r>
            <w:r>
              <w:rPr>
                <w:sz w:val="20"/>
              </w:rPr>
              <w:br/>
              <w:t>Nil</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 to 20 family day care educators</w:t>
            </w:r>
            <w:r>
              <w:rPr>
                <w:sz w:val="20"/>
              </w:rPr>
              <w:br/>
              <w:t>Nil</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 or more family day care educators</w:t>
            </w:r>
            <w:r>
              <w:rPr>
                <w:sz w:val="20"/>
              </w:rPr>
              <w:br/>
              <w:t>Nil</w:t>
            </w:r>
          </w:p>
        </w:tc>
      </w:tr>
    </w:tbl>
    <w:p>
      <w:pPr>
        <w:pStyle w:val="yHeading3"/>
      </w:pPr>
      <w:bookmarkStart w:id="620" w:name="_Toc109740868"/>
      <w:bookmarkStart w:id="621" w:name="_Toc109741697"/>
      <w:bookmarkStart w:id="622" w:name="_Toc109833292"/>
      <w:r>
        <w:rPr>
          <w:rStyle w:val="CharSDivNo"/>
        </w:rPr>
        <w:t>Part 2</w:t>
      </w:r>
      <w:r>
        <w:t> — </w:t>
      </w:r>
      <w:r>
        <w:rPr>
          <w:rStyle w:val="CharSDivText"/>
        </w:rPr>
        <w:t>Other fees</w:t>
      </w:r>
      <w:bookmarkEnd w:id="620"/>
      <w:bookmarkEnd w:id="621"/>
      <w:bookmarkEnd w:id="622"/>
    </w:p>
    <w:p>
      <w:pPr>
        <w:pStyle w:val="yFootnoteheading"/>
      </w:pPr>
      <w:r>
        <w:tab/>
        <w:t>[Heading inserted: Gazette 28 Sep 2018 p. 3655.]</w:t>
      </w:r>
    </w:p>
    <w:tbl>
      <w:tblPr>
        <w:tblW w:w="7088" w:type="dxa"/>
        <w:tblInd w:w="3" w:type="dxa"/>
        <w:tblLayout w:type="fixed"/>
        <w:tblCellMar>
          <w:left w:w="0" w:type="dxa"/>
          <w:right w:w="0" w:type="dxa"/>
        </w:tblCellMar>
        <w:tblLook w:val="0000" w:firstRow="0" w:lastRow="0" w:firstColumn="0" w:lastColumn="0" w:noHBand="0" w:noVBand="0"/>
      </w:tblPr>
      <w:tblGrid>
        <w:gridCol w:w="1701"/>
        <w:gridCol w:w="3119"/>
        <w:gridCol w:w="2268"/>
      </w:tblGrid>
      <w:tr>
        <w:trPr>
          <w:tblHeader/>
        </w:trPr>
        <w:tc>
          <w:tcPr>
            <w:tcW w:w="1701"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Provision of the Law or regulation</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Description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Fee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Section 266(4)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Copy or extract from register of approved providers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per page or $70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Section 267(4)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Copy or extract from register of approved education and care services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per page or $70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138</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Application for qualification to be assessed for inclusion on lists of approved qualifications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$2 200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139</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Application for determination of equivalent qualification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bl>
    <w:p>
      <w:pPr>
        <w:pStyle w:val="yFootnotesection"/>
      </w:pPr>
      <w:r>
        <w:tab/>
        <w:t>[Schedule 2 inserted: Gazette 28 Sep 2018 p. 3652</w:t>
      </w:r>
      <w:r>
        <w:noBreakHyphen/>
        <w:t>5.]</w:t>
      </w:r>
    </w:p>
    <w:p>
      <w:pPr>
        <w:pStyle w:val="yScheduleHeading"/>
      </w:pPr>
      <w:bookmarkStart w:id="623" w:name="_Toc109740869"/>
      <w:bookmarkStart w:id="624" w:name="_Toc109741698"/>
      <w:bookmarkStart w:id="625" w:name="_Toc109833293"/>
      <w:r>
        <w:rPr>
          <w:rStyle w:val="CharSchNo"/>
        </w:rPr>
        <w:lastRenderedPageBreak/>
        <w:t>Schedule 3</w:t>
      </w:r>
      <w:r>
        <w:rPr>
          <w:rStyle w:val="CharSDivNo"/>
        </w:rPr>
        <w:t> </w:t>
      </w:r>
      <w:r>
        <w:t>—</w:t>
      </w:r>
      <w:r>
        <w:rPr>
          <w:rStyle w:val="CharSDivText"/>
        </w:rPr>
        <w:t> </w:t>
      </w:r>
      <w:r>
        <w:rPr>
          <w:rStyle w:val="CharSchText"/>
        </w:rPr>
        <w:t>Compliance directions — prescribed provisions</w:t>
      </w:r>
      <w:bookmarkEnd w:id="623"/>
      <w:bookmarkEnd w:id="624"/>
      <w:bookmarkEnd w:id="625"/>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lastRenderedPageBreak/>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lastRenderedPageBreak/>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sectPr>
          <w:headerReference w:type="even" r:id="rId26"/>
          <w:headerReference w:type="default" r:id="rId27"/>
          <w:pgSz w:w="11907" w:h="16840" w:code="9"/>
          <w:pgMar w:top="2381" w:right="2410" w:bottom="3544" w:left="2410" w:header="720" w:footer="3380" w:gutter="0"/>
          <w:cols w:space="720"/>
          <w:docGrid w:linePitch="326"/>
        </w:sectPr>
      </w:pPr>
    </w:p>
    <w:p>
      <w:pPr>
        <w:pStyle w:val="yScheduleHeading"/>
      </w:pPr>
      <w:bookmarkStart w:id="627" w:name="_Toc109740870"/>
      <w:bookmarkStart w:id="628" w:name="_Toc109741699"/>
      <w:bookmarkStart w:id="629" w:name="_Toc109833294"/>
      <w:r>
        <w:rPr>
          <w:rStyle w:val="CharSchNo"/>
        </w:rPr>
        <w:lastRenderedPageBreak/>
        <w:t>Schedule 4</w:t>
      </w:r>
      <w:r>
        <w:t> — </w:t>
      </w:r>
      <w:r>
        <w:rPr>
          <w:rStyle w:val="CharSchText"/>
        </w:rPr>
        <w:t>Prescribed forms</w:t>
      </w:r>
      <w:bookmarkEnd w:id="627"/>
      <w:bookmarkEnd w:id="628"/>
      <w:bookmarkEnd w:id="629"/>
    </w:p>
    <w:p>
      <w:pPr>
        <w:pStyle w:val="yShoulderClause"/>
      </w:pPr>
      <w:r>
        <w:t>Regulation 190(2)(d)</w:t>
      </w:r>
    </w:p>
    <w:p>
      <w:pPr>
        <w:pStyle w:val="yFootnoteheading"/>
      </w:pPr>
      <w:r>
        <w:tab/>
        <w:t>[Heading amended: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(Western Australia)</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lastRenderedPageBreak/>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lastRenderedPageBreak/>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(Western Australia)</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(Western Australia)</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lastRenderedPageBreak/>
        <w:t>Form 2</w:t>
      </w:r>
      <w:r>
        <w:rPr>
          <w:b/>
        </w:rPr>
        <w:t xml:space="preserve"> — Withdrawal of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(Western Australia)</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lastRenderedPageBreak/>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(Western Australia)</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nHeading2"/>
      </w:pPr>
      <w:bookmarkStart w:id="630" w:name="_Toc109740871"/>
      <w:bookmarkStart w:id="631" w:name="_Toc109741700"/>
      <w:bookmarkStart w:id="632" w:name="_Toc109833295"/>
      <w:r>
        <w:lastRenderedPageBreak/>
        <w:t>Notes</w:t>
      </w:r>
      <w:bookmarkEnd w:id="630"/>
      <w:bookmarkEnd w:id="631"/>
      <w:bookmarkEnd w:id="632"/>
    </w:p>
    <w:p>
      <w:pPr>
        <w:pStyle w:val="nStatement"/>
      </w:pPr>
      <w:r>
        <w:t xml:space="preserve">This is a compilation of the </w:t>
      </w:r>
      <w:r>
        <w:rPr>
          <w:i/>
          <w:noProof/>
        </w:rPr>
        <w:t>Education and Care Services National Regulations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33" w:name="_Toc109833296"/>
      <w:r>
        <w:t>Compilation table</w:t>
      </w:r>
      <w:bookmarkEnd w:id="633"/>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3"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9"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3"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3"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3"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3" w:type="dxa"/>
            <w:tcBorders>
              <w:top w:val="nil"/>
              <w:bottom w:val="nil"/>
            </w:tcBorders>
            <w:shd w:val="clear" w:color="auto" w:fill="auto"/>
          </w:tcPr>
          <w:p>
            <w:pPr>
              <w:pStyle w:val="nTable"/>
              <w:spacing w:after="40"/>
              <w:rPr>
                <w:snapToGrid w:val="0"/>
              </w:rPr>
            </w:pPr>
            <w:r>
              <w:rPr>
                <w:bCs/>
                <w:snapToGrid w:val="0"/>
                <w:spacing w:val="-2"/>
              </w:rPr>
              <w:t>r. 1 and 2: 28 Nov 2014 (see r. 2(a));</w:t>
            </w:r>
            <w:r>
              <w:rPr>
                <w:bCs/>
                <w:snapToGrid w:val="0"/>
                <w:spacing w:val="-2"/>
              </w:rPr>
              <w:br/>
              <w:t>Regulations other than r. 1 and 2: 1 Dec 2014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pPr>
              <w:pStyle w:val="nTable"/>
              <w:spacing w:after="40"/>
            </w:pPr>
            <w:r>
              <w:t>26 Jun 2015 p. 2272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 xml:space="preserve">Regulations other than r. 1 and 2: 1 Jul 2015 (see r. 2(b)(ii) and </w:t>
            </w:r>
            <w:r>
              <w:rPr>
                <w:bCs/>
                <w:i/>
                <w:snapToGrid w:val="0"/>
                <w:spacing w:val="-2"/>
              </w:rPr>
              <w:t>Gazette</w:t>
            </w:r>
            <w:r>
              <w:rPr>
                <w:bCs/>
                <w:snapToGrid w:val="0"/>
                <w:spacing w:val="-2"/>
              </w:rPr>
              <w:t xml:space="preserve"> 26 Jun 2015 p. 2235)</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tcBorders>
              <w:top w:val="nil"/>
              <w:bottom w:val="nil"/>
            </w:tcBorders>
            <w:shd w:val="clear" w:color="auto" w:fill="auto"/>
          </w:tcPr>
          <w:p>
            <w:pPr>
              <w:pStyle w:val="nTable"/>
              <w:spacing w:after="40"/>
            </w:pPr>
            <w:r>
              <w:t>3 Jul 2015 p. 2667</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Jul 2015</w:t>
            </w:r>
            <w:r>
              <w:rPr>
                <w:bCs/>
                <w:snapToGrid w:val="0"/>
                <w:spacing w:val="-2"/>
              </w:rPr>
              <w:t xml:space="preserve"> (see r. 2(a));</w:t>
            </w:r>
            <w:r>
              <w:rPr>
                <w:bCs/>
                <w:snapToGrid w:val="0"/>
                <w:spacing w:val="-2"/>
              </w:rPr>
              <w:br/>
              <w:t>Regulations other than r. 1 and 2: 1 Aug 2015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Education and Care Services National Amendment Regulations 2017</w:t>
            </w:r>
          </w:p>
        </w:tc>
        <w:tc>
          <w:tcPr>
            <w:tcW w:w="1276" w:type="dxa"/>
            <w:tcBorders>
              <w:top w:val="nil"/>
              <w:bottom w:val="nil"/>
            </w:tcBorders>
            <w:shd w:val="clear" w:color="auto" w:fill="auto"/>
          </w:tcPr>
          <w:p>
            <w:pPr>
              <w:pStyle w:val="nTable"/>
              <w:spacing w:after="40"/>
            </w:pPr>
            <w:r>
              <w:t>3 Nov 2017 p. 5481</w:t>
            </w:r>
            <w:r>
              <w:noBreakHyphen/>
              <w:t>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Nov 2017</w:t>
            </w:r>
            <w:r>
              <w:rPr>
                <w:bCs/>
                <w:snapToGrid w:val="0"/>
                <w:spacing w:val="-2"/>
              </w:rPr>
              <w:t xml:space="preserve"> (see r. 2(a));</w:t>
            </w:r>
            <w:r>
              <w:rPr>
                <w:bCs/>
                <w:snapToGrid w:val="0"/>
                <w:spacing w:val="-2"/>
              </w:rPr>
              <w:br/>
              <w:t>Regulations other than r. 1 and 2: 4 Nov 2017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2018</w:t>
            </w:r>
            <w:r>
              <w:t xml:space="preserve"> </w:t>
            </w:r>
          </w:p>
        </w:tc>
        <w:tc>
          <w:tcPr>
            <w:tcW w:w="1276" w:type="dxa"/>
            <w:tcBorders>
              <w:top w:val="nil"/>
              <w:bottom w:val="nil"/>
            </w:tcBorders>
            <w:shd w:val="clear" w:color="auto" w:fill="auto"/>
          </w:tcPr>
          <w:p>
            <w:pPr>
              <w:pStyle w:val="nTable"/>
              <w:spacing w:after="40"/>
            </w:pPr>
            <w:r>
              <w:t>23 Jan 2018 p. 247</w:t>
            </w:r>
            <w:r>
              <w:noBreakHyphen/>
              <w:t>58</w:t>
            </w:r>
          </w:p>
        </w:tc>
        <w:tc>
          <w:tcPr>
            <w:tcW w:w="2693" w:type="dxa"/>
            <w:tcBorders>
              <w:top w:val="nil"/>
              <w:bottom w:val="nil"/>
            </w:tcBorders>
            <w:shd w:val="clear" w:color="auto" w:fill="auto"/>
          </w:tcPr>
          <w:p>
            <w:pPr>
              <w:pStyle w:val="nTable"/>
              <w:spacing w:after="40"/>
              <w:rPr>
                <w:bCs/>
                <w:snapToGrid w:val="0"/>
                <w:spacing w:val="-2"/>
              </w:rPr>
            </w:pPr>
            <w:r>
              <w:t>1 Feb 2018 (see r. 2(b)(i))</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2018</w:t>
            </w:r>
          </w:p>
        </w:tc>
        <w:tc>
          <w:tcPr>
            <w:tcW w:w="1276" w:type="dxa"/>
            <w:tcBorders>
              <w:top w:val="nil"/>
              <w:bottom w:val="nil"/>
            </w:tcBorders>
            <w:shd w:val="clear" w:color="auto" w:fill="auto"/>
          </w:tcPr>
          <w:p>
            <w:pPr>
              <w:pStyle w:val="nTable"/>
              <w:spacing w:after="40"/>
            </w:pPr>
            <w:r>
              <w:t>26 Jun 2018 p. 2358</w:t>
            </w:r>
            <w:r>
              <w:noBreakHyphen/>
              <w:t>9</w:t>
            </w:r>
          </w:p>
        </w:tc>
        <w:tc>
          <w:tcPr>
            <w:tcW w:w="2693" w:type="dxa"/>
            <w:tcBorders>
              <w:top w:val="nil"/>
              <w:bottom w:val="nil"/>
            </w:tcBorders>
            <w:shd w:val="clear" w:color="auto" w:fill="auto"/>
          </w:tcPr>
          <w:p>
            <w:pPr>
              <w:pStyle w:val="nTable"/>
              <w:spacing w:after="40"/>
            </w:pPr>
            <w:r>
              <w:rPr>
                <w:bCs/>
                <w:snapToGrid w:val="0"/>
                <w:spacing w:val="-2"/>
              </w:rPr>
              <w:t xml:space="preserve">r. 1 and 2: </w:t>
            </w:r>
            <w:r>
              <w:t>26 Jun 2018</w:t>
            </w:r>
            <w:r>
              <w:rPr>
                <w:bCs/>
                <w:snapToGrid w:val="0"/>
                <w:spacing w:val="-2"/>
              </w:rPr>
              <w:t xml:space="preserve"> (see r. 2(a));</w:t>
            </w:r>
            <w:r>
              <w:rPr>
                <w:bCs/>
                <w:snapToGrid w:val="0"/>
                <w:spacing w:val="-2"/>
              </w:rPr>
              <w:br/>
              <w:t>Regulations other than r. 1 and 2: 1 Jul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2018</w:t>
            </w:r>
            <w:r>
              <w:t xml:space="preserve"> </w:t>
            </w:r>
          </w:p>
        </w:tc>
        <w:tc>
          <w:tcPr>
            <w:tcW w:w="1276" w:type="dxa"/>
            <w:tcBorders>
              <w:top w:val="nil"/>
              <w:bottom w:val="nil"/>
            </w:tcBorders>
            <w:shd w:val="clear" w:color="auto" w:fill="auto"/>
          </w:tcPr>
          <w:p>
            <w:pPr>
              <w:pStyle w:val="nTable"/>
              <w:spacing w:after="40"/>
            </w:pPr>
            <w:r>
              <w:t>28 Sep 2018 p. 3601</w:t>
            </w:r>
            <w:r>
              <w:noBreakHyphen/>
              <w:t>58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28 Sep 2018</w:t>
            </w:r>
            <w:r>
              <w:rPr>
                <w:bCs/>
                <w:snapToGrid w:val="0"/>
                <w:spacing w:val="-2"/>
              </w:rPr>
              <w:t xml:space="preserve"> (see r. 2(a));</w:t>
            </w:r>
            <w:r>
              <w:rPr>
                <w:bCs/>
                <w:snapToGrid w:val="0"/>
                <w:spacing w:val="-2"/>
              </w:rPr>
              <w:br/>
              <w:t>Regulations other than r. 1 and 2: 1 Oct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2019</w:t>
            </w:r>
          </w:p>
        </w:tc>
        <w:tc>
          <w:tcPr>
            <w:tcW w:w="1276" w:type="dxa"/>
            <w:tcBorders>
              <w:top w:val="nil"/>
              <w:bottom w:val="nil"/>
            </w:tcBorders>
            <w:shd w:val="clear" w:color="auto" w:fill="auto"/>
          </w:tcPr>
          <w:p>
            <w:pPr>
              <w:pStyle w:val="nTable"/>
              <w:spacing w:after="40"/>
            </w:pPr>
            <w:r>
              <w:t>24 Dec 2019 p. 4422</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24 Dec 2019 (see r. 2(a)); </w:t>
            </w:r>
            <w:r>
              <w:rPr>
                <w:bCs/>
                <w:snapToGrid w:val="0"/>
                <w:spacing w:val="-2"/>
              </w:rPr>
              <w:br/>
              <w:t>Regulations other than r. 1 and 2 and 16(2), (3) and (4): 31 Dec 2019 (see r. 2(c));</w:t>
            </w:r>
            <w:r>
              <w:rPr>
                <w:bCs/>
                <w:snapToGrid w:val="0"/>
                <w:spacing w:val="-2"/>
              </w:rPr>
              <w:br/>
              <w:t>r. 16(2), (3) and (4): 1 Jul 2020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2020</w:t>
            </w:r>
          </w:p>
        </w:tc>
        <w:tc>
          <w:tcPr>
            <w:tcW w:w="1276" w:type="dxa"/>
            <w:tcBorders>
              <w:top w:val="nil"/>
              <w:bottom w:val="nil"/>
            </w:tcBorders>
            <w:shd w:val="clear" w:color="auto" w:fill="auto"/>
          </w:tcPr>
          <w:p>
            <w:pPr>
              <w:pStyle w:val="nTable"/>
              <w:spacing w:after="40"/>
            </w:pPr>
            <w:r>
              <w:t>SL 2020/143 28 Aug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28 Aug 2020 (see r. 2(a));</w:t>
            </w:r>
            <w:r>
              <w:rPr>
                <w:bCs/>
                <w:snapToGrid w:val="0"/>
                <w:spacing w:val="-2"/>
              </w:rPr>
              <w:br/>
              <w:t>r. 3, 5 and 10: 1 Sep 2020 (see r. 2(b));</w:t>
            </w:r>
            <w:r>
              <w:rPr>
                <w:bCs/>
                <w:snapToGrid w:val="0"/>
                <w:spacing w:val="-2"/>
              </w:rPr>
              <w:br/>
            </w:r>
            <w:r>
              <w:t>r. 4, 6-9 and 11: 1 Oct 2020 (see r. 2(c))</w:t>
            </w:r>
          </w:p>
        </w:tc>
      </w:tr>
      <w:tr>
        <w:tc>
          <w:tcPr>
            <w:tcW w:w="3119" w:type="dxa"/>
            <w:tcBorders>
              <w:top w:val="nil"/>
              <w:bottom w:val="nil"/>
            </w:tcBorders>
            <w:shd w:val="clear" w:color="auto" w:fill="auto"/>
          </w:tcPr>
          <w:p>
            <w:pPr>
              <w:pStyle w:val="nTable"/>
              <w:spacing w:after="40"/>
            </w:pPr>
            <w:r>
              <w:rPr>
                <w:i/>
              </w:rPr>
              <w:t>Education and Care Services National Amendment Regulations (No. 2) 2021</w:t>
            </w:r>
            <w:r>
              <w:t xml:space="preserve"> </w:t>
            </w:r>
          </w:p>
        </w:tc>
        <w:tc>
          <w:tcPr>
            <w:tcW w:w="1276" w:type="dxa"/>
            <w:tcBorders>
              <w:top w:val="nil"/>
              <w:bottom w:val="nil"/>
            </w:tcBorders>
            <w:shd w:val="clear" w:color="auto" w:fill="auto"/>
          </w:tcPr>
          <w:p>
            <w:pPr>
              <w:pStyle w:val="nTable"/>
              <w:spacing w:after="40"/>
            </w:pPr>
            <w:r>
              <w:t>SL 2021/140 30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30 Jul 2021</w:t>
            </w:r>
            <w:r>
              <w:rPr>
                <w:bCs/>
                <w:snapToGrid w:val="0"/>
                <w:spacing w:val="-2"/>
              </w:rPr>
              <w:t xml:space="preserve"> (see r. 2(a));</w:t>
            </w:r>
            <w:r>
              <w:rPr>
                <w:bCs/>
                <w:snapToGrid w:val="0"/>
                <w:spacing w:val="-2"/>
              </w:rPr>
              <w:br/>
              <w:t xml:space="preserve">r. 3, 8 and 11: </w:t>
            </w:r>
            <w:r>
              <w:t>30 Jul 2021</w:t>
            </w:r>
            <w:r>
              <w:rPr>
                <w:bCs/>
                <w:snapToGrid w:val="0"/>
                <w:spacing w:val="-2"/>
              </w:rPr>
              <w:t xml:space="preserve"> (see r. 2(b));</w:t>
            </w:r>
            <w:r>
              <w:rPr>
                <w:bCs/>
                <w:snapToGrid w:val="0"/>
                <w:spacing w:val="-2"/>
              </w:rPr>
              <w:br/>
            </w:r>
            <w:r>
              <w:t>r. 4</w:t>
            </w:r>
            <w:r>
              <w:noBreakHyphen/>
              <w:t>7: 1 Oct 2021 (see r. 2(c));</w:t>
            </w:r>
            <w:r>
              <w:br/>
              <w:t>r. 9 and 10: 30 Dec 2021 (see r. 2(d))</w:t>
            </w:r>
          </w:p>
        </w:tc>
      </w:tr>
      <w:tr>
        <w:tc>
          <w:tcPr>
            <w:tcW w:w="3119" w:type="dxa"/>
            <w:tcBorders>
              <w:top w:val="nil"/>
              <w:bottom w:val="single" w:sz="4" w:space="0" w:color="auto"/>
            </w:tcBorders>
            <w:shd w:val="clear" w:color="auto" w:fill="auto"/>
          </w:tcPr>
          <w:p>
            <w:pPr>
              <w:pStyle w:val="nTable"/>
              <w:spacing w:after="40"/>
              <w:rPr>
                <w:i/>
              </w:rPr>
            </w:pPr>
            <w:r>
              <w:rPr>
                <w:i/>
              </w:rPr>
              <w:t>Education and Care Services National Amendment Regulations (No. 3) 2021</w:t>
            </w:r>
          </w:p>
        </w:tc>
        <w:tc>
          <w:tcPr>
            <w:tcW w:w="1276" w:type="dxa"/>
            <w:tcBorders>
              <w:top w:val="nil"/>
              <w:bottom w:val="single" w:sz="4" w:space="0" w:color="auto"/>
            </w:tcBorders>
            <w:shd w:val="clear" w:color="auto" w:fill="auto"/>
          </w:tcPr>
          <w:p>
            <w:pPr>
              <w:pStyle w:val="nTable"/>
              <w:spacing w:after="40"/>
            </w:pPr>
            <w:r>
              <w:t>SL 2021/220 24 Dec 2021</w:t>
            </w:r>
          </w:p>
        </w:tc>
        <w:tc>
          <w:tcPr>
            <w:tcW w:w="2693" w:type="dxa"/>
            <w:tcBorders>
              <w:top w:val="nil"/>
              <w:bottom w:val="single" w:sz="4" w:space="0" w:color="auto"/>
            </w:tcBorders>
            <w:shd w:val="clear" w:color="auto" w:fill="auto"/>
          </w:tcPr>
          <w:p>
            <w:pPr>
              <w:pStyle w:val="nTable"/>
              <w:spacing w:after="40"/>
              <w:rPr>
                <w:bCs/>
                <w:snapToGrid w:val="0"/>
                <w:spacing w:val="-2"/>
              </w:rPr>
            </w:pPr>
            <w:r>
              <w:rPr>
                <w:bCs/>
                <w:snapToGrid w:val="0"/>
                <w:spacing w:val="-2"/>
              </w:rPr>
              <w:t>r. 1 and 2: 24 Dec 2021 (see r. 2(a));</w:t>
            </w:r>
            <w:r>
              <w:rPr>
                <w:bCs/>
                <w:snapToGrid w:val="0"/>
                <w:spacing w:val="-2"/>
              </w:rPr>
              <w:br/>
              <w:t>Regulations other than r. 1 and 2: 1 Jan 2022 (see r. 2(b))</w:t>
            </w:r>
          </w:p>
        </w:tc>
      </w:tr>
    </w:tbl>
    <w:p>
      <w:pPr>
        <w:pStyle w:val="nHeading3"/>
      </w:pPr>
      <w:bookmarkStart w:id="634" w:name="_Toc109833297"/>
      <w:r>
        <w:lastRenderedPageBreak/>
        <w:t>Uncommenced provisions table</w:t>
      </w:r>
      <w:bookmarkEnd w:id="63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Education and Care Services National Amendment Regulations 2022</w:t>
            </w:r>
            <w:r>
              <w:t xml:space="preserve"> r. 3-5</w:t>
            </w:r>
          </w:p>
        </w:tc>
        <w:tc>
          <w:tcPr>
            <w:tcW w:w="1276" w:type="dxa"/>
          </w:tcPr>
          <w:p>
            <w:pPr>
              <w:pStyle w:val="nTable"/>
              <w:spacing w:after="40"/>
            </w:pPr>
            <w:r>
              <w:t>SL 2022/139 29 Jul 2022</w:t>
            </w:r>
          </w:p>
        </w:tc>
        <w:tc>
          <w:tcPr>
            <w:tcW w:w="2693" w:type="dxa"/>
          </w:tcPr>
          <w:p>
            <w:pPr>
              <w:pStyle w:val="nTable"/>
              <w:spacing w:after="40"/>
            </w:pPr>
            <w:r>
              <w:t>r. 3 and 4: 1 Sep 2022 (see r. 2(b));</w:t>
            </w:r>
            <w:r>
              <w:br/>
              <w:t>r. 5: 1 Mar 2023 (see r. 2(c))</w:t>
            </w:r>
          </w:p>
        </w:tc>
      </w:tr>
    </w:tbl>
    <w:p>
      <w:pPr>
        <w:pStyle w:val="nNote"/>
      </w:pPr>
      <w:r>
        <w:rPr>
          <w:vertAlign w:val="superscript"/>
        </w:rPr>
        <w:t>1</w:t>
      </w:r>
      <w:r>
        <w:tab/>
        <w:t xml:space="preserve">The short title of this Act was changed to the </w:t>
      </w:r>
      <w:r>
        <w:rPr>
          <w:i/>
        </w:rPr>
        <w:t xml:space="preserve">Administrative Decisions Review Act 1997 </w:t>
      </w:r>
      <w:r>
        <w:t xml:space="preserve">by the </w:t>
      </w:r>
      <w:r>
        <w:rPr>
          <w:i/>
          <w:iCs/>
        </w:rPr>
        <w:t>Civil and Administrative Tribunal Amendment Act 2013</w:t>
      </w:r>
      <w:r>
        <w:t xml:space="preserve"> (NSW) Sch. 2.</w:t>
      </w:r>
    </w:p>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636" w:name="_Toc109740874"/>
      <w:bookmarkStart w:id="637" w:name="_Toc109741703"/>
      <w:bookmarkStart w:id="638" w:name="_Toc109833298"/>
      <w:r>
        <w:rPr>
          <w:sz w:val="28"/>
        </w:rPr>
        <w:lastRenderedPageBreak/>
        <w:t>Defined terms</w:t>
      </w:r>
      <w:bookmarkEnd w:id="636"/>
      <w:bookmarkEnd w:id="637"/>
      <w:bookmarkEnd w:id="6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actively working towards</w:t>
      </w:r>
      <w:r>
        <w:tab/>
        <w:t>4(1), 10, 241(7)</w:t>
      </w:r>
    </w:p>
    <w:p>
      <w:pPr>
        <w:pStyle w:val="DefinedTerms"/>
      </w:pPr>
      <w:r>
        <w:t>approved anaphylaxis management training</w:t>
      </w:r>
      <w:r>
        <w:tab/>
        <w:t>136(5)</w:t>
      </w:r>
    </w:p>
    <w:p>
      <w:pPr>
        <w:pStyle w:val="DefinedTerms"/>
      </w:pPr>
      <w:r>
        <w:t>approved certificate III level education and care qualification</w:t>
      </w:r>
      <w:r>
        <w:tab/>
        <w:t>4(1)</w:t>
      </w:r>
    </w:p>
    <w:p>
      <w:pPr>
        <w:pStyle w:val="DefinedTerms"/>
      </w:pPr>
      <w:r>
        <w:t>approved diploma level education and care qualification</w:t>
      </w:r>
      <w:r>
        <w:tab/>
        <w:t>4(1)</w:t>
      </w:r>
    </w:p>
    <w:p>
      <w:pPr>
        <w:pStyle w:val="DefinedTerms"/>
      </w:pPr>
      <w:r>
        <w:t>approved early childhood teaching qualification</w:t>
      </w:r>
      <w:r>
        <w:tab/>
        <w:t>4(1)</w:t>
      </w:r>
    </w:p>
    <w:p>
      <w:pPr>
        <w:pStyle w:val="DefinedTerms"/>
      </w:pPr>
      <w:r>
        <w:t>approved emergency asthma management training</w:t>
      </w:r>
      <w:r>
        <w:tab/>
        <w:t>136(5)</w:t>
      </w:r>
    </w:p>
    <w:p>
      <w:pPr>
        <w:pStyle w:val="DefinedTerms"/>
      </w:pPr>
      <w:r>
        <w:t>approved first aid qualification</w:t>
      </w:r>
      <w:r>
        <w:tab/>
        <w:t>136(5)</w:t>
      </w:r>
    </w:p>
    <w:p>
      <w:pPr>
        <w:pStyle w:val="DefinedTerms"/>
      </w:pPr>
      <w:r>
        <w:t>approved number of places</w:t>
      </w:r>
      <w:r>
        <w:tab/>
        <w:t>4(1)</w:t>
      </w:r>
    </w:p>
    <w:p>
      <w:pPr>
        <w:pStyle w:val="DefinedTerms"/>
      </w:pPr>
      <w:r>
        <w:t>ARIA+ score</w:t>
      </w:r>
      <w:r>
        <w:tab/>
        <w:t>239A(5)</w:t>
      </w:r>
    </w:p>
    <w:p>
      <w:pPr>
        <w:pStyle w:val="DefinedTerms"/>
      </w:pPr>
      <w:r>
        <w:t>authorised emergency contact</w:t>
      </w:r>
      <w:r>
        <w:tab/>
        <w:t>4(1)</w:t>
      </w:r>
    </w:p>
    <w:p>
      <w:pPr>
        <w:pStyle w:val="DefinedTerms"/>
      </w:pPr>
      <w:r>
        <w:t>Authorised nominee</w:t>
      </w:r>
      <w:r>
        <w:tab/>
        <w:t>160(3)</w:t>
      </w:r>
    </w:p>
    <w:p>
      <w:pPr>
        <w:pStyle w:val="DefinedTerms"/>
      </w:pPr>
      <w:r>
        <w:t>bankruptcy declaration</w:t>
      </w:r>
      <w:r>
        <w:tab/>
        <w:t>4(1)</w:t>
      </w:r>
    </w:p>
    <w:p>
      <w:pPr>
        <w:pStyle w:val="DefinedTerms"/>
      </w:pPr>
      <w:r>
        <w:t>building law</w:t>
      </w:r>
      <w:r>
        <w:tab/>
        <w:t>4(1)</w:t>
      </w:r>
    </w:p>
    <w:p>
      <w:pPr>
        <w:pStyle w:val="DefinedTerms"/>
      </w:pPr>
      <w:r>
        <w:t>building permit</w:t>
      </w:r>
      <w:r>
        <w:tab/>
        <w:t>4(1)</w:t>
      </w:r>
    </w:p>
    <w:p>
      <w:pPr>
        <w:pStyle w:val="DefinedTerms"/>
      </w:pPr>
      <w:r>
        <w:t>building practitioner</w:t>
      </w:r>
      <w:r>
        <w:tab/>
        <w:t>4(1)</w:t>
      </w:r>
    </w:p>
    <w:p>
      <w:pPr>
        <w:pStyle w:val="DefinedTerms"/>
      </w:pPr>
      <w:r>
        <w:t>centre</w:t>
      </w:r>
      <w:r>
        <w:noBreakHyphen/>
        <w:t>based service</w:t>
      </w:r>
      <w:r>
        <w:tab/>
        <w:t>4(1)</w:t>
      </w:r>
    </w:p>
    <w:p>
      <w:pPr>
        <w:pStyle w:val="DefinedTerms"/>
      </w:pPr>
      <w:r>
        <w:t>certificate of final inspection</w:t>
      </w:r>
      <w:r>
        <w:tab/>
        <w:t>4(1)</w:t>
      </w:r>
    </w:p>
    <w:p>
      <w:pPr>
        <w:pStyle w:val="DefinedTerms"/>
      </w:pPr>
      <w:r>
        <w:t>child over preschool age</w:t>
      </w:r>
      <w:r>
        <w:tab/>
        <w:t>4(1)</w:t>
      </w:r>
    </w:p>
    <w:p>
      <w:pPr>
        <w:pStyle w:val="DefinedTerms"/>
      </w:pPr>
      <w:r>
        <w:t>child preschool age or under</w:t>
      </w:r>
      <w:r>
        <w:tab/>
        <w:t>4(1)</w:t>
      </w:r>
    </w:p>
    <w:p>
      <w:pPr>
        <w:pStyle w:val="DefinedTerms"/>
      </w:pPr>
      <w:r>
        <w:t>commencement day</w:t>
      </w:r>
      <w:r>
        <w:tab/>
        <w:t>395(1)</w:t>
      </w:r>
    </w:p>
    <w:p>
      <w:pPr>
        <w:pStyle w:val="DefinedTerms"/>
      </w:pPr>
      <w:r>
        <w:t>criminal history record check</w:t>
      </w:r>
      <w:r>
        <w:tab/>
        <w:t>4(1)</w:t>
      </w:r>
    </w:p>
    <w:p>
      <w:pPr>
        <w:pStyle w:val="DefinedTerms"/>
      </w:pPr>
      <w:r>
        <w:t>criminal history statement</w:t>
      </w:r>
      <w:r>
        <w:tab/>
        <w:t>4(1)</w:t>
      </w:r>
    </w:p>
    <w:p>
      <w:pPr>
        <w:pStyle w:val="DefinedTerms"/>
      </w:pPr>
      <w:r>
        <w:t>diagnosed as at risk of anaphylaxis</w:t>
      </w:r>
      <w:r>
        <w:tab/>
        <w:t>4(1)</w:t>
      </w:r>
    </w:p>
    <w:p>
      <w:pPr>
        <w:pStyle w:val="DefinedTerms"/>
      </w:pPr>
      <w:r>
        <w:t>disciplinary proceedings statement</w:t>
      </w:r>
      <w:r>
        <w:tab/>
        <w:t>4(1)</w:t>
      </w:r>
    </w:p>
    <w:p>
      <w:pPr>
        <w:pStyle w:val="DefinedTerms"/>
      </w:pPr>
      <w:r>
        <w:t>early childhood service</w:t>
      </w:r>
      <w:r>
        <w:tab/>
        <w:t>162</w:t>
      </w:r>
    </w:p>
    <w:p>
      <w:pPr>
        <w:pStyle w:val="DefinedTerms"/>
      </w:pPr>
      <w:r>
        <w:t>early childhood teacher</w:t>
      </w:r>
      <w:r>
        <w:tab/>
        <w:t>4(1)</w:t>
      </w:r>
    </w:p>
    <w:p>
      <w:pPr>
        <w:pStyle w:val="DefinedTerms"/>
      </w:pPr>
      <w:r>
        <w:t>educational program</w:t>
      </w:r>
      <w:r>
        <w:tab/>
        <w:t>4(1), 73(1)</w:t>
      </w:r>
    </w:p>
    <w:p>
      <w:pPr>
        <w:pStyle w:val="DefinedTerms"/>
      </w:pPr>
      <w:r>
        <w:t>emergency</w:t>
      </w:r>
      <w:r>
        <w:tab/>
        <w:t>4(1), 123(1A)</w:t>
      </w:r>
    </w:p>
    <w:p>
      <w:pPr>
        <w:pStyle w:val="DefinedTerms"/>
      </w:pPr>
      <w:r>
        <w:t>excursion</w:t>
      </w:r>
      <w:r>
        <w:tab/>
        <w:t>4(1)</w:t>
      </w:r>
    </w:p>
    <w:p>
      <w:pPr>
        <w:pStyle w:val="DefinedTerms"/>
      </w:pPr>
      <w:r>
        <w:t>family assistance law</w:t>
      </w:r>
      <w:r>
        <w:tab/>
        <w:t>4(1)</w:t>
      </w:r>
    </w:p>
    <w:p>
      <w:pPr>
        <w:pStyle w:val="DefinedTerms"/>
      </w:pPr>
      <w:r>
        <w:t>family day care educator assistant</w:t>
      </w:r>
      <w:r>
        <w:tab/>
        <w:t>4(1)</w:t>
      </w:r>
    </w:p>
    <w:p>
      <w:pPr>
        <w:pStyle w:val="DefinedTerms"/>
      </w:pPr>
      <w:r>
        <w:t>financial declaration</w:t>
      </w:r>
      <w:r>
        <w:tab/>
        <w:t>4(1)</w:t>
      </w:r>
    </w:p>
    <w:p>
      <w:pPr>
        <w:pStyle w:val="DefinedTerms"/>
      </w:pPr>
      <w:r>
        <w:t>in attendance</w:t>
      </w:r>
      <w:r>
        <w:tab/>
        <w:t>4(1), 11</w:t>
      </w:r>
    </w:p>
    <w:p>
      <w:pPr>
        <w:pStyle w:val="DefinedTerms"/>
      </w:pPr>
      <w:r>
        <w:t>index number</w:t>
      </w:r>
      <w:r>
        <w:tab/>
        <w:t>235(3)</w:t>
      </w:r>
    </w:p>
    <w:p>
      <w:pPr>
        <w:pStyle w:val="DefinedTerms"/>
      </w:pPr>
      <w:r>
        <w:t>infectious disease</w:t>
      </w:r>
      <w:r>
        <w:tab/>
        <w:t>4(1)</w:t>
      </w:r>
    </w:p>
    <w:p>
      <w:pPr>
        <w:pStyle w:val="DefinedTerms"/>
      </w:pPr>
      <w:r>
        <w:t>initial entity</w:t>
      </w:r>
      <w:r>
        <w:tab/>
        <w:t>216</w:t>
      </w:r>
    </w:p>
    <w:p>
      <w:pPr>
        <w:pStyle w:val="DefinedTerms"/>
      </w:pPr>
      <w:r>
        <w:t>kindergarten programme</w:t>
      </w:r>
      <w:r>
        <w:tab/>
        <w:t>368</w:t>
      </w:r>
    </w:p>
    <w:p>
      <w:pPr>
        <w:pStyle w:val="DefinedTerms"/>
      </w:pPr>
      <w:r>
        <w:t>medication</w:t>
      </w:r>
      <w:r>
        <w:tab/>
        <w:t>4(1)</w:t>
      </w:r>
    </w:p>
    <w:p>
      <w:pPr>
        <w:pStyle w:val="DefinedTerms"/>
      </w:pPr>
      <w:r>
        <w:t>monetary order</w:t>
      </w:r>
      <w:r>
        <w:tab/>
        <w:t>384(2)</w:t>
      </w:r>
    </w:p>
    <w:p>
      <w:pPr>
        <w:pStyle w:val="DefinedTerms"/>
      </w:pPr>
      <w:r>
        <w:t>most recent March year</w:t>
      </w:r>
      <w:r>
        <w:tab/>
        <w:t>235(3)</w:t>
      </w:r>
    </w:p>
    <w:p>
      <w:pPr>
        <w:pStyle w:val="DefinedTerms"/>
      </w:pPr>
      <w:r>
        <w:lastRenderedPageBreak/>
        <w:t>occupancy permit</w:t>
      </w:r>
      <w:r>
        <w:tab/>
        <w:t>4(1)</w:t>
      </w:r>
    </w:p>
    <w:p>
      <w:pPr>
        <w:pStyle w:val="DefinedTerms"/>
      </w:pPr>
      <w:r>
        <w:t>overseas criminal history statement</w:t>
      </w:r>
      <w:r>
        <w:tab/>
        <w:t>4(1)</w:t>
      </w:r>
    </w:p>
    <w:p>
      <w:pPr>
        <w:pStyle w:val="DefinedTerms"/>
      </w:pPr>
      <w:r>
        <w:t>parenting order</w:t>
      </w:r>
      <w:r>
        <w:tab/>
        <w:t>160(4)</w:t>
      </w:r>
    </w:p>
    <w:p>
      <w:pPr>
        <w:pStyle w:val="DefinedTerms"/>
      </w:pPr>
      <w:r>
        <w:t>parenting plan</w:t>
      </w:r>
      <w:r>
        <w:tab/>
        <w:t>160(4)</w:t>
      </w:r>
    </w:p>
    <w:p>
      <w:pPr>
        <w:pStyle w:val="DefinedTerms"/>
      </w:pPr>
      <w:r>
        <w:t>person in day</w:t>
      </w:r>
      <w:r>
        <w:noBreakHyphen/>
        <w:t>to</w:t>
      </w:r>
      <w:r>
        <w:noBreakHyphen/>
        <w:t>day charge</w:t>
      </w:r>
      <w:r>
        <w:tab/>
        <w:t>117A</w:t>
      </w:r>
    </w:p>
    <w:p>
      <w:pPr>
        <w:pStyle w:val="DefinedTerms"/>
      </w:pPr>
      <w:r>
        <w:t>planning and development law</w:t>
      </w:r>
      <w:r>
        <w:tab/>
        <w:t>4(1)</w:t>
      </w:r>
    </w:p>
    <w:p>
      <w:pPr>
        <w:pStyle w:val="DefinedTerms"/>
      </w:pPr>
      <w:r>
        <w:t>planning permit</w:t>
      </w:r>
      <w:r>
        <w:tab/>
        <w:t>4(1)</w:t>
      </w:r>
    </w:p>
    <w:p>
      <w:pPr>
        <w:pStyle w:val="DefinedTerms"/>
      </w:pPr>
      <w:r>
        <w:t>pre</w:t>
      </w:r>
      <w:r>
        <w:noBreakHyphen/>
        <w:t>kindergarten programme</w:t>
      </w:r>
      <w:r>
        <w:tab/>
        <w:t>368</w:t>
      </w:r>
    </w:p>
    <w:p>
      <w:pPr>
        <w:pStyle w:val="DefinedTerms"/>
      </w:pPr>
      <w:r>
        <w:t>pre</w:t>
      </w:r>
      <w:r>
        <w:noBreakHyphen/>
        <w:t>primary programme</w:t>
      </w:r>
      <w:r>
        <w:tab/>
        <w:t>368</w:t>
      </w:r>
    </w:p>
    <w:p>
      <w:pPr>
        <w:pStyle w:val="DefinedTerms"/>
      </w:pPr>
      <w:r>
        <w:t>preschool</w:t>
      </w:r>
      <w:r>
        <w:tab/>
        <w:t>368</w:t>
      </w:r>
    </w:p>
    <w:p>
      <w:pPr>
        <w:pStyle w:val="DefinedTerms"/>
      </w:pPr>
      <w:r>
        <w:t>preschool program</w:t>
      </w:r>
      <w:r>
        <w:tab/>
        <w:t>4(1)</w:t>
      </w:r>
    </w:p>
    <w:p>
      <w:pPr>
        <w:pStyle w:val="DefinedTerms"/>
      </w:pPr>
      <w:r>
        <w:t>prescribed regulation</w:t>
      </w:r>
      <w:r>
        <w:tab/>
        <w:t>256(3), 257(5)</w:t>
      </w:r>
    </w:p>
    <w:p>
      <w:pPr>
        <w:pStyle w:val="DefinedTerms"/>
      </w:pPr>
      <w:r>
        <w:t>previous March year</w:t>
      </w:r>
      <w:r>
        <w:tab/>
        <w:t>235(3)</w:t>
      </w:r>
    </w:p>
    <w:p>
      <w:pPr>
        <w:pStyle w:val="DefinedTerms"/>
      </w:pPr>
      <w:r>
        <w:t>previous service statement</w:t>
      </w:r>
      <w:r>
        <w:tab/>
        <w:t>4(1)</w:t>
      </w:r>
    </w:p>
    <w:p>
      <w:pPr>
        <w:pStyle w:val="DefinedTerms"/>
      </w:pPr>
      <w:r>
        <w:t>provided by a school</w:t>
      </w:r>
      <w:r>
        <w:tab/>
        <w:t>368</w:t>
      </w:r>
    </w:p>
    <w:p>
      <w:pPr>
        <w:pStyle w:val="DefinedTerms"/>
      </w:pPr>
      <w:r>
        <w:t>public office</w:t>
      </w:r>
      <w:r>
        <w:tab/>
        <w:t>214</w:t>
      </w:r>
    </w:p>
    <w:p>
      <w:pPr>
        <w:pStyle w:val="DefinedTerms"/>
      </w:pPr>
      <w:r>
        <w:t>qualified educator</w:t>
      </w:r>
      <w:r>
        <w:tab/>
        <w:t>370(3)</w:t>
      </w:r>
    </w:p>
    <w:p>
      <w:pPr>
        <w:pStyle w:val="DefinedTerms"/>
      </w:pPr>
      <w:r>
        <w:t>quarter</w:t>
      </w:r>
      <w:r>
        <w:tab/>
        <w:t>235(3)</w:t>
      </w:r>
    </w:p>
    <w:p>
      <w:pPr>
        <w:pStyle w:val="DefinedTerms"/>
      </w:pPr>
      <w:r>
        <w:t>recognised estray provisions</w:t>
      </w:r>
      <w:r>
        <w:tab/>
        <w:t>216</w:t>
      </w:r>
    </w:p>
    <w:p>
      <w:pPr>
        <w:pStyle w:val="DefinedTerms"/>
      </w:pPr>
      <w:r>
        <w:t>registered medical practitioner</w:t>
      </w:r>
      <w:r>
        <w:tab/>
        <w:t>4(1)</w:t>
      </w:r>
    </w:p>
    <w:p>
      <w:pPr>
        <w:pStyle w:val="DefinedTerms"/>
      </w:pPr>
      <w:r>
        <w:t>regular outing</w:t>
      </w:r>
      <w:r>
        <w:tab/>
        <w:t>4(1)</w:t>
      </w:r>
    </w:p>
    <w:p>
      <w:pPr>
        <w:pStyle w:val="DefinedTerms"/>
      </w:pPr>
      <w:r>
        <w:t>regular transportation</w:t>
      </w:r>
      <w:r>
        <w:tab/>
        <w:t>4(1)</w:t>
      </w:r>
    </w:p>
    <w:p>
      <w:pPr>
        <w:pStyle w:val="DefinedTerms"/>
      </w:pPr>
      <w:r>
        <w:t>relevant administrative tribunal</w:t>
      </w:r>
      <w:r>
        <w:tab/>
        <w:t>210</w:t>
      </w:r>
    </w:p>
    <w:p>
      <w:pPr>
        <w:pStyle w:val="DefinedTerms"/>
      </w:pPr>
      <w:r>
        <w:t>relevant day</w:t>
      </w:r>
      <w:r>
        <w:tab/>
        <w:t>399(3)</w:t>
      </w:r>
    </w:p>
    <w:p>
      <w:pPr>
        <w:pStyle w:val="DefinedTerms"/>
      </w:pPr>
      <w:r>
        <w:t>relevant regulation</w:t>
      </w:r>
      <w:r>
        <w:tab/>
        <w:t>242(3)</w:t>
      </w:r>
    </w:p>
    <w:p>
      <w:pPr>
        <w:pStyle w:val="DefinedTerms"/>
      </w:pPr>
      <w:r>
        <w:t>relevant year</w:t>
      </w:r>
      <w:r>
        <w:tab/>
        <w:t>235(2)</w:t>
      </w:r>
    </w:p>
    <w:p>
      <w:pPr>
        <w:pStyle w:val="DefinedTerms"/>
      </w:pPr>
      <w:r>
        <w:t>remote area</w:t>
      </w:r>
      <w:r>
        <w:tab/>
        <w:t>239A(5)</w:t>
      </w:r>
    </w:p>
    <w:p>
      <w:pPr>
        <w:pStyle w:val="DefinedTerms"/>
      </w:pPr>
      <w:r>
        <w:t>renovate</w:t>
      </w:r>
      <w:r>
        <w:tab/>
        <w:t>4(1)</w:t>
      </w:r>
    </w:p>
    <w:p>
      <w:pPr>
        <w:pStyle w:val="DefinedTerms"/>
      </w:pPr>
      <w:r>
        <w:t>responsible person</w:t>
      </w:r>
      <w:r>
        <w:tab/>
        <w:t>4(1)</w:t>
      </w:r>
    </w:p>
    <w:p>
      <w:pPr>
        <w:pStyle w:val="DefinedTerms"/>
      </w:pPr>
      <w:r>
        <w:t>scheme commencement day</w:t>
      </w:r>
      <w:r>
        <w:tab/>
        <w:t>4(1)</w:t>
      </w:r>
    </w:p>
    <w:p>
      <w:pPr>
        <w:pStyle w:val="DefinedTerms"/>
      </w:pPr>
      <w:r>
        <w:t>school</w:t>
      </w:r>
      <w:r>
        <w:tab/>
        <w:t>368</w:t>
      </w:r>
    </w:p>
    <w:p>
      <w:pPr>
        <w:pStyle w:val="DefinedTerms"/>
      </w:pPr>
      <w:r>
        <w:t>secondary programme</w:t>
      </w:r>
      <w:r>
        <w:tab/>
        <w:t>368</w:t>
      </w:r>
    </w:p>
    <w:p>
      <w:pPr>
        <w:pStyle w:val="DefinedTerms"/>
      </w:pPr>
      <w:r>
        <w:t>serious incident</w:t>
      </w:r>
      <w:r>
        <w:tab/>
        <w:t>4(1), 12</w:t>
      </w:r>
    </w:p>
    <w:p>
      <w:pPr>
        <w:pStyle w:val="DefinedTerms"/>
      </w:pPr>
      <w:r>
        <w:t>soil assessment</w:t>
      </w:r>
      <w:r>
        <w:tab/>
        <w:t>4(1)</w:t>
      </w:r>
    </w:p>
    <w:p>
      <w:pPr>
        <w:pStyle w:val="DefinedTerms"/>
      </w:pPr>
      <w:r>
        <w:t>State collecting institution</w:t>
      </w:r>
      <w:r>
        <w:tab/>
        <w:t>216</w:t>
      </w:r>
    </w:p>
    <w:p>
      <w:pPr>
        <w:pStyle w:val="DefinedTerms"/>
      </w:pPr>
      <w:r>
        <w:t>suitably qualified person</w:t>
      </w:r>
      <w:r>
        <w:tab/>
        <w:t>4(1)</w:t>
      </w:r>
    </w:p>
    <w:p>
      <w:pPr>
        <w:pStyle w:val="DefinedTerms"/>
      </w:pPr>
      <w:r>
        <w:t>the Law</w:t>
      </w:r>
      <w:r>
        <w:tab/>
        <w:t>4(1)</w:t>
      </w:r>
    </w:p>
    <w:p>
      <w:pPr>
        <w:pStyle w:val="DefinedTerms"/>
      </w:pPr>
      <w:r>
        <w:t>very remote area</w:t>
      </w:r>
      <w:r>
        <w:tab/>
        <w:t>239A(5)</w:t>
      </w:r>
    </w:p>
    <w:p>
      <w:pPr>
        <w:pStyle w:val="DefinedTerms"/>
      </w:pPr>
      <w:r>
        <w:t>working directly with children</w:t>
      </w:r>
      <w:r>
        <w:tab/>
        <w:t>4(1), 13</w:t>
      </w:r>
    </w:p>
    <w:p>
      <w:pPr>
        <w:pStyle w:val="DefinedTerms"/>
      </w:pPr>
      <w:r>
        <w:t>working with children check number</w:t>
      </w:r>
      <w:r>
        <w:tab/>
        <w:t>4(1)</w:t>
      </w:r>
    </w:p>
    <w:p>
      <w:pPr>
        <w:pStyle w:val="DefinedTerms"/>
      </w:pPr>
      <w:r>
        <w:t>working with vulnerable people check</w:t>
      </w:r>
      <w:r>
        <w:tab/>
        <w:t>4(1)</w:t>
      </w:r>
    </w:p>
    <w:p>
      <w:pPr>
        <w:pStyle w:val="DefinedTerms"/>
      </w:pPr>
      <w:r>
        <w:t>working with vulnerable people registration</w:t>
      </w:r>
      <w:r>
        <w:tab/>
        <w:t>4(1)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01-t0-00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01-t0-00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01-t0-00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01-t0-00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01-t0-00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263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01-t0-00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left="-127"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626" w:name="Schedule"/>
    <w:bookmarkEnd w:id="62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35" w:name="Compilation"/>
    <w:bookmarkEnd w:id="63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39" w:name="DefinedTerms"/>
    <w:bookmarkEnd w:id="63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40" w:name="Coversheet"/>
    <w:bookmarkEnd w:id="6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18636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726150438"/>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 w:name="WAFER_20180927152553" w:val="RemoveTocBookmarks,RemoveUnusedBookmarks,RemoveLanguageTags,UsedStyles,ResetPageSize"/>
    <w:docVar w:name="WAFER_20180927152553_GUID" w:val="0ecf7e71-b5f8-4658-bfda-e401b7f0e498"/>
    <w:docVar w:name="WAFER_202002101431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154_GUID" w:val="6fffe7a0-70a3-463f-bcc4-f4f25f512251"/>
    <w:docVar w:name="WAFER_202006171036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03650_GUID" w:val="958ba41f-9d93-45c3-a96a-4f5dc8b021c1"/>
    <w:docVar w:name="WAFER_20200929161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61313_GUID" w:val="e05d2ef0-56b4-4808-a67d-7a5274587378"/>
    <w:docVar w:name="WAFER_20210728122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2933_GUID" w:val="19c86176-8679-4127-bf33-7cbbe95629bd"/>
    <w:docVar w:name="WAFER_20210728123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3031_GUID" w:val="22b47725-3779-4a36-bb6d-5dd146b7c142"/>
    <w:docVar w:name="WAFER_202109280924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8092420_GUID" w:val="2752fd63-d50f-4359-b57f-ef790b23ba69"/>
    <w:docVar w:name="WAFER_20211221135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35853_GUID" w:val="03ea07cc-b6e7-4d3f-ada2-251cedcc6d03"/>
    <w:docVar w:name="WAFER_202112211513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1343_GUID" w:val="3524b7d1-1f8f-4ab2-8b55-3cd4f23e7843"/>
    <w:docVar w:name="WAFER_20211229105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9105033_GUID" w:val="90f02017-4e3c-479b-a66a-a5584edb42f1"/>
    <w:docVar w:name="WAFER_202202041616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61645_GUID" w:val="0e596acc-c0e0-4e25-8574-0982d21b98b6"/>
    <w:docVar w:name="WAFER_20220726150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0438_GUID" w:val="479caa1f-fc2a-44e3-8848-4c0bd8a665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6369"/>
    <o:shapelayout v:ext="edit">
      <o:idmap v:ext="edit" data="1"/>
    </o:shapelayout>
  </w:shapeDefaults>
  <w:decimalSymbol w:val="."/>
  <w:listSeparator w:val=","/>
  <w15:docId w15:val="{CDDA1332-80FC-4992-9867-DB0DD7B0E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4095425">
      <w:bodyDiv w:val="1"/>
      <w:marLeft w:val="0"/>
      <w:marRight w:val="0"/>
      <w:marTop w:val="0"/>
      <w:marBottom w:val="0"/>
      <w:divBdr>
        <w:top w:val="none" w:sz="0" w:space="0" w:color="auto"/>
        <w:left w:val="none" w:sz="0" w:space="0" w:color="auto"/>
        <w:bottom w:val="none" w:sz="0" w:space="0" w:color="auto"/>
        <w:right w:val="none" w:sz="0" w:space="0" w:color="auto"/>
      </w:divBdr>
    </w:div>
    <w:div w:id="1596137249">
      <w:bodyDiv w:val="1"/>
      <w:marLeft w:val="0"/>
      <w:marRight w:val="0"/>
      <w:marTop w:val="0"/>
      <w:marBottom w:val="0"/>
      <w:divBdr>
        <w:top w:val="none" w:sz="0" w:space="0" w:color="auto"/>
        <w:left w:val="none" w:sz="0" w:space="0" w:color="auto"/>
        <w:bottom w:val="none" w:sz="0" w:space="0" w:color="auto"/>
        <w:right w:val="none" w:sz="0" w:space="0" w:color="auto"/>
      </w:divBdr>
    </w:div>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695770157">
      <w:bodyDiv w:val="1"/>
      <w:marLeft w:val="0"/>
      <w:marRight w:val="0"/>
      <w:marTop w:val="0"/>
      <w:marBottom w:val="0"/>
      <w:divBdr>
        <w:top w:val="none" w:sz="0" w:space="0" w:color="auto"/>
        <w:left w:val="none" w:sz="0" w:space="0" w:color="auto"/>
        <w:bottom w:val="none" w:sz="0" w:space="0" w:color="auto"/>
        <w:right w:val="none" w:sz="0" w:space="0" w:color="auto"/>
      </w:divBdr>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 w:id="212815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0.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E7606C-2B39-4876-8CE2-F407F61F8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64545</Words>
  <Characters>335634</Characters>
  <Application>Microsoft Office Word</Application>
  <DocSecurity>0</DocSecurity>
  <Lines>9589</Lines>
  <Paragraphs>5481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394698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2012 - 01-t0-00</dc:title>
  <dc:subject/>
  <dc:creator/>
  <cp:keywords/>
  <dc:description/>
  <cp:lastModifiedBy>Master Repository Process</cp:lastModifiedBy>
  <cp:revision>4</cp:revision>
  <cp:lastPrinted>2022-02-04T08:12:00Z</cp:lastPrinted>
  <dcterms:created xsi:type="dcterms:W3CDTF">2022-07-28T07:50:00Z</dcterms:created>
  <dcterms:modified xsi:type="dcterms:W3CDTF">2022-07-28T07:50:00Z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AsAtDate">
    <vt:lpwstr>29 Jul 2022</vt:lpwstr>
  </property>
  <property fmtid="{D5CDD505-2E9C-101B-9397-08002B2CF9AE}" pid="7" name="Suffix">
    <vt:lpwstr>01-t0-00</vt:lpwstr>
  </property>
  <property fmtid="{D5CDD505-2E9C-101B-9397-08002B2CF9AE}" pid="8" name="CommencementDate">
    <vt:lpwstr>20220729</vt:lpwstr>
  </property>
</Properties>
</file>