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_Toc111021534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_Toc111021535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_Toc111021536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_Toc111021537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_Toc111021538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_Toc111021540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_Toc111021541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_Toc111021542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_Toc111021544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_Toc111021547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_Toc111021548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_Toc111021549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_Toc111021550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_Toc111021551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Financial statements, permit holders to provide etc.</w:t>
      </w:r>
      <w:r>
        <w:tab/>
      </w:r>
      <w:r>
        <w:fldChar w:fldCharType="begin"/>
      </w:r>
      <w:r>
        <w:instrText xml:space="preserve"> PAGEREF _Toc111021552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_Toc111021553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_Toc111021554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_Toc111021556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_Toc111021557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_Toc111021559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_Toc111021560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_Toc111021561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_Toc111021563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_Toc111021564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_Toc111021565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_Toc111021566 \h </w:instrText>
      </w:r>
      <w:r>
        <w:fldChar w:fldCharType="separate"/>
      </w:r>
      <w:r>
        <w:t>19</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_Toc111021567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_Toc111021569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_Toc111021570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_Toc111021571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_Toc111021572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_Toc111021573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_Toc111021574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_Toc111021575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_Toc111021576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_Toc111021577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_Toc111021578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_Toc111021581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_Toc111021582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_Toc111021583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_Toc111021584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_Toc111021585 \h </w:instrText>
      </w:r>
      <w:r>
        <w:fldChar w:fldCharType="separate"/>
      </w:r>
      <w:r>
        <w:t>28</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_Toc111021586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_Toc111021587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_Toc111021588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_Toc111021590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_Toc111021591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_Toc111021592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_Toc111021593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_Toc111021594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_Toc111021596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_Toc111021598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_Toc111021599 \h </w:instrText>
      </w:r>
      <w:r>
        <w:fldChar w:fldCharType="separate"/>
      </w:r>
      <w:r>
        <w:t>33</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_Toc111021600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_Toc111021602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_Toc111021603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_Toc111021604 \h </w:instrText>
      </w:r>
      <w:r>
        <w:fldChar w:fldCharType="separate"/>
      </w:r>
      <w:r>
        <w:t>35</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_Toc111021605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_Toc111021607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_Toc111021608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advertisements and inducements prohibited</w:t>
      </w:r>
      <w:r>
        <w:tab/>
      </w:r>
      <w:r>
        <w:fldChar w:fldCharType="begin"/>
      </w:r>
      <w:r>
        <w:instrText xml:space="preserve"> PAGEREF _Toc111021609 \h </w:instrText>
      </w:r>
      <w:r>
        <w:fldChar w:fldCharType="separate"/>
      </w:r>
      <w:r>
        <w:t>36</w:t>
      </w:r>
      <w:r>
        <w:fldChar w:fldCharType="end"/>
      </w:r>
    </w:p>
    <w:p>
      <w:pPr>
        <w:pStyle w:val="TOC8"/>
        <w:rPr>
          <w:rFonts w:asciiTheme="minorHAnsi" w:eastAsiaTheme="minorEastAsia" w:hAnsiTheme="minorHAnsi" w:cstheme="minorBidi"/>
          <w:szCs w:val="22"/>
        </w:rPr>
      </w:pPr>
      <w:r>
        <w:lastRenderedPageBreak/>
        <w:t>44.</w:t>
      </w:r>
      <w:r>
        <w:tab/>
        <w:t>Prescribed interval (Act s. 110B(4)(b))</w:t>
      </w:r>
      <w:r>
        <w:tab/>
      </w:r>
      <w:r>
        <w:fldChar w:fldCharType="begin"/>
      </w:r>
      <w:r>
        <w:instrText xml:space="preserve"> PAGEREF _Toc111021610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_Toc111021618 \h </w:instrText>
      </w:r>
      <w:r>
        <w:fldChar w:fldCharType="separate"/>
      </w:r>
      <w:r>
        <w:t>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_Toc111021619 \h </w:instrText>
      </w:r>
      <w:r>
        <w:fldChar w:fldCharType="separate"/>
      </w:r>
      <w:r>
        <w:t>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_Toc111021620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_Toc111021621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_Toc111021622 \h </w:instrText>
      </w:r>
      <w:r>
        <w:fldChar w:fldCharType="separate"/>
      </w:r>
      <w:r>
        <w:t>51</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_Toc111021623 \h </w:instrText>
      </w:r>
      <w:r>
        <w:fldChar w:fldCharType="separate"/>
      </w:r>
      <w:r>
        <w:t>52</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_Toc111021624 \h </w:instrText>
      </w:r>
      <w:r>
        <w:fldChar w:fldCharType="separate"/>
      </w:r>
      <w:r>
        <w:t>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_Toc111021625 \h </w:instrText>
      </w:r>
      <w:r>
        <w:fldChar w:fldCharType="separate"/>
      </w:r>
      <w:r>
        <w:t>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_Toc111021626 \h </w:instrText>
      </w:r>
      <w:r>
        <w:fldChar w:fldCharType="separate"/>
      </w:r>
      <w:r>
        <w:t>53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_Toc111021627 \h </w:instrText>
      </w:r>
      <w:r>
        <w:fldChar w:fldCharType="separate"/>
      </w:r>
      <w:r>
        <w:t>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_Toc111021628 \h </w:instrText>
      </w:r>
      <w:r>
        <w:fldChar w:fldCharType="separate"/>
      </w:r>
      <w:r>
        <w:t>54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_Toc111021629 \h </w:instrText>
      </w:r>
      <w:r>
        <w:fldChar w:fldCharType="separate"/>
      </w:r>
      <w:r>
        <w:t>54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_Toc111021630 \h </w:instrText>
      </w:r>
      <w:r>
        <w:fldChar w:fldCharType="separate"/>
      </w:r>
      <w:r>
        <w:t>54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_Toc111021631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_Toc111021634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_Toc111021635 \h </w:instrText>
      </w:r>
      <w:r>
        <w:fldChar w:fldCharType="separate"/>
      </w:r>
      <w:r>
        <w:t>55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_Toc111021636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_Toc111021637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_Toc111021638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_Toc111021640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_Toc111021641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_Toc111021644 \h </w:instrText>
      </w:r>
      <w:r>
        <w:fldChar w:fldCharType="separate"/>
      </w:r>
      <w:r>
        <w:t>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_Toc111021645 \h </w:instrText>
      </w:r>
      <w:r>
        <w:fldChar w:fldCharType="separate"/>
      </w:r>
      <w:r>
        <w:t>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_Toc111021646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3" w:name="_Toc110952917"/>
      <w:bookmarkStart w:id="4" w:name="_Toc110953037"/>
      <w:bookmarkStart w:id="5" w:name="_Toc11102153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1021534"/>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7" w:name="_Toc111021535"/>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8" w:name="_Toc111021536"/>
      <w:r>
        <w:rPr>
          <w:rStyle w:val="CharSectno"/>
        </w:rPr>
        <w:t>3</w:t>
      </w:r>
      <w:r>
        <w:rPr>
          <w:snapToGrid w:val="0"/>
        </w:rPr>
        <w:t>.</w:t>
      </w:r>
      <w:r>
        <w:rPr>
          <w:snapToGrid w:val="0"/>
        </w:rPr>
        <w:tab/>
        <w:t>Interpretation; compliance with forms</w:t>
      </w:r>
      <w:bookmarkEnd w:id="8"/>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lastRenderedPageBreak/>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9" w:name="_Toc111021537"/>
      <w:r>
        <w:rPr>
          <w:rStyle w:val="CharSectno"/>
        </w:rPr>
        <w:t>4A</w:t>
      </w:r>
      <w:r>
        <w:t>.</w:t>
      </w:r>
      <w:r>
        <w:tab/>
        <w:t>Notes in the text</w:t>
      </w:r>
      <w:bookmarkEnd w:id="9"/>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0" w:name="_Toc111021538"/>
      <w:r>
        <w:rPr>
          <w:rStyle w:val="CharSectno"/>
        </w:rPr>
        <w:t>4</w:t>
      </w:r>
      <w:r>
        <w:rPr>
          <w:snapToGrid w:val="0"/>
        </w:rPr>
        <w:t>.</w:t>
      </w:r>
      <w:r>
        <w:rPr>
          <w:snapToGrid w:val="0"/>
        </w:rPr>
        <w:tab/>
        <w:t>Prescribed fees</w:t>
      </w:r>
      <w:bookmarkEnd w:id="10"/>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1" w:name="_Toc110952923"/>
      <w:bookmarkStart w:id="12" w:name="_Toc110953043"/>
      <w:bookmarkStart w:id="13" w:name="_Toc111021539"/>
      <w:r>
        <w:rPr>
          <w:rStyle w:val="CharPartNo"/>
        </w:rPr>
        <w:lastRenderedPageBreak/>
        <w:t>Part 2</w:t>
      </w:r>
      <w:r>
        <w:rPr>
          <w:rStyle w:val="CharDivNo"/>
        </w:rPr>
        <w:t> </w:t>
      </w:r>
      <w:r>
        <w:t>—</w:t>
      </w:r>
      <w:r>
        <w:rPr>
          <w:rStyle w:val="CharDivText"/>
        </w:rPr>
        <w:t> </w:t>
      </w:r>
      <w:r>
        <w:rPr>
          <w:rStyle w:val="CharPartText"/>
        </w:rPr>
        <w:t>Enforcement</w:t>
      </w:r>
      <w:bookmarkEnd w:id="11"/>
      <w:bookmarkEnd w:id="12"/>
      <w:bookmarkEnd w:id="13"/>
    </w:p>
    <w:p>
      <w:pPr>
        <w:pStyle w:val="Heading5"/>
        <w:rPr>
          <w:snapToGrid w:val="0"/>
        </w:rPr>
      </w:pPr>
      <w:bookmarkStart w:id="14" w:name="_Toc111021540"/>
      <w:r>
        <w:rPr>
          <w:rStyle w:val="CharSectno"/>
        </w:rPr>
        <w:t>5</w:t>
      </w:r>
      <w:r>
        <w:rPr>
          <w:snapToGrid w:val="0"/>
        </w:rPr>
        <w:t>.</w:t>
      </w:r>
      <w:r>
        <w:rPr>
          <w:snapToGrid w:val="0"/>
        </w:rPr>
        <w:tab/>
        <w:t>Forfeiture, offences prescribed (Act s. 32(2))</w:t>
      </w:r>
      <w:bookmarkEnd w:id="14"/>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15" w:name="_Toc111021541"/>
      <w:r>
        <w:rPr>
          <w:rStyle w:val="CharSectno"/>
        </w:rPr>
        <w:t>6</w:t>
      </w:r>
      <w:r>
        <w:rPr>
          <w:snapToGrid w:val="0"/>
        </w:rPr>
        <w:t>.</w:t>
      </w:r>
      <w:r>
        <w:rPr>
          <w:snapToGrid w:val="0"/>
        </w:rPr>
        <w:tab/>
        <w:t>Modified penalties and infringement notices (Act s. 36(1))</w:t>
      </w:r>
      <w:bookmarkEnd w:id="15"/>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6" w:name="_Toc111021542"/>
      <w:r>
        <w:rPr>
          <w:rStyle w:val="CharSectno"/>
        </w:rPr>
        <w:t>6A</w:t>
      </w:r>
      <w:r>
        <w:rPr>
          <w:snapToGrid w:val="0"/>
        </w:rPr>
        <w:t>.</w:t>
      </w:r>
      <w:r>
        <w:rPr>
          <w:snapToGrid w:val="0"/>
        </w:rPr>
        <w:tab/>
        <w:t>Warrant, form of (Act s. 25)</w:t>
      </w:r>
      <w:bookmarkEnd w:id="16"/>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17" w:name="_Toc110952927"/>
      <w:bookmarkStart w:id="18" w:name="_Toc110953047"/>
      <w:bookmarkStart w:id="19" w:name="_Toc111021543"/>
      <w:r>
        <w:rPr>
          <w:rStyle w:val="CharPartNo"/>
        </w:rPr>
        <w:lastRenderedPageBreak/>
        <w:t>Part 3</w:t>
      </w:r>
      <w:r>
        <w:rPr>
          <w:rStyle w:val="CharDivNo"/>
        </w:rPr>
        <w:t> </w:t>
      </w:r>
      <w:r>
        <w:t>—</w:t>
      </w:r>
      <w:r>
        <w:rPr>
          <w:rStyle w:val="CharDivText"/>
        </w:rPr>
        <w:t> </w:t>
      </w:r>
      <w:r>
        <w:rPr>
          <w:rStyle w:val="CharPartText"/>
        </w:rPr>
        <w:t>The register</w:t>
      </w:r>
      <w:bookmarkEnd w:id="17"/>
      <w:bookmarkEnd w:id="18"/>
      <w:bookmarkEnd w:id="19"/>
    </w:p>
    <w:p>
      <w:pPr>
        <w:pStyle w:val="Heading5"/>
        <w:rPr>
          <w:snapToGrid w:val="0"/>
        </w:rPr>
      </w:pPr>
      <w:bookmarkStart w:id="20" w:name="_Toc111021544"/>
      <w:r>
        <w:rPr>
          <w:rStyle w:val="CharSectno"/>
        </w:rPr>
        <w:t>7</w:t>
      </w:r>
      <w:r>
        <w:rPr>
          <w:snapToGrid w:val="0"/>
        </w:rPr>
        <w:t>.</w:t>
      </w:r>
      <w:r>
        <w:rPr>
          <w:snapToGrid w:val="0"/>
        </w:rPr>
        <w:tab/>
        <w:t>Manner of recording and search fees prescribed (Act s. 50)</w:t>
      </w:r>
      <w:bookmarkEnd w:id="20"/>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1" w:name="_Toc110952929"/>
      <w:bookmarkStart w:id="22" w:name="_Toc110953049"/>
      <w:bookmarkStart w:id="23" w:name="_Toc111021545"/>
      <w:r>
        <w:rPr>
          <w:rStyle w:val="CharPartNo"/>
        </w:rPr>
        <w:lastRenderedPageBreak/>
        <w:t>Part 4</w:t>
      </w:r>
      <w:r>
        <w:t> — </w:t>
      </w:r>
      <w:r>
        <w:rPr>
          <w:rStyle w:val="CharPartText"/>
        </w:rPr>
        <w:t>Permitted gaming</w:t>
      </w:r>
      <w:bookmarkEnd w:id="21"/>
      <w:bookmarkEnd w:id="22"/>
      <w:bookmarkEnd w:id="23"/>
    </w:p>
    <w:p>
      <w:pPr>
        <w:pStyle w:val="Heading3"/>
        <w:spacing w:before="220"/>
      </w:pPr>
      <w:bookmarkStart w:id="24" w:name="_Toc110952930"/>
      <w:bookmarkStart w:id="25" w:name="_Toc110953050"/>
      <w:bookmarkStart w:id="26" w:name="_Toc111021546"/>
      <w:r>
        <w:rPr>
          <w:rStyle w:val="CharDivNo"/>
        </w:rPr>
        <w:t>Division 1</w:t>
      </w:r>
      <w:r>
        <w:rPr>
          <w:snapToGrid w:val="0"/>
        </w:rPr>
        <w:t> — </w:t>
      </w:r>
      <w:r>
        <w:rPr>
          <w:rStyle w:val="CharDivText"/>
        </w:rPr>
        <w:t>Gaming generally</w:t>
      </w:r>
      <w:bookmarkEnd w:id="24"/>
      <w:bookmarkEnd w:id="25"/>
      <w:bookmarkEnd w:id="26"/>
    </w:p>
    <w:p>
      <w:pPr>
        <w:pStyle w:val="Heading5"/>
      </w:pPr>
      <w:bookmarkStart w:id="27" w:name="_Toc111021547"/>
      <w:r>
        <w:rPr>
          <w:rStyle w:val="CharSectno"/>
        </w:rPr>
        <w:t>8A</w:t>
      </w:r>
      <w:r>
        <w:t>.</w:t>
      </w:r>
      <w:r>
        <w:tab/>
        <w:t>Gaming on cruise ships</w:t>
      </w:r>
      <w:bookmarkEnd w:id="27"/>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lastRenderedPageBreak/>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28" w:name="_Toc111021548"/>
      <w:r>
        <w:rPr>
          <w:rStyle w:val="CharSectno"/>
        </w:rPr>
        <w:t>8</w:t>
      </w:r>
      <w:r>
        <w:rPr>
          <w:snapToGrid w:val="0"/>
        </w:rPr>
        <w:t>.</w:t>
      </w:r>
      <w:r>
        <w:rPr>
          <w:snapToGrid w:val="0"/>
        </w:rPr>
        <w:tab/>
        <w:t>Gaming permits, form and conditions of (Act s. 47(1)(a) or (b))</w:t>
      </w:r>
      <w:bookmarkEnd w:id="2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9" w:name="_Toc111021549"/>
      <w:r>
        <w:rPr>
          <w:rStyle w:val="CharSectno"/>
        </w:rPr>
        <w:t>9</w:t>
      </w:r>
      <w:r>
        <w:rPr>
          <w:snapToGrid w:val="0"/>
        </w:rPr>
        <w:t>.</w:t>
      </w:r>
      <w:r>
        <w:rPr>
          <w:snapToGrid w:val="0"/>
        </w:rPr>
        <w:tab/>
        <w:t>Gaming permits, application for</w:t>
      </w:r>
      <w:bookmarkEnd w:id="29"/>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lastRenderedPageBreak/>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lastRenderedPageBreak/>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 xml:space="preserve">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w:t>
      </w:r>
      <w:r>
        <w:rPr>
          <w:snapToGrid w:val="0"/>
        </w:rPr>
        <w:lastRenderedPageBreak/>
        <w:t>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30" w:name="_Toc111021550"/>
      <w:r>
        <w:rPr>
          <w:rStyle w:val="CharSectno"/>
        </w:rPr>
        <w:t>10</w:t>
      </w:r>
      <w:r>
        <w:rPr>
          <w:snapToGrid w:val="0"/>
        </w:rPr>
        <w:t>.</w:t>
      </w:r>
      <w:r>
        <w:rPr>
          <w:snapToGrid w:val="0"/>
        </w:rPr>
        <w:tab/>
        <w:t>Approval to use premises, application for (Act s. 55)</w:t>
      </w:r>
      <w:bookmarkEnd w:id="3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lastRenderedPageBreak/>
        <w:tab/>
        <w:t>[Regulation 10 amended: Gazette 30 Jan 2004 p. 415.]</w:t>
      </w:r>
    </w:p>
    <w:p>
      <w:pPr>
        <w:pStyle w:val="Heading5"/>
        <w:rPr>
          <w:snapToGrid w:val="0"/>
        </w:rPr>
      </w:pPr>
      <w:bookmarkStart w:id="31" w:name="_Toc111021551"/>
      <w:r>
        <w:rPr>
          <w:rStyle w:val="CharSectno"/>
        </w:rPr>
        <w:t>11</w:t>
      </w:r>
      <w:r>
        <w:rPr>
          <w:snapToGrid w:val="0"/>
        </w:rPr>
        <w:t>.</w:t>
      </w:r>
      <w:r>
        <w:rPr>
          <w:snapToGrid w:val="0"/>
        </w:rPr>
        <w:tab/>
        <w:t>Renewals etc., applications for (Act s. 56)</w:t>
      </w:r>
      <w:bookmarkEnd w:id="31"/>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2" w:name="_Toc111021552"/>
      <w:r>
        <w:rPr>
          <w:rStyle w:val="CharSectno"/>
        </w:rPr>
        <w:t>12</w:t>
      </w:r>
      <w:r>
        <w:rPr>
          <w:snapToGrid w:val="0"/>
        </w:rPr>
        <w:t>.</w:t>
      </w:r>
      <w:r>
        <w:rPr>
          <w:snapToGrid w:val="0"/>
        </w:rPr>
        <w:tab/>
        <w:t>Financial statements, permit holders to provide etc.</w:t>
      </w:r>
      <w:bookmarkEnd w:id="32"/>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lastRenderedPageBreak/>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33" w:name="_Toc111021553"/>
      <w:r>
        <w:rPr>
          <w:rStyle w:val="CharSectno"/>
        </w:rPr>
        <w:t>13</w:t>
      </w:r>
      <w:r>
        <w:rPr>
          <w:snapToGrid w:val="0"/>
        </w:rPr>
        <w:t>.</w:t>
      </w:r>
      <w:r>
        <w:rPr>
          <w:snapToGrid w:val="0"/>
        </w:rPr>
        <w:tab/>
        <w:t>No permit required if gaming etc. deemed permitted</w:t>
      </w:r>
      <w:bookmarkEnd w:id="3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34" w:name="_Toc111021554"/>
      <w:r>
        <w:rPr>
          <w:rStyle w:val="CharSectno"/>
        </w:rPr>
        <w:t>13A</w:t>
      </w:r>
      <w:r>
        <w:t>.</w:t>
      </w:r>
      <w:r>
        <w:tab/>
        <w:t>Conviction of license holder etc., holders to notify Commission</w:t>
      </w:r>
      <w:bookmarkEnd w:id="3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35" w:name="_Toc110952939"/>
      <w:bookmarkStart w:id="36" w:name="_Toc110953059"/>
      <w:bookmarkStart w:id="37" w:name="_Toc111021555"/>
      <w:r>
        <w:rPr>
          <w:rStyle w:val="CharDivNo"/>
        </w:rPr>
        <w:lastRenderedPageBreak/>
        <w:t>Division 2</w:t>
      </w:r>
      <w:r>
        <w:t> — </w:t>
      </w:r>
      <w:r>
        <w:rPr>
          <w:rStyle w:val="CharDivText"/>
        </w:rPr>
        <w:t>Continuing lotteries</w:t>
      </w:r>
      <w:bookmarkEnd w:id="35"/>
      <w:bookmarkEnd w:id="36"/>
      <w:bookmarkEnd w:id="37"/>
    </w:p>
    <w:p>
      <w:pPr>
        <w:pStyle w:val="Footnoteheading"/>
        <w:keepNext/>
      </w:pPr>
      <w:r>
        <w:tab/>
        <w:t>[Heading inserted: Gazette 23 Jun 2000 p. 3206]</w:t>
      </w:r>
    </w:p>
    <w:p>
      <w:pPr>
        <w:pStyle w:val="Heading5"/>
        <w:keepLines w:val="0"/>
        <w:spacing w:before="240"/>
      </w:pPr>
      <w:bookmarkStart w:id="38" w:name="_Toc111021556"/>
      <w:r>
        <w:rPr>
          <w:rStyle w:val="CharSectno"/>
        </w:rPr>
        <w:t>14</w:t>
      </w:r>
      <w:r>
        <w:t>.</w:t>
      </w:r>
      <w:r>
        <w:tab/>
        <w:t>Maximum number of tickets prescribed (Act s. 104L(1))</w:t>
      </w:r>
      <w:bookmarkEnd w:id="38"/>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39" w:name="_Toc111021557"/>
      <w:r>
        <w:rPr>
          <w:rStyle w:val="CharSectno"/>
        </w:rPr>
        <w:t>15</w:t>
      </w:r>
      <w:r>
        <w:t>.</w:t>
      </w:r>
      <w:r>
        <w:tab/>
        <w:t>Records to be kept by licensed suppliers for Act Part V Div. 7</w:t>
      </w:r>
      <w:bookmarkEnd w:id="39"/>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lastRenderedPageBreak/>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40" w:name="_Toc110952942"/>
      <w:bookmarkStart w:id="41" w:name="_Toc110953062"/>
      <w:bookmarkStart w:id="42" w:name="_Toc111021558"/>
      <w:r>
        <w:rPr>
          <w:rStyle w:val="CharDivNo"/>
        </w:rPr>
        <w:t>Division 3</w:t>
      </w:r>
      <w:r>
        <w:rPr>
          <w:snapToGrid w:val="0"/>
        </w:rPr>
        <w:t> — </w:t>
      </w:r>
      <w:r>
        <w:rPr>
          <w:rStyle w:val="CharDivText"/>
        </w:rPr>
        <w:t>Permitted two</w:t>
      </w:r>
      <w:r>
        <w:rPr>
          <w:rStyle w:val="CharDivText"/>
        </w:rPr>
        <w:noBreakHyphen/>
        <w:t>up</w:t>
      </w:r>
      <w:bookmarkEnd w:id="40"/>
      <w:bookmarkEnd w:id="41"/>
      <w:bookmarkEnd w:id="42"/>
    </w:p>
    <w:p>
      <w:pPr>
        <w:pStyle w:val="Heading5"/>
        <w:spacing w:before="240"/>
        <w:rPr>
          <w:snapToGrid w:val="0"/>
        </w:rPr>
      </w:pPr>
      <w:bookmarkStart w:id="43" w:name="_Toc111021559"/>
      <w:r>
        <w:rPr>
          <w:rStyle w:val="CharSectno"/>
        </w:rPr>
        <w:t>16</w:t>
      </w:r>
      <w:r>
        <w:rPr>
          <w:snapToGrid w:val="0"/>
        </w:rPr>
        <w:t>.</w:t>
      </w:r>
      <w:r>
        <w:rPr>
          <w:snapToGrid w:val="0"/>
        </w:rPr>
        <w:tab/>
        <w:t>Financial information to be provided about games</w:t>
      </w:r>
      <w:bookmarkEnd w:id="43"/>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 xml:space="preserve">up”, that person shall within </w:t>
      </w:r>
      <w:r>
        <w:rPr>
          <w:snapToGrid w:val="0"/>
        </w:rPr>
        <w:lastRenderedPageBreak/>
        <w:t>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44" w:name="_Toc111021560"/>
      <w:r>
        <w:rPr>
          <w:rStyle w:val="CharSectno"/>
        </w:rPr>
        <w:lastRenderedPageBreak/>
        <w:t>17</w:t>
      </w:r>
      <w:r>
        <w:rPr>
          <w:snapToGrid w:val="0"/>
        </w:rPr>
        <w:t>.</w:t>
      </w:r>
      <w:r>
        <w:rPr>
          <w:snapToGrid w:val="0"/>
        </w:rPr>
        <w:tab/>
        <w:t>Suspending permit for game</w:t>
      </w:r>
      <w:bookmarkEnd w:id="4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45" w:name="_Toc111021561"/>
      <w:r>
        <w:rPr>
          <w:rStyle w:val="CharSectno"/>
        </w:rPr>
        <w:t>17A</w:t>
      </w:r>
      <w:r>
        <w:t>.</w:t>
      </w:r>
      <w:r>
        <w:tab/>
        <w:t>Prescribed gaming equipment (Act s. 84(1))</w:t>
      </w:r>
      <w:bookmarkEnd w:id="45"/>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46" w:name="_Toc110952946"/>
      <w:bookmarkStart w:id="47" w:name="_Toc110953066"/>
      <w:bookmarkStart w:id="48" w:name="_Toc111021562"/>
      <w:r>
        <w:rPr>
          <w:rStyle w:val="CharDivNo"/>
        </w:rPr>
        <w:t>Division 4</w:t>
      </w:r>
      <w:r>
        <w:rPr>
          <w:snapToGrid w:val="0"/>
        </w:rPr>
        <w:t> — </w:t>
      </w:r>
      <w:r>
        <w:rPr>
          <w:rStyle w:val="CharDivText"/>
        </w:rPr>
        <w:t>Gaming machines and other equipment</w:t>
      </w:r>
      <w:bookmarkEnd w:id="46"/>
      <w:bookmarkEnd w:id="47"/>
      <w:bookmarkEnd w:id="48"/>
    </w:p>
    <w:p>
      <w:pPr>
        <w:pStyle w:val="Heading5"/>
        <w:rPr>
          <w:snapToGrid w:val="0"/>
        </w:rPr>
      </w:pPr>
      <w:bookmarkStart w:id="49" w:name="_Toc111021563"/>
      <w:r>
        <w:rPr>
          <w:rStyle w:val="CharSectno"/>
        </w:rPr>
        <w:t>18</w:t>
      </w:r>
      <w:r>
        <w:rPr>
          <w:snapToGrid w:val="0"/>
        </w:rPr>
        <w:t>.</w:t>
      </w:r>
      <w:r>
        <w:rPr>
          <w:snapToGrid w:val="0"/>
        </w:rPr>
        <w:tab/>
        <w:t>Records etc. to be kept etc. by persons renting equipment from others</w:t>
      </w:r>
      <w:bookmarkEnd w:id="4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lastRenderedPageBreak/>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50" w:name="_Toc111021564"/>
      <w:r>
        <w:rPr>
          <w:rStyle w:val="CharSectno"/>
        </w:rPr>
        <w:t>18A</w:t>
      </w:r>
      <w:r>
        <w:rPr>
          <w:snapToGrid w:val="0"/>
        </w:rPr>
        <w:t>.</w:t>
      </w:r>
      <w:r>
        <w:rPr>
          <w:snapToGrid w:val="0"/>
        </w:rPr>
        <w:tab/>
        <w:t>Skilltester, Merchandiser and similar machines, possession etc. of</w:t>
      </w:r>
      <w:bookmarkEnd w:id="5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lastRenderedPageBreak/>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51" w:name="_Toc111021565"/>
      <w:r>
        <w:rPr>
          <w:rStyle w:val="CharSectno"/>
        </w:rPr>
        <w:t>18AA</w:t>
      </w:r>
      <w:r>
        <w:rPr>
          <w:snapToGrid w:val="0"/>
        </w:rPr>
        <w:t>.</w:t>
      </w:r>
      <w:r>
        <w:rPr>
          <w:snapToGrid w:val="0"/>
        </w:rPr>
        <w:tab/>
        <w:t>Video lottery terminals, possession etc. of</w:t>
      </w:r>
      <w:bookmarkEnd w:id="51"/>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lastRenderedPageBreak/>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52" w:name="_Toc111021566"/>
      <w:r>
        <w:rPr>
          <w:rStyle w:val="CharSectno"/>
        </w:rPr>
        <w:lastRenderedPageBreak/>
        <w:t>18B</w:t>
      </w:r>
      <w:r>
        <w:rPr>
          <w:snapToGrid w:val="0"/>
        </w:rPr>
        <w:t>.</w:t>
      </w:r>
      <w:r>
        <w:rPr>
          <w:snapToGrid w:val="0"/>
        </w:rPr>
        <w:tab/>
        <w:t>Machines that dispense vouchers, possession etc. of</w:t>
      </w:r>
      <w:bookmarkEnd w:id="52"/>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lastRenderedPageBreak/>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53" w:name="_Toc111021567"/>
      <w:r>
        <w:rPr>
          <w:rStyle w:val="CharSectno"/>
        </w:rPr>
        <w:t>18C</w:t>
      </w:r>
      <w:r>
        <w:t>.</w:t>
      </w:r>
      <w:r>
        <w:tab/>
        <w:t>Possession of certain gaming machines on cruise ships</w:t>
      </w:r>
      <w:bookmarkEnd w:id="5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54" w:name="_Toc110952952"/>
      <w:bookmarkStart w:id="55" w:name="_Toc110953072"/>
      <w:bookmarkStart w:id="56" w:name="_Toc111021568"/>
      <w:r>
        <w:rPr>
          <w:rStyle w:val="CharDivNo"/>
        </w:rPr>
        <w:t>Division 5</w:t>
      </w:r>
      <w:r>
        <w:rPr>
          <w:snapToGrid w:val="0"/>
        </w:rPr>
        <w:t> — </w:t>
      </w:r>
      <w:r>
        <w:rPr>
          <w:rStyle w:val="CharDivText"/>
        </w:rPr>
        <w:t>Permitted bingo</w:t>
      </w:r>
      <w:bookmarkEnd w:id="54"/>
      <w:bookmarkEnd w:id="55"/>
      <w:bookmarkEnd w:id="56"/>
    </w:p>
    <w:p>
      <w:pPr>
        <w:pStyle w:val="Heading5"/>
        <w:rPr>
          <w:snapToGrid w:val="0"/>
        </w:rPr>
      </w:pPr>
      <w:bookmarkStart w:id="57" w:name="_Toc111021569"/>
      <w:r>
        <w:rPr>
          <w:rStyle w:val="CharSectno"/>
        </w:rPr>
        <w:t>19</w:t>
      </w:r>
      <w:r>
        <w:rPr>
          <w:snapToGrid w:val="0"/>
        </w:rPr>
        <w:t>.</w:t>
      </w:r>
      <w:r>
        <w:rPr>
          <w:snapToGrid w:val="0"/>
        </w:rPr>
        <w:tab/>
        <w:t>Rules for conducting bingo; rules to be displayed</w:t>
      </w:r>
      <w:bookmarkEnd w:id="57"/>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lastRenderedPageBreak/>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8" w:name="_Toc111021570"/>
      <w:r>
        <w:rPr>
          <w:rStyle w:val="CharSectno"/>
        </w:rPr>
        <w:t>20</w:t>
      </w:r>
      <w:r>
        <w:rPr>
          <w:snapToGrid w:val="0"/>
        </w:rPr>
        <w:t>.</w:t>
      </w:r>
      <w:r>
        <w:rPr>
          <w:snapToGrid w:val="0"/>
        </w:rPr>
        <w:tab/>
        <w:t>Bingo for senior citizens’ clubs, no fees payable for</w:t>
      </w:r>
      <w:bookmarkEnd w:id="5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9" w:name="_Toc111021571"/>
      <w:r>
        <w:rPr>
          <w:rStyle w:val="CharSectno"/>
        </w:rPr>
        <w:t>21</w:t>
      </w:r>
      <w:r>
        <w:rPr>
          <w:snapToGrid w:val="0"/>
        </w:rPr>
        <w:t>.</w:t>
      </w:r>
      <w:r>
        <w:rPr>
          <w:snapToGrid w:val="0"/>
        </w:rPr>
        <w:tab/>
        <w:t>Percentage of receipts to be paid to Commission</w:t>
      </w:r>
      <w:bookmarkEnd w:id="59"/>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60" w:name="_Toc111021572"/>
      <w:r>
        <w:rPr>
          <w:rStyle w:val="CharSectno"/>
        </w:rPr>
        <w:t>21A</w:t>
      </w:r>
      <w:r>
        <w:rPr>
          <w:snapToGrid w:val="0"/>
        </w:rPr>
        <w:t>.</w:t>
      </w:r>
      <w:r>
        <w:rPr>
          <w:snapToGrid w:val="0"/>
        </w:rPr>
        <w:tab/>
        <w:t>Times and number of sessions</w:t>
      </w:r>
      <w:bookmarkEnd w:id="6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61" w:name="_Toc111021573"/>
      <w:r>
        <w:rPr>
          <w:rStyle w:val="CharSectno"/>
        </w:rPr>
        <w:lastRenderedPageBreak/>
        <w:t>22</w:t>
      </w:r>
      <w:r>
        <w:rPr>
          <w:snapToGrid w:val="0"/>
        </w:rPr>
        <w:t>.</w:t>
      </w:r>
      <w:r>
        <w:rPr>
          <w:snapToGrid w:val="0"/>
        </w:rPr>
        <w:tab/>
        <w:t>Sessions of bingo</w:t>
      </w:r>
      <w:bookmarkEnd w:id="6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62" w:name="_Toc111021574"/>
      <w:r>
        <w:rPr>
          <w:rStyle w:val="CharSectno"/>
        </w:rPr>
        <w:t>23</w:t>
      </w:r>
      <w:r>
        <w:rPr>
          <w:snapToGrid w:val="0"/>
        </w:rPr>
        <w:t>.</w:t>
      </w:r>
      <w:r>
        <w:rPr>
          <w:snapToGrid w:val="0"/>
        </w:rPr>
        <w:tab/>
        <w:t>Controllers of sessions, appointment and duties of</w:t>
      </w:r>
      <w:bookmarkEnd w:id="62"/>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lastRenderedPageBreak/>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pPr>
      <w:r>
        <w:tab/>
        <w:t>(c)</w:t>
      </w:r>
      <w:r>
        <w:tab/>
        <w:t xml:space="preserve">at the conclusion of each game in the session, cause the winning card numbers to be — </w:t>
      </w:r>
    </w:p>
    <w:p>
      <w:pPr>
        <w:pStyle w:val="Indenti"/>
      </w:pPr>
      <w:r>
        <w:tab/>
        <w:t>(i)</w:t>
      </w:r>
      <w:r>
        <w:tab/>
        <w:t>called back and checked with the drawn numbers by 2 unsuccessful players in the game; or</w:t>
      </w:r>
    </w:p>
    <w:p>
      <w:pPr>
        <w:pStyle w:val="Indenti"/>
      </w:pPr>
      <w:r>
        <w:tab/>
        <w:t>(ii)</w:t>
      </w:r>
      <w:r>
        <w:tab/>
        <w:t>displayed to each player by means of approved electronic bingo equipment;</w:t>
      </w:r>
    </w:p>
    <w:p>
      <w:pPr>
        <w:pStyle w:val="Indenta"/>
      </w:pPr>
      <w:r>
        <w:tab/>
      </w:r>
      <w:r>
        <w:tab/>
        <w:t>and</w:t>
      </w:r>
    </w:p>
    <w:p>
      <w:pPr>
        <w:pStyle w:val="Indenta"/>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63" w:name="_Toc111021575"/>
      <w:r>
        <w:rPr>
          <w:rStyle w:val="CharSectno"/>
        </w:rPr>
        <w:t>23A</w:t>
      </w:r>
      <w:r>
        <w:rPr>
          <w:snapToGrid w:val="0"/>
        </w:rPr>
        <w:t>.</w:t>
      </w:r>
      <w:r>
        <w:rPr>
          <w:snapToGrid w:val="0"/>
        </w:rPr>
        <w:tab/>
        <w:t>Advertising value of prizes prohibited</w:t>
      </w:r>
      <w:bookmarkEnd w:id="63"/>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lastRenderedPageBreak/>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64" w:name="_Toc111021576"/>
      <w:r>
        <w:rPr>
          <w:rStyle w:val="CharSectno"/>
        </w:rPr>
        <w:t>24</w:t>
      </w:r>
      <w:r>
        <w:rPr>
          <w:snapToGrid w:val="0"/>
        </w:rPr>
        <w:t>.</w:t>
      </w:r>
      <w:r>
        <w:rPr>
          <w:snapToGrid w:val="0"/>
        </w:rPr>
        <w:tab/>
        <w:t>Prizes, permitted value of</w:t>
      </w:r>
      <w:bookmarkEnd w:id="64"/>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65" w:name="_Toc111021577"/>
      <w:r>
        <w:rPr>
          <w:rStyle w:val="CharSectno"/>
        </w:rPr>
        <w:t>25</w:t>
      </w:r>
      <w:r>
        <w:rPr>
          <w:snapToGrid w:val="0"/>
        </w:rPr>
        <w:t>.</w:t>
      </w:r>
      <w:r>
        <w:rPr>
          <w:snapToGrid w:val="0"/>
        </w:rPr>
        <w:tab/>
        <w:t>Expenses, maximum and calculation of</w:t>
      </w:r>
      <w:bookmarkEnd w:id="6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lastRenderedPageBreak/>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66" w:name="_Toc111021578"/>
      <w:r>
        <w:rPr>
          <w:rStyle w:val="CharSectno"/>
        </w:rPr>
        <w:t>26</w:t>
      </w:r>
      <w:r>
        <w:rPr>
          <w:snapToGrid w:val="0"/>
        </w:rPr>
        <w:t>.</w:t>
      </w:r>
      <w:r>
        <w:rPr>
          <w:snapToGrid w:val="0"/>
        </w:rPr>
        <w:tab/>
        <w:t>Playing other games of chance at bingo premises</w:t>
      </w:r>
      <w:bookmarkEnd w:id="6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lastRenderedPageBreak/>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67" w:name="_Toc110952963"/>
      <w:bookmarkStart w:id="68" w:name="_Toc110953083"/>
      <w:bookmarkStart w:id="69" w:name="_Toc111021579"/>
      <w:r>
        <w:rPr>
          <w:rStyle w:val="CharDivNo"/>
        </w:rPr>
        <w:t>Division 6</w:t>
      </w:r>
      <w:r>
        <w:rPr>
          <w:snapToGrid w:val="0"/>
        </w:rPr>
        <w:t> — </w:t>
      </w:r>
      <w:r>
        <w:rPr>
          <w:rStyle w:val="CharDivText"/>
        </w:rPr>
        <w:t>Lotteries, etc.</w:t>
      </w:r>
      <w:bookmarkEnd w:id="67"/>
      <w:bookmarkEnd w:id="68"/>
      <w:bookmarkEnd w:id="69"/>
    </w:p>
    <w:p>
      <w:pPr>
        <w:pStyle w:val="Heading4"/>
        <w:spacing w:before="220"/>
        <w:rPr>
          <w:snapToGrid w:val="0"/>
        </w:rPr>
      </w:pPr>
      <w:bookmarkStart w:id="70" w:name="_Toc110952964"/>
      <w:bookmarkStart w:id="71" w:name="_Toc110953084"/>
      <w:bookmarkStart w:id="72" w:name="_Toc111021580"/>
      <w:r>
        <w:rPr>
          <w:snapToGrid w:val="0"/>
        </w:rPr>
        <w:t>Subdivision 1 — Standard lotteries</w:t>
      </w:r>
      <w:bookmarkEnd w:id="70"/>
      <w:bookmarkEnd w:id="71"/>
      <w:bookmarkEnd w:id="72"/>
    </w:p>
    <w:p>
      <w:pPr>
        <w:pStyle w:val="Footnoteheading"/>
      </w:pPr>
      <w:r>
        <w:tab/>
        <w:t>[Heading amended: Gazette 6 Sep 2016 p. 3833.]</w:t>
      </w:r>
    </w:p>
    <w:p>
      <w:pPr>
        <w:pStyle w:val="Heading5"/>
        <w:rPr>
          <w:snapToGrid w:val="0"/>
        </w:rPr>
      </w:pPr>
      <w:bookmarkStart w:id="73" w:name="_Toc111021581"/>
      <w:r>
        <w:rPr>
          <w:rStyle w:val="CharSectno"/>
        </w:rPr>
        <w:t>27</w:t>
      </w:r>
      <w:r>
        <w:rPr>
          <w:snapToGrid w:val="0"/>
        </w:rPr>
        <w:t>.</w:t>
      </w:r>
      <w:r>
        <w:rPr>
          <w:snapToGrid w:val="0"/>
        </w:rPr>
        <w:tab/>
        <w:t>Rules for conducting standard lottery</w:t>
      </w:r>
      <w:bookmarkEnd w:id="73"/>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4" w:name="_Toc111021582"/>
      <w:r>
        <w:rPr>
          <w:rStyle w:val="CharSectno"/>
        </w:rPr>
        <w:t>28</w:t>
      </w:r>
      <w:r>
        <w:rPr>
          <w:snapToGrid w:val="0"/>
        </w:rPr>
        <w:t>.</w:t>
      </w:r>
      <w:r>
        <w:rPr>
          <w:snapToGrid w:val="0"/>
        </w:rPr>
        <w:tab/>
        <w:t>Conditions relating to standard lottery</w:t>
      </w:r>
      <w:bookmarkEnd w:id="74"/>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lastRenderedPageBreak/>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75" w:name="_Toc111021583"/>
      <w:r>
        <w:rPr>
          <w:rStyle w:val="CharSectno"/>
        </w:rPr>
        <w:t>28C</w:t>
      </w:r>
      <w:r>
        <w:rPr>
          <w:snapToGrid w:val="0"/>
        </w:rPr>
        <w:t>.</w:t>
      </w:r>
      <w:r>
        <w:rPr>
          <w:snapToGrid w:val="0"/>
        </w:rPr>
        <w:tab/>
        <w:t>Lottery tickets etc. not to be sent etc. to persons for sale etc. without their consent</w:t>
      </w:r>
      <w:bookmarkEnd w:id="75"/>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76" w:name="_Toc111021584"/>
      <w:r>
        <w:rPr>
          <w:rStyle w:val="CharSectno"/>
        </w:rPr>
        <w:t>29</w:t>
      </w:r>
      <w:r>
        <w:rPr>
          <w:snapToGrid w:val="0"/>
        </w:rPr>
        <w:t>.</w:t>
      </w:r>
      <w:r>
        <w:rPr>
          <w:snapToGrid w:val="0"/>
        </w:rPr>
        <w:tab/>
        <w:t>When standard lottery must be drawn</w:t>
      </w:r>
      <w:bookmarkEnd w:id="76"/>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77" w:name="_Toc111021585"/>
      <w:r>
        <w:rPr>
          <w:rStyle w:val="CharSectno"/>
        </w:rPr>
        <w:lastRenderedPageBreak/>
        <w:t>30</w:t>
      </w:r>
      <w:r>
        <w:rPr>
          <w:snapToGrid w:val="0"/>
        </w:rPr>
        <w:t>.</w:t>
      </w:r>
      <w:r>
        <w:rPr>
          <w:snapToGrid w:val="0"/>
        </w:rPr>
        <w:tab/>
        <w:t>Unclaimed prizes in standard lotteries</w:t>
      </w:r>
      <w:bookmarkEnd w:id="77"/>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8" w:name="_Toc111021586"/>
      <w:r>
        <w:rPr>
          <w:rStyle w:val="CharSectno"/>
        </w:rPr>
        <w:t>30A</w:t>
      </w:r>
      <w:r>
        <w:rPr>
          <w:snapToGrid w:val="0"/>
        </w:rPr>
        <w:t>.</w:t>
      </w:r>
      <w:r>
        <w:rPr>
          <w:snapToGrid w:val="0"/>
        </w:rPr>
        <w:tab/>
        <w:t>Prizes from donor organizations</w:t>
      </w:r>
      <w:bookmarkEnd w:id="7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 xml:space="preserve">the permit holder may, after first obtaining the written approval of the Commission, pay the equivalent cash value of the prize, </w:t>
      </w:r>
      <w:r>
        <w:rPr>
          <w:snapToGrid w:val="0"/>
        </w:rPr>
        <w:lastRenderedPageBreak/>
        <w:t>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79" w:name="_Toc111021587"/>
      <w:r>
        <w:rPr>
          <w:rStyle w:val="CharSectno"/>
        </w:rPr>
        <w:t>30B</w:t>
      </w:r>
      <w:r>
        <w:rPr>
          <w:snapToGrid w:val="0"/>
        </w:rPr>
        <w:t>.</w:t>
      </w:r>
      <w:r>
        <w:rPr>
          <w:snapToGrid w:val="0"/>
        </w:rPr>
        <w:tab/>
        <w:t>Body not to buy ticket etc. in its own lottery</w:t>
      </w:r>
      <w:bookmarkEnd w:id="79"/>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80" w:name="_Toc111021588"/>
      <w:r>
        <w:rPr>
          <w:rStyle w:val="CharSectno"/>
        </w:rPr>
        <w:t>31</w:t>
      </w:r>
      <w:r>
        <w:rPr>
          <w:snapToGrid w:val="0"/>
        </w:rPr>
        <w:t>.</w:t>
      </w:r>
      <w:r>
        <w:rPr>
          <w:snapToGrid w:val="0"/>
        </w:rPr>
        <w:tab/>
        <w:t>Small private lotteries (Act s. 103)</w:t>
      </w:r>
      <w:bookmarkEnd w:id="80"/>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81" w:name="_Toc110952973"/>
      <w:bookmarkStart w:id="82" w:name="_Toc110953093"/>
      <w:bookmarkStart w:id="83" w:name="_Toc111021589"/>
      <w:r>
        <w:rPr>
          <w:snapToGrid w:val="0"/>
        </w:rPr>
        <w:lastRenderedPageBreak/>
        <w:t>Subdivision 2 — Continuing lotteries</w:t>
      </w:r>
      <w:bookmarkEnd w:id="81"/>
      <w:bookmarkEnd w:id="82"/>
      <w:bookmarkEnd w:id="83"/>
    </w:p>
    <w:p>
      <w:pPr>
        <w:pStyle w:val="Footnoteheading"/>
        <w:keepNext/>
      </w:pPr>
      <w:r>
        <w:tab/>
        <w:t>[Heading amended: Gazette 6 Sep 2016 p. 3833.]</w:t>
      </w:r>
    </w:p>
    <w:p>
      <w:pPr>
        <w:pStyle w:val="Heading5"/>
        <w:rPr>
          <w:snapToGrid w:val="0"/>
        </w:rPr>
      </w:pPr>
      <w:bookmarkStart w:id="84" w:name="_Toc111021590"/>
      <w:r>
        <w:rPr>
          <w:rStyle w:val="CharSectno"/>
        </w:rPr>
        <w:t>32</w:t>
      </w:r>
      <w:r>
        <w:rPr>
          <w:snapToGrid w:val="0"/>
        </w:rPr>
        <w:t>.</w:t>
      </w:r>
      <w:r>
        <w:rPr>
          <w:snapToGrid w:val="0"/>
        </w:rPr>
        <w:tab/>
        <w:t>Rules for conducting continuing lotteries</w:t>
      </w:r>
      <w:bookmarkEnd w:id="8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5" w:name="_Toc111021591"/>
      <w:r>
        <w:rPr>
          <w:rStyle w:val="CharSectno"/>
        </w:rPr>
        <w:t>33</w:t>
      </w:r>
      <w:r>
        <w:rPr>
          <w:snapToGrid w:val="0"/>
        </w:rPr>
        <w:t>.</w:t>
      </w:r>
      <w:r>
        <w:rPr>
          <w:snapToGrid w:val="0"/>
        </w:rPr>
        <w:tab/>
        <w:t>Conditions relating to continuing lottery</w:t>
      </w:r>
      <w:bookmarkEnd w:id="85"/>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86" w:name="_Toc111021592"/>
      <w:r>
        <w:rPr>
          <w:rStyle w:val="CharSectno"/>
        </w:rPr>
        <w:lastRenderedPageBreak/>
        <w:t>34</w:t>
      </w:r>
      <w:r>
        <w:rPr>
          <w:snapToGrid w:val="0"/>
        </w:rPr>
        <w:t>.</w:t>
      </w:r>
      <w:r>
        <w:rPr>
          <w:snapToGrid w:val="0"/>
        </w:rPr>
        <w:tab/>
        <w:t>Vending machines for continuing lotteries, location of and conditions as to (Act s. 105(2))</w:t>
      </w:r>
      <w:bookmarkEnd w:id="86"/>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87" w:name="_Toc111021593"/>
      <w:r>
        <w:rPr>
          <w:rStyle w:val="CharSectno"/>
        </w:rPr>
        <w:t>35</w:t>
      </w:r>
      <w:r>
        <w:rPr>
          <w:snapToGrid w:val="0"/>
        </w:rPr>
        <w:t>.</w:t>
      </w:r>
      <w:r>
        <w:rPr>
          <w:snapToGrid w:val="0"/>
        </w:rPr>
        <w:tab/>
        <w:t>Accounts etc. of continuing lottery to be available for inspection</w:t>
      </w:r>
      <w:bookmarkEnd w:id="87"/>
    </w:p>
    <w:p>
      <w:pPr>
        <w:pStyle w:val="Subsection"/>
        <w:keepNext/>
        <w:rPr>
          <w:snapToGrid w:val="0"/>
        </w:rPr>
      </w:pPr>
      <w:r>
        <w:rPr>
          <w:snapToGrid w:val="0"/>
        </w:rPr>
        <w:tab/>
      </w:r>
      <w:r>
        <w:rPr>
          <w:snapToGrid w:val="0"/>
        </w:rPr>
        <w:tab/>
        <w:t xml:space="preserve">With respect to a continuing lottery, all accounts, tickets, vouchers and things relating to the lottery shall at all times be </w:t>
      </w:r>
      <w:r>
        <w:rPr>
          <w:snapToGrid w:val="0"/>
        </w:rPr>
        <w:lastRenderedPageBreak/>
        <w:t>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88" w:name="_Toc111021594"/>
      <w:r>
        <w:rPr>
          <w:rStyle w:val="CharSectno"/>
        </w:rPr>
        <w:t>36</w:t>
      </w:r>
      <w:r>
        <w:rPr>
          <w:snapToGrid w:val="0"/>
        </w:rPr>
        <w:t>.</w:t>
      </w:r>
      <w:r>
        <w:rPr>
          <w:snapToGrid w:val="0"/>
        </w:rPr>
        <w:tab/>
        <w:t>Distribution of benefit</w:t>
      </w:r>
      <w:bookmarkEnd w:id="8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89" w:name="_Toc110952979"/>
      <w:bookmarkStart w:id="90" w:name="_Toc110953099"/>
      <w:bookmarkStart w:id="91" w:name="_Toc111021595"/>
      <w:r>
        <w:t>Subdivision 3 — Trade promotion lotteries</w:t>
      </w:r>
      <w:bookmarkEnd w:id="89"/>
      <w:bookmarkEnd w:id="90"/>
      <w:bookmarkEnd w:id="91"/>
    </w:p>
    <w:p>
      <w:pPr>
        <w:pStyle w:val="Footnoteheading"/>
        <w:keepNext/>
      </w:pPr>
      <w:r>
        <w:tab/>
        <w:t>[Heading inserted: Gazette 6 Sep 2016 p. 3831.]</w:t>
      </w:r>
    </w:p>
    <w:p>
      <w:pPr>
        <w:pStyle w:val="Heading5"/>
        <w:keepLines w:val="0"/>
      </w:pPr>
      <w:bookmarkStart w:id="92" w:name="_Toc111021596"/>
      <w:r>
        <w:rPr>
          <w:rStyle w:val="CharSectno"/>
        </w:rPr>
        <w:t>36A</w:t>
      </w:r>
      <w:r>
        <w:t>.</w:t>
      </w:r>
      <w:r>
        <w:tab/>
        <w:t>Prescribed conditions for trade promotion lottery (Act s. 102)</w:t>
      </w:r>
      <w:bookmarkEnd w:id="92"/>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93" w:name="_Toc110952981"/>
      <w:bookmarkStart w:id="94" w:name="_Toc110953101"/>
      <w:bookmarkStart w:id="95" w:name="_Toc111021597"/>
      <w:r>
        <w:rPr>
          <w:snapToGrid w:val="0"/>
        </w:rPr>
        <w:t>Subdivision 4 — Lotteries generally</w:t>
      </w:r>
      <w:bookmarkEnd w:id="93"/>
      <w:bookmarkEnd w:id="94"/>
      <w:bookmarkEnd w:id="95"/>
    </w:p>
    <w:p>
      <w:pPr>
        <w:pStyle w:val="Footnoteheading"/>
        <w:keepNext/>
      </w:pPr>
      <w:r>
        <w:tab/>
        <w:t>[Heading amended: Gazette 6 Sep 2016 p. 3833.]</w:t>
      </w:r>
    </w:p>
    <w:p>
      <w:pPr>
        <w:pStyle w:val="Heading5"/>
        <w:rPr>
          <w:snapToGrid w:val="0"/>
        </w:rPr>
      </w:pPr>
      <w:bookmarkStart w:id="96" w:name="_Toc111021598"/>
      <w:r>
        <w:rPr>
          <w:rStyle w:val="CharSectno"/>
        </w:rPr>
        <w:t>37</w:t>
      </w:r>
      <w:r>
        <w:rPr>
          <w:snapToGrid w:val="0"/>
        </w:rPr>
        <w:t>.</w:t>
      </w:r>
      <w:r>
        <w:rPr>
          <w:snapToGrid w:val="0"/>
        </w:rPr>
        <w:tab/>
        <w:t>Account book, form of (Act s. 104(3)(a))</w:t>
      </w:r>
      <w:bookmarkEnd w:id="96"/>
    </w:p>
    <w:p>
      <w:pPr>
        <w:pStyle w:val="Subsection"/>
        <w:spacing w:before="120"/>
        <w:rPr>
          <w:snapToGrid w:val="0"/>
        </w:rPr>
      </w:pPr>
      <w:r>
        <w:rPr>
          <w:snapToGrid w:val="0"/>
        </w:rPr>
        <w:tab/>
      </w:r>
      <w:r>
        <w:rPr>
          <w:snapToGrid w:val="0"/>
        </w:rPr>
        <w:tab/>
        <w:t xml:space="preserve">An account book required to be kept by the permit holder under section 104(3)(a) in relation to a standard lottery, or required to be kept by the permit holder under a condition imposed in respect of a continuing lottery, shall be in a form agreed with </w:t>
      </w:r>
      <w:r>
        <w:rPr>
          <w:snapToGrid w:val="0"/>
        </w:rPr>
        <w:lastRenderedPageBreak/>
        <w:t>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7" w:name="_Toc111021599"/>
      <w:r>
        <w:rPr>
          <w:rStyle w:val="CharSectno"/>
        </w:rPr>
        <w:t>38</w:t>
      </w:r>
      <w:r>
        <w:rPr>
          <w:snapToGrid w:val="0"/>
        </w:rPr>
        <w:t>.</w:t>
      </w:r>
      <w:r>
        <w:rPr>
          <w:snapToGrid w:val="0"/>
        </w:rPr>
        <w:tab/>
        <w:t>Prohibition as to private gain etc.</w:t>
      </w:r>
      <w:bookmarkEnd w:id="97"/>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8" w:name="_Toc111021600"/>
      <w:r>
        <w:rPr>
          <w:rStyle w:val="CharSectno"/>
        </w:rPr>
        <w:lastRenderedPageBreak/>
        <w:t>38A</w:t>
      </w:r>
      <w:r>
        <w:rPr>
          <w:snapToGrid w:val="0"/>
        </w:rPr>
        <w:t>.</w:t>
      </w:r>
      <w:r>
        <w:rPr>
          <w:snapToGrid w:val="0"/>
        </w:rPr>
        <w:tab/>
        <w:t>Offences related to permitted lotteries</w:t>
      </w:r>
      <w:bookmarkEnd w:id="98"/>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99" w:name="_Toc110952985"/>
      <w:bookmarkStart w:id="100" w:name="_Toc110953105"/>
      <w:bookmarkStart w:id="101" w:name="_Toc111021601"/>
      <w:r>
        <w:rPr>
          <w:snapToGrid w:val="0"/>
        </w:rPr>
        <w:t>Subdivision 5 — Amusements, etc.</w:t>
      </w:r>
      <w:bookmarkEnd w:id="99"/>
      <w:bookmarkEnd w:id="100"/>
      <w:bookmarkEnd w:id="101"/>
    </w:p>
    <w:p>
      <w:pPr>
        <w:pStyle w:val="Footnoteheading"/>
      </w:pPr>
      <w:r>
        <w:tab/>
        <w:t>[Heading amended: Gazette 6 Sep 2016 p. 3833.]</w:t>
      </w:r>
    </w:p>
    <w:p>
      <w:pPr>
        <w:pStyle w:val="Heading5"/>
        <w:rPr>
          <w:snapToGrid w:val="0"/>
        </w:rPr>
      </w:pPr>
      <w:bookmarkStart w:id="102" w:name="_Toc111021602"/>
      <w:r>
        <w:rPr>
          <w:rStyle w:val="CharSectno"/>
        </w:rPr>
        <w:t>39</w:t>
      </w:r>
      <w:r>
        <w:rPr>
          <w:snapToGrid w:val="0"/>
        </w:rPr>
        <w:t>.</w:t>
      </w:r>
      <w:r>
        <w:rPr>
          <w:snapToGrid w:val="0"/>
        </w:rPr>
        <w:tab/>
        <w:t>Amusements with prizes at agricultural shows etc., matters prescribed for (Act s. 107(4))</w:t>
      </w:r>
      <w:bookmarkEnd w:id="10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03" w:name="_Toc111021603"/>
      <w:r>
        <w:rPr>
          <w:rStyle w:val="CharSectno"/>
        </w:rPr>
        <w:t>39A</w:t>
      </w:r>
      <w:r>
        <w:rPr>
          <w:snapToGrid w:val="0"/>
        </w:rPr>
        <w:t>.</w:t>
      </w:r>
      <w:r>
        <w:rPr>
          <w:snapToGrid w:val="0"/>
        </w:rPr>
        <w:tab/>
        <w:t>Amusements with prizes at sporting events etc., matters prescribed for (Act s. 107(1))</w:t>
      </w:r>
      <w:bookmarkEnd w:id="10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lastRenderedPageBreak/>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04" w:name="_Toc111021604"/>
      <w:r>
        <w:rPr>
          <w:rStyle w:val="CharSectno"/>
        </w:rPr>
        <w:t>40</w:t>
      </w:r>
      <w:r>
        <w:rPr>
          <w:snapToGrid w:val="0"/>
        </w:rPr>
        <w:t>.</w:t>
      </w:r>
      <w:r>
        <w:rPr>
          <w:snapToGrid w:val="0"/>
        </w:rPr>
        <w:tab/>
        <w:t>Minor fund raising activities (Act s. 108)</w:t>
      </w:r>
      <w:bookmarkEnd w:id="10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05" w:name="_Toc111021605"/>
      <w:r>
        <w:rPr>
          <w:rStyle w:val="CharSectno"/>
        </w:rPr>
        <w:t>40A</w:t>
      </w:r>
      <w:r>
        <w:t>.</w:t>
      </w:r>
      <w:r>
        <w:tab/>
        <w:t>Football tipping competitions (Act s. 108)</w:t>
      </w:r>
      <w:bookmarkEnd w:id="105"/>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06" w:name="_Toc110952990"/>
      <w:bookmarkStart w:id="107" w:name="_Toc110953110"/>
      <w:bookmarkStart w:id="108" w:name="_Toc111021606"/>
      <w:r>
        <w:rPr>
          <w:rStyle w:val="CharPartNo"/>
        </w:rPr>
        <w:lastRenderedPageBreak/>
        <w:t>Part 5</w:t>
      </w:r>
      <w:r>
        <w:rPr>
          <w:rStyle w:val="CharDivText"/>
        </w:rPr>
        <w:t> </w:t>
      </w:r>
      <w:r>
        <w:t>—</w:t>
      </w:r>
      <w:r>
        <w:rPr>
          <w:rStyle w:val="CharDivNo"/>
        </w:rPr>
        <w:t xml:space="preserve"> </w:t>
      </w:r>
      <w:r>
        <w:rPr>
          <w:rStyle w:val="CharPartText"/>
        </w:rPr>
        <w:t>Miscellaneous</w:t>
      </w:r>
      <w:bookmarkEnd w:id="106"/>
      <w:bookmarkEnd w:id="107"/>
      <w:bookmarkEnd w:id="108"/>
    </w:p>
    <w:p>
      <w:pPr>
        <w:pStyle w:val="Footnoteheading"/>
      </w:pPr>
      <w:r>
        <w:tab/>
        <w:t>[Heading inserted: Gazette 4 Aug 1998 p. 3989.]</w:t>
      </w:r>
    </w:p>
    <w:p>
      <w:pPr>
        <w:pStyle w:val="Heading5"/>
      </w:pPr>
      <w:bookmarkStart w:id="109" w:name="_Toc111021607"/>
      <w:r>
        <w:rPr>
          <w:rStyle w:val="CharSectno"/>
        </w:rPr>
        <w:t>41</w:t>
      </w:r>
      <w:r>
        <w:t>.</w:t>
      </w:r>
      <w:r>
        <w:tab/>
        <w:t>Premises where amusement machines are permitted (Act s. 39(2)(e))</w:t>
      </w:r>
      <w:bookmarkEnd w:id="109"/>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10" w:name="_Toc111021608"/>
      <w:r>
        <w:rPr>
          <w:rStyle w:val="CharSectno"/>
        </w:rPr>
        <w:t>42</w:t>
      </w:r>
      <w:r>
        <w:t>.</w:t>
      </w:r>
      <w:r>
        <w:tab/>
        <w:t>Unclaimed winnings (Act s. 109B(1))</w:t>
      </w:r>
      <w:bookmarkEnd w:id="110"/>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11" w:name="_Toc111021609"/>
      <w:r>
        <w:rPr>
          <w:rStyle w:val="CharSectno"/>
        </w:rPr>
        <w:t>43</w:t>
      </w:r>
      <w:r>
        <w:t>.</w:t>
      </w:r>
      <w:r>
        <w:tab/>
        <w:t>Certain advertisements and inducements prohibited</w:t>
      </w:r>
      <w:bookmarkEnd w:id="111"/>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lastRenderedPageBreak/>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lastRenderedPageBreak/>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pPr>
      <w:r>
        <w:tab/>
        <w:t>(b)</w:t>
      </w:r>
      <w:r>
        <w:tab/>
        <w:t xml:space="preserve">it is published only by sending it to persons who — </w:t>
      </w:r>
    </w:p>
    <w:p>
      <w:pPr>
        <w:pStyle w:val="Indenti"/>
      </w:pPr>
      <w:r>
        <w:tab/>
        <w:t>(i)</w:t>
      </w:r>
      <w:r>
        <w:tab/>
        <w:t>are existing customers of the gambling operator; and</w:t>
      </w:r>
    </w:p>
    <w:p>
      <w:pPr>
        <w:pStyle w:val="Indenti"/>
      </w:pPr>
      <w:r>
        <w:lastRenderedPageBreak/>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lastRenderedPageBreak/>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112" w:name="_Toc111021610"/>
      <w:r>
        <w:rPr>
          <w:rStyle w:val="CharSectno"/>
        </w:rPr>
        <w:t>44</w:t>
      </w:r>
      <w:r>
        <w:t>.</w:t>
      </w:r>
      <w:r>
        <w:tab/>
        <w:t>Prescribed interval (Act s. 110B(4)(b))</w:t>
      </w:r>
      <w:bookmarkEnd w:id="112"/>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13" w:name="_Toc110952995"/>
      <w:bookmarkStart w:id="114" w:name="_Toc110953115"/>
      <w:bookmarkStart w:id="115" w:name="_Toc111021611"/>
      <w:r>
        <w:rPr>
          <w:rStyle w:val="CharSchNo"/>
        </w:rPr>
        <w:lastRenderedPageBreak/>
        <w:t>Schedule 1</w:t>
      </w:r>
      <w:r>
        <w:rPr>
          <w:rStyle w:val="CharSDivNo"/>
        </w:rPr>
        <w:t> </w:t>
      </w:r>
      <w:r>
        <w:t>—</w:t>
      </w:r>
      <w:r>
        <w:rPr>
          <w:rStyle w:val="CharSDivText"/>
        </w:rPr>
        <w:t> </w:t>
      </w:r>
      <w:r>
        <w:rPr>
          <w:rStyle w:val="CharSchText"/>
        </w:rPr>
        <w:t>Prescribed fees</w:t>
      </w:r>
      <w:bookmarkEnd w:id="113"/>
      <w:bookmarkEnd w:id="114"/>
      <w:bookmarkEnd w:id="115"/>
    </w:p>
    <w:p>
      <w:pPr>
        <w:pStyle w:val="yShoulderClause"/>
      </w:pPr>
      <w:r>
        <w:t>[r. 4]</w:t>
      </w:r>
    </w:p>
    <w:p>
      <w:pPr>
        <w:pStyle w:val="yFootnoteheading"/>
      </w:pPr>
      <w:r>
        <w:tab/>
        <w:t>[Heading inserted: Gazette 22 Oct 2019 p. 3722.]</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widowControl w:val="0"/>
              <w:jc w:val="center"/>
              <w:rPr>
                <w:b/>
              </w:rPr>
            </w:pPr>
            <w:r>
              <w:rPr>
                <w:b/>
              </w:rPr>
              <w:t>Item</w:t>
            </w:r>
          </w:p>
        </w:tc>
        <w:tc>
          <w:tcPr>
            <w:tcW w:w="5245" w:type="dxa"/>
            <w:tcBorders>
              <w:bottom w:val="single" w:sz="4" w:space="0" w:color="auto"/>
            </w:tcBorders>
          </w:tcPr>
          <w:p>
            <w:pPr>
              <w:pStyle w:val="yTableNAm"/>
              <w:widowControl w:val="0"/>
              <w:jc w:val="center"/>
              <w:rPr>
                <w:b/>
              </w:rPr>
            </w:pPr>
            <w:r>
              <w:rPr>
                <w:b/>
              </w:rPr>
              <w:t>Description</w:t>
            </w:r>
          </w:p>
        </w:tc>
        <w:tc>
          <w:tcPr>
            <w:tcW w:w="992" w:type="dxa"/>
            <w:tcBorders>
              <w:bottom w:val="single" w:sz="4" w:space="0" w:color="auto"/>
            </w:tcBorders>
          </w:tcPr>
          <w:p>
            <w:pPr>
              <w:pStyle w:val="yTableNAm"/>
              <w:widowControl w:val="0"/>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widowControl w:val="0"/>
            </w:pPr>
            <w:r>
              <w:t>1.</w:t>
            </w:r>
          </w:p>
        </w:tc>
        <w:tc>
          <w:tcPr>
            <w:tcW w:w="5245" w:type="dxa"/>
            <w:tcBorders>
              <w:top w:val="single" w:sz="4" w:space="0" w:color="auto"/>
              <w:bottom w:val="single" w:sz="4" w:space="0" w:color="auto"/>
            </w:tcBorders>
          </w:tcPr>
          <w:p>
            <w:pPr>
              <w:pStyle w:val="yTableNAm"/>
              <w:widowControl w:val="0"/>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vAlign w:val="bottom"/>
          </w:tcPr>
          <w:p>
            <w:pPr>
              <w:pStyle w:val="yTableNAm"/>
              <w:widowControl w:val="0"/>
              <w:jc w:val="right"/>
            </w:pPr>
            <w:r>
              <w:t>9.00</w:t>
            </w:r>
          </w:p>
        </w:tc>
      </w:tr>
      <w:tr>
        <w:trPr>
          <w:cantSplit/>
        </w:trPr>
        <w:tc>
          <w:tcPr>
            <w:tcW w:w="851" w:type="dxa"/>
            <w:tcBorders>
              <w:top w:val="single" w:sz="4" w:space="0" w:color="auto"/>
            </w:tcBorders>
          </w:tcPr>
          <w:p>
            <w:pPr>
              <w:pStyle w:val="yTableNAm"/>
              <w:widowControl w:val="0"/>
            </w:pPr>
            <w:r>
              <w:t>2.</w:t>
            </w:r>
          </w:p>
        </w:tc>
        <w:tc>
          <w:tcPr>
            <w:tcW w:w="5245" w:type="dxa"/>
            <w:tcBorders>
              <w:top w:val="single" w:sz="4" w:space="0" w:color="auto"/>
            </w:tcBorders>
          </w:tcPr>
          <w:p>
            <w:pPr>
              <w:pStyle w:val="yTableNAm"/>
              <w:widowControl w:val="0"/>
              <w:tabs>
                <w:tab w:val="clear" w:pos="567"/>
                <w:tab w:val="right" w:leader="dot" w:pos="6237"/>
              </w:tabs>
            </w:pPr>
            <w:r>
              <w:t xml:space="preserve">Copy of extract from register </w:t>
            </w:r>
            <w:r>
              <w:tab/>
            </w:r>
          </w:p>
        </w:tc>
        <w:tc>
          <w:tcPr>
            <w:tcW w:w="992" w:type="dxa"/>
            <w:tcBorders>
              <w:top w:val="single" w:sz="4" w:space="0" w:color="auto"/>
            </w:tcBorders>
            <w:vAlign w:val="bottom"/>
          </w:tcPr>
          <w:p>
            <w:pPr>
              <w:pStyle w:val="yTableNAm"/>
              <w:widowControl w:val="0"/>
              <w:jc w:val="right"/>
            </w:pPr>
            <w:r>
              <w:t>16.00</w:t>
            </w:r>
          </w:p>
        </w:tc>
      </w:tr>
      <w:tr>
        <w:trPr>
          <w:cantSplit/>
        </w:trPr>
        <w:tc>
          <w:tcPr>
            <w:tcW w:w="851" w:type="dxa"/>
          </w:tcPr>
          <w:p>
            <w:pPr>
              <w:pStyle w:val="yTableNAm"/>
              <w:widowControl w:val="0"/>
            </w:pPr>
            <w:r>
              <w:t>3.</w:t>
            </w:r>
          </w:p>
        </w:tc>
        <w:tc>
          <w:tcPr>
            <w:tcW w:w="5245" w:type="dxa"/>
          </w:tcPr>
          <w:p>
            <w:pPr>
              <w:pStyle w:val="yTableNAm"/>
              <w:widowControl w:val="0"/>
              <w:tabs>
                <w:tab w:val="clear" w:pos="567"/>
              </w:tabs>
            </w:pPr>
            <w:r>
              <w:t xml:space="preserve">Application for a function permit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right" w:leader="dot" w:pos="6237"/>
              </w:tabs>
            </w:pPr>
            <w:r>
              <w:t>(a)</w:t>
            </w:r>
            <w:r>
              <w:tab/>
              <w:t xml:space="preserve">an item of gaming equipment (r. 18B(2)(a))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(b)</w:t>
            </w:r>
            <w:r>
              <w:tab/>
              <w:t xml:space="preserve">a class of gaming equipment (r. 18B(2)(b)) </w:t>
            </w:r>
            <w:r>
              <w:tab/>
            </w:r>
          </w:p>
        </w:tc>
        <w:tc>
          <w:tcPr>
            <w:tcW w:w="992" w:type="dxa"/>
            <w:vAlign w:val="bottom"/>
          </w:tcPr>
          <w:p>
            <w:pPr>
              <w:pStyle w:val="yTableNAm"/>
              <w:widowControl w:val="0"/>
              <w:jc w:val="right"/>
            </w:pPr>
            <w:r>
              <w:rPr>
                <w:szCs w:val="22"/>
              </w:rPr>
              <w:t>61.50</w:t>
            </w:r>
          </w:p>
        </w:tc>
      </w:tr>
      <w:tr>
        <w:trPr>
          <w:cantSplit/>
        </w:trPr>
        <w:tc>
          <w:tcPr>
            <w:tcW w:w="851" w:type="dxa"/>
          </w:tcPr>
          <w:p>
            <w:pPr>
              <w:pStyle w:val="yTableNAm"/>
              <w:widowControl w:val="0"/>
            </w:pPr>
            <w:r>
              <w:t>4.</w:t>
            </w:r>
          </w:p>
        </w:tc>
        <w:tc>
          <w:tcPr>
            <w:tcW w:w="5245" w:type="dxa"/>
          </w:tcPr>
          <w:p>
            <w:pPr>
              <w:pStyle w:val="yTableNAm"/>
              <w:widowControl w:val="0"/>
              <w:tabs>
                <w:tab w:val="clear" w:pos="567"/>
              </w:tabs>
            </w:pPr>
            <w:r>
              <w:t xml:space="preserve">Application for a permit of a continuing nature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pPr>
            <w:r>
              <w:t>(a)</w:t>
            </w:r>
            <w:r>
              <w:tab/>
              <w:t xml:space="preserve">a video lottery terminal (r. 18AA(7))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pPr>
            <w:r>
              <w:t>(b)</w:t>
            </w:r>
            <w:r>
              <w:tab/>
              <w:t xml:space="preserve">an item of gaming equipment (r. 18B(2)(a)) </w:t>
            </w:r>
            <w:r>
              <w:tab/>
            </w:r>
          </w:p>
        </w:tc>
        <w:tc>
          <w:tcPr>
            <w:tcW w:w="992" w:type="dxa"/>
            <w:vAlign w:val="bottom"/>
          </w:tcPr>
          <w:p>
            <w:pPr>
              <w:pStyle w:val="yTableNAm"/>
              <w:widowControl w:val="0"/>
              <w:jc w:val="right"/>
              <w:rPr>
                <w:i/>
              </w:rPr>
            </w:pPr>
            <w:r>
              <w:rPr>
                <w:szCs w:val="22"/>
              </w:rPr>
              <w:t>66.50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(c)</w:t>
            </w:r>
            <w:r>
              <w:tab/>
              <w:t xml:space="preserve">a class of gaming equipment (r. 18B(2)(b)) </w:t>
            </w:r>
            <w:r>
              <w:tab/>
            </w:r>
          </w:p>
        </w:tc>
        <w:tc>
          <w:tcPr>
            <w:tcW w:w="992" w:type="dxa"/>
            <w:vAlign w:val="bottom"/>
          </w:tcPr>
          <w:p>
            <w:pPr>
              <w:pStyle w:val="yTableNAm"/>
              <w:widowControl w:val="0"/>
              <w:jc w:val="right"/>
              <w:rPr>
                <w:i/>
              </w:rPr>
            </w:pPr>
            <w:r>
              <w:rPr>
                <w:szCs w:val="22"/>
              </w:rPr>
              <w:t>118.50</w:t>
            </w:r>
          </w:p>
        </w:tc>
      </w:tr>
      <w:tr>
        <w:trPr>
          <w:cantSplit/>
        </w:trPr>
        <w:tc>
          <w:tcPr>
            <w:tcW w:w="851" w:type="dxa"/>
          </w:tcPr>
          <w:p>
            <w:pPr>
              <w:pStyle w:val="yTableNAm"/>
              <w:widowControl w:val="0"/>
            </w:pPr>
            <w:r>
              <w:t>5.</w:t>
            </w:r>
          </w:p>
        </w:tc>
        <w:tc>
          <w:tcPr>
            <w:tcW w:w="5245" w:type="dxa"/>
          </w:tcPr>
          <w:p>
            <w:pPr>
              <w:pStyle w:val="yTableNAm"/>
              <w:widowControl w:val="0"/>
              <w:tabs>
                <w:tab w:val="clear" w:pos="567"/>
              </w:tabs>
            </w:pPr>
            <w:r>
              <w:t xml:space="preserve">Application for a function permit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right" w:leader="dot" w:pos="6237"/>
              </w:tabs>
            </w:pPr>
            <w:r>
              <w:t>(a)</w:t>
            </w:r>
            <w:r>
              <w:tab/>
              <w:t xml:space="preserve">bingo </w:t>
            </w:r>
            <w:r>
              <w:tab/>
            </w:r>
          </w:p>
        </w:tc>
        <w:tc>
          <w:tcPr>
            <w:tcW w:w="992" w:type="dxa"/>
            <w:vAlign w:val="bottom"/>
          </w:tcPr>
          <w:p>
            <w:pPr>
              <w:pStyle w:val="yTableNAm"/>
              <w:widowControl w:val="0"/>
              <w:jc w:val="right"/>
            </w:pPr>
            <w:r>
              <w:t>23.00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(b)</w:t>
            </w:r>
            <w:r>
              <w:tab/>
              <w:t xml:space="preserve">multiple bingo, for each premises </w:t>
            </w:r>
            <w:r>
              <w:tab/>
            </w:r>
          </w:p>
        </w:tc>
        <w:tc>
          <w:tcPr>
            <w:tcW w:w="992" w:type="dxa"/>
            <w:vAlign w:val="bottom"/>
          </w:tcPr>
          <w:p>
            <w:pPr>
              <w:pStyle w:val="yTableNAm"/>
              <w:widowControl w:val="0"/>
              <w:jc w:val="right"/>
            </w:pPr>
            <w:r>
              <w:t>23.00</w:t>
            </w: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right" w:leader="dot" w:pos="6237"/>
              </w:tabs>
            </w:pPr>
            <w:r>
              <w:t>(c)</w:t>
            </w:r>
            <w:r>
              <w:tab/>
              <w:t xml:space="preserve">simultaneous bingo, for each premises </w:t>
            </w:r>
            <w:r>
              <w:tab/>
            </w:r>
          </w:p>
        </w:tc>
        <w:tc>
          <w:tcPr>
            <w:tcW w:w="992" w:type="dxa"/>
            <w:vAlign w:val="bottom"/>
          </w:tcPr>
          <w:p>
            <w:pPr>
              <w:pStyle w:val="yTableNAm"/>
              <w:widowControl w:val="0"/>
              <w:jc w:val="right"/>
            </w:pPr>
            <w:r>
              <w:t>23.00</w:t>
            </w:r>
          </w:p>
        </w:tc>
      </w:tr>
      <w:tr>
        <w:trPr>
          <w:cantSplit/>
        </w:trPr>
        <w:tc>
          <w:tcPr>
            <w:tcW w:w="851" w:type="dxa"/>
          </w:tcPr>
          <w:p>
            <w:pPr>
              <w:pStyle w:val="yTableNAm"/>
              <w:keepNext/>
              <w:widowControl w:val="0"/>
            </w:pPr>
          </w:p>
        </w:tc>
        <w:tc>
          <w:tcPr>
            <w:tcW w:w="5245" w:type="dxa"/>
          </w:tcPr>
          <w:p>
            <w:pPr>
              <w:pStyle w:val="yTableNAm"/>
              <w:keepNext/>
              <w:widowControl w:val="0"/>
              <w:tabs>
                <w:tab w:val="clear" w:pos="567"/>
                <w:tab w:val="left" w:pos="425"/>
                <w:tab w:val="right" w:leader="dot" w:pos="6237"/>
              </w:tabs>
            </w:pPr>
            <w:r>
              <w:t>(d)</w:t>
            </w:r>
            <w:r>
              <w:tab/>
              <w:t>a standard lottery —</w:t>
            </w:r>
          </w:p>
        </w:tc>
        <w:tc>
          <w:tcPr>
            <w:tcW w:w="992" w:type="dxa"/>
            <w:vAlign w:val="bottom"/>
          </w:tcPr>
          <w:p>
            <w:pPr>
              <w:pStyle w:val="yTableNAm"/>
              <w:keepNext/>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ind w:left="851" w:hanging="851"/>
            </w:pPr>
            <w:r>
              <w:tab/>
              <w:t>(ii)</w:t>
            </w:r>
            <w:r>
              <w:tab/>
              <w:t xml:space="preserve">otherwise </w:t>
            </w:r>
            <w:r>
              <w:tab/>
            </w:r>
          </w:p>
        </w:tc>
        <w:tc>
          <w:tcPr>
            <w:tcW w:w="992" w:type="dxa"/>
            <w:vAlign w:val="bottom"/>
          </w:tcPr>
          <w:p>
            <w:pPr>
              <w:pStyle w:val="yTableNAm"/>
              <w:widowControl w:val="0"/>
              <w:jc w:val="right"/>
            </w:pPr>
            <w:r>
              <w:rPr>
                <w:szCs w:val="22"/>
              </w:rPr>
              <w:t>77.00</w:t>
            </w: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6" w:hanging="426"/>
            </w:pPr>
            <w:r>
              <w:t>(da)</w:t>
            </w:r>
            <w:r>
              <w:tab/>
              <w:t xml:space="preserve">a standard lottery of a kind generally known or described as a Calcutta </w:t>
            </w:r>
            <w:r>
              <w:tab/>
            </w:r>
          </w:p>
        </w:tc>
        <w:tc>
          <w:tcPr>
            <w:tcW w:w="992" w:type="dxa"/>
            <w:vAlign w:val="bottom"/>
          </w:tcPr>
          <w:p>
            <w:pPr>
              <w:pStyle w:val="yTableNAm"/>
              <w:widowControl w:val="0"/>
              <w:jc w:val="right"/>
              <w:rPr>
                <w:i/>
              </w:rPr>
            </w:pPr>
            <w:r>
              <w:rPr>
                <w:szCs w:val="22"/>
              </w:rPr>
              <w:t>77.00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(e)</w:t>
            </w:r>
            <w:r>
              <w:tab/>
              <w:t xml:space="preserve">a continuing lottery </w:t>
            </w:r>
            <w:r>
              <w:tab/>
            </w:r>
          </w:p>
        </w:tc>
        <w:tc>
          <w:tcPr>
            <w:tcW w:w="992" w:type="dxa"/>
            <w:vAlign w:val="bottom"/>
          </w:tcPr>
          <w:p>
            <w:pPr>
              <w:pStyle w:val="yTableNAm"/>
              <w:widowControl w:val="0"/>
              <w:jc w:val="right"/>
              <w:rPr>
                <w:szCs w:val="22"/>
              </w:rPr>
            </w:pPr>
            <w:r>
              <w:t>17.00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(f)</w:t>
            </w:r>
            <w:r>
              <w:tab/>
              <w:t xml:space="preserve">gaming (per day authorised)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left" w:pos="851"/>
                <w:tab w:val="right" w:leader="dot" w:pos="6237"/>
              </w:tabs>
            </w:pPr>
            <w:r>
              <w:tab/>
              <w:t>(i)</w:t>
            </w:r>
            <w:r>
              <w:tab/>
              <w:t>1</w:t>
            </w:r>
            <w:r>
              <w:noBreakHyphen/>
              <w:t xml:space="preserve">5 tables </w:t>
            </w:r>
            <w:r>
              <w:tab/>
            </w:r>
          </w:p>
        </w:tc>
        <w:tc>
          <w:tcPr>
            <w:tcW w:w="992" w:type="dxa"/>
            <w:vAlign w:val="bottom"/>
          </w:tcPr>
          <w:p>
            <w:pPr>
              <w:pStyle w:val="yTableNAm"/>
              <w:widowControl w:val="0"/>
              <w:jc w:val="right"/>
            </w:pPr>
            <w:r>
              <w:rPr>
                <w:szCs w:val="22"/>
              </w:rPr>
              <w:t>235.00</w:t>
            </w: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left" w:pos="861"/>
                <w:tab w:val="right" w:leader="dot" w:pos="6237"/>
              </w:tabs>
            </w:pPr>
            <w:r>
              <w:tab/>
              <w:t>(ii)</w:t>
            </w:r>
            <w:r>
              <w:tab/>
              <w:t>6</w:t>
            </w:r>
            <w:r>
              <w:noBreakHyphen/>
              <w:t xml:space="preserve">10 tables </w:t>
            </w:r>
            <w:r>
              <w:tab/>
            </w:r>
          </w:p>
        </w:tc>
        <w:tc>
          <w:tcPr>
            <w:tcW w:w="992" w:type="dxa"/>
            <w:vAlign w:val="bottom"/>
          </w:tcPr>
          <w:p>
            <w:pPr>
              <w:pStyle w:val="yTableNAm"/>
              <w:widowControl w:val="0"/>
              <w:jc w:val="right"/>
            </w:pPr>
            <w:r>
              <w:rPr>
                <w:szCs w:val="22"/>
              </w:rPr>
              <w:t>395.50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left" w:pos="851"/>
                <w:tab w:val="left" w:pos="1701"/>
                <w:tab w:val="right" w:leader="dot" w:pos="6237"/>
              </w:tabs>
            </w:pPr>
            <w:r>
              <w:tab/>
              <w:t>(iii)</w:t>
            </w:r>
            <w:r>
              <w:tab/>
              <w:t xml:space="preserve">over 10 tables </w:t>
            </w:r>
            <w:r>
              <w:tab/>
            </w:r>
          </w:p>
        </w:tc>
        <w:tc>
          <w:tcPr>
            <w:tcW w:w="992" w:type="dxa"/>
            <w:vAlign w:val="bottom"/>
          </w:tcPr>
          <w:p>
            <w:pPr>
              <w:pStyle w:val="yTableNAm"/>
              <w:widowControl w:val="0"/>
              <w:jc w:val="right"/>
            </w:pPr>
            <w:r>
              <w:rPr>
                <w:szCs w:val="22"/>
              </w:rPr>
              <w:t>441.50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s>
            </w:pPr>
            <w:r>
              <w:t>(g)</w:t>
            </w:r>
            <w:r>
              <w:tab/>
              <w:t>two</w:t>
            </w:r>
            <w:r>
              <w:noBreakHyphen/>
              <w:t>up </w:t>
            </w:r>
            <w:r>
              <w:rPr>
                <w:snapToGrid w:val="0"/>
              </w:rPr>
              <w:t xml:space="preserve">—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left" w:pos="854"/>
                <w:tab w:val="right" w:leader="dot" w:pos="6237"/>
              </w:tabs>
            </w:pPr>
            <w:r>
              <w:tab/>
              <w:t>(i)</w:t>
            </w:r>
            <w:r>
              <w:tab/>
              <w:t xml:space="preserve">by a country race club </w:t>
            </w:r>
            <w:r>
              <w:tab/>
            </w:r>
          </w:p>
        </w:tc>
        <w:tc>
          <w:tcPr>
            <w:tcW w:w="992" w:type="dxa"/>
            <w:vAlign w:val="bottom"/>
          </w:tcPr>
          <w:p>
            <w:pPr>
              <w:pStyle w:val="yTableNAm"/>
              <w:widowControl w:val="0"/>
              <w:jc w:val="right"/>
            </w:pPr>
            <w:r>
              <w:rPr>
                <w:szCs w:val="22"/>
              </w:rPr>
              <w:t>158.00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left" w:pos="854"/>
                <w:tab w:val="right" w:leader="dot" w:pos="6237"/>
              </w:tabs>
            </w:pPr>
            <w:r>
              <w:tab/>
              <w:t>(ii)</w:t>
            </w:r>
            <w:r>
              <w:tab/>
              <w:t xml:space="preserve">otherwise </w:t>
            </w:r>
            <w:r>
              <w:tab/>
            </w:r>
          </w:p>
        </w:tc>
        <w:tc>
          <w:tcPr>
            <w:tcW w:w="992" w:type="dxa"/>
            <w:vAlign w:val="bottom"/>
          </w:tcPr>
          <w:p>
            <w:pPr>
              <w:pStyle w:val="yTableNAm"/>
              <w:widowControl w:val="0"/>
              <w:jc w:val="right"/>
            </w:pPr>
            <w:r>
              <w:rPr>
                <w:szCs w:val="22"/>
              </w:rPr>
              <w:t>235.00</w:t>
            </w:r>
          </w:p>
        </w:tc>
      </w:tr>
      <w:tr>
        <w:trPr>
          <w:cantSplit/>
        </w:trPr>
        <w:tc>
          <w:tcPr>
            <w:tcW w:w="851" w:type="dxa"/>
          </w:tcPr>
          <w:p>
            <w:pPr>
              <w:pStyle w:val="yTableNAm"/>
              <w:widowControl w:val="0"/>
            </w:pPr>
            <w:r>
              <w:t>6.</w:t>
            </w:r>
          </w:p>
        </w:tc>
        <w:tc>
          <w:tcPr>
            <w:tcW w:w="5245" w:type="dxa"/>
          </w:tcPr>
          <w:p>
            <w:pPr>
              <w:pStyle w:val="yTableNAm"/>
              <w:widowControl w:val="0"/>
            </w:pPr>
            <w:r>
              <w:t xml:space="preserve">Application for a permit of a continuing nature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5" w:hanging="425"/>
            </w:pPr>
            <w:r>
              <w:t>(a)</w:t>
            </w:r>
            <w:r>
              <w:tab/>
              <w:t xml:space="preserve">bingo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5" w:hanging="425"/>
            </w:pPr>
            <w:r>
              <w:t>(b)</w:t>
            </w:r>
            <w:r>
              <w:tab/>
              <w:t xml:space="preserve">multiple bingo, for each premises </w:t>
            </w:r>
            <w:r>
              <w:tab/>
            </w:r>
          </w:p>
        </w:tc>
        <w:tc>
          <w:tcPr>
            <w:tcW w:w="992" w:type="dxa"/>
            <w:vAlign w:val="bottom"/>
          </w:tcPr>
          <w:p>
            <w:pPr>
              <w:pStyle w:val="yTableNAm"/>
              <w:widowControl w:val="0"/>
              <w:jc w:val="right"/>
            </w:pPr>
            <w:r>
              <w:t>35.50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vAlign w:val="bottom"/>
          </w:tcPr>
          <w:p>
            <w:pPr>
              <w:pStyle w:val="yTableNAm"/>
              <w:jc w:val="right"/>
            </w:pPr>
            <w:r>
              <w:t>35.50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vAlign w:val="bottom"/>
          </w:tcPr>
          <w:p>
            <w:pPr>
              <w:pStyle w:val="yTableNAm"/>
              <w:jc w:val="right"/>
            </w:pPr>
            <w:r>
              <w:rPr>
                <w:szCs w:val="22"/>
              </w:rPr>
              <w:t>49.50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vAlign w:val="bottom"/>
          </w:tcPr>
          <w:p>
            <w:pPr>
              <w:pStyle w:val="yTableNAm"/>
              <w:jc w:val="right"/>
              <w:rPr>
                <w:i/>
              </w:rPr>
            </w:pPr>
            <w:r>
              <w:rPr>
                <w:szCs w:val="22"/>
              </w:rPr>
              <w:t>118.50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vAlign w:val="bottom"/>
          </w:tcPr>
          <w:p>
            <w:pPr>
              <w:pStyle w:val="yTableNAm"/>
              <w:jc w:val="right"/>
              <w:rPr>
                <w:i/>
              </w:rPr>
            </w:pPr>
            <w:r>
              <w:rPr>
                <w:szCs w:val="22"/>
              </w:rPr>
              <w:t>230.00</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vAlign w:val="bottom"/>
          </w:tcPr>
          <w:p>
            <w:pPr>
              <w:pStyle w:val="yTableNAm"/>
              <w:jc w:val="right"/>
              <w:rPr>
                <w:i/>
              </w:rPr>
            </w:pPr>
            <w:r>
              <w:rPr>
                <w:szCs w:val="22"/>
              </w:rPr>
              <w:t>476.00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vAlign w:val="bottom"/>
          </w:tcPr>
          <w:p>
            <w:pPr>
              <w:pStyle w:val="yTableNAm"/>
              <w:jc w:val="right"/>
            </w:pPr>
            <w:r>
              <w:rPr>
                <w:szCs w:val="22"/>
              </w:rPr>
              <w:t>730.50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vAlign w:val="bottom"/>
          </w:tcPr>
          <w:p>
            <w:pPr>
              <w:pStyle w:val="yTableNAm"/>
              <w:jc w:val="right"/>
              <w:rPr>
                <w:i/>
              </w:rPr>
            </w:pPr>
            <w:r>
              <w:rPr>
                <w:szCs w:val="22"/>
              </w:rPr>
              <w:t>158.00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vAlign w:val="bottom"/>
          </w:tcPr>
          <w:p>
            <w:pPr>
              <w:pStyle w:val="yTableNAm"/>
              <w:jc w:val="right"/>
            </w:pPr>
            <w:r>
              <w:t>28.00</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vAlign w:val="bottom"/>
          </w:tcPr>
          <w:p>
            <w:pPr>
              <w:pStyle w:val="yTableNAm"/>
              <w:jc w:val="right"/>
            </w:pPr>
            <w:r>
              <w:rPr>
                <w:szCs w:val="22"/>
              </w:rPr>
              <w:t>189.50</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vAlign w:val="bottom"/>
          </w:tcPr>
          <w:p>
            <w:pPr>
              <w:pStyle w:val="yTableNAm"/>
              <w:jc w:val="right"/>
            </w:pPr>
            <w:r>
              <w:rPr>
                <w:szCs w:val="22"/>
              </w:rPr>
              <w:t>348.00</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vAlign w:val="bottom"/>
          </w:tcPr>
          <w:p>
            <w:pPr>
              <w:pStyle w:val="yTableNAm"/>
              <w:jc w:val="right"/>
            </w:pPr>
            <w:r>
              <w:rPr>
                <w:szCs w:val="22"/>
              </w:rPr>
              <w:t>435.00</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vAlign w:val="bottom"/>
          </w:tcPr>
          <w:p>
            <w:pPr>
              <w:pStyle w:val="yTableNAm"/>
              <w:jc w:val="right"/>
              <w:rPr>
                <w:i/>
              </w:rPr>
            </w:pPr>
            <w:r>
              <w:rPr>
                <w:szCs w:val="22"/>
              </w:rPr>
              <w:t>125.50</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vAlign w:val="bottom"/>
          </w:tcPr>
          <w:p>
            <w:pPr>
              <w:pStyle w:val="yTableNAm"/>
              <w:jc w:val="right"/>
            </w:pPr>
            <w:r>
              <w:rPr>
                <w:szCs w:val="22"/>
              </w:rPr>
              <w:t>189.50</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vAlign w:val="bottom"/>
          </w:tcPr>
          <w:p>
            <w:pPr>
              <w:pStyle w:val="yTableNAm"/>
              <w:jc w:val="right"/>
            </w:pPr>
            <w:r>
              <w:t>23.00</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vAlign w:val="bottom"/>
          </w:tcPr>
          <w:p>
            <w:pPr>
              <w:pStyle w:val="yTableNAm"/>
              <w:jc w:val="right"/>
            </w:pPr>
            <w:r>
              <w:rPr>
                <w:szCs w:val="22"/>
              </w:rPr>
              <w:t>77.00</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a permit of a continuing nature </w:t>
            </w:r>
            <w:r>
              <w:tab/>
            </w:r>
          </w:p>
        </w:tc>
        <w:tc>
          <w:tcPr>
            <w:tcW w:w="992" w:type="dxa"/>
            <w:vAlign w:val="bottom"/>
          </w:tcPr>
          <w:p>
            <w:pPr>
              <w:pStyle w:val="yTableNAm"/>
              <w:jc w:val="right"/>
            </w:pPr>
            <w:r>
              <w:rPr>
                <w:szCs w:val="22"/>
              </w:rPr>
              <w:t>77.00</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vAlign w:val="bottom"/>
          </w:tcPr>
          <w:p>
            <w:pPr>
              <w:pStyle w:val="yTableNAm"/>
              <w:jc w:val="right"/>
            </w:pPr>
            <w:r>
              <w:rPr>
                <w:szCs w:val="22"/>
              </w:rPr>
              <w:t>158.00</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vAlign w:val="bottom"/>
          </w:tcPr>
          <w:p>
            <w:pPr>
              <w:pStyle w:val="yTableNAm"/>
              <w:jc w:val="right"/>
            </w:pPr>
            <w:r>
              <w:rPr>
                <w:szCs w:val="22"/>
              </w:rPr>
              <w:t>158.00</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vAlign w:val="bottom"/>
          </w:tcPr>
          <w:p>
            <w:pPr>
              <w:pStyle w:val="yTableNAm"/>
              <w:jc w:val="right"/>
              <w:rPr>
                <w:i/>
              </w:rPr>
            </w:pPr>
            <w:r>
              <w:rPr>
                <w:szCs w:val="22"/>
              </w:rPr>
              <w:t>158.00</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vAlign w:val="bottom"/>
          </w:tcPr>
          <w:p>
            <w:pPr>
              <w:pStyle w:val="yTableNAm"/>
              <w:jc w:val="right"/>
            </w:pPr>
            <w:r>
              <w:rPr>
                <w:szCs w:val="22"/>
              </w:rPr>
              <w:t>260.50</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vAlign w:val="bottom"/>
          </w:tcPr>
          <w:p>
            <w:pPr>
              <w:pStyle w:val="yTableNAm"/>
              <w:jc w:val="right"/>
            </w:pPr>
            <w:r>
              <w:rPr>
                <w:szCs w:val="22"/>
              </w:rPr>
              <w:t>342.00</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vAlign w:val="bottom"/>
          </w:tcPr>
          <w:p>
            <w:pPr>
              <w:pStyle w:val="yTableNAm"/>
              <w:jc w:val="right"/>
            </w:pPr>
            <w:r>
              <w:rPr>
                <w:szCs w:val="22"/>
              </w:rPr>
              <w:t>318.50</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vAlign w:val="bottom"/>
          </w:tcPr>
          <w:p>
            <w:pPr>
              <w:pStyle w:val="yTableNAm"/>
              <w:jc w:val="right"/>
            </w:pPr>
            <w:r>
              <w:t>28.00</w:t>
            </w:r>
          </w:p>
        </w:tc>
      </w:tr>
    </w:tbl>
    <w:p>
      <w:pPr>
        <w:pStyle w:val="yFootnoteheading"/>
        <w:spacing w:before="80" w:after="80"/>
      </w:pPr>
      <w:r>
        <w:tab/>
        <w:t>[Schedule 1 inserted: Gazette 22 Oct 2019 p. 3722</w:t>
      </w:r>
      <w:r>
        <w:noBreakHyphen/>
        <w:t>4.]</w:t>
      </w:r>
    </w:p>
    <w:p>
      <w:pPr>
        <w:pStyle w:val="yScheduleHeading"/>
      </w:pPr>
      <w:bookmarkStart w:id="116" w:name="_Toc110952996"/>
      <w:bookmarkStart w:id="117" w:name="_Toc110953116"/>
      <w:bookmarkStart w:id="118" w:name="_Toc111021612"/>
      <w:r>
        <w:rPr>
          <w:rStyle w:val="CharSchNo"/>
        </w:rPr>
        <w:lastRenderedPageBreak/>
        <w:t>Schedule 2</w:t>
      </w:r>
      <w:r>
        <w:t> — </w:t>
      </w:r>
      <w:r>
        <w:rPr>
          <w:rStyle w:val="CharSchText"/>
        </w:rPr>
        <w:t>Prescribed penalties under section 36(1)</w:t>
      </w:r>
      <w:bookmarkEnd w:id="116"/>
      <w:bookmarkEnd w:id="117"/>
      <w:bookmarkEnd w:id="118"/>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20" w:name="_Toc110952997"/>
      <w:bookmarkStart w:id="121" w:name="_Toc110953117"/>
      <w:bookmarkStart w:id="122" w:name="_Toc111021613"/>
      <w:r>
        <w:rPr>
          <w:rStyle w:val="CharSchNo"/>
        </w:rPr>
        <w:lastRenderedPageBreak/>
        <w:t>Schedule 3</w:t>
      </w:r>
      <w:bookmarkEnd w:id="120"/>
      <w:bookmarkEnd w:id="121"/>
      <w:bookmarkEnd w:id="122"/>
    </w:p>
    <w:p>
      <w:pPr>
        <w:pStyle w:val="yHeading2"/>
        <w:outlineLvl w:val="9"/>
      </w:pPr>
      <w:bookmarkStart w:id="123" w:name="_Toc110952998"/>
      <w:bookmarkStart w:id="124" w:name="_Toc110953118"/>
      <w:bookmarkStart w:id="125" w:name="_Toc111021614"/>
      <w:r>
        <w:rPr>
          <w:rStyle w:val="CharSchText"/>
        </w:rPr>
        <w:t>Forms</w:t>
      </w:r>
      <w:bookmarkEnd w:id="123"/>
      <w:bookmarkEnd w:id="124"/>
      <w:bookmarkEnd w:id="125"/>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lastRenderedPageBreak/>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lastRenderedPageBreak/>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lastRenderedPageBreak/>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lastRenderedPageBreak/>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lastRenderedPageBreak/>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126" w:name="_Toc110952999"/>
      <w:bookmarkStart w:id="127" w:name="_Toc110953119"/>
      <w:bookmarkStart w:id="128" w:name="_Toc111021615"/>
      <w:r>
        <w:rPr>
          <w:rStyle w:val="CharSchNo"/>
        </w:rPr>
        <w:lastRenderedPageBreak/>
        <w:t>Schedule 4</w:t>
      </w:r>
      <w:bookmarkEnd w:id="126"/>
      <w:bookmarkEnd w:id="127"/>
      <w:bookmarkEnd w:id="128"/>
    </w:p>
    <w:p>
      <w:pPr>
        <w:pStyle w:val="yHeading2"/>
        <w:keepNext w:val="0"/>
        <w:outlineLvl w:val="9"/>
      </w:pPr>
      <w:bookmarkStart w:id="129" w:name="_Toc110953000"/>
      <w:bookmarkStart w:id="130" w:name="_Toc110953120"/>
      <w:bookmarkStart w:id="131" w:name="_Toc111021616"/>
      <w:r>
        <w:rPr>
          <w:rStyle w:val="CharSchText"/>
        </w:rPr>
        <w:t>Rules for the conduct of permitted games</w:t>
      </w:r>
      <w:bookmarkEnd w:id="129"/>
      <w:bookmarkEnd w:id="130"/>
      <w:bookmarkEnd w:id="131"/>
    </w:p>
    <w:p>
      <w:pPr>
        <w:pStyle w:val="yHeading3"/>
      </w:pPr>
      <w:bookmarkStart w:id="132" w:name="_Toc110953001"/>
      <w:bookmarkStart w:id="133" w:name="_Toc110953121"/>
      <w:bookmarkStart w:id="134" w:name="_Toc111021617"/>
      <w:r>
        <w:rPr>
          <w:rStyle w:val="CharSDivNo"/>
        </w:rPr>
        <w:t>Part 1</w:t>
      </w:r>
      <w:r>
        <w:t> — </w:t>
      </w:r>
      <w:r>
        <w:rPr>
          <w:rStyle w:val="CharSDivText"/>
        </w:rPr>
        <w:t>Permitted bingo</w:t>
      </w:r>
      <w:bookmarkEnd w:id="132"/>
      <w:bookmarkEnd w:id="133"/>
      <w:bookmarkEnd w:id="134"/>
    </w:p>
    <w:p>
      <w:pPr>
        <w:pStyle w:val="yMiscellaneousBody"/>
        <w:jc w:val="center"/>
        <w:rPr>
          <w:b/>
          <w:snapToGrid w:val="0"/>
        </w:rPr>
      </w:pPr>
      <w:r>
        <w:rPr>
          <w:b/>
          <w:snapToGrid w:val="0"/>
        </w:rPr>
        <w:t>Rules for the conduct of bingo</w:t>
      </w:r>
    </w:p>
    <w:p>
      <w:pPr>
        <w:pStyle w:val="yHeading5"/>
        <w:rPr>
          <w:snapToGrid w:val="0"/>
        </w:rPr>
      </w:pPr>
      <w:bookmarkStart w:id="135" w:name="_Toc111021618"/>
      <w:r>
        <w:rPr>
          <w:rStyle w:val="CharSClsNo"/>
        </w:rPr>
        <w:t>1</w:t>
      </w:r>
      <w:r>
        <w:rPr>
          <w:snapToGrid w:val="0"/>
        </w:rPr>
        <w:t>.</w:t>
      </w:r>
      <w:r>
        <w:rPr>
          <w:snapToGrid w:val="0"/>
        </w:rPr>
        <w:tab/>
        <w:t>Children cannot play</w:t>
      </w:r>
      <w:bookmarkEnd w:id="135"/>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36" w:name="_Toc111021619"/>
      <w:r>
        <w:rPr>
          <w:rStyle w:val="CharSClsNo"/>
        </w:rPr>
        <w:t>2</w:t>
      </w:r>
      <w:r>
        <w:rPr>
          <w:snapToGrid w:val="0"/>
        </w:rPr>
        <w:t>.</w:t>
      </w:r>
      <w:r>
        <w:rPr>
          <w:snapToGrid w:val="0"/>
        </w:rPr>
        <w:tab/>
        <w:t>Spotters cannot play</w:t>
      </w:r>
      <w:bookmarkEnd w:id="136"/>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37" w:name="_Toc111021620"/>
      <w:r>
        <w:rPr>
          <w:rStyle w:val="CharSClsNo"/>
        </w:rPr>
        <w:t>3</w:t>
      </w:r>
      <w:r>
        <w:rPr>
          <w:snapToGrid w:val="0"/>
        </w:rPr>
        <w:t>.</w:t>
      </w:r>
      <w:r>
        <w:rPr>
          <w:snapToGrid w:val="0"/>
        </w:rPr>
        <w:tab/>
        <w:t>Call backs, who can take part in</w:t>
      </w:r>
      <w:bookmarkEnd w:id="137"/>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38" w:name="_Toc111021621"/>
      <w:r>
        <w:rPr>
          <w:rStyle w:val="CharSClsNo"/>
        </w:rPr>
        <w:t>4</w:t>
      </w:r>
      <w:r>
        <w:rPr>
          <w:snapToGrid w:val="0"/>
        </w:rPr>
        <w:t>.</w:t>
      </w:r>
      <w:r>
        <w:rPr>
          <w:snapToGrid w:val="0"/>
        </w:rPr>
        <w:tab/>
        <w:t>Bingo cards</w:t>
      </w:r>
      <w:bookmarkEnd w:id="138"/>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139" w:name="_Toc111021622"/>
      <w:r>
        <w:rPr>
          <w:rStyle w:val="CharSClsNo"/>
        </w:rPr>
        <w:t>5</w:t>
      </w:r>
      <w:r>
        <w:rPr>
          <w:snapToGrid w:val="0"/>
        </w:rPr>
        <w:t>.</w:t>
      </w:r>
      <w:r>
        <w:rPr>
          <w:snapToGrid w:val="0"/>
        </w:rPr>
        <w:tab/>
        <w:t>Split games</w:t>
      </w:r>
      <w:bookmarkEnd w:id="139"/>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lastRenderedPageBreak/>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140" w:name="_Toc111021623"/>
      <w:r>
        <w:rPr>
          <w:rStyle w:val="CharSClsNo"/>
        </w:rPr>
        <w:t>5A</w:t>
      </w:r>
      <w:r>
        <w:rPr>
          <w:snapToGrid w:val="0"/>
        </w:rPr>
        <w:t>.</w:t>
      </w:r>
      <w:r>
        <w:rPr>
          <w:snapToGrid w:val="0"/>
        </w:rPr>
        <w:tab/>
        <w:t>Prizes, who is eligible for</w:t>
      </w:r>
      <w:bookmarkEnd w:id="140"/>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141" w:name="_Toc111021624"/>
      <w:r>
        <w:rPr>
          <w:rStyle w:val="CharSClsNo"/>
        </w:rPr>
        <w:t>5B</w:t>
      </w:r>
      <w:r>
        <w:rPr>
          <w:snapToGrid w:val="0"/>
        </w:rPr>
        <w:t>.</w:t>
      </w:r>
      <w:r>
        <w:rPr>
          <w:snapToGrid w:val="0"/>
        </w:rPr>
        <w:tab/>
        <w:t>When games conclude</w:t>
      </w:r>
      <w:bookmarkEnd w:id="141"/>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142" w:name="_Toc111021625"/>
      <w:r>
        <w:rPr>
          <w:rStyle w:val="CharSClsNo"/>
        </w:rPr>
        <w:t>6</w:t>
      </w:r>
      <w:r>
        <w:rPr>
          <w:snapToGrid w:val="0"/>
        </w:rPr>
        <w:t>.</w:t>
      </w:r>
      <w:r>
        <w:rPr>
          <w:snapToGrid w:val="0"/>
        </w:rPr>
        <w:tab/>
        <w:t>Miscellaneous rules</w:t>
      </w:r>
      <w:bookmarkEnd w:id="142"/>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lastRenderedPageBreak/>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143" w:name="_Toc111021626"/>
      <w:r>
        <w:rPr>
          <w:rStyle w:val="CharSClsNo"/>
        </w:rPr>
        <w:t>7</w:t>
      </w:r>
      <w:r>
        <w:rPr>
          <w:snapToGrid w:val="0"/>
        </w:rPr>
        <w:t>.</w:t>
      </w:r>
      <w:r>
        <w:rPr>
          <w:snapToGrid w:val="0"/>
        </w:rPr>
        <w:tab/>
        <w:t>Prizes, announcement of etc.</w:t>
      </w:r>
      <w:bookmarkEnd w:id="143"/>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144" w:name="_Toc111021627"/>
      <w:r>
        <w:rPr>
          <w:rStyle w:val="CharSClsNo"/>
        </w:rPr>
        <w:lastRenderedPageBreak/>
        <w:t>8</w:t>
      </w:r>
      <w:r>
        <w:rPr>
          <w:snapToGrid w:val="0"/>
        </w:rPr>
        <w:t>.</w:t>
      </w:r>
      <w:r>
        <w:rPr>
          <w:snapToGrid w:val="0"/>
        </w:rPr>
        <w:tab/>
        <w:t>Prize shared if more than one winner</w:t>
      </w:r>
      <w:bookmarkEnd w:id="144"/>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145" w:name="_Toc111021628"/>
      <w:r>
        <w:rPr>
          <w:rStyle w:val="CharSClsNo"/>
        </w:rPr>
        <w:t>9</w:t>
      </w:r>
      <w:r>
        <w:rPr>
          <w:snapToGrid w:val="0"/>
        </w:rPr>
        <w:t>.</w:t>
      </w:r>
      <w:r>
        <w:rPr>
          <w:snapToGrid w:val="0"/>
        </w:rPr>
        <w:tab/>
        <w:t>Prizes paid as soon as practicable</w:t>
      </w:r>
      <w:bookmarkEnd w:id="145"/>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46" w:name="_Toc111021629"/>
      <w:r>
        <w:rPr>
          <w:rStyle w:val="CharSClsNo"/>
        </w:rPr>
        <w:t>10</w:t>
      </w:r>
      <w:r>
        <w:rPr>
          <w:snapToGrid w:val="0"/>
        </w:rPr>
        <w:t>.</w:t>
      </w:r>
      <w:r>
        <w:rPr>
          <w:snapToGrid w:val="0"/>
        </w:rPr>
        <w:tab/>
        <w:t>Player who makes incorrect call allowed to continue play</w:t>
      </w:r>
      <w:bookmarkEnd w:id="146"/>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147" w:name="_Toc111021630"/>
      <w:r>
        <w:rPr>
          <w:rStyle w:val="CharSClsNo"/>
        </w:rPr>
        <w:t>11</w:t>
      </w:r>
      <w:r>
        <w:rPr>
          <w:snapToGrid w:val="0"/>
        </w:rPr>
        <w:t>.</w:t>
      </w:r>
      <w:r>
        <w:rPr>
          <w:snapToGrid w:val="0"/>
        </w:rPr>
        <w:tab/>
        <w:t>Late calls by players</w:t>
      </w:r>
      <w:bookmarkEnd w:id="147"/>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148" w:name="_Toc111021631"/>
      <w:r>
        <w:rPr>
          <w:rStyle w:val="CharSClsNo"/>
        </w:rPr>
        <w:t>12</w:t>
      </w:r>
      <w:r>
        <w:rPr>
          <w:snapToGrid w:val="0"/>
        </w:rPr>
        <w:t>.</w:t>
      </w:r>
      <w:r>
        <w:rPr>
          <w:snapToGrid w:val="0"/>
        </w:rPr>
        <w:tab/>
        <w:t>Calls must be acknowledged</w:t>
      </w:r>
      <w:bookmarkEnd w:id="148"/>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149" w:name="_Toc110953016"/>
      <w:bookmarkStart w:id="150" w:name="_Toc110953136"/>
      <w:bookmarkStart w:id="151" w:name="_Toc111021632"/>
      <w:r>
        <w:rPr>
          <w:rStyle w:val="CharSDivNo"/>
        </w:rPr>
        <w:lastRenderedPageBreak/>
        <w:t>Part 2</w:t>
      </w:r>
      <w:r>
        <w:t> — </w:t>
      </w:r>
      <w:r>
        <w:rPr>
          <w:rStyle w:val="CharSDivText"/>
        </w:rPr>
        <w:t>Permitted lotteries</w:t>
      </w:r>
      <w:bookmarkEnd w:id="149"/>
      <w:bookmarkEnd w:id="150"/>
      <w:bookmarkEnd w:id="151"/>
    </w:p>
    <w:p>
      <w:pPr>
        <w:pStyle w:val="yHeading4"/>
        <w:rPr>
          <w:snapToGrid w:val="0"/>
        </w:rPr>
      </w:pPr>
      <w:bookmarkStart w:id="152" w:name="_Toc110953017"/>
      <w:bookmarkStart w:id="153" w:name="_Toc110953137"/>
      <w:bookmarkStart w:id="154" w:name="_Toc111021633"/>
      <w:r>
        <w:rPr>
          <w:snapToGrid w:val="0"/>
        </w:rPr>
        <w:t>Division 1 — Rules for the conduct of a standard lottery</w:t>
      </w:r>
      <w:bookmarkEnd w:id="152"/>
      <w:bookmarkEnd w:id="153"/>
      <w:bookmarkEnd w:id="154"/>
    </w:p>
    <w:p>
      <w:pPr>
        <w:pStyle w:val="yHeading5"/>
        <w:rPr>
          <w:snapToGrid w:val="0"/>
        </w:rPr>
      </w:pPr>
      <w:bookmarkStart w:id="155" w:name="_Toc111021634"/>
      <w:r>
        <w:rPr>
          <w:rStyle w:val="CharSClsNo"/>
        </w:rPr>
        <w:t>1</w:t>
      </w:r>
      <w:r>
        <w:rPr>
          <w:snapToGrid w:val="0"/>
        </w:rPr>
        <w:t>.</w:t>
      </w:r>
      <w:r>
        <w:rPr>
          <w:snapToGrid w:val="0"/>
        </w:rPr>
        <w:tab/>
        <w:t>Chances, number of etc.</w:t>
      </w:r>
      <w:bookmarkEnd w:id="155"/>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156" w:name="_Toc111021635"/>
      <w:r>
        <w:rPr>
          <w:rStyle w:val="CharSClsNo"/>
        </w:rPr>
        <w:t>2</w:t>
      </w:r>
      <w:r>
        <w:rPr>
          <w:snapToGrid w:val="0"/>
        </w:rPr>
        <w:t>.</w:t>
      </w:r>
      <w:r>
        <w:rPr>
          <w:snapToGrid w:val="0"/>
        </w:rPr>
        <w:tab/>
        <w:t>Chances, information on</w:t>
      </w:r>
      <w:bookmarkEnd w:id="15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w:t>
      </w:r>
      <w:r>
        <w:rPr>
          <w:snapToGrid w:val="0"/>
        </w:rPr>
        <w:lastRenderedPageBreak/>
        <w:t>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outlineLvl w:val="9"/>
        <w:rPr>
          <w:snapToGrid w:val="0"/>
        </w:rPr>
      </w:pPr>
      <w:bookmarkStart w:id="157" w:name="_Toc111021636"/>
      <w:r>
        <w:rPr>
          <w:rStyle w:val="CharSClsNo"/>
        </w:rPr>
        <w:t>2A</w:t>
      </w:r>
      <w:r>
        <w:rPr>
          <w:snapToGrid w:val="0"/>
        </w:rPr>
        <w:t>.</w:t>
      </w:r>
      <w:r>
        <w:rPr>
          <w:snapToGrid w:val="0"/>
        </w:rPr>
        <w:tab/>
        <w:t>Chance holders, identification of</w:t>
      </w:r>
      <w:bookmarkEnd w:id="15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158" w:name="_Toc111021637"/>
      <w:r>
        <w:rPr>
          <w:rStyle w:val="CharSClsNo"/>
        </w:rPr>
        <w:t>3</w:t>
      </w:r>
      <w:r>
        <w:rPr>
          <w:snapToGrid w:val="0"/>
        </w:rPr>
        <w:t>.</w:t>
      </w:r>
      <w:r>
        <w:rPr>
          <w:snapToGrid w:val="0"/>
        </w:rPr>
        <w:tab/>
        <w:t>Results of draw</w:t>
      </w:r>
      <w:bookmarkEnd w:id="158"/>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159" w:name="_Toc111021638"/>
      <w:r>
        <w:rPr>
          <w:rStyle w:val="CharSClsNo"/>
        </w:rPr>
        <w:t>4</w:t>
      </w:r>
      <w:r>
        <w:rPr>
          <w:snapToGrid w:val="0"/>
        </w:rPr>
        <w:t>.</w:t>
      </w:r>
      <w:r>
        <w:rPr>
          <w:snapToGrid w:val="0"/>
        </w:rPr>
        <w:tab/>
        <w:t>Order in which prizes are to be drawn</w:t>
      </w:r>
      <w:bookmarkEnd w:id="15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lastRenderedPageBreak/>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160" w:name="_Toc110953023"/>
      <w:bookmarkStart w:id="161" w:name="_Toc110953143"/>
      <w:bookmarkStart w:id="162" w:name="_Toc111021639"/>
      <w:r>
        <w:rPr>
          <w:snapToGrid w:val="0"/>
        </w:rPr>
        <w:t>Division 2 — Rules for the conduct of a continuing lottery</w:t>
      </w:r>
      <w:bookmarkEnd w:id="160"/>
      <w:bookmarkEnd w:id="161"/>
      <w:bookmarkEnd w:id="162"/>
    </w:p>
    <w:p>
      <w:pPr>
        <w:pStyle w:val="yHeading5"/>
        <w:rPr>
          <w:snapToGrid w:val="0"/>
        </w:rPr>
      </w:pPr>
      <w:bookmarkStart w:id="163" w:name="_Toc111021640"/>
      <w:r>
        <w:rPr>
          <w:rStyle w:val="CharSClsNo"/>
        </w:rPr>
        <w:t>1</w:t>
      </w:r>
      <w:r>
        <w:rPr>
          <w:snapToGrid w:val="0"/>
        </w:rPr>
        <w:t>.</w:t>
      </w:r>
      <w:r>
        <w:rPr>
          <w:snapToGrid w:val="0"/>
        </w:rPr>
        <w:tab/>
        <w:t>Information on each ticket</w:t>
      </w:r>
      <w:bookmarkEnd w:id="163"/>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64" w:name="_Toc111021641"/>
      <w:r>
        <w:rPr>
          <w:rStyle w:val="CharSClsNo"/>
        </w:rPr>
        <w:t>2</w:t>
      </w:r>
      <w:r>
        <w:rPr>
          <w:snapToGrid w:val="0"/>
        </w:rPr>
        <w:t>.</w:t>
      </w:r>
      <w:r>
        <w:rPr>
          <w:snapToGrid w:val="0"/>
        </w:rPr>
        <w:tab/>
        <w:t>Where tickets may be sold</w:t>
      </w:r>
      <w:bookmarkEnd w:id="164"/>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Gazette 4 Aug 1992 p. 3831.]</w:t>
      </w:r>
    </w:p>
    <w:p>
      <w:pPr>
        <w:sectPr>
          <w:headerReference w:type="even" r:id="rId29"/>
          <w:headerReference w:type="default" r:id="rId30"/>
          <w:headerReference w:type="first" r:id="rId31"/>
          <w:pgSz w:w="11907" w:h="16840" w:code="9"/>
          <w:pgMar w:top="2376" w:right="2404" w:bottom="3544" w:left="2404" w:header="709" w:footer="3379" w:gutter="0"/>
          <w:cols w:space="720"/>
          <w:noEndnote/>
          <w:docGrid w:linePitch="326"/>
        </w:sectPr>
      </w:pPr>
    </w:p>
    <w:p>
      <w:pPr>
        <w:pStyle w:val="yScheduleHeading"/>
      </w:pPr>
      <w:bookmarkStart w:id="165" w:name="_Toc110953026"/>
      <w:bookmarkStart w:id="166" w:name="_Toc110953146"/>
      <w:bookmarkStart w:id="167" w:name="_Toc111021642"/>
      <w:r>
        <w:rPr>
          <w:rStyle w:val="CharSchNo"/>
        </w:rPr>
        <w:lastRenderedPageBreak/>
        <w:t>Schedule 5</w:t>
      </w:r>
      <w:r>
        <w:rPr>
          <w:rStyle w:val="CharSDivNo"/>
        </w:rPr>
        <w:t> </w:t>
      </w:r>
      <w:r>
        <w:t>—</w:t>
      </w:r>
      <w:r>
        <w:rPr>
          <w:rStyle w:val="CharSDivText"/>
        </w:rPr>
        <w:t> </w:t>
      </w:r>
      <w:r>
        <w:rPr>
          <w:rStyle w:val="CharSchText"/>
        </w:rPr>
        <w:t>Conditions for trade promotion lottery</w:t>
      </w:r>
      <w:bookmarkEnd w:id="165"/>
      <w:bookmarkEnd w:id="166"/>
      <w:bookmarkEnd w:id="167"/>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lastRenderedPageBreak/>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76" w:right="2404" w:bottom="3544" w:left="2404" w:header="709" w:footer="3379" w:gutter="0"/>
          <w:cols w:space="720"/>
          <w:noEndnote/>
          <w:docGrid w:linePitch="326"/>
        </w:sectPr>
      </w:pPr>
    </w:p>
    <w:p>
      <w:pPr>
        <w:pStyle w:val="nHeading2"/>
      </w:pPr>
      <w:bookmarkStart w:id="168" w:name="_Toc110953027"/>
      <w:bookmarkStart w:id="169" w:name="_Toc110953147"/>
      <w:bookmarkStart w:id="170" w:name="_Toc111021643"/>
      <w:r>
        <w:lastRenderedPageBreak/>
        <w:t>Notes</w:t>
      </w:r>
      <w:bookmarkEnd w:id="168"/>
      <w:bookmarkEnd w:id="169"/>
      <w:bookmarkEnd w:id="170"/>
    </w:p>
    <w:p>
      <w:pPr>
        <w:pStyle w:val="nStatement"/>
      </w:pPr>
      <w:r>
        <w:t xml:space="preserve">This is a compilation of the </w:t>
      </w:r>
      <w:r>
        <w:rPr>
          <w:i/>
          <w:noProof/>
        </w:rPr>
        <w:t>Gaming and Wagering Commission Regulations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1" w:name="_Toc111021644"/>
      <w:r>
        <w:t>Compilation table</w:t>
      </w:r>
      <w:bookmarkEnd w:id="17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single" w:sz="4" w:space="0" w:color="auto"/>
            </w:tcBorders>
          </w:tcPr>
          <w:p>
            <w:pPr>
              <w:pStyle w:val="nTable"/>
              <w:spacing w:after="40"/>
              <w:ind w:right="113"/>
              <w:rPr>
                <w:i/>
              </w:rPr>
            </w:pPr>
            <w:r>
              <w:rPr>
                <w:i/>
              </w:rPr>
              <w:t>Gaming and Wagering Commission Amendment Regulations 2020</w:t>
            </w:r>
          </w:p>
        </w:tc>
        <w:tc>
          <w:tcPr>
            <w:tcW w:w="1276" w:type="dxa"/>
            <w:tcBorders>
              <w:top w:val="nil"/>
              <w:bottom w:val="single" w:sz="4" w:space="0" w:color="auto"/>
            </w:tcBorders>
          </w:tcPr>
          <w:p>
            <w:pPr>
              <w:pStyle w:val="nTable"/>
              <w:spacing w:after="40"/>
            </w:pPr>
            <w:r>
              <w:t>SL 2020/10</w:t>
            </w:r>
            <w:r>
              <w:br/>
              <w:t>3 Mar 2020</w:t>
            </w:r>
          </w:p>
        </w:tc>
        <w:tc>
          <w:tcPr>
            <w:tcW w:w="2693" w:type="dxa"/>
            <w:tcBorders>
              <w:top w:val="nil"/>
              <w:bottom w:val="single" w:sz="4" w:space="0" w:color="auto"/>
            </w:tcBorders>
          </w:tcPr>
          <w:p>
            <w:pPr>
              <w:pStyle w:val="nTable"/>
              <w:spacing w:after="40"/>
            </w:pPr>
            <w:r>
              <w:t>r. 1 and 2: 3 Mar 2020 (see r. 2(a));</w:t>
            </w:r>
            <w:r>
              <w:br/>
              <w:t>Regulations other than r. 1 and 2: 4 Mar 2020 (see r. 2(b))</w:t>
            </w:r>
          </w:p>
        </w:tc>
      </w:tr>
    </w:tbl>
    <w:p>
      <w:pPr>
        <w:pStyle w:val="nHeading3"/>
      </w:pPr>
      <w:bookmarkStart w:id="172" w:name="_Toc111021645"/>
      <w:r>
        <w:lastRenderedPageBreak/>
        <w:t>Uncommenced provisions table</w:t>
      </w:r>
      <w:bookmarkEnd w:id="17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Gaming Regulations Amendment (Fees and Charges) Regulations 2022</w:t>
            </w:r>
            <w:r>
              <w:t xml:space="preserve"> Pt. 5</w:t>
            </w:r>
          </w:p>
        </w:tc>
        <w:tc>
          <w:tcPr>
            <w:tcW w:w="1276" w:type="dxa"/>
          </w:tcPr>
          <w:p>
            <w:pPr>
              <w:pStyle w:val="nTable"/>
              <w:spacing w:after="40"/>
            </w:pPr>
            <w:r>
              <w:t>SL 2022/144 12 Aug 2022</w:t>
            </w:r>
          </w:p>
        </w:tc>
        <w:tc>
          <w:tcPr>
            <w:tcW w:w="2693" w:type="dxa"/>
          </w:tcPr>
          <w:p>
            <w:pPr>
              <w:pStyle w:val="nTable"/>
              <w:spacing w:after="40"/>
            </w:pPr>
            <w:r>
              <w:t>1 Jan 2023 (see r. 2(b))</w:t>
            </w:r>
          </w:p>
        </w:tc>
      </w:tr>
    </w:tbl>
    <w:p>
      <w:pPr>
        <w:pStyle w:val="nHeading3"/>
      </w:pPr>
      <w:bookmarkStart w:id="173" w:name="_Toc111021646"/>
      <w:r>
        <w:t>Other notes</w:t>
      </w:r>
      <w:bookmarkEnd w:id="173"/>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175" w:name="_Toc110953030"/>
      <w:bookmarkStart w:id="176" w:name="_Toc110953151"/>
      <w:bookmarkStart w:id="177" w:name="_Toc111021647"/>
      <w:r>
        <w:rPr>
          <w:sz w:val="28"/>
        </w:rPr>
        <w:lastRenderedPageBreak/>
        <w:t>Defined terms</w:t>
      </w:r>
      <w:bookmarkEnd w:id="175"/>
      <w:bookmarkEnd w:id="176"/>
      <w:bookmarkEnd w:id="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approved electronic bingo equipment</w:t>
      </w:r>
      <w:r>
        <w:tab/>
        <w:t>23(1A)</w:t>
      </w:r>
    </w:p>
    <w:p>
      <w:pPr>
        <w:pStyle w:val="DefinedTerms"/>
      </w:pPr>
      <w:r>
        <w:t>cruise ship</w:t>
      </w:r>
      <w:r>
        <w:tab/>
        <w:t>18C(1)</w:t>
      </w:r>
    </w:p>
    <w:p>
      <w:pPr>
        <w:pStyle w:val="DefinedTerms"/>
      </w:pPr>
      <w:r>
        <w:t>donor organization</w:t>
      </w:r>
      <w:r>
        <w:tab/>
        <w:t>30A(3)</w:t>
      </w:r>
    </w:p>
    <w:p>
      <w:pPr>
        <w:pStyle w:val="DefinedTerms"/>
      </w:pPr>
      <w:r>
        <w:t>gambling advertisement</w:t>
      </w:r>
      <w:r>
        <w:tab/>
        <w:t>43(1)</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and 8(2)</w:t>
      </w:r>
    </w:p>
    <w:p>
      <w:pPr>
        <w:pStyle w:val="DefinedTerms"/>
      </w:pPr>
      <w:r>
        <w:t>publish</w:t>
      </w:r>
      <w:r>
        <w:tab/>
        <w:t>43(1)</w:t>
      </w:r>
    </w:p>
    <w:p>
      <w:pPr>
        <w:pStyle w:val="DefinedTerms"/>
      </w:pPr>
      <w:r>
        <w:t>rents</w:t>
      </w:r>
      <w:r>
        <w:tab/>
        <w:t>18(2)</w:t>
      </w:r>
    </w:p>
    <w:p>
      <w:pPr>
        <w:pStyle w:val="DefinedTerms"/>
      </w:pPr>
      <w:r>
        <w:t>second person</w:t>
      </w:r>
      <w:r>
        <w:tab/>
        <w:t>43(7)</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jc w:val="both"/>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06-v0-00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06-v0-00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8" w:name="DefinedTerms"/>
    <w:bookmarkEnd w:id="17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5419"/>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61"/>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7E1E2-683A-4196-BBDE-460134C04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16704</Words>
  <Characters>81853</Characters>
  <Application>Microsoft Office Word</Application>
  <DocSecurity>0</DocSecurity>
  <Lines>2640</Lines>
  <Paragraphs>1699</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1988 - 06-v0-00</dc:title>
  <dc:subject/>
  <dc:creator/>
  <cp:keywords/>
  <dc:description/>
  <cp:lastModifiedBy>Master Repository Process</cp:lastModifiedBy>
  <cp:revision>4</cp:revision>
  <cp:lastPrinted>2019-12-05T02:10:00Z</cp:lastPrinted>
  <dcterms:created xsi:type="dcterms:W3CDTF">2022-08-11T06:52:00Z</dcterms:created>
  <dcterms:modified xsi:type="dcterms:W3CDTF">2022-08-11T06:52:00Z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12 Aug 2022</vt:lpwstr>
  </property>
  <property fmtid="{D5CDD505-2E9C-101B-9397-08002B2CF9AE}" pid="8" name="Suffix">
    <vt:lpwstr>06-v0-00</vt:lpwstr>
  </property>
  <property fmtid="{D5CDD505-2E9C-101B-9397-08002B2CF9AE}" pid="9" name="CommencementDate">
    <vt:lpwstr>20220812</vt:lpwstr>
  </property>
</Properties>
</file>