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Bush Fires Act 1954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_Toc111797614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Commencement</w:t>
      </w:r>
      <w:r>
        <w:tab/>
      </w:r>
      <w:r>
        <w:fldChar w:fldCharType="begin"/>
      </w:r>
      <w:r>
        <w:instrText xml:space="preserve"> PAGEREF _Toc111797615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Saving provisions</w:t>
      </w:r>
      <w:r>
        <w:tab/>
      </w:r>
      <w:r>
        <w:fldChar w:fldCharType="begin"/>
      </w:r>
      <w:r>
        <w:instrText xml:space="preserve"> PAGEREF _Toc111797616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Terms used</w:t>
      </w:r>
      <w:r>
        <w:tab/>
      </w:r>
      <w:r>
        <w:fldChar w:fldCharType="begin"/>
      </w:r>
      <w:r>
        <w:instrText xml:space="preserve"> PAGEREF _Toc111797617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_Toc111797619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of FES Commissioner</w:t>
      </w:r>
      <w:r>
        <w:tab/>
      </w:r>
      <w:r>
        <w:fldChar w:fldCharType="begin"/>
      </w:r>
      <w:r>
        <w:instrText xml:space="preserve"> PAGEREF _Toc111797620 \h </w:instrText>
      </w:r>
      <w:r>
        <w:fldChar w:fldCharType="separate"/>
      </w:r>
      <w:r>
        <w:t>6</w:t>
      </w:r>
      <w:r>
        <w:fldChar w:fldCharType="end"/>
      </w:r>
    </w:p>
    <w:p>
      <w:pPr>
        <w:pStyle w:val="TOC8"/>
        <w:rPr>
          <w:rFonts w:asciiTheme="minorHAnsi" w:eastAsiaTheme="minorEastAsia" w:hAnsiTheme="minorHAnsi" w:cstheme="minorBidi"/>
          <w:szCs w:val="22"/>
        </w:rPr>
      </w:pPr>
      <w:r>
        <w:t>12.</w:t>
      </w:r>
      <w:r>
        <w:tab/>
        <w:t>Bush fire liaison officers</w:t>
      </w:r>
      <w:r>
        <w:tab/>
      </w:r>
      <w:r>
        <w:fldChar w:fldCharType="begin"/>
      </w:r>
      <w:r>
        <w:instrText xml:space="preserve"> PAGEREF _Toc111797621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Duties and powers of bush fire liaison officers</w:t>
      </w:r>
      <w:r>
        <w:tab/>
      </w:r>
      <w:r>
        <w:fldChar w:fldCharType="begin"/>
      </w:r>
      <w:r>
        <w:instrText xml:space="preserve"> PAGEREF _Toc111797622 \h </w:instrText>
      </w:r>
      <w:r>
        <w:fldChar w:fldCharType="separate"/>
      </w:r>
      <w:r>
        <w:t>8</w:t>
      </w:r>
      <w:r>
        <w:fldChar w:fldCharType="end"/>
      </w:r>
    </w:p>
    <w:p>
      <w:pPr>
        <w:pStyle w:val="TOC8"/>
        <w:rPr>
          <w:rFonts w:asciiTheme="minorHAnsi" w:eastAsiaTheme="minorEastAsia" w:hAnsiTheme="minorHAnsi" w:cstheme="minorBidi"/>
          <w:szCs w:val="22"/>
        </w:rPr>
      </w:pPr>
      <w:r>
        <w:t>14A.</w:t>
      </w:r>
      <w:r>
        <w:tab/>
        <w:t xml:space="preserve">Powers and duties under section 13 not affected by certain powers under </w:t>
      </w:r>
      <w:r>
        <w:rPr>
          <w:i/>
          <w:iCs/>
        </w:rPr>
        <w:t>Emergency Management Act 2005</w:t>
      </w:r>
      <w:r>
        <w:tab/>
      </w:r>
      <w:r>
        <w:fldChar w:fldCharType="begin"/>
      </w:r>
      <w:r>
        <w:instrText xml:space="preserve"> PAGEREF _Toc111797623 \h </w:instrText>
      </w:r>
      <w:r>
        <w:fldChar w:fldCharType="separate"/>
      </w:r>
      <w:r>
        <w:t>9</w:t>
      </w:r>
      <w:r>
        <w:fldChar w:fldCharType="end"/>
      </w:r>
    </w:p>
    <w:p>
      <w:pPr>
        <w:pStyle w:val="TOC8"/>
        <w:rPr>
          <w:rFonts w:asciiTheme="minorHAnsi" w:eastAsiaTheme="minorEastAsia" w:hAnsiTheme="minorHAnsi" w:cstheme="minorBidi"/>
          <w:szCs w:val="22"/>
        </w:rPr>
      </w:pPr>
      <w:r>
        <w:t>14B.</w:t>
      </w:r>
      <w:r>
        <w:tab/>
        <w:t>Powers of authorised persons and police officers during authorised periods</w:t>
      </w:r>
      <w:r>
        <w:tab/>
      </w:r>
      <w:r>
        <w:fldChar w:fldCharType="begin"/>
      </w:r>
      <w:r>
        <w:instrText xml:space="preserve"> PAGEREF _Toc111797624 \h </w:instrText>
      </w:r>
      <w:r>
        <w:fldChar w:fldCharType="separate"/>
      </w:r>
      <w:r>
        <w:t>10</w:t>
      </w:r>
      <w:r>
        <w:fldChar w:fldCharType="end"/>
      </w:r>
    </w:p>
    <w:p>
      <w:pPr>
        <w:pStyle w:val="TOC8"/>
        <w:rPr>
          <w:rFonts w:asciiTheme="minorHAnsi" w:eastAsiaTheme="minorEastAsia" w:hAnsiTheme="minorHAnsi" w:cstheme="minorBidi"/>
          <w:szCs w:val="22"/>
        </w:rPr>
      </w:pPr>
      <w:r>
        <w:t>14C.</w:t>
      </w:r>
      <w:r>
        <w:tab/>
        <w:t>Failure to comply with directions</w:t>
      </w:r>
      <w:r>
        <w:tab/>
      </w:r>
      <w:r>
        <w:fldChar w:fldCharType="begin"/>
      </w:r>
      <w:r>
        <w:instrText xml:space="preserve"> PAGEREF _Toc111797625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persons may enter land or building for purposes of Act</w:t>
      </w:r>
      <w:r>
        <w:tab/>
      </w:r>
      <w:r>
        <w:fldChar w:fldCharType="begin"/>
      </w:r>
      <w:r>
        <w:instrText xml:space="preserve"> PAGEREF _Toc111797626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Prevention of bush fires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Prohibited burning times</w:t>
      </w:r>
    </w:p>
    <w:p>
      <w:pPr>
        <w:pStyle w:val="TOC8"/>
        <w:rPr>
          <w:rFonts w:asciiTheme="minorHAnsi" w:eastAsiaTheme="minorEastAsia" w:hAnsiTheme="minorHAnsi" w:cstheme="minorBidi"/>
          <w:szCs w:val="22"/>
        </w:rPr>
      </w:pPr>
      <w:r>
        <w:t>17</w:t>
      </w:r>
      <w:r>
        <w:rPr>
          <w:snapToGrid w:val="0"/>
        </w:rPr>
        <w:t>.</w:t>
      </w:r>
      <w:r>
        <w:rPr>
          <w:snapToGrid w:val="0"/>
        </w:rPr>
        <w:tab/>
        <w:t>Prohibited burning times may be declared by Minister</w:t>
      </w:r>
      <w:r>
        <w:tab/>
      </w:r>
      <w:r>
        <w:fldChar w:fldCharType="begin"/>
      </w:r>
      <w:r>
        <w:instrText xml:space="preserve"> PAGEREF _Toc111797629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Restricted burning times</w:t>
      </w:r>
    </w:p>
    <w:p>
      <w:pPr>
        <w:pStyle w:val="TOC8"/>
        <w:rPr>
          <w:rFonts w:asciiTheme="minorHAnsi" w:eastAsiaTheme="minorEastAsia" w:hAnsiTheme="minorHAnsi" w:cstheme="minorBidi"/>
          <w:szCs w:val="22"/>
        </w:rPr>
      </w:pPr>
      <w:r>
        <w:t>18</w:t>
      </w:r>
      <w:r>
        <w:rPr>
          <w:snapToGrid w:val="0"/>
        </w:rPr>
        <w:t>.</w:t>
      </w:r>
      <w:r>
        <w:rPr>
          <w:snapToGrid w:val="0"/>
        </w:rPr>
        <w:tab/>
        <w:t>Restricted burning times may be declared by FES Commissioner</w:t>
      </w:r>
      <w:r>
        <w:tab/>
      </w:r>
      <w:r>
        <w:fldChar w:fldCharType="begin"/>
      </w:r>
      <w:r>
        <w:instrText xml:space="preserve"> PAGEREF _Toc111797631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Regulations as to restricted burning times</w:t>
      </w:r>
      <w:r>
        <w:tab/>
      </w:r>
      <w:r>
        <w:fldChar w:fldCharType="begin"/>
      </w:r>
      <w:r>
        <w:instrText xml:space="preserve"> PAGEREF _Toc111797632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Total fire ban</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_Toc111797634 \h </w:instrText>
      </w:r>
      <w:r>
        <w:fldChar w:fldCharType="separate"/>
      </w:r>
      <w:r>
        <w:t>21</w:t>
      </w:r>
      <w:r>
        <w:fldChar w:fldCharType="end"/>
      </w:r>
    </w:p>
    <w:p>
      <w:pPr>
        <w:pStyle w:val="TOC8"/>
        <w:rPr>
          <w:rFonts w:asciiTheme="minorHAnsi" w:eastAsiaTheme="minorEastAsia" w:hAnsiTheme="minorHAnsi" w:cstheme="minorBidi"/>
          <w:szCs w:val="22"/>
        </w:rPr>
      </w:pPr>
      <w:r>
        <w:t>22A.</w:t>
      </w:r>
      <w:r>
        <w:tab/>
        <w:t>Minister may declare total fire ban</w:t>
      </w:r>
      <w:r>
        <w:tab/>
      </w:r>
      <w:r>
        <w:fldChar w:fldCharType="begin"/>
      </w:r>
      <w:r>
        <w:instrText xml:space="preserve"> PAGEREF _Toc111797635 \h </w:instrText>
      </w:r>
      <w:r>
        <w:fldChar w:fldCharType="separate"/>
      </w:r>
      <w:r>
        <w:t>21</w:t>
      </w:r>
      <w:r>
        <w:fldChar w:fldCharType="end"/>
      </w:r>
    </w:p>
    <w:p>
      <w:pPr>
        <w:pStyle w:val="TOC8"/>
        <w:rPr>
          <w:rFonts w:asciiTheme="minorHAnsi" w:eastAsiaTheme="minorEastAsia" w:hAnsiTheme="minorHAnsi" w:cstheme="minorBidi"/>
          <w:szCs w:val="22"/>
        </w:rPr>
      </w:pPr>
      <w:r>
        <w:t>22B.</w:t>
      </w:r>
      <w:r>
        <w:tab/>
        <w:t>Lighting of fires prohibited during total fire ban</w:t>
      </w:r>
      <w:r>
        <w:tab/>
      </w:r>
      <w:r>
        <w:fldChar w:fldCharType="begin"/>
      </w:r>
      <w:r>
        <w:instrText xml:space="preserve"> PAGEREF _Toc111797636 \h </w:instrText>
      </w:r>
      <w:r>
        <w:fldChar w:fldCharType="separate"/>
      </w:r>
      <w:r>
        <w:t>22</w:t>
      </w:r>
      <w:r>
        <w:fldChar w:fldCharType="end"/>
      </w:r>
    </w:p>
    <w:p>
      <w:pPr>
        <w:pStyle w:val="TOC8"/>
        <w:rPr>
          <w:rFonts w:asciiTheme="minorHAnsi" w:eastAsiaTheme="minorEastAsia" w:hAnsiTheme="minorHAnsi" w:cstheme="minorBidi"/>
          <w:szCs w:val="22"/>
        </w:rPr>
      </w:pPr>
      <w:r>
        <w:t>22C.</w:t>
      </w:r>
      <w:r>
        <w:tab/>
        <w:t>Power of Minister to exempt from provisions of section 22B</w:t>
      </w:r>
      <w:r>
        <w:tab/>
      </w:r>
      <w:r>
        <w:fldChar w:fldCharType="begin"/>
      </w:r>
      <w:r>
        <w:instrText xml:space="preserve"> PAGEREF _Toc111797637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Burning during prohibited times and restricted times</w:t>
      </w:r>
    </w:p>
    <w:p>
      <w:pPr>
        <w:pStyle w:val="TOC8"/>
        <w:rPr>
          <w:rFonts w:asciiTheme="minorHAnsi" w:eastAsiaTheme="minorEastAsia" w:hAnsiTheme="minorHAnsi" w:cstheme="minorBidi"/>
          <w:szCs w:val="22"/>
        </w:rPr>
      </w:pPr>
      <w:r>
        <w:t>22</w:t>
      </w:r>
      <w:r>
        <w:rPr>
          <w:snapToGrid w:val="0"/>
        </w:rPr>
        <w:t>.</w:t>
      </w:r>
      <w:r>
        <w:rPr>
          <w:snapToGrid w:val="0"/>
        </w:rPr>
        <w:tab/>
        <w:t>Burning on exempt land and land adjoining exempt land</w:t>
      </w:r>
      <w:r>
        <w:tab/>
      </w:r>
      <w:r>
        <w:fldChar w:fldCharType="begin"/>
      </w:r>
      <w:r>
        <w:instrText xml:space="preserve"> PAGEREF _Toc111797639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Burning during prohibited burning times</w:t>
      </w:r>
      <w:r>
        <w:tab/>
      </w:r>
      <w:r>
        <w:fldChar w:fldCharType="begin"/>
      </w:r>
      <w:r>
        <w:instrText xml:space="preserve"> PAGEREF _Toc111797640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Bush on land growing subterranean clover may be burnt during prohibited burning times</w:t>
      </w:r>
      <w:r>
        <w:tab/>
      </w:r>
      <w:r>
        <w:fldChar w:fldCharType="begin"/>
      </w:r>
      <w:r>
        <w:instrText xml:space="preserve"> PAGEREF _Toc111797641 \h </w:instrText>
      </w:r>
      <w:r>
        <w:fldChar w:fldCharType="separate"/>
      </w:r>
      <w:r>
        <w:t>28</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Bush on land in prescribed irrigation areas may be burnt during prohibited times for purpose of germinating clover</w:t>
      </w:r>
      <w:r>
        <w:tab/>
      </w:r>
      <w:r>
        <w:fldChar w:fldCharType="begin"/>
      </w:r>
      <w:r>
        <w:instrText xml:space="preserve"> PAGEREF _Toc111797642 \h </w:instrText>
      </w:r>
      <w:r>
        <w:fldChar w:fldCharType="separate"/>
      </w:r>
      <w:r>
        <w:t>29</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Production of permit to burn may be required</w:t>
      </w:r>
      <w:r>
        <w:tab/>
      </w:r>
      <w:r>
        <w:fldChar w:fldCharType="begin"/>
      </w:r>
      <w:r>
        <w:instrText xml:space="preserve"> PAGEREF _Toc111797643 \h </w:instrText>
      </w:r>
      <w:r>
        <w:fldChar w:fldCharType="separate"/>
      </w:r>
      <w:r>
        <w:t>30</w:t>
      </w:r>
      <w:r>
        <w:fldChar w:fldCharType="end"/>
      </w:r>
    </w:p>
    <w:p>
      <w:pPr>
        <w:pStyle w:val="TOC8"/>
        <w:rPr>
          <w:rFonts w:asciiTheme="minorHAnsi" w:eastAsiaTheme="minorEastAsia" w:hAnsiTheme="minorHAnsi" w:cstheme="minorBidi"/>
          <w:szCs w:val="22"/>
        </w:rPr>
      </w:pPr>
      <w:r>
        <w:t>24C.</w:t>
      </w:r>
      <w:r>
        <w:tab/>
        <w:t>Terms used</w:t>
      </w:r>
      <w:r>
        <w:tab/>
      </w:r>
      <w:r>
        <w:fldChar w:fldCharType="begin"/>
      </w:r>
      <w:r>
        <w:instrText xml:space="preserve"> PAGEREF _Toc111797644 \h </w:instrText>
      </w:r>
      <w:r>
        <w:fldChar w:fldCharType="separate"/>
      </w:r>
      <w:r>
        <w:t>30</w:t>
      </w:r>
      <w:r>
        <w:fldChar w:fldCharType="end"/>
      </w:r>
    </w:p>
    <w:p>
      <w:pPr>
        <w:pStyle w:val="TOC8"/>
        <w:rPr>
          <w:rFonts w:asciiTheme="minorHAnsi" w:eastAsiaTheme="minorEastAsia" w:hAnsiTheme="minorHAnsi" w:cstheme="minorBidi"/>
          <w:szCs w:val="22"/>
        </w:rPr>
      </w:pPr>
      <w:r>
        <w:t>24D.</w:t>
      </w:r>
      <w:r>
        <w:tab/>
        <w:t>Burning garden refuse prohibited if fire danger very high to catastrophic</w:t>
      </w:r>
      <w:r>
        <w:tab/>
      </w:r>
      <w:r>
        <w:fldChar w:fldCharType="begin"/>
      </w:r>
      <w:r>
        <w:instrText xml:space="preserve"> PAGEREF _Toc111797645 \h </w:instrText>
      </w:r>
      <w:r>
        <w:fldChar w:fldCharType="separate"/>
      </w:r>
      <w:r>
        <w:t>31</w:t>
      </w:r>
      <w:r>
        <w:fldChar w:fldCharType="end"/>
      </w:r>
    </w:p>
    <w:p>
      <w:pPr>
        <w:pStyle w:val="TOC8"/>
        <w:rPr>
          <w:rFonts w:asciiTheme="minorHAnsi" w:eastAsiaTheme="minorEastAsia" w:hAnsiTheme="minorHAnsi" w:cstheme="minorBidi"/>
          <w:szCs w:val="22"/>
        </w:rPr>
      </w:pPr>
      <w:r>
        <w:t>24E.</w:t>
      </w:r>
      <w:r>
        <w:tab/>
        <w:t>Burning of garden refuse at rubbish tips</w:t>
      </w:r>
      <w:r>
        <w:tab/>
      </w:r>
      <w:r>
        <w:fldChar w:fldCharType="begin"/>
      </w:r>
      <w:r>
        <w:instrText xml:space="preserve"> PAGEREF _Toc111797646 \h </w:instrText>
      </w:r>
      <w:r>
        <w:fldChar w:fldCharType="separate"/>
      </w:r>
      <w:r>
        <w:t>31</w:t>
      </w:r>
      <w:r>
        <w:fldChar w:fldCharType="end"/>
      </w:r>
    </w:p>
    <w:p>
      <w:pPr>
        <w:pStyle w:val="TOC8"/>
        <w:rPr>
          <w:rFonts w:asciiTheme="minorHAnsi" w:eastAsiaTheme="minorEastAsia" w:hAnsiTheme="minorHAnsi" w:cstheme="minorBidi"/>
          <w:szCs w:val="22"/>
        </w:rPr>
      </w:pPr>
      <w:r>
        <w:t>24F.</w:t>
      </w:r>
      <w:r>
        <w:tab/>
        <w:t>Burning garden refuse during limited burning times</w:t>
      </w:r>
      <w:r>
        <w:tab/>
      </w:r>
      <w:r>
        <w:fldChar w:fldCharType="begin"/>
      </w:r>
      <w:r>
        <w:instrText xml:space="preserve"> PAGEREF _Toc111797647 \h </w:instrText>
      </w:r>
      <w:r>
        <w:fldChar w:fldCharType="separate"/>
      </w:r>
      <w:r>
        <w:t>32</w:t>
      </w:r>
      <w:r>
        <w:fldChar w:fldCharType="end"/>
      </w:r>
    </w:p>
    <w:p>
      <w:pPr>
        <w:pStyle w:val="TOC8"/>
        <w:rPr>
          <w:rFonts w:asciiTheme="minorHAnsi" w:eastAsiaTheme="minorEastAsia" w:hAnsiTheme="minorHAnsi" w:cstheme="minorBidi"/>
          <w:szCs w:val="22"/>
        </w:rPr>
      </w:pPr>
      <w:r>
        <w:t>24G.</w:t>
      </w:r>
      <w:r>
        <w:tab/>
        <w:t>Minister or local government may further restrict burning of garden refuse</w:t>
      </w:r>
      <w:r>
        <w:tab/>
      </w:r>
      <w:r>
        <w:fldChar w:fldCharType="begin"/>
      </w:r>
      <w:r>
        <w:instrText xml:space="preserve"> PAGEREF _Toc111797648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 fire to be lit in open air unless certain precautions taken</w:t>
      </w:r>
      <w:r>
        <w:tab/>
      </w:r>
      <w:r>
        <w:fldChar w:fldCharType="begin"/>
      </w:r>
      <w:r>
        <w:instrText xml:space="preserve"> PAGEREF _Toc111797649 \h </w:instrText>
      </w:r>
      <w:r>
        <w:fldChar w:fldCharType="separate"/>
      </w:r>
      <w:r>
        <w:t>34</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Power of Minister to exempt from provisions of section 25</w:t>
      </w:r>
      <w:r>
        <w:tab/>
      </w:r>
      <w:r>
        <w:fldChar w:fldCharType="begin"/>
      </w:r>
      <w:r>
        <w:instrText xml:space="preserve"> PAGEREF _Toc111797650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Burning of plants to eradicate disease during prohibited burning times</w:t>
      </w:r>
      <w:r>
        <w:tab/>
      </w:r>
      <w:r>
        <w:fldChar w:fldCharType="begin"/>
      </w:r>
      <w:r>
        <w:instrText xml:space="preserve"> PAGEREF _Toc111797651 \h </w:instrText>
      </w:r>
      <w:r>
        <w:fldChar w:fldCharType="separate"/>
      </w:r>
      <w:r>
        <w:t>40</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Burning of declared plants during prohibited burning times</w:t>
      </w:r>
      <w:r>
        <w:tab/>
      </w:r>
      <w:r>
        <w:fldChar w:fldCharType="begin"/>
      </w:r>
      <w:r>
        <w:instrText xml:space="preserve"> PAGEREF _Toc111797652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restrictions, prohibitions and offences</w:t>
      </w:r>
    </w:p>
    <w:p>
      <w:pPr>
        <w:pStyle w:val="TOC8"/>
        <w:rPr>
          <w:rFonts w:asciiTheme="minorHAnsi" w:eastAsiaTheme="minorEastAsia" w:hAnsiTheme="minorHAnsi" w:cstheme="minorBidi"/>
          <w:szCs w:val="22"/>
        </w:rPr>
      </w:pPr>
      <w:r>
        <w:t>27</w:t>
      </w:r>
      <w:r>
        <w:rPr>
          <w:snapToGrid w:val="0"/>
        </w:rPr>
        <w:t>.</w:t>
      </w:r>
      <w:r>
        <w:rPr>
          <w:snapToGrid w:val="0"/>
        </w:rPr>
        <w:tab/>
        <w:t>Prohibition on use of tractors or engines except under certain conditions</w:t>
      </w:r>
      <w:r>
        <w:tab/>
      </w:r>
      <w:r>
        <w:fldChar w:fldCharType="begin"/>
      </w:r>
      <w:r>
        <w:instrText xml:space="preserve"> PAGEREF _Toc111797654 \h </w:instrText>
      </w:r>
      <w:r>
        <w:fldChar w:fldCharType="separate"/>
      </w:r>
      <w:r>
        <w:t>41</w:t>
      </w:r>
      <w:r>
        <w:fldChar w:fldCharType="end"/>
      </w:r>
    </w:p>
    <w:p>
      <w:pPr>
        <w:pStyle w:val="TOC8"/>
        <w:keepNext/>
        <w:rPr>
          <w:rFonts w:asciiTheme="minorHAnsi" w:eastAsiaTheme="minorEastAsia" w:hAnsiTheme="minorHAnsi" w:cstheme="minorBidi"/>
          <w:szCs w:val="22"/>
        </w:rPr>
      </w:pPr>
      <w:r>
        <w:lastRenderedPageBreak/>
        <w:t>27A</w:t>
      </w:r>
      <w:r>
        <w:rPr>
          <w:snapToGrid w:val="0"/>
        </w:rPr>
        <w:t>.</w:t>
      </w:r>
      <w:r>
        <w:rPr>
          <w:snapToGrid w:val="0"/>
        </w:rPr>
        <w:tab/>
        <w:t>Regulation of blasting and matters likely to create bush fire danger</w:t>
      </w:r>
      <w:r>
        <w:tab/>
      </w:r>
      <w:r>
        <w:fldChar w:fldCharType="begin"/>
      </w:r>
      <w:r>
        <w:instrText xml:space="preserve"> PAGEREF _Toc111797655 \h </w:instrText>
      </w:r>
      <w:r>
        <w:fldChar w:fldCharType="separate"/>
      </w:r>
      <w:r>
        <w:t>44</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False alarms</w:t>
      </w:r>
      <w:r>
        <w:tab/>
      </w:r>
      <w:r>
        <w:fldChar w:fldCharType="begin"/>
      </w:r>
      <w:r>
        <w:instrText xml:space="preserve"> PAGEREF _Toc111797656 \h </w:instrText>
      </w:r>
      <w:r>
        <w:fldChar w:fldCharType="separate"/>
      </w:r>
      <w:r>
        <w:t>44</w:t>
      </w:r>
      <w:r>
        <w:fldChar w:fldCharType="end"/>
      </w:r>
    </w:p>
    <w:p>
      <w:pPr>
        <w:pStyle w:val="TOC8"/>
        <w:rPr>
          <w:rFonts w:asciiTheme="minorHAnsi" w:eastAsiaTheme="minorEastAsia" w:hAnsiTheme="minorHAnsi" w:cstheme="minorBidi"/>
          <w:szCs w:val="22"/>
        </w:rPr>
      </w:pPr>
      <w:r>
        <w:t>27C</w:t>
      </w:r>
      <w:r>
        <w:rPr>
          <w:snapToGrid w:val="0"/>
        </w:rPr>
        <w:t>.</w:t>
      </w:r>
      <w:r>
        <w:rPr>
          <w:snapToGrid w:val="0"/>
        </w:rPr>
        <w:tab/>
        <w:t>Vandalism</w:t>
      </w:r>
      <w:r>
        <w:tab/>
      </w:r>
      <w:r>
        <w:fldChar w:fldCharType="begin"/>
      </w:r>
      <w:r>
        <w:instrText xml:space="preserve"> PAGEREF _Toc111797657 \h </w:instrText>
      </w:r>
      <w:r>
        <w:fldChar w:fldCharType="separate"/>
      </w:r>
      <w:r>
        <w:t>45</w:t>
      </w:r>
      <w:r>
        <w:fldChar w:fldCharType="end"/>
      </w:r>
    </w:p>
    <w:p>
      <w:pPr>
        <w:pStyle w:val="TOC8"/>
        <w:rPr>
          <w:rFonts w:asciiTheme="minorHAnsi" w:eastAsiaTheme="minorEastAsia" w:hAnsiTheme="minorHAnsi" w:cstheme="minorBidi"/>
          <w:szCs w:val="22"/>
        </w:rPr>
      </w:pPr>
      <w:r>
        <w:t>27D</w:t>
      </w:r>
      <w:r>
        <w:rPr>
          <w:snapToGrid w:val="0"/>
        </w:rPr>
        <w:t>.</w:t>
      </w:r>
      <w:r>
        <w:rPr>
          <w:snapToGrid w:val="0"/>
        </w:rPr>
        <w:tab/>
        <w:t>Requirements for carriage and deposit of incendiary material</w:t>
      </w:r>
      <w:r>
        <w:tab/>
      </w:r>
      <w:r>
        <w:fldChar w:fldCharType="begin"/>
      </w:r>
      <w:r>
        <w:instrText xml:space="preserve"> PAGEREF _Toc111797658 \h </w:instrText>
      </w:r>
      <w:r>
        <w:fldChar w:fldCharType="separate"/>
      </w:r>
      <w:r>
        <w:t>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Occupier of land to extinguish bush fire occurring on own land</w:t>
      </w:r>
      <w:r>
        <w:tab/>
      </w:r>
      <w:r>
        <w:fldChar w:fldCharType="begin"/>
      </w:r>
      <w:r>
        <w:instrText xml:space="preserve"> PAGEREF _Toc111797659 \h </w:instrText>
      </w:r>
      <w:r>
        <w:fldChar w:fldCharType="separate"/>
      </w:r>
      <w:r>
        <w:t>47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Disposal of burning cigarettes etc.</w:t>
      </w:r>
      <w:r>
        <w:tab/>
      </w:r>
      <w:r>
        <w:fldChar w:fldCharType="begin"/>
      </w:r>
      <w:r>
        <w:instrText xml:space="preserve"> PAGEREF _Toc111797660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Offences of lighting or attempting to light fire likely to injure</w:t>
      </w:r>
      <w:r>
        <w:tab/>
      </w:r>
      <w:r>
        <w:fldChar w:fldCharType="begin"/>
      </w:r>
      <w:r>
        <w:instrText xml:space="preserve"> PAGEREF _Toc111797661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Local government may require occupier of land to plough or clear fire</w:t>
      </w:r>
      <w:r>
        <w:rPr>
          <w:snapToGrid w:val="0"/>
        </w:rPr>
        <w:noBreakHyphen/>
        <w:t>break</w:t>
      </w:r>
      <w:r>
        <w:tab/>
      </w:r>
      <w:r>
        <w:fldChar w:fldCharType="begin"/>
      </w:r>
      <w:r>
        <w:instrText xml:space="preserve"> PAGEREF _Toc111797662 \h </w:instrText>
      </w:r>
      <w:r>
        <w:fldChar w:fldCharType="separate"/>
      </w:r>
      <w:r>
        <w:t>49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Burning on Crown lands</w:t>
      </w:r>
      <w:r>
        <w:tab/>
      </w:r>
      <w:r>
        <w:fldChar w:fldCharType="begin"/>
      </w:r>
      <w:r>
        <w:instrText xml:space="preserve"> PAGEREF _Toc111797663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of FES Commissioner on default by local government</w:t>
      </w:r>
      <w:r>
        <w:tab/>
      </w:r>
      <w:r>
        <w:fldChar w:fldCharType="begin"/>
      </w:r>
      <w:r>
        <w:instrText xml:space="preserve"> PAGEREF _Toc111797664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7 — Bush fire risk treatment standards</w:t>
      </w:r>
    </w:p>
    <w:p>
      <w:pPr>
        <w:pStyle w:val="TOC8"/>
        <w:rPr>
          <w:rFonts w:asciiTheme="minorHAnsi" w:eastAsiaTheme="minorEastAsia" w:hAnsiTheme="minorHAnsi" w:cstheme="minorBidi"/>
          <w:szCs w:val="22"/>
        </w:rPr>
      </w:pPr>
      <w:r>
        <w:t>35AA.</w:t>
      </w:r>
      <w:r>
        <w:tab/>
        <w:t>FES Commissioner may make bush fire risk treatment standards</w:t>
      </w:r>
      <w:r>
        <w:tab/>
      </w:r>
      <w:r>
        <w:fldChar w:fldCharType="begin"/>
      </w:r>
      <w:r>
        <w:instrText xml:space="preserve"> PAGEREF _Toc111797666 \h </w:instrText>
      </w:r>
      <w:r>
        <w:fldChar w:fldCharType="separate"/>
      </w:r>
      <w:r>
        <w:t>57</w:t>
      </w:r>
      <w:r>
        <w:fldChar w:fldCharType="end"/>
      </w:r>
    </w:p>
    <w:p>
      <w:pPr>
        <w:pStyle w:val="TOC8"/>
        <w:rPr>
          <w:rFonts w:asciiTheme="minorHAnsi" w:eastAsiaTheme="minorEastAsia" w:hAnsiTheme="minorHAnsi" w:cstheme="minorBidi"/>
          <w:szCs w:val="22"/>
        </w:rPr>
      </w:pPr>
      <w:r>
        <w:t>35AB.</w:t>
      </w:r>
      <w:r>
        <w:tab/>
        <w:t>Compliance with bush fire risk treatment standards</w:t>
      </w:r>
      <w:r>
        <w:tab/>
      </w:r>
      <w:r>
        <w:fldChar w:fldCharType="begin"/>
      </w:r>
      <w:r>
        <w:instrText xml:space="preserve"> PAGEREF _Toc111797667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and extinguishment of bush fires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Local governments</w:t>
      </w:r>
    </w:p>
    <w:p>
      <w:pPr>
        <w:pStyle w:val="TOC8"/>
        <w:rPr>
          <w:rFonts w:asciiTheme="minorHAnsi" w:eastAsiaTheme="minorEastAsia" w:hAnsiTheme="minorHAnsi" w:cstheme="minorBidi"/>
          <w:szCs w:val="22"/>
        </w:rPr>
      </w:pPr>
      <w:r>
        <w:t>35A</w:t>
      </w:r>
      <w:r>
        <w:rPr>
          <w:snapToGrid w:val="0"/>
        </w:rPr>
        <w:t>.</w:t>
      </w:r>
      <w:r>
        <w:rPr>
          <w:snapToGrid w:val="0"/>
        </w:rPr>
        <w:tab/>
        <w:t>Terms used</w:t>
      </w:r>
      <w:r>
        <w:tab/>
      </w:r>
      <w:r>
        <w:fldChar w:fldCharType="begin"/>
      </w:r>
      <w:r>
        <w:instrText xml:space="preserve"> PAGEREF _Toc111797670 \h </w:instrText>
      </w:r>
      <w:r>
        <w:fldChar w:fldCharType="separate"/>
      </w:r>
      <w:r>
        <w:t>60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Local government may expend moneys in connection with control and extinguishment of bush fires</w:t>
      </w:r>
      <w:r>
        <w:tab/>
      </w:r>
      <w:r>
        <w:fldChar w:fldCharType="begin"/>
      </w:r>
      <w:r>
        <w:instrText xml:space="preserve"> PAGEREF _Toc111797671 \h </w:instrText>
      </w:r>
      <w:r>
        <w:fldChar w:fldCharType="separate"/>
      </w:r>
      <w:r>
        <w:t>61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Local government may appoint bush fire control officer</w:t>
      </w:r>
      <w:r>
        <w:tab/>
      </w:r>
      <w:r>
        <w:fldChar w:fldCharType="begin"/>
      </w:r>
      <w:r>
        <w:instrText xml:space="preserve"> PAGEREF _Toc111797672 \h </w:instrText>
      </w:r>
      <w:r>
        <w:fldChar w:fldCharType="separate"/>
      </w:r>
      <w:r>
        <w:t>62</w:t>
      </w:r>
      <w:r>
        <w:fldChar w:fldCharType="end"/>
      </w:r>
    </w:p>
    <w:p>
      <w:pPr>
        <w:pStyle w:val="TOC8"/>
        <w:rPr>
          <w:rFonts w:asciiTheme="minorHAnsi" w:eastAsiaTheme="minorEastAsia" w:hAnsiTheme="minorHAnsi" w:cstheme="minorBidi"/>
          <w:szCs w:val="22"/>
        </w:rPr>
      </w:pPr>
      <w:r>
        <w:t>38A.</w:t>
      </w:r>
      <w:r>
        <w:tab/>
        <w:t>FES Commissioner may designate person employed in Department as Chief Bush Fire Control Officer</w:t>
      </w:r>
      <w:r>
        <w:tab/>
      </w:r>
      <w:r>
        <w:fldChar w:fldCharType="begin"/>
      </w:r>
      <w:r>
        <w:instrText xml:space="preserve"> PAGEREF _Toc111797673 \h </w:instrText>
      </w:r>
      <w:r>
        <w:fldChar w:fldCharType="separate"/>
      </w:r>
      <w:r>
        <w:t>66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Special powers of bush fire control officers</w:t>
      </w:r>
      <w:r>
        <w:tab/>
      </w:r>
      <w:r>
        <w:fldChar w:fldCharType="begin"/>
      </w:r>
      <w:r>
        <w:instrText xml:space="preserve"> PAGEREF _Toc111797674 \h </w:instrText>
      </w:r>
      <w:r>
        <w:fldChar w:fldCharType="separate"/>
      </w:r>
      <w:r>
        <w:t>67</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Duties of bush fire authorities on outbreak of fire</w:t>
      </w:r>
      <w:r>
        <w:tab/>
      </w:r>
      <w:r>
        <w:fldChar w:fldCharType="begin"/>
      </w:r>
      <w:r>
        <w:instrText xml:space="preserve"> PAGEREF _Toc111797675 \h </w:instrText>
      </w:r>
      <w:r>
        <w:fldChar w:fldCharType="separate"/>
      </w:r>
      <w:r>
        <w:t>69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Local governments may join in appointing and employing bush fire control officers</w:t>
      </w:r>
      <w:r>
        <w:tab/>
      </w:r>
      <w:r>
        <w:fldChar w:fldCharType="begin"/>
      </w:r>
      <w:r>
        <w:instrText xml:space="preserve"> PAGEREF _Toc111797676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Bush fire brigades</w:t>
      </w:r>
    </w:p>
    <w:p>
      <w:pPr>
        <w:pStyle w:val="TOC8"/>
        <w:keepNext/>
        <w:rPr>
          <w:rFonts w:asciiTheme="minorHAnsi" w:eastAsiaTheme="minorEastAsia" w:hAnsiTheme="minorHAnsi" w:cstheme="minorBidi"/>
          <w:szCs w:val="22"/>
        </w:rPr>
      </w:pPr>
      <w:r>
        <w:t>41</w:t>
      </w:r>
      <w:r>
        <w:rPr>
          <w:snapToGrid w:val="0"/>
        </w:rPr>
        <w:t>.</w:t>
      </w:r>
      <w:r>
        <w:rPr>
          <w:snapToGrid w:val="0"/>
        </w:rPr>
        <w:tab/>
        <w:t>Bush fire brigades</w:t>
      </w:r>
      <w:r>
        <w:tab/>
      </w:r>
      <w:r>
        <w:fldChar w:fldCharType="begin"/>
      </w:r>
      <w:r>
        <w:instrText xml:space="preserve"> PAGEREF _Toc111797678 \h </w:instrText>
      </w:r>
      <w:r>
        <w:fldChar w:fldCharType="separate"/>
      </w:r>
      <w:r>
        <w:t>70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Local governments may join in establishing bush fire brigade</w:t>
      </w:r>
      <w:r>
        <w:tab/>
      </w:r>
      <w:r>
        <w:fldChar w:fldCharType="begin"/>
      </w:r>
      <w:r>
        <w:instrText xml:space="preserve"> PAGEREF _Toc111797679 \h </w:instrText>
      </w:r>
      <w:r>
        <w:fldChar w:fldCharType="separate"/>
      </w:r>
      <w:r>
        <w:t>70</w:t>
      </w:r>
      <w:r>
        <w:fldChar w:fldCharType="end"/>
      </w:r>
    </w:p>
    <w:p>
      <w:pPr>
        <w:pStyle w:val="TOC8"/>
        <w:rPr>
          <w:rFonts w:asciiTheme="minorHAnsi" w:eastAsiaTheme="minorEastAsia" w:hAnsiTheme="minorHAnsi" w:cstheme="minorBidi"/>
          <w:szCs w:val="22"/>
        </w:rPr>
      </w:pPr>
      <w:r>
        <w:t>42A.</w:t>
      </w:r>
      <w:r>
        <w:tab/>
        <w:t>Constitution of bush fire brigade</w:t>
      </w:r>
      <w:r>
        <w:tab/>
      </w:r>
      <w:r>
        <w:fldChar w:fldCharType="begin"/>
      </w:r>
      <w:r>
        <w:instrText xml:space="preserve"> PAGEREF _Toc111797680 \h </w:instrText>
      </w:r>
      <w:r>
        <w:fldChar w:fldCharType="separate"/>
      </w:r>
      <w:r>
        <w:t>71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Election and duties of officers of bush fire brigades</w:t>
      </w:r>
      <w:r>
        <w:tab/>
      </w:r>
      <w:r>
        <w:fldChar w:fldCharType="begin"/>
      </w:r>
      <w:r>
        <w:instrText xml:space="preserve"> PAGEREF _Toc111797681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Powers and authorities of officers of bush fire brigade</w:t>
      </w:r>
      <w:r>
        <w:tab/>
      </w:r>
      <w:r>
        <w:fldChar w:fldCharType="begin"/>
      </w:r>
      <w:r>
        <w:instrText xml:space="preserve"> PAGEREF _Toc111797682 \h </w:instrText>
      </w:r>
      <w:r>
        <w:fldChar w:fldCharType="separate"/>
      </w:r>
      <w:r>
        <w:t>71</w:t>
      </w:r>
      <w:r>
        <w:fldChar w:fldCharType="end"/>
      </w:r>
    </w:p>
    <w:p>
      <w:pPr>
        <w:pStyle w:val="TOC8"/>
        <w:rPr>
          <w:rFonts w:asciiTheme="minorHAnsi" w:eastAsiaTheme="minorEastAsia" w:hAnsiTheme="minorHAnsi" w:cstheme="minorBidi"/>
          <w:szCs w:val="22"/>
        </w:rPr>
      </w:pPr>
      <w:r>
        <w:t>45A.</w:t>
      </w:r>
      <w:r>
        <w:tab/>
        <w:t>Requests to authorised CALM Act officers to take control of bush fires</w:t>
      </w:r>
      <w:r>
        <w:tab/>
      </w:r>
      <w:r>
        <w:fldChar w:fldCharType="begin"/>
      </w:r>
      <w:r>
        <w:instrText xml:space="preserve"> PAGEREF _Toc111797683 \h </w:instrText>
      </w:r>
      <w:r>
        <w:fldChar w:fldCharType="separate"/>
      </w:r>
      <w:r>
        <w:t>74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Powers and authorities exercisable by authorised CALM Act officers</w:t>
      </w:r>
      <w:r>
        <w:tab/>
      </w:r>
      <w:r>
        <w:fldChar w:fldCharType="begin"/>
      </w:r>
      <w:r>
        <w:instrText xml:space="preserve"> PAGEREF _Toc111797684 \h </w:instrText>
      </w:r>
      <w:r>
        <w:fldChar w:fldCharType="separate"/>
      </w:r>
      <w:r>
        <w:t>74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Bush fire control officer or forest officer may postpone lighting fire</w:t>
      </w:r>
      <w:r>
        <w:tab/>
      </w:r>
      <w:r>
        <w:fldChar w:fldCharType="begin"/>
      </w:r>
      <w:r>
        <w:instrText xml:space="preserve"> PAGEREF _Toc111797685 \h </w:instrText>
      </w:r>
      <w:r>
        <w:fldChar w:fldCharType="separate"/>
      </w:r>
      <w:r>
        <w:t>76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Fire</w:t>
      </w:r>
      <w:r>
        <w:rPr>
          <w:snapToGrid w:val="0"/>
        </w:rPr>
        <w:noBreakHyphen/>
        <w:t>break not to be lit when bush fire burning</w:t>
      </w:r>
      <w:r>
        <w:tab/>
      </w:r>
      <w:r>
        <w:fldChar w:fldCharType="begin"/>
      </w:r>
      <w:r>
        <w:instrText xml:space="preserve"> PAGEREF _Toc111797686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48.</w:t>
      </w:r>
      <w:r>
        <w:tab/>
        <w:t>Delegation by local governments</w:t>
      </w:r>
      <w:r>
        <w:tab/>
      </w:r>
      <w:r>
        <w:fldChar w:fldCharType="begin"/>
      </w:r>
      <w:r>
        <w:instrText xml:space="preserve"> PAGEREF _Toc111797688 \h </w:instrText>
      </w:r>
      <w:r>
        <w:fldChar w:fldCharType="separate"/>
      </w:r>
      <w:r>
        <w:t>79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Records to be maintained by local governments</w:t>
      </w:r>
      <w:r>
        <w:tab/>
      </w:r>
      <w:r>
        <w:fldChar w:fldCharType="begin"/>
      </w:r>
      <w:r>
        <w:instrText xml:space="preserve"> PAGEREF _Toc111797689 \h </w:instrText>
      </w:r>
      <w:r>
        <w:fldChar w:fldCharType="separate"/>
      </w:r>
      <w:r>
        <w:t>79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Saving of remedies</w:t>
      </w:r>
      <w:r>
        <w:tab/>
      </w:r>
      <w:r>
        <w:fldChar w:fldCharType="begin"/>
      </w:r>
      <w:r>
        <w:instrText xml:space="preserve"> PAGEREF _Toc111797690 \h </w:instrText>
      </w:r>
      <w:r>
        <w:fldChar w:fldCharType="separate"/>
      </w:r>
      <w:r>
        <w:t>80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Approved area may be declared</w:t>
      </w:r>
      <w:r>
        <w:tab/>
      </w:r>
      <w:r>
        <w:fldChar w:fldCharType="begin"/>
      </w:r>
      <w:r>
        <w:instrText xml:space="preserve"> PAGEREF _Toc111797691 \h </w:instrText>
      </w:r>
      <w:r>
        <w:fldChar w:fldCharType="separate"/>
      </w:r>
      <w:r>
        <w:t>81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Reduction in insurance premium of crops in approved area</w:t>
      </w:r>
      <w:r>
        <w:tab/>
      </w:r>
      <w:r>
        <w:fldChar w:fldCharType="begin"/>
      </w:r>
      <w:r>
        <w:instrText xml:space="preserve"> PAGEREF _Toc111797692 \h </w:instrText>
      </w:r>
      <w:r>
        <w:fldChar w:fldCharType="separate"/>
      </w:r>
      <w:r>
        <w:t>81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Approved area may be cancelled</w:t>
      </w:r>
      <w:r>
        <w:tab/>
      </w:r>
      <w:r>
        <w:fldChar w:fldCharType="begin"/>
      </w:r>
      <w:r>
        <w:instrText xml:space="preserve"> PAGEREF _Toc111797693 \h </w:instrText>
      </w:r>
      <w:r>
        <w:fldChar w:fldCharType="separate"/>
      </w:r>
      <w:r>
        <w:t>82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police officers, bush fire control officers etc.</w:t>
      </w:r>
      <w:r>
        <w:tab/>
      </w:r>
      <w:r>
        <w:fldChar w:fldCharType="begin"/>
      </w:r>
      <w:r>
        <w:instrText xml:space="preserve"> PAGEREF _Toc111797694 \h </w:instrText>
      </w:r>
      <w:r>
        <w:fldChar w:fldCharType="separate"/>
      </w:r>
      <w:r>
        <w:t>82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officers</w:t>
      </w:r>
      <w:r>
        <w:tab/>
      </w:r>
      <w:r>
        <w:fldChar w:fldCharType="begin"/>
      </w:r>
      <w:r>
        <w:instrText xml:space="preserve"> PAGEREF _Toc111797695 \h </w:instrText>
      </w:r>
      <w:r>
        <w:fldChar w:fldCharType="separate"/>
      </w:r>
      <w:r>
        <w:t>83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General penalty and recovery of expenses incurred</w:t>
      </w:r>
      <w:r>
        <w:tab/>
      </w:r>
      <w:r>
        <w:fldChar w:fldCharType="begin"/>
      </w:r>
      <w:r>
        <w:instrText xml:space="preserve"> PAGEREF _Toc111797696 \h </w:instrText>
      </w:r>
      <w:r>
        <w:fldChar w:fldCharType="separate"/>
      </w:r>
      <w:r>
        <w:t>84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Prosecution of offences</w:t>
      </w:r>
      <w:r>
        <w:tab/>
      </w:r>
      <w:r>
        <w:fldChar w:fldCharType="begin"/>
      </w:r>
      <w:r>
        <w:instrText xml:space="preserve"> PAGEREF _Toc111797697 \h </w:instrText>
      </w:r>
      <w:r>
        <w:fldChar w:fldCharType="separate"/>
      </w:r>
      <w:r>
        <w:t>86</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Alternative procedure — infringement notices</w:t>
      </w:r>
      <w:r>
        <w:tab/>
      </w:r>
      <w:r>
        <w:fldChar w:fldCharType="begin"/>
      </w:r>
      <w:r>
        <w:instrText xml:space="preserve"> PAGEREF _Toc111797698 \h </w:instrText>
      </w:r>
      <w:r>
        <w:fldChar w:fldCharType="separate"/>
      </w:r>
      <w:r>
        <w:t>87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Assisting to commit an offence</w:t>
      </w:r>
      <w:r>
        <w:tab/>
      </w:r>
      <w:r>
        <w:fldChar w:fldCharType="begin"/>
      </w:r>
      <w:r>
        <w:instrText xml:space="preserve"> PAGEREF _Toc111797699 \h </w:instrText>
      </w:r>
      <w:r>
        <w:fldChar w:fldCharType="separate"/>
      </w:r>
      <w:r>
        <w:t>88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Regulations</w:t>
      </w:r>
      <w:r>
        <w:tab/>
      </w:r>
      <w:r>
        <w:fldChar w:fldCharType="begin"/>
      </w:r>
      <w:r>
        <w:instrText xml:space="preserve"> PAGEREF _Toc111797700 \h </w:instrText>
      </w:r>
      <w:r>
        <w:fldChar w:fldCharType="separate"/>
      </w:r>
      <w:r>
        <w:t>89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Local government may make local laws</w:t>
      </w:r>
      <w:r>
        <w:tab/>
      </w:r>
      <w:r>
        <w:fldChar w:fldCharType="begin"/>
      </w:r>
      <w:r>
        <w:instrText xml:space="preserve"> PAGEREF _Toc111797701 \h </w:instrText>
      </w:r>
      <w:r>
        <w:fldChar w:fldCharType="separate"/>
      </w:r>
      <w:r>
        <w:t>89</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Governor may amend or repeal local laws</w:t>
      </w:r>
      <w:r>
        <w:tab/>
      </w:r>
      <w:r>
        <w:fldChar w:fldCharType="begin"/>
      </w:r>
      <w:r>
        <w:instrText xml:space="preserve"> PAGEREF _Toc111797702 \h </w:instrText>
      </w:r>
      <w:r>
        <w:fldChar w:fldCharType="separate"/>
      </w:r>
      <w:r>
        <w:t>90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Prohibitions excluded by certain circumstances</w:t>
      </w:r>
      <w:r>
        <w:tab/>
      </w:r>
      <w:r>
        <w:fldChar w:fldCharType="begin"/>
      </w:r>
      <w:r>
        <w:instrText xml:space="preserve"> PAGEREF _Toc111797703 \h </w:instrText>
      </w:r>
      <w:r>
        <w:fldChar w:fldCharType="separate"/>
      </w:r>
      <w:r>
        <w:t>90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Proof of certain matters</w:t>
      </w:r>
      <w:r>
        <w:tab/>
      </w:r>
      <w:r>
        <w:fldChar w:fldCharType="begin"/>
      </w:r>
      <w:r>
        <w:instrText xml:space="preserve"> PAGEREF _Toc111797704 \h </w:instrText>
      </w:r>
      <w:r>
        <w:fldChar w:fldCharType="separate"/>
      </w:r>
      <w:r>
        <w:t>90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Proof of ownership or occupancy</w:t>
      </w:r>
      <w:r>
        <w:tab/>
      </w:r>
      <w:r>
        <w:fldChar w:fldCharType="begin"/>
      </w:r>
      <w:r>
        <w:instrText xml:space="preserve"> PAGEREF _Toc111797705 \h </w:instrText>
      </w:r>
      <w:r>
        <w:fldChar w:fldCharType="separate"/>
      </w:r>
      <w:r>
        <w:t>92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Advisory committees</w:t>
      </w:r>
      <w:r>
        <w:tab/>
      </w:r>
      <w:r>
        <w:fldChar w:fldCharType="begin"/>
      </w:r>
      <w:r>
        <w:instrText xml:space="preserve"> PAGEREF _Toc111797706 \h </w:instrText>
      </w:r>
      <w:r>
        <w:fldChar w:fldCharType="separate"/>
      </w:r>
      <w:r>
        <w:t>94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Regional advisory committees</w:t>
      </w:r>
      <w:r>
        <w:tab/>
      </w:r>
      <w:r>
        <w:fldChar w:fldCharType="begin"/>
      </w:r>
      <w:r>
        <w:instrText xml:space="preserve"> PAGEREF _Toc111797707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_Toc111797709 \h </w:instrText>
      </w:r>
      <w:r>
        <w:fldChar w:fldCharType="separate"/>
      </w:r>
      <w:r>
        <w:t>97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_Toc111797710 \h </w:instrText>
      </w:r>
      <w:r>
        <w:fldChar w:fldCharType="separate"/>
      </w:r>
      <w:r>
        <w:t>101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_Toc111797711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40" w:after="960"/>
      </w:pPr>
      <w:r>
        <w:t>Bush Fires Act 1954</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snapToGrid w:val="0"/>
          <w:vertAlign w:val="superscript"/>
        </w:rPr>
        <w:t>1</w:t>
      </w:r>
      <w:r>
        <w:rPr>
          <w:snapToGrid w:val="0"/>
        </w:rPr>
        <w:t xml:space="preserve"> and for other purposes.</w:t>
      </w:r>
    </w:p>
    <w:p>
      <w:pPr>
        <w:pStyle w:val="Heading2"/>
        <w:rPr>
          <w:rStyle w:val="CharPartText"/>
        </w:rPr>
      </w:pPr>
      <w:bookmarkStart w:id="3" w:name="_Toc111796942"/>
      <w:bookmarkStart w:id="4" w:name="_Toc111797613"/>
      <w:r>
        <w:rPr>
          <w:rStyle w:val="CharPartNo"/>
        </w:rPr>
        <w:lastRenderedPageBreak/>
        <w:t>Part I</w:t>
      </w:r>
      <w:r>
        <w:rPr>
          <w:rStyle w:val="CharDivNo"/>
        </w:rPr>
        <w:t> </w:t>
      </w:r>
      <w:r>
        <w:t>—</w:t>
      </w:r>
      <w:r>
        <w:rPr>
          <w:rStyle w:val="CharDivText"/>
        </w:rPr>
        <w:t> </w:t>
      </w:r>
      <w:r>
        <w:rPr>
          <w:rStyle w:val="CharPartText"/>
        </w:rPr>
        <w:t>Preliminary</w:t>
      </w:r>
      <w:bookmarkEnd w:id="3"/>
      <w:bookmarkEnd w:id="4"/>
    </w:p>
    <w:p>
      <w:pPr>
        <w:pStyle w:val="Footnoteheading"/>
      </w:pPr>
      <w:r>
        <w:tab/>
        <w:t>[Heading inserted: No. 19 of 2010 s. 43(3)(a).]</w:t>
      </w:r>
    </w:p>
    <w:p>
      <w:pPr>
        <w:pStyle w:val="Heading5"/>
        <w:rPr>
          <w:snapToGrid w:val="0"/>
        </w:rPr>
      </w:pPr>
      <w:bookmarkStart w:id="5" w:name="_Toc111797614"/>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w:t>
      </w:r>
    </w:p>
    <w:p>
      <w:pPr>
        <w:pStyle w:val="Ednotesection"/>
      </w:pPr>
      <w:r>
        <w:t>[</w:t>
      </w:r>
      <w:r>
        <w:rPr>
          <w:b/>
        </w:rPr>
        <w:t>2.</w:t>
      </w:r>
      <w:r>
        <w:tab/>
        <w:t>Deleted: No. 8 of 1987 s. 3.]</w:t>
      </w:r>
    </w:p>
    <w:p>
      <w:pPr>
        <w:pStyle w:val="Ednotepart"/>
      </w:pPr>
      <w:r>
        <w:t>[Heading deleted: No. 19 of 2010 s. 43(3)(b).]</w:t>
      </w:r>
    </w:p>
    <w:p>
      <w:pPr>
        <w:pStyle w:val="Heading5"/>
        <w:spacing w:before="180"/>
        <w:rPr>
          <w:snapToGrid w:val="0"/>
        </w:rPr>
      </w:pPr>
      <w:bookmarkStart w:id="6" w:name="_Toc111797615"/>
      <w:r>
        <w:rPr>
          <w:rStyle w:val="CharSectno"/>
        </w:rPr>
        <w:t>3</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date to be fixed by proclamation.</w:t>
      </w:r>
    </w:p>
    <w:p>
      <w:pPr>
        <w:pStyle w:val="Heading5"/>
        <w:spacing w:before="180"/>
        <w:rPr>
          <w:snapToGrid w:val="0"/>
        </w:rPr>
      </w:pPr>
      <w:bookmarkStart w:id="7" w:name="_Toc111797616"/>
      <w:r>
        <w:rPr>
          <w:rStyle w:val="CharSectno"/>
        </w:rPr>
        <w:t>4</w:t>
      </w:r>
      <w:r>
        <w:rPr>
          <w:snapToGrid w:val="0"/>
        </w:rPr>
        <w:t>.</w:t>
      </w:r>
      <w:r>
        <w:rPr>
          <w:snapToGrid w:val="0"/>
        </w:rPr>
        <w:tab/>
        <w:t>Saving provisions</w:t>
      </w:r>
      <w:bookmarkEnd w:id="7"/>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No. 38 of 2002 s. 17.]</w:t>
      </w:r>
    </w:p>
    <w:p>
      <w:pPr>
        <w:pStyle w:val="Heading5"/>
        <w:spacing w:before="180"/>
        <w:rPr>
          <w:snapToGrid w:val="0"/>
        </w:rPr>
      </w:pPr>
      <w:bookmarkStart w:id="8" w:name="_Toc111797617"/>
      <w:r>
        <w:rPr>
          <w:rStyle w:val="CharSectno"/>
        </w:rPr>
        <w:t>7</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keepNext/>
      </w:pPr>
      <w:r>
        <w:lastRenderedPageBreak/>
        <w:tab/>
      </w:r>
      <w:r>
        <w:rPr>
          <w:rStyle w:val="CharDefText"/>
        </w:rPr>
        <w:t>authorised CALM Act officer</w:t>
      </w:r>
      <w:r>
        <w:t xml:space="preserve"> means — </w:t>
      </w:r>
    </w:p>
    <w:p>
      <w:pPr>
        <w:pStyle w:val="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Defpara"/>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tab/>
      </w:r>
      <w:r>
        <w:rPr>
          <w:rStyle w:val="CharDefText"/>
        </w:rPr>
        <w:t>occupier of land</w:t>
      </w:r>
      <w:r>
        <w:t xml:space="preserve"> means, subject to subsection (2), a person residing on the land or having charge or control of it, whether </w:t>
      </w:r>
      <w:r>
        <w:lastRenderedPageBreak/>
        <w:t>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 xml:space="preserve">does not include any period by which those times are reduced, or for which those times are suspended, under </w:t>
      </w:r>
      <w:r>
        <w:lastRenderedPageBreak/>
        <w:t>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No. 11 of 1963 s. 3; No. 65 of 1977 s. 4; No. 112 of 1984 s. 22; No. 60 of 1992 s. 4; No. 14 of 1996 s. 4; No. 42 of 1998 s. 4 and 16; No. 38 of 2002 s. 18; No. 70 of 2003 s. 6; No. 28 of 2006 s. 387; No. 22 of 2012 s. 46 and 69; No. 24 of 2016 s. 312.]</w:t>
      </w:r>
    </w:p>
    <w:p>
      <w:pPr>
        <w:pStyle w:val="Heading2"/>
      </w:pPr>
      <w:bookmarkStart w:id="9" w:name="_Toc111796947"/>
      <w:bookmarkStart w:id="10" w:name="_Toc111797618"/>
      <w:r>
        <w:rPr>
          <w:rStyle w:val="CharPartNo"/>
        </w:rPr>
        <w:lastRenderedPageBreak/>
        <w:t>Part II</w:t>
      </w:r>
      <w:r>
        <w:rPr>
          <w:rStyle w:val="CharDivNo"/>
        </w:rPr>
        <w:t> </w:t>
      </w:r>
      <w:r>
        <w:t>—</w:t>
      </w:r>
      <w:r>
        <w:rPr>
          <w:rStyle w:val="CharDivText"/>
        </w:rPr>
        <w:t> </w:t>
      </w:r>
      <w:r>
        <w:rPr>
          <w:rStyle w:val="CharPartText"/>
        </w:rPr>
        <w:t>Administration</w:t>
      </w:r>
      <w:bookmarkEnd w:id="9"/>
      <w:bookmarkEnd w:id="10"/>
    </w:p>
    <w:p>
      <w:pPr>
        <w:pStyle w:val="Ednotedivision"/>
      </w:pPr>
      <w:r>
        <w:t>[Division 1 heading deleted: No. 42 of 1998 s. 5.]</w:t>
      </w:r>
    </w:p>
    <w:p>
      <w:pPr>
        <w:pStyle w:val="Ednotesection"/>
        <w:ind w:left="890" w:hanging="890"/>
      </w:pPr>
      <w:r>
        <w:t>[</w:t>
      </w:r>
      <w:r>
        <w:rPr>
          <w:b/>
        </w:rPr>
        <w:t>8.</w:t>
      </w:r>
      <w:r>
        <w:tab/>
        <w:t>Deleted: No. 42 of 1998 s. 6.]</w:t>
      </w:r>
    </w:p>
    <w:p>
      <w:pPr>
        <w:pStyle w:val="Heading5"/>
      </w:pPr>
      <w:bookmarkStart w:id="11" w:name="_Toc111797619"/>
      <w:r>
        <w:rPr>
          <w:rStyle w:val="CharSectno"/>
        </w:rPr>
        <w:t>9</w:t>
      </w:r>
      <w:r>
        <w:t>.</w:t>
      </w:r>
      <w:r>
        <w:tab/>
        <w:t>Terms used</w:t>
      </w:r>
      <w:bookmarkEnd w:id="11"/>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No. 25 of 2009 s. 4.]</w:t>
      </w:r>
    </w:p>
    <w:p>
      <w:pPr>
        <w:pStyle w:val="Ednotedivision"/>
      </w:pPr>
      <w:r>
        <w:t>[Division 2 heading deleted: No. 42 of 1998 s. 7.]</w:t>
      </w:r>
    </w:p>
    <w:p>
      <w:pPr>
        <w:pStyle w:val="Heading5"/>
        <w:rPr>
          <w:snapToGrid w:val="0"/>
        </w:rPr>
      </w:pPr>
      <w:bookmarkStart w:id="12" w:name="_Toc111797620"/>
      <w:r>
        <w:rPr>
          <w:rStyle w:val="CharSectno"/>
        </w:rPr>
        <w:t>10</w:t>
      </w:r>
      <w:r>
        <w:rPr>
          <w:snapToGrid w:val="0"/>
        </w:rPr>
        <w:t>.</w:t>
      </w:r>
      <w:r>
        <w:rPr>
          <w:snapToGrid w:val="0"/>
        </w:rPr>
        <w:tab/>
        <w:t>Powers of FES Commissioner</w:t>
      </w:r>
      <w:bookmarkEnd w:id="12"/>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lastRenderedPageBreak/>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No. 65 of 1977 s. 7; No. 42 of 1998 s. 8 and 16; No. 22 of 2012 s. 47 and 69.]</w:t>
      </w:r>
    </w:p>
    <w:p>
      <w:pPr>
        <w:pStyle w:val="Ednotesection"/>
        <w:spacing w:before="180"/>
      </w:pPr>
      <w:r>
        <w:t>[</w:t>
      </w:r>
      <w:r>
        <w:rPr>
          <w:b/>
        </w:rPr>
        <w:t>11, 11A.</w:t>
      </w:r>
      <w:r>
        <w:rPr>
          <w:b/>
        </w:rPr>
        <w:tab/>
      </w:r>
      <w:r>
        <w:t>Deleted: No. 42 of 1998 s. 9.]</w:t>
      </w:r>
    </w:p>
    <w:p>
      <w:pPr>
        <w:pStyle w:val="Heading5"/>
      </w:pPr>
      <w:bookmarkStart w:id="13" w:name="_Toc111797621"/>
      <w:r>
        <w:rPr>
          <w:rStyle w:val="CharSectno"/>
        </w:rPr>
        <w:t>12</w:t>
      </w:r>
      <w:r>
        <w:t>.</w:t>
      </w:r>
      <w:r>
        <w:tab/>
        <w:t>Bush fire liaison officers</w:t>
      </w:r>
      <w:bookmarkEnd w:id="13"/>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lastRenderedPageBreak/>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spacing w:before="100"/>
        <w:ind w:left="890" w:hanging="890"/>
      </w:pPr>
      <w:r>
        <w:tab/>
        <w:t>[Section 12 inserted: No. 22 of 2012 s. 48.]</w:t>
      </w:r>
    </w:p>
    <w:p>
      <w:pPr>
        <w:pStyle w:val="Heading5"/>
        <w:spacing w:before="180"/>
        <w:rPr>
          <w:snapToGrid w:val="0"/>
        </w:rPr>
      </w:pPr>
      <w:bookmarkStart w:id="14" w:name="_Toc111797622"/>
      <w:r>
        <w:rPr>
          <w:rStyle w:val="CharSectno"/>
        </w:rPr>
        <w:t>13</w:t>
      </w:r>
      <w:r>
        <w:rPr>
          <w:snapToGrid w:val="0"/>
        </w:rPr>
        <w:t>.</w:t>
      </w:r>
      <w:r>
        <w:rPr>
          <w:snapToGrid w:val="0"/>
        </w:rPr>
        <w:tab/>
        <w:t>Duties and powers of bush fire liaison officers</w:t>
      </w:r>
      <w:bookmarkEnd w:id="14"/>
    </w:p>
    <w:p>
      <w:pPr>
        <w:pStyle w:val="Subsection"/>
        <w:spacing w:before="120"/>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spacing w:before="120"/>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spacing w:before="120"/>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spacing w:before="120"/>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 so.</w:t>
      </w:r>
    </w:p>
    <w:p>
      <w:pPr>
        <w:pStyle w:val="Subsection"/>
        <w:keepLines/>
        <w:spacing w:before="120"/>
      </w:pPr>
      <w:r>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lastRenderedPageBreak/>
        <w:tab/>
        <w:t>(b)</w:t>
      </w:r>
      <w:r>
        <w:tab/>
        <w:t>if, because of the nature or extent of the bush fire, the FES Commissioner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No. 65 of 1977 s. 10; amended: No. 42 of 1998 s. 16; No. 38 of 2002 s. 19; No. 25 of 2009 s. 5; No. 22 of 2012 s. 69.]</w:t>
      </w:r>
    </w:p>
    <w:p>
      <w:pPr>
        <w:pStyle w:val="Heading5"/>
      </w:pPr>
      <w:bookmarkStart w:id="15" w:name="_Toc111797623"/>
      <w:r>
        <w:rPr>
          <w:rStyle w:val="CharSectno"/>
        </w:rPr>
        <w:t>14A</w:t>
      </w:r>
      <w:r>
        <w:t>.</w:t>
      </w:r>
      <w:r>
        <w:tab/>
        <w:t xml:space="preserve">Powers and duties under section 13 not affected by certain powers under </w:t>
      </w:r>
      <w:r>
        <w:rPr>
          <w:i/>
          <w:iCs/>
        </w:rPr>
        <w:t>Emergency Management Act 2005</w:t>
      </w:r>
      <w:bookmarkEnd w:id="15"/>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lastRenderedPageBreak/>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No. 25 of 2009 s. 6.]</w:t>
      </w:r>
    </w:p>
    <w:p>
      <w:pPr>
        <w:pStyle w:val="Heading5"/>
      </w:pPr>
      <w:bookmarkStart w:id="16" w:name="_Toc111797624"/>
      <w:r>
        <w:rPr>
          <w:rStyle w:val="CharSectno"/>
        </w:rPr>
        <w:t>14B</w:t>
      </w:r>
      <w:r>
        <w:t>.</w:t>
      </w:r>
      <w:r>
        <w:tab/>
        <w:t>Powers of authorised persons and police officers during authorised periods</w:t>
      </w:r>
      <w:bookmarkEnd w:id="16"/>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w:t>
      </w:r>
      <w:r>
        <w:lastRenderedPageBreak/>
        <w:t xml:space="preserve">may use a vehicle in any place and in any circumstance despite any provision of the </w:t>
      </w:r>
      <w:r>
        <w:rPr>
          <w:i/>
        </w:rPr>
        <w:t xml:space="preserve">Road Traffic (Vehicles) Act 2012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 No. 25 of 2009 s. 6; amended: No. 22 of 2012 s. 49 and 69; No. 8 of 2012 s. 47.]</w:t>
      </w:r>
    </w:p>
    <w:p>
      <w:pPr>
        <w:pStyle w:val="Heading5"/>
      </w:pPr>
      <w:bookmarkStart w:id="17" w:name="_Toc111797625"/>
      <w:r>
        <w:rPr>
          <w:rStyle w:val="CharSectno"/>
        </w:rPr>
        <w:t>14C</w:t>
      </w:r>
      <w:r>
        <w:t>.</w:t>
      </w:r>
      <w:r>
        <w:tab/>
        <w:t>Failure to comply with directions</w:t>
      </w:r>
      <w:bookmarkEnd w:id="17"/>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 No. 25 of 2009 s. 6; amended: No. 22 of 2012 s. 69.]</w:t>
      </w:r>
    </w:p>
    <w:p>
      <w:pPr>
        <w:pStyle w:val="Heading5"/>
        <w:rPr>
          <w:snapToGrid w:val="0"/>
        </w:rPr>
      </w:pPr>
      <w:bookmarkStart w:id="18" w:name="_Toc111797626"/>
      <w:r>
        <w:rPr>
          <w:rStyle w:val="CharSectno"/>
        </w:rPr>
        <w:t>14</w:t>
      </w:r>
      <w:r>
        <w:rPr>
          <w:snapToGrid w:val="0"/>
        </w:rPr>
        <w:t>.</w:t>
      </w:r>
      <w:r>
        <w:rPr>
          <w:snapToGrid w:val="0"/>
        </w:rPr>
        <w:tab/>
        <w:t>Certain persons may enter land or building for purposes of Act</w:t>
      </w:r>
      <w:bookmarkEnd w:id="18"/>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lastRenderedPageBreak/>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No. 11 of 1963 s. 5; No. 65 of 1977 s. 11 and 47; No. 60 of 1992 s. 8; No. 42 of 1998 s. 16; No. 38 of 2002 s. 20; No. 19 of 2010 s. 52(4); No. 22 of 2012 s. 50.]</w:t>
      </w:r>
    </w:p>
    <w:p>
      <w:pPr>
        <w:pStyle w:val="Ednotedivision"/>
      </w:pPr>
      <w:r>
        <w:t>[Divisions 3 and 4 (s. 15</w:t>
      </w:r>
      <w:r>
        <w:noBreakHyphen/>
        <w:t>16E) deleted: No. 42 of 1998 s. 11(1).]</w:t>
      </w:r>
    </w:p>
    <w:p>
      <w:pPr>
        <w:pStyle w:val="Heading2"/>
      </w:pPr>
      <w:bookmarkStart w:id="19" w:name="_Toc111796956"/>
      <w:bookmarkStart w:id="20" w:name="_Toc111797627"/>
      <w:r>
        <w:rPr>
          <w:rStyle w:val="CharPartNo"/>
        </w:rPr>
        <w:lastRenderedPageBreak/>
        <w:t>Part III</w:t>
      </w:r>
      <w:r>
        <w:t> — </w:t>
      </w:r>
      <w:r>
        <w:rPr>
          <w:rStyle w:val="CharPartText"/>
        </w:rPr>
        <w:t>Prevention of bush fires</w:t>
      </w:r>
      <w:bookmarkEnd w:id="19"/>
      <w:bookmarkEnd w:id="20"/>
    </w:p>
    <w:p>
      <w:pPr>
        <w:pStyle w:val="Ednotedivision"/>
        <w:rPr>
          <w:highlight w:val="cyan"/>
        </w:rPr>
      </w:pPr>
      <w:r>
        <w:t>[Division 1 deleted: No. 65 of 1977 s. 12.]</w:t>
      </w:r>
    </w:p>
    <w:p>
      <w:pPr>
        <w:pStyle w:val="Heading3"/>
      </w:pPr>
      <w:bookmarkStart w:id="21" w:name="_Toc111796957"/>
      <w:bookmarkStart w:id="22" w:name="_Toc111797628"/>
      <w:r>
        <w:rPr>
          <w:rStyle w:val="CharDivNo"/>
        </w:rPr>
        <w:t>Division 2</w:t>
      </w:r>
      <w:r>
        <w:rPr>
          <w:snapToGrid w:val="0"/>
        </w:rPr>
        <w:t> — </w:t>
      </w:r>
      <w:r>
        <w:rPr>
          <w:rStyle w:val="CharDivText"/>
        </w:rPr>
        <w:t>Prohibited burning times</w:t>
      </w:r>
      <w:bookmarkEnd w:id="21"/>
      <w:bookmarkEnd w:id="22"/>
    </w:p>
    <w:p>
      <w:pPr>
        <w:pStyle w:val="Heading5"/>
        <w:rPr>
          <w:snapToGrid w:val="0"/>
        </w:rPr>
      </w:pPr>
      <w:bookmarkStart w:id="23" w:name="_Toc111797629"/>
      <w:r>
        <w:rPr>
          <w:rStyle w:val="CharSectno"/>
        </w:rPr>
        <w:t>17</w:t>
      </w:r>
      <w:r>
        <w:rPr>
          <w:snapToGrid w:val="0"/>
        </w:rPr>
        <w:t>.</w:t>
      </w:r>
      <w:r>
        <w:rPr>
          <w:snapToGrid w:val="0"/>
        </w:rPr>
        <w:tab/>
        <w:t>Prohibited burning times may be declared by Minister</w:t>
      </w:r>
      <w:bookmarkEnd w:id="23"/>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w:t>
      </w:r>
      <w:r>
        <w:rPr>
          <w:snapToGrid w:val="0"/>
        </w:rPr>
        <w:lastRenderedPageBreak/>
        <w:t>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 xml:space="preserve">shall, by the quickest means available to it and not later than 2 days before the first day affected by the variation, give notice of the variation to </w:t>
      </w:r>
      <w:r>
        <w:rPr>
          <w:snapToGrid w:val="0"/>
        </w:rPr>
        <w:lastRenderedPageBreak/>
        <w:t>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lastRenderedPageBreak/>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No. 65 of 1977 s. 13; amended: No. 8 of 1987 s. 8; No. 14 of 1996 s. 4; No. 42 of 1998 s. 16; No. 38 of 2002 s. 21 and 40(1); No. 19 of 2010 s. 52(4); No. 22 of 2012 s. 51 and 69.]</w:t>
      </w:r>
    </w:p>
    <w:p>
      <w:pPr>
        <w:pStyle w:val="Heading3"/>
      </w:pPr>
      <w:bookmarkStart w:id="24" w:name="_Toc111796959"/>
      <w:bookmarkStart w:id="25" w:name="_Toc111797630"/>
      <w:r>
        <w:rPr>
          <w:rStyle w:val="CharDivNo"/>
        </w:rPr>
        <w:t>Division 3</w:t>
      </w:r>
      <w:r>
        <w:rPr>
          <w:snapToGrid w:val="0"/>
        </w:rPr>
        <w:t> — </w:t>
      </w:r>
      <w:r>
        <w:rPr>
          <w:rStyle w:val="CharDivText"/>
        </w:rPr>
        <w:t>Restricted burning times</w:t>
      </w:r>
      <w:bookmarkEnd w:id="24"/>
      <w:bookmarkEnd w:id="25"/>
    </w:p>
    <w:p>
      <w:pPr>
        <w:pStyle w:val="Heading5"/>
        <w:rPr>
          <w:snapToGrid w:val="0"/>
        </w:rPr>
      </w:pPr>
      <w:bookmarkStart w:id="26" w:name="_Toc111797631"/>
      <w:r>
        <w:rPr>
          <w:rStyle w:val="CharSectno"/>
        </w:rPr>
        <w:t>18</w:t>
      </w:r>
      <w:r>
        <w:rPr>
          <w:snapToGrid w:val="0"/>
        </w:rPr>
        <w:t>.</w:t>
      </w:r>
      <w:r>
        <w:rPr>
          <w:snapToGrid w:val="0"/>
        </w:rPr>
        <w:tab/>
        <w:t>Restricted burning times may be declared by FES Commissioner</w:t>
      </w:r>
      <w:bookmarkEnd w:id="26"/>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 xml:space="preserve">Where by declaration made under subsection (2) restricted burning times have been declared in respect of a zone of the State then, subject to such variations (if any) as are made under </w:t>
      </w:r>
      <w:r>
        <w:rPr>
          <w:snapToGrid w:val="0"/>
        </w:rPr>
        <w:lastRenderedPageBreak/>
        <w:t>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lastRenderedPageBreak/>
        <w:tab/>
        <w:t>(b)</w:t>
      </w:r>
      <w:r>
        <w:rPr>
          <w:snapToGrid w:val="0"/>
        </w:rPr>
        <w:tab/>
        <w:t>suspending the restricted burning times, or any prescribed condition, for,</w:t>
      </w:r>
    </w:p>
    <w:p>
      <w:pPr>
        <w:pStyle w:val="Subsection"/>
      </w:pPr>
      <w:r>
        <w:tab/>
      </w:r>
      <w:r>
        <w:tab/>
        <w:t>more than 14 successive days during a period that would, in the absence of the variation under subsection (5), be part of the restricted burning times for that zone in that year.</w:t>
      </w:r>
    </w:p>
    <w:p>
      <w:pPr>
        <w:pStyle w:val="Subsection"/>
        <w:keepLines/>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rPr>
          <w:snapToGrid w:val="0"/>
        </w:rPr>
      </w:pPr>
      <w:r>
        <w:rPr>
          <w:snapToGrid w:val="0"/>
        </w:rPr>
        <w:lastRenderedPageBreak/>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20"/>
        <w:rPr>
          <w:snapToGrid w:val="0"/>
        </w:rPr>
      </w:pPr>
      <w:r>
        <w:rPr>
          <w:snapToGrid w:val="0"/>
        </w:rPr>
        <w:tab/>
        <w:t>(11)</w:t>
      </w:r>
      <w:r>
        <w:rPr>
          <w:snapToGrid w:val="0"/>
        </w:rPr>
        <w:tab/>
        <w:t xml:space="preserve">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w:t>
      </w:r>
      <w:r>
        <w:rPr>
          <w:snapToGrid w:val="0"/>
        </w:rPr>
        <w:lastRenderedPageBreak/>
        <w:t>preventing the extension of or extinguishing the fire, and such expenses may be recovered in any court of competent jurisdiction.</w:t>
      </w:r>
    </w:p>
    <w:p>
      <w:pPr>
        <w:pStyle w:val="Subsection"/>
        <w:keepNext/>
        <w:keepLines/>
        <w:spacing w:before="12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No. 65 of 1977 s. 14; amended: No. 8 of 1987 s. 8; No. 14 of 1996 s. 4; No. 42 of 1998 s. 16; No. 38 of 2002 s. 22, 39 and 40(1); No. 19 of 2010 s. 52(4); No. 22 of 2012 s. 69.]</w:t>
      </w:r>
    </w:p>
    <w:p>
      <w:pPr>
        <w:pStyle w:val="Ednotesection"/>
        <w:spacing w:before="180"/>
      </w:pPr>
      <w:r>
        <w:t>[</w:t>
      </w:r>
      <w:r>
        <w:rPr>
          <w:b/>
        </w:rPr>
        <w:t>19.</w:t>
      </w:r>
      <w:r>
        <w:tab/>
        <w:t>Deleted: No. 65 of 1977 s. 15.]</w:t>
      </w:r>
    </w:p>
    <w:p>
      <w:pPr>
        <w:pStyle w:val="Heading5"/>
        <w:spacing w:before="180"/>
        <w:rPr>
          <w:snapToGrid w:val="0"/>
        </w:rPr>
      </w:pPr>
      <w:bookmarkStart w:id="27" w:name="_Toc111797632"/>
      <w:r>
        <w:rPr>
          <w:rStyle w:val="CharSectno"/>
        </w:rPr>
        <w:t>20</w:t>
      </w:r>
      <w:r>
        <w:rPr>
          <w:snapToGrid w:val="0"/>
        </w:rPr>
        <w:t>.</w:t>
      </w:r>
      <w:r>
        <w:rPr>
          <w:snapToGrid w:val="0"/>
        </w:rPr>
        <w:tab/>
        <w:t>Regulations as to restricted burning times</w:t>
      </w:r>
      <w:bookmarkEnd w:id="27"/>
    </w:p>
    <w:p>
      <w:pPr>
        <w:pStyle w:val="Subsection"/>
        <w:spacing w:before="12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2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spacing w:before="12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lastRenderedPageBreak/>
        <w:tab/>
        <w:t>(b)</w:t>
      </w:r>
      <w:r>
        <w:rPr>
          <w:snapToGrid w:val="0"/>
        </w:rPr>
        <w:tab/>
        <w:t>so that different regulations apply to different parts of the State.</w:t>
      </w:r>
    </w:p>
    <w:p>
      <w:pPr>
        <w:pStyle w:val="Footnotesection"/>
        <w:spacing w:before="100"/>
        <w:ind w:left="890" w:hanging="890"/>
      </w:pPr>
      <w:r>
        <w:tab/>
        <w:t>[Section 20 inserted: No. 65 of 1977 s. 16.]</w:t>
      </w:r>
    </w:p>
    <w:p>
      <w:pPr>
        <w:pStyle w:val="Heading3"/>
      </w:pPr>
      <w:bookmarkStart w:id="28" w:name="_Toc111796962"/>
      <w:bookmarkStart w:id="29" w:name="_Toc111797633"/>
      <w:r>
        <w:rPr>
          <w:rStyle w:val="CharDivNo"/>
        </w:rPr>
        <w:t>Division 4</w:t>
      </w:r>
      <w:r>
        <w:t> — </w:t>
      </w:r>
      <w:r>
        <w:rPr>
          <w:rStyle w:val="CharDivText"/>
        </w:rPr>
        <w:t>Total fire ban</w:t>
      </w:r>
      <w:bookmarkEnd w:id="28"/>
      <w:bookmarkEnd w:id="29"/>
    </w:p>
    <w:p>
      <w:pPr>
        <w:pStyle w:val="Footnoteheading"/>
        <w:spacing w:before="100"/>
      </w:pPr>
      <w:r>
        <w:tab/>
        <w:t>[Heading inserted: No. 25 of 2009 s. 7.]</w:t>
      </w:r>
    </w:p>
    <w:p>
      <w:pPr>
        <w:pStyle w:val="Heading5"/>
      </w:pPr>
      <w:bookmarkStart w:id="30" w:name="_Toc111797634"/>
      <w:r>
        <w:rPr>
          <w:rStyle w:val="CharSectno"/>
        </w:rPr>
        <w:t>21</w:t>
      </w:r>
      <w:r>
        <w:t>.</w:t>
      </w:r>
      <w:r>
        <w:tab/>
        <w:t>Terms used</w:t>
      </w:r>
      <w:bookmarkEnd w:id="30"/>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No. 25 of 2009 s. 7.]</w:t>
      </w:r>
    </w:p>
    <w:p>
      <w:pPr>
        <w:pStyle w:val="Heading5"/>
      </w:pPr>
      <w:bookmarkStart w:id="31" w:name="_Toc111797635"/>
      <w:r>
        <w:rPr>
          <w:rStyle w:val="CharSectno"/>
        </w:rPr>
        <w:t>22A</w:t>
      </w:r>
      <w:r>
        <w:t>.</w:t>
      </w:r>
      <w:r>
        <w:tab/>
        <w:t>Minister may declare total fire ban</w:t>
      </w:r>
      <w:bookmarkEnd w:id="31"/>
    </w:p>
    <w:p>
      <w:pPr>
        <w:pStyle w:val="Subsection"/>
      </w:pPr>
      <w:r>
        <w:tab/>
        <w:t>(1)</w:t>
      </w:r>
      <w:r>
        <w:tab/>
        <w:t>If the Minister is of the opinion that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pPr>
      <w:r>
        <w:tab/>
        <w:t>(a)</w:t>
      </w:r>
      <w:r>
        <w:tab/>
        <w:t>the period during which; and</w:t>
      </w:r>
    </w:p>
    <w:p>
      <w:pPr>
        <w:pStyle w:val="Indenta"/>
        <w:keepNext/>
      </w:pPr>
      <w:r>
        <w:tab/>
        <w:t>(b)</w:t>
      </w:r>
      <w:r>
        <w:tab/>
        <w:t>the area of the State in respect of which,</w:t>
      </w:r>
    </w:p>
    <w:p>
      <w:pPr>
        <w:pStyle w:val="Subsection"/>
      </w:pPr>
      <w:r>
        <w:tab/>
      </w:r>
      <w:r>
        <w:tab/>
        <w:t>the total fire ban is to have effect, and the total fire ban has effect accordingly.</w:t>
      </w:r>
    </w:p>
    <w:p>
      <w:pPr>
        <w:pStyle w:val="Subsection"/>
      </w:pPr>
      <w:r>
        <w:lastRenderedPageBreak/>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No. 25 of 2009 s. 7.]</w:t>
      </w:r>
    </w:p>
    <w:p>
      <w:pPr>
        <w:pStyle w:val="Heading5"/>
      </w:pPr>
      <w:bookmarkStart w:id="32" w:name="_Toc111797636"/>
      <w:r>
        <w:rPr>
          <w:rStyle w:val="CharSectno"/>
        </w:rPr>
        <w:t>22B</w:t>
      </w:r>
      <w:r>
        <w:t>.</w:t>
      </w:r>
      <w:r>
        <w:tab/>
        <w:t>Lighting of fires prohibited during total fire ban</w:t>
      </w:r>
      <w:bookmarkEnd w:id="32"/>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keepLines/>
      </w:pPr>
      <w:r>
        <w:lastRenderedPageBreak/>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No. 25 of 2009 s. 7.]</w:t>
      </w:r>
    </w:p>
    <w:p>
      <w:pPr>
        <w:pStyle w:val="Heading5"/>
      </w:pPr>
      <w:bookmarkStart w:id="33" w:name="_Toc111797637"/>
      <w:r>
        <w:rPr>
          <w:rStyle w:val="CharSectno"/>
        </w:rPr>
        <w:t>22C</w:t>
      </w:r>
      <w:r>
        <w:t>.</w:t>
      </w:r>
      <w:r>
        <w:tab/>
        <w:t>Power of Minister to exempt from provisions of section 22B</w:t>
      </w:r>
      <w:bookmarkEnd w:id="33"/>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lastRenderedPageBreak/>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No. 25 of 2009 s. 7; amended: No. 22 of 2012 s. 52.]</w:t>
      </w:r>
    </w:p>
    <w:p>
      <w:pPr>
        <w:pStyle w:val="Heading3"/>
        <w:keepLines/>
        <w:spacing w:before="220"/>
      </w:pPr>
      <w:bookmarkStart w:id="34" w:name="_Toc111796967"/>
      <w:bookmarkStart w:id="35" w:name="_Toc111797638"/>
      <w:r>
        <w:rPr>
          <w:rStyle w:val="CharDivNo"/>
        </w:rPr>
        <w:lastRenderedPageBreak/>
        <w:t>Division 5</w:t>
      </w:r>
      <w:r>
        <w:rPr>
          <w:snapToGrid w:val="0"/>
        </w:rPr>
        <w:t> — </w:t>
      </w:r>
      <w:r>
        <w:rPr>
          <w:rStyle w:val="CharDivText"/>
        </w:rPr>
        <w:t>Burning during prohibited times and restricted times</w:t>
      </w:r>
      <w:bookmarkEnd w:id="34"/>
      <w:bookmarkEnd w:id="35"/>
    </w:p>
    <w:p>
      <w:pPr>
        <w:pStyle w:val="Heading5"/>
        <w:spacing w:before="160"/>
        <w:rPr>
          <w:snapToGrid w:val="0"/>
        </w:rPr>
      </w:pPr>
      <w:bookmarkStart w:id="36" w:name="_Toc111797639"/>
      <w:r>
        <w:rPr>
          <w:rStyle w:val="CharSectno"/>
        </w:rPr>
        <w:t>22</w:t>
      </w:r>
      <w:r>
        <w:rPr>
          <w:snapToGrid w:val="0"/>
        </w:rPr>
        <w:t>.</w:t>
      </w:r>
      <w:r>
        <w:rPr>
          <w:snapToGrid w:val="0"/>
        </w:rPr>
        <w:tab/>
        <w:t>Burning on exempt land and land adjoining exempt land</w:t>
      </w:r>
      <w:bookmarkEnd w:id="36"/>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 and the boundary of which nearer to and parallel or approximately parallel with the boundary of the exempt land is not at any point, of a greater distance than 60 m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spacing w:before="120"/>
        <w:rPr>
          <w:snapToGrid w:val="0"/>
        </w:rPr>
      </w:pPr>
      <w:r>
        <w:rPr>
          <w:snapToGrid w:val="0"/>
        </w:rPr>
        <w:lastRenderedPageBreak/>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spacing w:before="120"/>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 and as specified by the local government.</w:t>
      </w:r>
    </w:p>
    <w:p>
      <w:pPr>
        <w:pStyle w:val="Subsection"/>
        <w:keepNext/>
        <w:spacing w:before="120"/>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No. 11 of 1963 s. 9; No. 94 of 1972 s. 4 (as amended: No. 83 of 1973 s. 3); No. 65 of 1977 s. 17; No. 51 of 1979 s. 5; No. 14 of 1996 s. 4; No. 19 of 2010 s. 52(4).]</w:t>
      </w:r>
    </w:p>
    <w:p>
      <w:pPr>
        <w:pStyle w:val="Heading5"/>
        <w:spacing w:before="180"/>
        <w:rPr>
          <w:snapToGrid w:val="0"/>
        </w:rPr>
      </w:pPr>
      <w:bookmarkStart w:id="37" w:name="_Toc111797640"/>
      <w:r>
        <w:rPr>
          <w:rStyle w:val="CharSectno"/>
        </w:rPr>
        <w:t>23</w:t>
      </w:r>
      <w:r>
        <w:rPr>
          <w:snapToGrid w:val="0"/>
        </w:rPr>
        <w:t>.</w:t>
      </w:r>
      <w:r>
        <w:rPr>
          <w:snapToGrid w:val="0"/>
        </w:rPr>
        <w:tab/>
        <w:t>Burning during prohibited burning times</w:t>
      </w:r>
      <w:bookmarkEnd w:id="37"/>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lastRenderedPageBreak/>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 and</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 and</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 from the property to be protected; and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rPr>
          <w:snapToGrid w:val="0"/>
        </w:rPr>
      </w:pPr>
      <w:r>
        <w:rPr>
          <w:snapToGrid w:val="0"/>
        </w:rPr>
        <w:tab/>
        <w:t>(v)</w:t>
      </w:r>
      <w:r>
        <w:rPr>
          <w:snapToGrid w:val="0"/>
        </w:rPr>
        <w:tab/>
        <w:t xml:space="preserve">in the case of burning carried out pursuant to subsection (1)(b)(ii), the bush shall be burnt </w:t>
      </w:r>
      <w:r>
        <w:rPr>
          <w:snapToGrid w:val="0"/>
        </w:rPr>
        <w:lastRenderedPageBreak/>
        <w:t>between 2 fire</w:t>
      </w:r>
      <w:r>
        <w:rPr>
          <w:snapToGrid w:val="0"/>
        </w:rPr>
        <w:softHyphen/>
      </w:r>
      <w:r>
        <w:rPr>
          <w:snapToGrid w:val="0"/>
        </w:rPr>
        <w:noBreakHyphen/>
        <w:t>breaks that are not more than 20 m apart and each of which is not less than 2 m in width;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No. 65 of 1977 s. 18; amended: No. 14 of 1996 s. 4.]</w:t>
      </w:r>
    </w:p>
    <w:p>
      <w:pPr>
        <w:pStyle w:val="Heading5"/>
        <w:rPr>
          <w:snapToGrid w:val="0"/>
        </w:rPr>
      </w:pPr>
      <w:bookmarkStart w:id="38" w:name="_Toc111797641"/>
      <w:r>
        <w:rPr>
          <w:rStyle w:val="CharSectno"/>
        </w:rPr>
        <w:t>24</w:t>
      </w:r>
      <w:r>
        <w:rPr>
          <w:snapToGrid w:val="0"/>
        </w:rPr>
        <w:t>.</w:t>
      </w:r>
      <w:r>
        <w:rPr>
          <w:snapToGrid w:val="0"/>
        </w:rPr>
        <w:tab/>
        <w:t>Bush on land growing subterranean clover may be burnt during prohibited burning times</w:t>
      </w:r>
      <w:bookmarkEnd w:id="38"/>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w:t>
      </w:r>
    </w:p>
    <w:p>
      <w:pPr>
        <w:pStyle w:val="Indenti"/>
        <w:rPr>
          <w:snapToGrid w:val="0"/>
        </w:rPr>
      </w:pPr>
      <w:r>
        <w:rPr>
          <w:snapToGrid w:val="0"/>
        </w:rPr>
        <w:lastRenderedPageBreak/>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 from the base of each standing tree.</w:t>
      </w:r>
    </w:p>
    <w:p>
      <w:pPr>
        <w:pStyle w:val="Footnotesection"/>
        <w:ind w:left="890" w:hanging="890"/>
      </w:pPr>
      <w:r>
        <w:tab/>
        <w:t>[Section 24 amended: No. 94 of 1972 s. 4 (as amended: No. 83 of 1973 s. 3); No. 65 of 1977 s. 19; No. 51 of 1979 s. 5; No. 14 of 1996 s. 4.]</w:t>
      </w:r>
    </w:p>
    <w:p>
      <w:pPr>
        <w:pStyle w:val="Heading5"/>
        <w:rPr>
          <w:snapToGrid w:val="0"/>
        </w:rPr>
      </w:pPr>
      <w:bookmarkStart w:id="39" w:name="_Toc111797642"/>
      <w:r>
        <w:rPr>
          <w:rStyle w:val="CharSectno"/>
        </w:rPr>
        <w:t>24A</w:t>
      </w:r>
      <w:r>
        <w:rPr>
          <w:snapToGrid w:val="0"/>
        </w:rPr>
        <w:t>.</w:t>
      </w:r>
      <w:r>
        <w:rPr>
          <w:snapToGrid w:val="0"/>
        </w:rPr>
        <w:tab/>
        <w:t>Bush on land in prescribed irrigation areas may be burnt during prohibited times for purpose of germinating clover</w:t>
      </w:r>
      <w:bookmarkEnd w:id="39"/>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No. 35 of 1957 s. 4; amended: No. 11 of 1963 s. 10; No. 19 of 2010 s. 52(4).]</w:t>
      </w:r>
    </w:p>
    <w:p>
      <w:pPr>
        <w:pStyle w:val="Heading5"/>
        <w:rPr>
          <w:snapToGrid w:val="0"/>
        </w:rPr>
      </w:pPr>
      <w:bookmarkStart w:id="40" w:name="_Toc111797643"/>
      <w:r>
        <w:rPr>
          <w:rStyle w:val="CharSectno"/>
        </w:rPr>
        <w:lastRenderedPageBreak/>
        <w:t>24B</w:t>
      </w:r>
      <w:r>
        <w:rPr>
          <w:snapToGrid w:val="0"/>
        </w:rPr>
        <w:t>.</w:t>
      </w:r>
      <w:r>
        <w:rPr>
          <w:snapToGrid w:val="0"/>
        </w:rPr>
        <w:tab/>
        <w:t>Production of permit to burn may be required</w:t>
      </w:r>
      <w:bookmarkEnd w:id="40"/>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spacing w:before="120"/>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spacing w:before="120"/>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No. 11 of 1963 s. 11; amended: No. 113 of 1965 s. 8(1); No. 65 of 1977 s. 20 and 47; No. 51 of 1979 s. 5; No. 8 of 1987 s. 8; No. 14 of 1996 s. 4; No. 42 of 1998 s. 16; No. 22 of 2012 s. 53.]</w:t>
      </w:r>
    </w:p>
    <w:p>
      <w:pPr>
        <w:pStyle w:val="Heading5"/>
        <w:spacing w:before="180"/>
      </w:pPr>
      <w:bookmarkStart w:id="41" w:name="_Toc111797644"/>
      <w:r>
        <w:rPr>
          <w:rStyle w:val="CharSectno"/>
        </w:rPr>
        <w:t>24C</w:t>
      </w:r>
      <w:r>
        <w:t>.</w:t>
      </w:r>
      <w:r>
        <w:tab/>
        <w:t>Terms used</w:t>
      </w:r>
      <w:bookmarkEnd w:id="41"/>
    </w:p>
    <w:p>
      <w:pPr>
        <w:pStyle w:val="Subsection"/>
        <w:spacing w:before="120"/>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lastRenderedPageBreak/>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tab/>
      </w:r>
      <w:r>
        <w:rPr>
          <w:rStyle w:val="CharDefText"/>
        </w:rPr>
        <w:t>rubbish tip</w:t>
      </w:r>
      <w:r>
        <w:t xml:space="preserve"> means disposal premises as defined in the </w:t>
      </w:r>
      <w:r>
        <w:rPr>
          <w:i/>
        </w:rPr>
        <w:t>Waste Avoidance and Resource Recovery Levy Act 2007</w:t>
      </w:r>
      <w:r>
        <w:t xml:space="preserve"> section 3;</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No. 38 of 2002 s. 24; amended: No. 25 of 2009 s. 8; No. 40 of 2020 s. 114(2).]</w:t>
      </w:r>
    </w:p>
    <w:p>
      <w:pPr>
        <w:pStyle w:val="Heading5"/>
        <w:spacing w:before="180"/>
      </w:pPr>
      <w:bookmarkStart w:id="42" w:name="_Toc111797645"/>
      <w:r>
        <w:rPr>
          <w:rStyle w:val="CharSectno"/>
        </w:rPr>
        <w:t>24D</w:t>
      </w:r>
      <w:r>
        <w:t>.</w:t>
      </w:r>
      <w:r>
        <w:tab/>
        <w:t>Burning garden refuse prohibited if fire danger very high to catastrophic</w:t>
      </w:r>
      <w:bookmarkEnd w:id="42"/>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No. 38 of 2002 s. 24; amended: No. 25 of 2009 s. 9.]</w:t>
      </w:r>
    </w:p>
    <w:p>
      <w:pPr>
        <w:pStyle w:val="Heading5"/>
        <w:spacing w:before="180"/>
      </w:pPr>
      <w:bookmarkStart w:id="43" w:name="_Toc111797646"/>
      <w:r>
        <w:rPr>
          <w:rStyle w:val="CharSectno"/>
        </w:rPr>
        <w:t>24E</w:t>
      </w:r>
      <w:r>
        <w:t>.</w:t>
      </w:r>
      <w:r>
        <w:tab/>
        <w:t>Burning of garden refuse at rubbish tips</w:t>
      </w:r>
      <w:bookmarkEnd w:id="43"/>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keepLines/>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pPr>
      <w:r>
        <w:lastRenderedPageBreak/>
        <w:tab/>
        <w:t>(3)</w:t>
      </w:r>
      <w:r>
        <w:tab/>
        <w:t>In a notice under subsection (2) the Minister —</w:t>
      </w:r>
    </w:p>
    <w:p>
      <w:pPr>
        <w:pStyle w:val="Indenta"/>
      </w:pPr>
      <w:r>
        <w:tab/>
        <w:t>(a)</w:t>
      </w:r>
      <w:r>
        <w:tab/>
        <w:t>must specify —</w:t>
      </w:r>
    </w:p>
    <w:p>
      <w:pPr>
        <w:pStyle w:val="Indenti"/>
      </w:pPr>
      <w:r>
        <w:tab/>
        <w:t>(i)</w:t>
      </w:r>
      <w:r>
        <w:tab/>
        <w:t>the person or class of persons to whom; and</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No. 38 of 2002 s. 24; amended: No. 22 of 2012 s. 54.]</w:t>
      </w:r>
    </w:p>
    <w:p>
      <w:pPr>
        <w:pStyle w:val="Heading5"/>
      </w:pPr>
      <w:bookmarkStart w:id="44" w:name="_Toc111797647"/>
      <w:r>
        <w:rPr>
          <w:rStyle w:val="CharSectno"/>
        </w:rPr>
        <w:t>24F</w:t>
      </w:r>
      <w:r>
        <w:t>.</w:t>
      </w:r>
      <w:r>
        <w:tab/>
        <w:t>Burning garden refuse during limited burning times</w:t>
      </w:r>
      <w:bookmarkEnd w:id="44"/>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 and</w:t>
      </w:r>
    </w:p>
    <w:p>
      <w:pPr>
        <w:pStyle w:val="Indenta"/>
        <w:keepNext/>
        <w:keepLines/>
      </w:pPr>
      <w:r>
        <w:tab/>
        <w:t>(b)</w:t>
      </w:r>
      <w:r>
        <w:tab/>
        <w:t>either —</w:t>
      </w:r>
    </w:p>
    <w:p>
      <w:pPr>
        <w:pStyle w:val="Indenti"/>
        <w:keepNext/>
        <w:keepLines/>
      </w:pPr>
      <w:r>
        <w:tab/>
        <w:t>(i)</w:t>
      </w:r>
      <w:r>
        <w:tab/>
        <w:t>the incinerator is situated 2 m or more away from any building or fence; or</w:t>
      </w:r>
    </w:p>
    <w:p>
      <w:pPr>
        <w:pStyle w:val="Indenti"/>
      </w:pPr>
      <w:r>
        <w:tab/>
        <w:t>(ii)</w:t>
      </w:r>
      <w:r>
        <w:tab/>
        <w:t>if the incinerator is within 2 m of a building or fence, the local government has given written permission for the incinerator to be used;</w:t>
      </w:r>
    </w:p>
    <w:p>
      <w:pPr>
        <w:pStyle w:val="Indenta"/>
      </w:pPr>
      <w:r>
        <w:tab/>
      </w:r>
      <w:r>
        <w:tab/>
        <w:t>and</w:t>
      </w:r>
    </w:p>
    <w:p>
      <w:pPr>
        <w:pStyle w:val="Indenta"/>
      </w:pPr>
      <w:r>
        <w:lastRenderedPageBreak/>
        <w:tab/>
        <w:t>(c)</w:t>
      </w:r>
      <w:r>
        <w:tab/>
        <w:t>there is no inflammable material within 2 m of the incinerator while it is in use; and</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 of the fire at any time while the fire is burning; and</w:t>
      </w:r>
    </w:p>
    <w:p>
      <w:pPr>
        <w:pStyle w:val="Indenta"/>
      </w:pPr>
      <w:r>
        <w:tab/>
        <w:t>(b)</w:t>
      </w:r>
      <w:r>
        <w:tab/>
        <w:t>the fire is lit between 6 p.m. and 11 p.m. and is completely extinguished before midnight on the same day; and</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No. 38 of 2002 s. 24.]</w:t>
      </w:r>
    </w:p>
    <w:p>
      <w:pPr>
        <w:pStyle w:val="Heading5"/>
        <w:spacing w:before="260"/>
      </w:pPr>
      <w:bookmarkStart w:id="45" w:name="_Toc111797648"/>
      <w:r>
        <w:rPr>
          <w:rStyle w:val="CharSectno"/>
        </w:rPr>
        <w:t>24G</w:t>
      </w:r>
      <w:r>
        <w:t>.</w:t>
      </w:r>
      <w:r>
        <w:tab/>
        <w:t>Minister or local government may further restrict burning of garden refuse</w:t>
      </w:r>
      <w:bookmarkEnd w:id="45"/>
    </w:p>
    <w:p>
      <w:pPr>
        <w:pStyle w:val="Subsection"/>
        <w:spacing w:before="180"/>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spacing w:before="180"/>
      </w:pPr>
      <w:r>
        <w:lastRenderedPageBreak/>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spacing w:before="180"/>
      </w:pPr>
      <w:r>
        <w:tab/>
        <w:t>(3)</w:t>
      </w:r>
      <w:r>
        <w:tab/>
        <w:t>A person must not burn garden refuse contrary to a prohibition or restriction imposed under this section.</w:t>
      </w:r>
    </w:p>
    <w:p>
      <w:pPr>
        <w:pStyle w:val="Penstart"/>
      </w:pPr>
      <w:r>
        <w:tab/>
        <w:t>Penalty: $3 000.</w:t>
      </w:r>
    </w:p>
    <w:p>
      <w:pPr>
        <w:pStyle w:val="Subsection"/>
        <w:spacing w:before="180"/>
      </w:pPr>
      <w:r>
        <w:tab/>
        <w:t>(4)</w:t>
      </w:r>
      <w:r>
        <w:tab/>
        <w:t>In a notice under this section the Minister or a local government must specify —</w:t>
      </w:r>
    </w:p>
    <w:p>
      <w:pPr>
        <w:pStyle w:val="Indenta"/>
      </w:pPr>
      <w:r>
        <w:tab/>
        <w:t>(a)</w:t>
      </w:r>
      <w:r>
        <w:tab/>
        <w:t>the person or class of persons to whom; and</w:t>
      </w:r>
    </w:p>
    <w:p>
      <w:pPr>
        <w:pStyle w:val="Indenta"/>
      </w:pPr>
      <w:r>
        <w:tab/>
        <w:t>(b)</w:t>
      </w:r>
      <w:r>
        <w:tab/>
        <w:t>the area in which; and</w:t>
      </w:r>
    </w:p>
    <w:p>
      <w:pPr>
        <w:pStyle w:val="Indenta"/>
      </w:pPr>
      <w:r>
        <w:tab/>
        <w:t>(c)</w:t>
      </w:r>
      <w:r>
        <w:tab/>
        <w:t>the period during which,</w:t>
      </w:r>
    </w:p>
    <w:p>
      <w:pPr>
        <w:pStyle w:val="Subsection"/>
        <w:spacing w:before="180"/>
      </w:pPr>
      <w:r>
        <w:tab/>
      </w:r>
      <w:r>
        <w:tab/>
        <w:t>the notice applies.</w:t>
      </w:r>
    </w:p>
    <w:p>
      <w:pPr>
        <w:pStyle w:val="Subsection"/>
        <w:spacing w:before="180"/>
      </w:pPr>
      <w:r>
        <w:tab/>
        <w:t>(5)</w:t>
      </w:r>
      <w:r>
        <w:tab/>
        <w:t>The Minister or a local government may vary or cancel a notice under subsection (1) or (2) by publishing a further notice under the relevant subsection.</w:t>
      </w:r>
    </w:p>
    <w:p>
      <w:pPr>
        <w:pStyle w:val="Footnotesection"/>
        <w:ind w:left="890" w:hanging="890"/>
      </w:pPr>
      <w:r>
        <w:tab/>
        <w:t>[Section 24G inserted: No. 38 of 2002 s. 24; amended: No. 22 of 2012 s. 55.]</w:t>
      </w:r>
    </w:p>
    <w:p>
      <w:pPr>
        <w:pStyle w:val="Heading5"/>
        <w:spacing w:before="240"/>
        <w:rPr>
          <w:snapToGrid w:val="0"/>
        </w:rPr>
      </w:pPr>
      <w:bookmarkStart w:id="46" w:name="_Toc111797649"/>
      <w:r>
        <w:rPr>
          <w:rStyle w:val="CharSectno"/>
        </w:rPr>
        <w:t>25</w:t>
      </w:r>
      <w:r>
        <w:rPr>
          <w:snapToGrid w:val="0"/>
        </w:rPr>
        <w:t>.</w:t>
      </w:r>
      <w:r>
        <w:rPr>
          <w:snapToGrid w:val="0"/>
        </w:rPr>
        <w:tab/>
        <w:t>No fire to be lit in open air unless certain precautions taken</w:t>
      </w:r>
      <w:bookmarkEnd w:id="46"/>
    </w:p>
    <w:p>
      <w:pPr>
        <w:pStyle w:val="Subsection"/>
        <w:spacing w:before="18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 of a log or stump and unless and until a space of ground around the site of the fire having a radius of at least 3 m from the site as the centre, is cleared of all bush and other inflammable material, and when for any day, or any period of a day, the fire danger </w:t>
      </w:r>
      <w:r>
        <w:rPr>
          <w:snapToGrid w:val="0"/>
        </w:rPr>
        <w:lastRenderedPageBreak/>
        <w:t xml:space="preserve">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w:t>
      </w:r>
    </w:p>
    <w:p>
      <w:pPr>
        <w:pStyle w:val="Indenti"/>
        <w:rPr>
          <w:snapToGrid w:val="0"/>
        </w:rPr>
      </w:pPr>
      <w:r>
        <w:rPr>
          <w:snapToGrid w:val="0"/>
        </w:rPr>
        <w:tab/>
        <w:t>(ii)</w:t>
      </w:r>
      <w:r>
        <w:rPr>
          <w:snapToGrid w:val="0"/>
        </w:rPr>
        <w:tab/>
      </w:r>
      <w:r>
        <w:t>within</w:t>
      </w:r>
      <w:r>
        <w:rPr>
          <w:snapToGrid w:val="0"/>
        </w:rPr>
        <w:t xml:space="preserve"> a distance of 6 m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lastRenderedPageBreak/>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 xml:space="preserve">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w:t>
      </w:r>
      <w:r>
        <w:rPr>
          <w:snapToGrid w:val="0"/>
        </w:rPr>
        <w:lastRenderedPageBreak/>
        <w:t>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lastRenderedPageBreak/>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No. 11 of 1963 s. 12; No. 15 of 1965 s. 2; No. 113 of 1965 s. 8(1); No. 101 of 1969 s. 5; No. 67 of 1970 s. 2; No. 94 of 1972 s. 4 (as amended: No. 83 of 1973 s. 3); No. 65 of 1977 s. 21, 47 and 48; No. 51 of 1979 s. 5; No. 8 of 1987 s. 8; No. 60 of 1992 s. 23; No. 14 of 1996 s. 4; No. 57 of 1997 s. 26(1); No. 10 of 1998 s. 20(1); No. 38 of 2002 s. 25, 39 and 40; No. 25 of 2009 s. 10; No. 19 of 2010 s. 52(4).]</w:t>
      </w:r>
    </w:p>
    <w:p>
      <w:pPr>
        <w:pStyle w:val="Heading5"/>
        <w:rPr>
          <w:snapToGrid w:val="0"/>
        </w:rPr>
      </w:pPr>
      <w:bookmarkStart w:id="47" w:name="_Toc111797650"/>
      <w:r>
        <w:rPr>
          <w:rStyle w:val="CharSectno"/>
        </w:rPr>
        <w:t>25A</w:t>
      </w:r>
      <w:r>
        <w:rPr>
          <w:snapToGrid w:val="0"/>
        </w:rPr>
        <w:t>.</w:t>
      </w:r>
      <w:r>
        <w:rPr>
          <w:snapToGrid w:val="0"/>
        </w:rPr>
        <w:tab/>
        <w:t>Power of Minister to exempt from provisions of section 25</w:t>
      </w:r>
      <w:bookmarkEnd w:id="47"/>
    </w:p>
    <w:p>
      <w:pPr>
        <w:pStyle w:val="Subsection"/>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 and</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rPr>
          <w:snapToGrid w:val="0"/>
        </w:rPr>
      </w:pPr>
      <w:r>
        <w:rPr>
          <w:snapToGrid w:val="0"/>
        </w:rPr>
        <w:tab/>
        <w:t>(2)</w:t>
      </w:r>
      <w:r>
        <w:rPr>
          <w:snapToGrid w:val="0"/>
        </w:rPr>
        <w:tab/>
        <w:t>An exemption granted by the Minister under this section —</w:t>
      </w:r>
    </w:p>
    <w:p>
      <w:pPr>
        <w:pStyle w:val="Indenta"/>
        <w:rPr>
          <w:snapToGrid w:val="0"/>
        </w:rPr>
      </w:pPr>
      <w:r>
        <w:rPr>
          <w:snapToGrid w:val="0"/>
        </w:rPr>
        <w:tab/>
        <w:t>(a)</w:t>
      </w:r>
      <w:r>
        <w:rPr>
          <w:snapToGrid w:val="0"/>
        </w:rPr>
        <w:tab/>
        <w:t>shall be in writing signed by the Minister; and</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 and</w:t>
      </w:r>
    </w:p>
    <w:p>
      <w:pPr>
        <w:pStyle w:val="Indenta"/>
        <w:rPr>
          <w:snapToGrid w:val="0"/>
        </w:rPr>
      </w:pPr>
      <w:r>
        <w:rPr>
          <w:snapToGrid w:val="0"/>
        </w:rPr>
        <w:tab/>
        <w:t>(c)</w:t>
      </w:r>
      <w:r>
        <w:rPr>
          <w:snapToGrid w:val="0"/>
        </w:rPr>
        <w:tab/>
        <w:t>is subject to such conditions as the Minister thinks fit to impose and specifies in the exemption; and</w:t>
      </w:r>
    </w:p>
    <w:p>
      <w:pPr>
        <w:pStyle w:val="Indenta"/>
        <w:rPr>
          <w:snapToGrid w:val="0"/>
        </w:rPr>
      </w:pPr>
      <w:r>
        <w:rPr>
          <w:snapToGrid w:val="0"/>
        </w:rPr>
        <w:lastRenderedPageBreak/>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keepNext/>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No. 15 of 1965 s. 3; amended: No. 113 of 1965 s. 8(1); No. 65 of 1977 s. 22 and 48; No. 8 of 1987 s. 8; No. 14 of 1996 s. 4; No. 42 of 1998 s. 16; No. 38 of 2002 s. 26 and 39; No. 22 of 2012 s. 56.]</w:t>
      </w:r>
    </w:p>
    <w:p>
      <w:pPr>
        <w:pStyle w:val="Ednotesection"/>
        <w:ind w:left="890" w:hanging="890"/>
      </w:pPr>
      <w:r>
        <w:t>[</w:t>
      </w:r>
      <w:r>
        <w:rPr>
          <w:b/>
        </w:rPr>
        <w:t>25B.</w:t>
      </w:r>
      <w:r>
        <w:tab/>
        <w:t>Deleted: No. 38 of 2002 s. 27(1).]</w:t>
      </w:r>
    </w:p>
    <w:p>
      <w:pPr>
        <w:pStyle w:val="Heading5"/>
        <w:rPr>
          <w:snapToGrid w:val="0"/>
        </w:rPr>
      </w:pPr>
      <w:bookmarkStart w:id="48" w:name="_Toc111797651"/>
      <w:r>
        <w:rPr>
          <w:rStyle w:val="CharSectno"/>
        </w:rPr>
        <w:lastRenderedPageBreak/>
        <w:t>26</w:t>
      </w:r>
      <w:r>
        <w:rPr>
          <w:snapToGrid w:val="0"/>
        </w:rPr>
        <w:t>.</w:t>
      </w:r>
      <w:r>
        <w:rPr>
          <w:snapToGrid w:val="0"/>
        </w:rPr>
        <w:tab/>
        <w:t>Burning of plants to eradicate disease during prohibited burning times</w:t>
      </w:r>
      <w:bookmarkEnd w:id="48"/>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pPr>
      <w:r>
        <w:tab/>
        <w:t>(5)</w:t>
      </w:r>
      <w:r>
        <w:tab/>
        <w:t xml:space="preserve">In this section </w:t>
      </w:r>
      <w:r>
        <w:rPr>
          <w:b/>
          <w:i/>
        </w:rPr>
        <w:t>plant</w:t>
      </w:r>
      <w:r>
        <w:t xml:space="preserve"> does not include a plant that is a declared pest as that term is defined by the </w:t>
      </w:r>
      <w:r>
        <w:rPr>
          <w:i/>
          <w:iCs/>
        </w:rPr>
        <w:t>Biosecurity and Agriculture Management Act 2007</w:t>
      </w:r>
      <w:r>
        <w:t>.</w:t>
      </w:r>
    </w:p>
    <w:p>
      <w:pPr>
        <w:pStyle w:val="Footnotesection"/>
        <w:ind w:left="890" w:hanging="890"/>
      </w:pPr>
      <w:r>
        <w:tab/>
        <w:t>[Section 26 amended: No. 35 of 1957 s. 5; No. 113 of 1965 s. 8(1); No. 65 of 1977 s. 23 and 48;  No. 24 of 2007 s. 28(2); No. 38 of 2002 s. 39.]</w:t>
      </w:r>
    </w:p>
    <w:p>
      <w:pPr>
        <w:pStyle w:val="Heading5"/>
        <w:spacing w:before="180"/>
        <w:rPr>
          <w:snapToGrid w:val="0"/>
        </w:rPr>
      </w:pPr>
      <w:bookmarkStart w:id="49" w:name="_Toc111797652"/>
      <w:r>
        <w:rPr>
          <w:rStyle w:val="CharSectno"/>
        </w:rPr>
        <w:lastRenderedPageBreak/>
        <w:t>26A</w:t>
      </w:r>
      <w:r>
        <w:rPr>
          <w:snapToGrid w:val="0"/>
        </w:rPr>
        <w:t>.</w:t>
      </w:r>
      <w:r>
        <w:rPr>
          <w:snapToGrid w:val="0"/>
        </w:rPr>
        <w:tab/>
        <w:t>Burning of declared plants during prohibited burning times</w:t>
      </w:r>
      <w:bookmarkEnd w:id="49"/>
    </w:p>
    <w:p>
      <w:pPr>
        <w:pStyle w:val="Subsection"/>
        <w:rPr>
          <w:snapToGrid w:val="0"/>
        </w:rPr>
      </w:pPr>
      <w:r>
        <w:rPr>
          <w:snapToGrid w:val="0"/>
        </w:rPr>
        <w:tab/>
        <w:t>(1)</w:t>
      </w:r>
      <w:r>
        <w:rPr>
          <w:snapToGrid w:val="0"/>
        </w:rPr>
        <w:tab/>
      </w:r>
      <w:r>
        <w:t xml:space="preserve">A plant that is a declared pest as that term is defined by the </w:t>
      </w:r>
      <w:r>
        <w:rPr>
          <w:i/>
          <w:iCs/>
        </w:rPr>
        <w:t>Biosecurity and Agriculture Management Act 2007</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[Section 26A inserted: No. 65 of 1977 s. 24; amended: No. 38 of 2002 s. 39; No. 24 of 2007 s. 28(3).]</w:t>
      </w:r>
    </w:p>
    <w:p>
      <w:pPr>
        <w:pStyle w:val="Heading3"/>
        <w:spacing w:before="200"/>
      </w:pPr>
      <w:bookmarkStart w:id="50" w:name="_Toc111796982"/>
      <w:bookmarkStart w:id="51" w:name="_Toc111797653"/>
      <w:r>
        <w:rPr>
          <w:rStyle w:val="CharDivNo"/>
        </w:rPr>
        <w:t>Division 6</w:t>
      </w:r>
      <w:r>
        <w:rPr>
          <w:snapToGrid w:val="0"/>
        </w:rPr>
        <w:t> — </w:t>
      </w:r>
      <w:r>
        <w:rPr>
          <w:rStyle w:val="CharDivText"/>
        </w:rPr>
        <w:t>General restrictions, prohibitions and offences</w:t>
      </w:r>
      <w:bookmarkEnd w:id="50"/>
      <w:bookmarkEnd w:id="51"/>
    </w:p>
    <w:p>
      <w:pPr>
        <w:pStyle w:val="Heading5"/>
        <w:spacing w:before="180"/>
        <w:rPr>
          <w:snapToGrid w:val="0"/>
        </w:rPr>
      </w:pPr>
      <w:bookmarkStart w:id="52" w:name="_Toc111797654"/>
      <w:r>
        <w:rPr>
          <w:rStyle w:val="CharSectno"/>
        </w:rPr>
        <w:t>27</w:t>
      </w:r>
      <w:r>
        <w:rPr>
          <w:snapToGrid w:val="0"/>
        </w:rPr>
        <w:t>.</w:t>
      </w:r>
      <w:r>
        <w:rPr>
          <w:snapToGrid w:val="0"/>
        </w:rPr>
        <w:tab/>
        <w:t>Prohibition on use of tractors or engines except under certain conditions</w:t>
      </w:r>
      <w:bookmarkEnd w:id="52"/>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rPr>
          <w:snapToGrid w:val="0"/>
        </w:rPr>
      </w:pPr>
      <w:r>
        <w:rPr>
          <w:snapToGrid w:val="0"/>
        </w:rPr>
        <w:tab/>
        <w:t>(a)</w:t>
      </w:r>
      <w:r>
        <w:rPr>
          <w:snapToGrid w:val="0"/>
        </w:rPr>
        <w:tab/>
        <w:t>a tractor or self</w:t>
      </w:r>
      <w:r>
        <w:rPr>
          <w:snapToGrid w:val="0"/>
        </w:rPr>
        <w:noBreakHyphen/>
        <w:t>propelled harvester unless —</w:t>
      </w:r>
    </w:p>
    <w:p>
      <w:pPr>
        <w:pStyle w:val="Indenti"/>
        <w:rPr>
          <w:snapToGrid w:val="0"/>
        </w:rPr>
      </w:pPr>
      <w:r>
        <w:rPr>
          <w:snapToGrid w:val="0"/>
        </w:rPr>
        <w:tab/>
        <w:t>(i)</w:t>
      </w:r>
      <w:r>
        <w:rPr>
          <w:snapToGrid w:val="0"/>
        </w:rPr>
        <w:tab/>
        <w:t>its exhaust system, including pipes, is maintained in sound and efficient condition; and</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 above the ground, so as to discharge exhaust emissions horizontally or in a direction upwards of the horizontal plane;</w:t>
      </w:r>
    </w:p>
    <w:p>
      <w:pPr>
        <w:pStyle w:val="Indenta"/>
        <w:rPr>
          <w:snapToGrid w:val="0"/>
        </w:rPr>
      </w:pPr>
      <w:r>
        <w:rPr>
          <w:snapToGrid w:val="0"/>
        </w:rPr>
        <w:lastRenderedPageBreak/>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 and</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keepLines/>
        <w:rPr>
          <w:snapToGrid w:val="0"/>
        </w:rPr>
      </w:pPr>
      <w:r>
        <w:rPr>
          <w:snapToGrid w:val="0"/>
        </w:rPr>
        <w:lastRenderedPageBreak/>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No. 11 of 1963 s. 13; No. 65 of 1977 s. 25; No. 51 of 1979 s. 2; No. 95 of 1981 s. 2; No. 8 of 1987 s. 8; No. 14 of 1996 s. 4; No. 38 of 2002 s. 39.]</w:t>
      </w:r>
    </w:p>
    <w:p>
      <w:pPr>
        <w:pStyle w:val="Heading5"/>
        <w:rPr>
          <w:snapToGrid w:val="0"/>
        </w:rPr>
      </w:pPr>
      <w:bookmarkStart w:id="53" w:name="_Toc111797655"/>
      <w:r>
        <w:rPr>
          <w:rStyle w:val="CharSectno"/>
        </w:rPr>
        <w:lastRenderedPageBreak/>
        <w:t>27A</w:t>
      </w:r>
      <w:r>
        <w:rPr>
          <w:snapToGrid w:val="0"/>
        </w:rPr>
        <w:t>.</w:t>
      </w:r>
      <w:r>
        <w:rPr>
          <w:snapToGrid w:val="0"/>
        </w:rPr>
        <w:tab/>
        <w:t>Regulation of blasting and matters likely to create bush fire danger</w:t>
      </w:r>
      <w:bookmarkEnd w:id="53"/>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No. 35 of 1957 s. 6; amended: No. 113 of 1965 s. 8; No. 65 of 1977 s. 26 and 48; No. 8 of 1987 s. 8(1); No. 38 of 2002 s. 39 and 40(2).]</w:t>
      </w:r>
    </w:p>
    <w:p>
      <w:pPr>
        <w:pStyle w:val="Heading5"/>
        <w:rPr>
          <w:snapToGrid w:val="0"/>
        </w:rPr>
      </w:pPr>
      <w:bookmarkStart w:id="54" w:name="_Toc111797656"/>
      <w:r>
        <w:rPr>
          <w:rStyle w:val="CharSectno"/>
        </w:rPr>
        <w:t>27B</w:t>
      </w:r>
      <w:r>
        <w:rPr>
          <w:snapToGrid w:val="0"/>
        </w:rPr>
        <w:t>.</w:t>
      </w:r>
      <w:r>
        <w:rPr>
          <w:snapToGrid w:val="0"/>
        </w:rPr>
        <w:tab/>
        <w:t>False alarms</w:t>
      </w:r>
      <w:bookmarkEnd w:id="54"/>
    </w:p>
    <w:p>
      <w:pPr>
        <w:pStyle w:val="Subsection"/>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 xml:space="preserve">authorised </w:t>
      </w:r>
      <w:r>
        <w:lastRenderedPageBreak/>
        <w:t>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 No. 35 of 1957 s. 6; amended: No. 113 of 1965 s. 8(1); No. 65 of 1977 s. 47 and 48; No. 8 of 1987 s. 8; No. 14 of 1996 s. 4; No. 42 of 1998 s. 16; No. 38 of 2002 s. 39 and 40(2); No. 22 of 2012 s. 57 and 69.]</w:t>
      </w:r>
    </w:p>
    <w:p>
      <w:pPr>
        <w:pStyle w:val="Heading5"/>
        <w:rPr>
          <w:snapToGrid w:val="0"/>
        </w:rPr>
      </w:pPr>
      <w:bookmarkStart w:id="55" w:name="_Toc111797657"/>
      <w:r>
        <w:rPr>
          <w:rStyle w:val="CharSectno"/>
        </w:rPr>
        <w:t>27C</w:t>
      </w:r>
      <w:r>
        <w:rPr>
          <w:snapToGrid w:val="0"/>
        </w:rPr>
        <w:t>.</w:t>
      </w:r>
      <w:r>
        <w:rPr>
          <w:snapToGrid w:val="0"/>
        </w:rPr>
        <w:tab/>
        <w:t>Vandalism</w:t>
      </w:r>
      <w:bookmarkEnd w:id="55"/>
    </w:p>
    <w:p>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 No. 35 of 1957 s. 6; amended: No. 8 of 1987 s. 8; No. 14 of 1996 s. 4; No. 42 of 1998 s. 16; No. 38 of 2002 s. 39; No. 22 of 2012 s. 69.]</w:t>
      </w:r>
    </w:p>
    <w:p>
      <w:pPr>
        <w:pStyle w:val="Heading5"/>
        <w:rPr>
          <w:snapToGrid w:val="0"/>
        </w:rPr>
      </w:pPr>
      <w:bookmarkStart w:id="56" w:name="_Toc111797658"/>
      <w:r>
        <w:rPr>
          <w:rStyle w:val="CharSectno"/>
        </w:rPr>
        <w:lastRenderedPageBreak/>
        <w:t>27D</w:t>
      </w:r>
      <w:r>
        <w:rPr>
          <w:snapToGrid w:val="0"/>
        </w:rPr>
        <w:t>.</w:t>
      </w:r>
      <w:r>
        <w:rPr>
          <w:snapToGrid w:val="0"/>
        </w:rPr>
        <w:tab/>
        <w:t>Requirements for carriage and deposit of incendiary material</w:t>
      </w:r>
      <w:bookmarkEnd w:id="56"/>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 and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w:t>
      </w:r>
    </w:p>
    <w:p>
      <w:pPr>
        <w:pStyle w:val="Penstart"/>
        <w:keepNext/>
        <w:keepLines/>
        <w:rPr>
          <w:snapToGrid w:val="0"/>
        </w:rPr>
      </w:pPr>
      <w:r>
        <w:rPr>
          <w:snapToGrid w:val="0"/>
        </w:rPr>
        <w:tab/>
        <w:t>Penalty: $1 000.</w:t>
      </w:r>
    </w:p>
    <w:p>
      <w:pPr>
        <w:pStyle w:val="Footnotesection"/>
      </w:pPr>
      <w:r>
        <w:tab/>
        <w:t>[Section 27D inserted: No. 101 of 1969 s. 7; amended: No. 94 of 1972 s. 4 (as amended: No. 83 of 1973 s. 3); No. 65 of 1977 s. 47 and 48; No. 8 of 1987 s. 8; No. 14 of 1996 s. 4; No. 38 of 2002 s. 40(1).]</w:t>
      </w:r>
    </w:p>
    <w:p>
      <w:pPr>
        <w:pStyle w:val="Heading5"/>
        <w:rPr>
          <w:snapToGrid w:val="0"/>
        </w:rPr>
      </w:pPr>
      <w:bookmarkStart w:id="57" w:name="_Toc111797659"/>
      <w:r>
        <w:rPr>
          <w:rStyle w:val="CharSectno"/>
        </w:rPr>
        <w:lastRenderedPageBreak/>
        <w:t>28</w:t>
      </w:r>
      <w:r>
        <w:rPr>
          <w:snapToGrid w:val="0"/>
        </w:rPr>
        <w:t>.</w:t>
      </w:r>
      <w:r>
        <w:rPr>
          <w:snapToGrid w:val="0"/>
        </w:rPr>
        <w:tab/>
        <w:t>Occupier of land to extinguish bush fire occurring on own land</w:t>
      </w:r>
      <w:bookmarkEnd w:id="57"/>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km of the land where the fire is burning may enter upon the land where the fire is burning and take all proper measures to extinguish it.</w:t>
      </w:r>
    </w:p>
    <w:p>
      <w:pPr>
        <w:pStyle w:val="Subsection"/>
        <w:rPr>
          <w:snapToGrid w:val="0"/>
        </w:rPr>
      </w:pPr>
      <w:r>
        <w:rPr>
          <w:snapToGrid w:val="0"/>
        </w:rPr>
        <w:lastRenderedPageBreak/>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No. 11 of 1963 s. 14; No. 113 of 1965 s. 8(1); No. 94 of 1972 s. 4 (as amended: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 No. 65 of 1977 s. 28.]</w:t>
      </w:r>
    </w:p>
    <w:p>
      <w:pPr>
        <w:pStyle w:val="Heading5"/>
        <w:spacing w:before="240"/>
        <w:rPr>
          <w:snapToGrid w:val="0"/>
        </w:rPr>
      </w:pPr>
      <w:bookmarkStart w:id="58" w:name="_Toc111797660"/>
      <w:r>
        <w:rPr>
          <w:rStyle w:val="CharSectno"/>
        </w:rPr>
        <w:t>30</w:t>
      </w:r>
      <w:r>
        <w:rPr>
          <w:snapToGrid w:val="0"/>
        </w:rPr>
        <w:t>.</w:t>
      </w:r>
      <w:r>
        <w:rPr>
          <w:snapToGrid w:val="0"/>
        </w:rPr>
        <w:tab/>
        <w:t>Disposal of burning cigarettes etc.</w:t>
      </w:r>
      <w:bookmarkEnd w:id="58"/>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No. 65 of 1977 s. 29; amended: No. 8 of 1987 s. 8; No. 38 of 2002 s. 39.]</w:t>
      </w:r>
    </w:p>
    <w:p>
      <w:pPr>
        <w:pStyle w:val="Ednotesection"/>
      </w:pPr>
      <w:r>
        <w:t>[</w:t>
      </w:r>
      <w:r>
        <w:rPr>
          <w:b/>
        </w:rPr>
        <w:t>31.</w:t>
      </w:r>
      <w:r>
        <w:tab/>
        <w:t>Deleted: No. 65 of 1977 s. 30.]</w:t>
      </w:r>
    </w:p>
    <w:p>
      <w:pPr>
        <w:pStyle w:val="Heading5"/>
        <w:spacing w:before="240"/>
        <w:rPr>
          <w:snapToGrid w:val="0"/>
        </w:rPr>
      </w:pPr>
      <w:bookmarkStart w:id="59" w:name="_Toc111797661"/>
      <w:r>
        <w:rPr>
          <w:rStyle w:val="CharSectno"/>
        </w:rPr>
        <w:lastRenderedPageBreak/>
        <w:t>32</w:t>
      </w:r>
      <w:r>
        <w:rPr>
          <w:snapToGrid w:val="0"/>
        </w:rPr>
        <w:t>.</w:t>
      </w:r>
      <w:r>
        <w:rPr>
          <w:snapToGrid w:val="0"/>
        </w:rPr>
        <w:tab/>
        <w:t>Offences of lighting or attempting to light fire likely to injure</w:t>
      </w:r>
      <w:bookmarkEnd w:id="59"/>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No. 113 of 1965 s. 8(1); No. 65 of 1977 s. 31 and 48; No. 8 of 1987 s. 8; No. 101 of 1990 s. 56; No. 4 of 2004 s. 58; No. 25 of 2009 s. 11; No. 43 of 2009 s. 4.]</w:t>
      </w:r>
    </w:p>
    <w:p>
      <w:pPr>
        <w:pStyle w:val="Heading5"/>
        <w:rPr>
          <w:snapToGrid w:val="0"/>
        </w:rPr>
      </w:pPr>
      <w:bookmarkStart w:id="60" w:name="_Toc111797662"/>
      <w:r>
        <w:rPr>
          <w:rStyle w:val="CharSectno"/>
        </w:rPr>
        <w:t>33</w:t>
      </w:r>
      <w:r>
        <w:rPr>
          <w:snapToGrid w:val="0"/>
        </w:rPr>
        <w:t>.</w:t>
      </w:r>
      <w:r>
        <w:rPr>
          <w:snapToGrid w:val="0"/>
        </w:rPr>
        <w:tab/>
        <w:t>Local government may require occupier of land to plough or clear fire</w:t>
      </w:r>
      <w:r>
        <w:rPr>
          <w:snapToGrid w:val="0"/>
        </w:rPr>
        <w:noBreakHyphen/>
        <w:t>break</w:t>
      </w:r>
      <w:bookmarkEnd w:id="60"/>
    </w:p>
    <w:p>
      <w:pPr>
        <w:pStyle w:val="Subsection"/>
        <w:spacing w:before="120"/>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w:t>
      </w:r>
      <w:r>
        <w:rPr>
          <w:snapToGrid w:val="0"/>
        </w:rPr>
        <w:lastRenderedPageBreak/>
        <w:t>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spacing w:before="120"/>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spacing w:before="120"/>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lastRenderedPageBreak/>
        <w:tab/>
        <w:t>Penalty: $5 000.</w:t>
      </w:r>
    </w:p>
    <w:p>
      <w:pPr>
        <w:pStyle w:val="Subsection"/>
        <w:spacing w:before="180"/>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spacing w:before="180"/>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keepNext/>
        <w:spacing w:before="120"/>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 xml:space="preserve">breaks in such manner, at such places, at such times, of such dimensions and to such number, and whether in parallel or otherwise, as are specified in the </w:t>
      </w:r>
      <w:r>
        <w:rPr>
          <w:snapToGrid w:val="0"/>
        </w:rPr>
        <w:lastRenderedPageBreak/>
        <w:t>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keepNext/>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keepNext/>
        <w:spacing w:before="180"/>
        <w:rPr>
          <w:snapToGrid w:val="0"/>
        </w:rPr>
      </w:pPr>
      <w:r>
        <w:rPr>
          <w:snapToGrid w:val="0"/>
        </w:rPr>
        <w:lastRenderedPageBreak/>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 and</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No. 11 of 1963 s. 15; No. 113 of 1965 s. 8(1); No. 65 of 1977 s. 32 and 48; No. 51 of 1979 s. 3 and 5; No. 8 of 1987 s. 8; No. 14 of 1996 s. 4; No. 38 of 2002 s. 28 and 39; No. 70 of 2003 s. 7; No. 19 of 2010 s. 52(4).]</w:t>
      </w:r>
    </w:p>
    <w:p>
      <w:pPr>
        <w:pStyle w:val="Heading5"/>
        <w:rPr>
          <w:snapToGrid w:val="0"/>
        </w:rPr>
      </w:pPr>
      <w:bookmarkStart w:id="61" w:name="_Toc111797663"/>
      <w:r>
        <w:rPr>
          <w:rStyle w:val="CharSectno"/>
        </w:rPr>
        <w:t>34</w:t>
      </w:r>
      <w:r>
        <w:rPr>
          <w:snapToGrid w:val="0"/>
        </w:rPr>
        <w:t>.</w:t>
      </w:r>
      <w:r>
        <w:rPr>
          <w:snapToGrid w:val="0"/>
        </w:rPr>
        <w:tab/>
        <w:t>Burning on Crown lands</w:t>
      </w:r>
      <w:bookmarkEnd w:id="61"/>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 in width situated not more than 200 m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lastRenderedPageBreak/>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keepNext/>
        <w:spacing w:before="180"/>
        <w:rPr>
          <w:snapToGrid w:val="0"/>
        </w:rPr>
      </w:pPr>
      <w:r>
        <w:rPr>
          <w:snapToGrid w:val="0"/>
        </w:rPr>
        <w:lastRenderedPageBreak/>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No. 11 of 1963 s. 16; No. 94 of 1972 s. 4 (as amended: No. 83 of 1973 s. 3); No. 65 of 1977 s. 33; No. 51 of 1979 s. 5; No. 14 of 1996 s. 4; No. 42 of 1998 s. 16; No. 28 of 2006 s. 389; No. 19 of 2010 s. 52(4); No. 22 of 2012 s. 69.]</w:t>
      </w:r>
    </w:p>
    <w:p>
      <w:pPr>
        <w:pStyle w:val="Heading5"/>
        <w:rPr>
          <w:snapToGrid w:val="0"/>
        </w:rPr>
      </w:pPr>
      <w:bookmarkStart w:id="62" w:name="_Toc111797664"/>
      <w:r>
        <w:rPr>
          <w:rStyle w:val="CharSectno"/>
        </w:rPr>
        <w:t>35</w:t>
      </w:r>
      <w:r>
        <w:rPr>
          <w:snapToGrid w:val="0"/>
        </w:rPr>
        <w:t>.</w:t>
      </w:r>
      <w:r>
        <w:rPr>
          <w:snapToGrid w:val="0"/>
        </w:rPr>
        <w:tab/>
        <w:t>Powers of FES Commissioner on default by local government</w:t>
      </w:r>
      <w:bookmarkEnd w:id="62"/>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lastRenderedPageBreak/>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lastRenderedPageBreak/>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 No. 65 of 1977 s. 34 and 47; No. 60 of 1992 s. 11; No. 14 of 1996 s. 4; No. 42 of 1998 s. 16; No. 19 of 2010 s. 52(4); No. 22 of 2012 s. 59 and 69.]</w:t>
      </w:r>
    </w:p>
    <w:p>
      <w:pPr>
        <w:pStyle w:val="Heading3"/>
        <w:rPr>
          <w:rStyle w:val="CharDivText"/>
        </w:rPr>
      </w:pPr>
      <w:bookmarkStart w:id="63" w:name="_Toc111796994"/>
      <w:bookmarkStart w:id="64" w:name="_Toc111797665"/>
      <w:r>
        <w:rPr>
          <w:rStyle w:val="CharDivNo"/>
        </w:rPr>
        <w:t>Division 7</w:t>
      </w:r>
      <w:r>
        <w:t> — </w:t>
      </w:r>
      <w:r>
        <w:rPr>
          <w:rStyle w:val="CharDivText"/>
        </w:rPr>
        <w:t>Bush fire risk treatment standards</w:t>
      </w:r>
      <w:bookmarkEnd w:id="63"/>
      <w:bookmarkEnd w:id="64"/>
    </w:p>
    <w:p>
      <w:pPr>
        <w:pStyle w:val="Footnoteheading"/>
      </w:pPr>
      <w:r>
        <w:tab/>
        <w:t>[Heading inserted: No. 27 of 2016 s. 4.]</w:t>
      </w:r>
    </w:p>
    <w:p>
      <w:pPr>
        <w:pStyle w:val="Heading5"/>
      </w:pPr>
      <w:bookmarkStart w:id="65" w:name="_Toc111797666"/>
      <w:r>
        <w:rPr>
          <w:rStyle w:val="CharSectno"/>
        </w:rPr>
        <w:t>35AA</w:t>
      </w:r>
      <w:r>
        <w:t>.</w:t>
      </w:r>
      <w:r>
        <w:tab/>
        <w:t>FES Commissioner may make bush fire risk treatment standards</w:t>
      </w:r>
      <w:bookmarkEnd w:id="65"/>
    </w:p>
    <w:p>
      <w:pPr>
        <w:pStyle w:val="Subsection"/>
      </w:pPr>
      <w:r>
        <w:tab/>
        <w:t>(1)</w:t>
      </w:r>
      <w:r>
        <w:tab/>
        <w:t>The FES Commissioner may make standards (</w:t>
      </w:r>
      <w:r>
        <w:rPr>
          <w:rStyle w:val="CharDefText"/>
        </w:rPr>
        <w:t>bush fire risk treatment standards</w:t>
      </w:r>
      <w:r>
        <w:t xml:space="preserve">) specifying measures for — </w:t>
      </w:r>
    </w:p>
    <w:p>
      <w:pPr>
        <w:pStyle w:val="Defpara"/>
      </w:pPr>
      <w:r>
        <w:tab/>
        <w:t>(a)</w:t>
      </w:r>
      <w:r>
        <w:tab/>
        <w:t>preventing the outbreak of a bush fire or the spread or extension of a bush fire; and</w:t>
      </w:r>
    </w:p>
    <w:p>
      <w:pPr>
        <w:pStyle w:val="Defpara"/>
      </w:pPr>
      <w:r>
        <w:tab/>
        <w:t>(b)</w:t>
      </w:r>
      <w:r>
        <w:tab/>
        <w:t>mitigating the effects of a bush fire on any property.</w:t>
      </w:r>
    </w:p>
    <w:p>
      <w:pPr>
        <w:pStyle w:val="Subsection"/>
      </w:pPr>
      <w:r>
        <w:tab/>
        <w:t>(2)</w:t>
      </w:r>
      <w:r>
        <w:tab/>
        <w:t xml:space="preserve">The measures that may be specified in bush fire risk treatment standards are — </w:t>
      </w:r>
    </w:p>
    <w:p>
      <w:pPr>
        <w:pStyle w:val="Indenta"/>
      </w:pPr>
      <w:r>
        <w:tab/>
        <w:t>(a)</w:t>
      </w:r>
      <w:r>
        <w:tab/>
        <w:t>all or any of the things mentioned in section 33(1)(a) and (b); and</w:t>
      </w:r>
    </w:p>
    <w:p>
      <w:pPr>
        <w:pStyle w:val="Indenta"/>
      </w:pPr>
      <w:r>
        <w:tab/>
        <w:t>(b)</w:t>
      </w:r>
      <w:r>
        <w:tab/>
        <w:t>any other measures the FES Commissioner considers appropriate.</w:t>
      </w:r>
    </w:p>
    <w:p>
      <w:pPr>
        <w:pStyle w:val="Subsection"/>
      </w:pPr>
      <w:r>
        <w:tab/>
        <w:t>(3)</w:t>
      </w:r>
      <w:r>
        <w:tab/>
        <w:t xml:space="preserve">Bush fire risk treatment standards may apply to — </w:t>
      </w:r>
    </w:p>
    <w:p>
      <w:pPr>
        <w:pStyle w:val="Indenta"/>
      </w:pPr>
      <w:r>
        <w:tab/>
        <w:t>(a)</w:t>
      </w:r>
      <w:r>
        <w:tab/>
        <w:t>the whole of the State; or</w:t>
      </w:r>
    </w:p>
    <w:p>
      <w:pPr>
        <w:pStyle w:val="Indenta"/>
      </w:pPr>
      <w:r>
        <w:tab/>
        <w:t>(b)</w:t>
      </w:r>
      <w:r>
        <w:tab/>
        <w:t>one or more specified areas of the State.</w:t>
      </w:r>
    </w:p>
    <w:p>
      <w:pPr>
        <w:pStyle w:val="Subsection"/>
      </w:pPr>
      <w:r>
        <w:tab/>
        <w:t>(4)</w:t>
      </w:r>
      <w:r>
        <w:tab/>
        <w:t>The FES Commissioner may amend bush fire risk treatment standards or revoke them and make new bush fire risk treatment standards.</w:t>
      </w:r>
    </w:p>
    <w:p>
      <w:pPr>
        <w:pStyle w:val="Subsection"/>
      </w:pPr>
      <w:r>
        <w:lastRenderedPageBreak/>
        <w:tab/>
        <w:t>(5)</w:t>
      </w:r>
      <w:r>
        <w:tab/>
        <w:t xml:space="preserve">If the FES Commissioner makes bush fire risk treatment standards, the FES Commissioner must publish those standards and any amendment or revocation of them — </w:t>
      </w:r>
    </w:p>
    <w:p>
      <w:pPr>
        <w:pStyle w:val="Indenta"/>
      </w:pPr>
      <w:r>
        <w:tab/>
        <w:t>(a)</w:t>
      </w:r>
      <w:r>
        <w:tab/>
        <w:t>in a newspaper circulating throughout the State or the relevant areas of the State, as the case requires; or</w:t>
      </w:r>
    </w:p>
    <w:p>
      <w:pPr>
        <w:pStyle w:val="Indenta"/>
      </w:pPr>
      <w:r>
        <w:tab/>
        <w:t>(b)</w:t>
      </w:r>
      <w:r>
        <w:tab/>
        <w:t>on a website maintained by the FES Commissioner; or</w:t>
      </w:r>
    </w:p>
    <w:p>
      <w:pPr>
        <w:pStyle w:val="Indenta"/>
      </w:pPr>
      <w:r>
        <w:tab/>
        <w:t>(c)</w:t>
      </w:r>
      <w:r>
        <w:tab/>
        <w:t>as the FES Commissioner otherwise considers appropriate.</w:t>
      </w:r>
    </w:p>
    <w:p>
      <w:pPr>
        <w:pStyle w:val="Subsection"/>
      </w:pPr>
      <w:r>
        <w:tab/>
        <w:t>(6)</w:t>
      </w:r>
      <w:r>
        <w:tab/>
        <w:t>The FES Commissioner must consult with the Minister before making, amending or revoking any bush fire risk treatment standards.</w:t>
      </w:r>
    </w:p>
    <w:p>
      <w:pPr>
        <w:pStyle w:val="Subsection"/>
      </w:pPr>
      <w:r>
        <w:tab/>
        <w:t>(7)</w:t>
      </w:r>
      <w:r>
        <w:tab/>
        <w:t xml:space="preserve">The </w:t>
      </w:r>
      <w:r>
        <w:rPr>
          <w:i/>
        </w:rPr>
        <w:t>Interpretation Act 1984</w:t>
      </w:r>
      <w:r>
        <w:t xml:space="preserve"> section 42 applies to and in relation to the bush fire risk treatment standards as if they were regulations.</w:t>
      </w:r>
    </w:p>
    <w:p>
      <w:pPr>
        <w:pStyle w:val="Footnotesection"/>
      </w:pPr>
      <w:r>
        <w:tab/>
        <w:t>[Section 35AA inserted: No. 27 of 2016 s. 4.]</w:t>
      </w:r>
    </w:p>
    <w:p>
      <w:pPr>
        <w:pStyle w:val="Heading5"/>
      </w:pPr>
      <w:bookmarkStart w:id="66" w:name="_Toc111797667"/>
      <w:r>
        <w:rPr>
          <w:rStyle w:val="CharSectno"/>
        </w:rPr>
        <w:t>35AB</w:t>
      </w:r>
      <w:r>
        <w:t>.</w:t>
      </w:r>
      <w:r>
        <w:tab/>
        <w:t>Compliance with bush fire risk treatment standards</w:t>
      </w:r>
      <w:bookmarkEnd w:id="66"/>
    </w:p>
    <w:p>
      <w:pPr>
        <w:pStyle w:val="Subsection"/>
      </w:pPr>
      <w:r>
        <w:tab/>
        <w:t>(1)</w:t>
      </w:r>
      <w:r>
        <w:tab/>
        <w:t xml:space="preserve">In this section — </w:t>
      </w:r>
    </w:p>
    <w:p>
      <w:pPr>
        <w:pStyle w:val="Defstart"/>
      </w:pPr>
      <w:r>
        <w:tab/>
      </w:r>
      <w:r>
        <w:rPr>
          <w:rStyle w:val="CharDefText"/>
        </w:rPr>
        <w:t>bush fire risk treatment standards</w:t>
      </w:r>
      <w:r>
        <w:t xml:space="preserve"> means bush fire risk treatment standards published under section 35AA(5);</w:t>
      </w:r>
    </w:p>
    <w:p>
      <w:pPr>
        <w:pStyle w:val="Defstart"/>
      </w:pPr>
      <w:r>
        <w:tab/>
      </w:r>
      <w:r>
        <w:rPr>
          <w:rStyle w:val="CharDefText"/>
        </w:rPr>
        <w:t>owner or occupier of land</w:t>
      </w:r>
      <w:r>
        <w:t xml:space="preserve"> includes a department of the Public Service that occupies land or a State agency or instrumentality that owns or occupies land.</w:t>
      </w:r>
    </w:p>
    <w:p>
      <w:pPr>
        <w:pStyle w:val="Subsection"/>
      </w:pPr>
      <w:r>
        <w:tab/>
        <w:t>(2)</w:t>
      </w:r>
      <w:r>
        <w:tab/>
        <w:t>An owner or occupier of land may comply with bush fire risk treatment standards that apply to the land, but is not required to do so.</w:t>
      </w:r>
    </w:p>
    <w:p>
      <w:pPr>
        <w:pStyle w:val="Subsection"/>
      </w:pPr>
      <w:r>
        <w:tab/>
        <w:t>(3)</w:t>
      </w:r>
      <w:r>
        <w:tab/>
        <w:t xml:space="preserve">Subsection (2) does not authorise an owner or occupier of land to comply with bush fire risk treatment standards that apply to the land if that compliance would result in the owner or occupier failing to comply with — </w:t>
      </w:r>
    </w:p>
    <w:p>
      <w:pPr>
        <w:pStyle w:val="Indenta"/>
      </w:pPr>
      <w:r>
        <w:tab/>
        <w:t>(a)</w:t>
      </w:r>
      <w:r>
        <w:tab/>
        <w:t>another provision of this Act that has effect in relation to the land; or</w:t>
      </w:r>
    </w:p>
    <w:p>
      <w:pPr>
        <w:pStyle w:val="Indenta"/>
      </w:pPr>
      <w:r>
        <w:lastRenderedPageBreak/>
        <w:tab/>
        <w:t>(b)</w:t>
      </w:r>
      <w:r>
        <w:tab/>
        <w:t>a provision of another written law that has effect in relation to the land and that is prescribed by the regulations for the purposes of this subsection; or</w:t>
      </w:r>
    </w:p>
    <w:p>
      <w:pPr>
        <w:pStyle w:val="Indenta"/>
      </w:pPr>
      <w:r>
        <w:tab/>
        <w:t>(c)</w:t>
      </w:r>
      <w:r>
        <w:tab/>
        <w:t>local laws referred to in section 33(5a) that apply to the land.</w:t>
      </w:r>
    </w:p>
    <w:p>
      <w:pPr>
        <w:pStyle w:val="Subsection"/>
      </w:pPr>
      <w:r>
        <w:tab/>
        <w:t>(4)</w:t>
      </w:r>
      <w:r>
        <w:tab/>
        <w:t>Except as provided in subsection (3), an owner or occupier of land may comply with bush fire risk treatment standards that apply to the land despite any other written law.</w:t>
      </w:r>
    </w:p>
    <w:p>
      <w:pPr>
        <w:pStyle w:val="Footnotesection"/>
      </w:pPr>
      <w:r>
        <w:tab/>
        <w:t>[Section 35AB inserted: No. 27 of 2016 s. 4.]</w:t>
      </w:r>
    </w:p>
    <w:p>
      <w:pPr>
        <w:pStyle w:val="Heading2"/>
      </w:pPr>
      <w:bookmarkStart w:id="67" w:name="_Toc111796997"/>
      <w:bookmarkStart w:id="68" w:name="_Toc111797668"/>
      <w:r>
        <w:rPr>
          <w:rStyle w:val="CharPartNo"/>
        </w:rPr>
        <w:lastRenderedPageBreak/>
        <w:t>Part IV</w:t>
      </w:r>
      <w:r>
        <w:t> — </w:t>
      </w:r>
      <w:r>
        <w:rPr>
          <w:rStyle w:val="CharPartText"/>
        </w:rPr>
        <w:t>Control and extinguishment of bush fires</w:t>
      </w:r>
      <w:bookmarkEnd w:id="67"/>
      <w:bookmarkEnd w:id="68"/>
    </w:p>
    <w:p>
      <w:pPr>
        <w:pStyle w:val="Heading3"/>
      </w:pPr>
      <w:bookmarkStart w:id="69" w:name="_Toc111796998"/>
      <w:bookmarkStart w:id="70" w:name="_Toc111797669"/>
      <w:r>
        <w:rPr>
          <w:rStyle w:val="CharDivNo"/>
        </w:rPr>
        <w:t>Division 1</w:t>
      </w:r>
      <w:r>
        <w:rPr>
          <w:snapToGrid w:val="0"/>
        </w:rPr>
        <w:t> — </w:t>
      </w:r>
      <w:r>
        <w:rPr>
          <w:rStyle w:val="CharDivText"/>
        </w:rPr>
        <w:t>Local governments</w:t>
      </w:r>
      <w:bookmarkEnd w:id="69"/>
      <w:bookmarkEnd w:id="70"/>
    </w:p>
    <w:p>
      <w:pPr>
        <w:pStyle w:val="Footnoteheading"/>
        <w:ind w:left="890"/>
        <w:rPr>
          <w:snapToGrid w:val="0"/>
        </w:rPr>
      </w:pPr>
      <w:r>
        <w:rPr>
          <w:snapToGrid w:val="0"/>
        </w:rPr>
        <w:tab/>
        <w:t>[Heading amended: No. 14 of 1996 s. 4.]</w:t>
      </w:r>
    </w:p>
    <w:p>
      <w:pPr>
        <w:pStyle w:val="Heading5"/>
        <w:rPr>
          <w:snapToGrid w:val="0"/>
        </w:rPr>
      </w:pPr>
      <w:bookmarkStart w:id="71" w:name="_Toc111797670"/>
      <w:r>
        <w:rPr>
          <w:rStyle w:val="CharSectno"/>
        </w:rPr>
        <w:t>35A</w:t>
      </w:r>
      <w:r>
        <w:rPr>
          <w:snapToGrid w:val="0"/>
        </w:rPr>
        <w:t>.</w:t>
      </w:r>
      <w:r>
        <w:rPr>
          <w:snapToGrid w:val="0"/>
        </w:rPr>
        <w:tab/>
        <w:t>Terms used</w:t>
      </w:r>
      <w:bookmarkEnd w:id="71"/>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34(2) or 35(1) or a local law made under section 33(5a);</w:t>
      </w:r>
    </w:p>
    <w:p>
      <w:pPr>
        <w:pStyle w:val="Defpara"/>
      </w:pPr>
      <w:r>
        <w:tab/>
        <w:t>(d)</w:t>
      </w:r>
      <w:r>
        <w:tab/>
        <w:t>demonstrations, exercises, fundraising, promotions, public education, competitions or a training process for volunteers;</w:t>
      </w:r>
    </w:p>
    <w:p>
      <w:pPr>
        <w:pStyle w:val="Defpara"/>
      </w:pPr>
      <w:r>
        <w:lastRenderedPageBreak/>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No. 60 of 1992 s. 18; amended: No. 14 of 1996 s. 4; No. 27 of 2016 s. 5, No. 28 of 2016 s. 4.]</w:t>
      </w:r>
    </w:p>
    <w:p>
      <w:pPr>
        <w:pStyle w:val="Heading5"/>
        <w:rPr>
          <w:snapToGrid w:val="0"/>
        </w:rPr>
      </w:pPr>
      <w:bookmarkStart w:id="72" w:name="_Toc111797671"/>
      <w:r>
        <w:rPr>
          <w:rStyle w:val="CharSectno"/>
        </w:rPr>
        <w:t>36</w:t>
      </w:r>
      <w:r>
        <w:rPr>
          <w:snapToGrid w:val="0"/>
        </w:rPr>
        <w:t>.</w:t>
      </w:r>
      <w:r>
        <w:rPr>
          <w:snapToGrid w:val="0"/>
        </w:rPr>
        <w:tab/>
        <w:t>Local government may expend moneys in connection with control and extinguishment of bush fires</w:t>
      </w:r>
      <w:bookmarkEnd w:id="72"/>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lastRenderedPageBreak/>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ind w:left="890" w:hanging="890"/>
      </w:pPr>
      <w:r>
        <w:tab/>
        <w:t>[Section 36 amended: No. 11 of 1963 s. 17; No. 51 of 1979 s. 5; No. 60 of 1992 s. 19; No. 14 of 1996 s. 4; No. 57 of 1997 s. 26(2).]</w:t>
      </w:r>
    </w:p>
    <w:p>
      <w:pPr>
        <w:pStyle w:val="Ednotesection"/>
        <w:rPr>
          <w:b/>
        </w:rPr>
      </w:pPr>
      <w:r>
        <w:t>[</w:t>
      </w:r>
      <w:r>
        <w:rPr>
          <w:b/>
        </w:rPr>
        <w:t>37.</w:t>
      </w:r>
      <w:r>
        <w:tab/>
        <w:t>Deleted: No. 28 of 2016 s. 5.]</w:t>
      </w:r>
    </w:p>
    <w:p>
      <w:pPr>
        <w:pStyle w:val="Heading5"/>
        <w:spacing w:before="240"/>
        <w:rPr>
          <w:snapToGrid w:val="0"/>
        </w:rPr>
      </w:pPr>
      <w:bookmarkStart w:id="73" w:name="_Toc111797672"/>
      <w:r>
        <w:rPr>
          <w:rStyle w:val="CharSectno"/>
        </w:rPr>
        <w:t>38</w:t>
      </w:r>
      <w:r>
        <w:rPr>
          <w:snapToGrid w:val="0"/>
        </w:rPr>
        <w:t>.</w:t>
      </w:r>
      <w:r>
        <w:rPr>
          <w:snapToGrid w:val="0"/>
        </w:rPr>
        <w:tab/>
        <w:t>Local government may appoint bush fire control officer</w:t>
      </w:r>
      <w:bookmarkEnd w:id="73"/>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Subsection"/>
        <w:rPr>
          <w:snapToGrid w:val="0"/>
        </w:rPr>
      </w:pPr>
      <w:r>
        <w:rPr>
          <w:snapToGrid w:val="0"/>
        </w:rPr>
        <w:lastRenderedPageBreak/>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r>
        <w:t>FES Commissioner</w:t>
      </w:r>
      <w:r>
        <w:rPr>
          <w:snapToGrid w:val="0"/>
        </w:rPr>
        <w:t xml:space="preserve">, by the </w:t>
      </w:r>
      <w:r>
        <w:t>FES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lastRenderedPageBreak/>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FES Commissioner.</w:t>
      </w:r>
    </w:p>
    <w:p>
      <w:pPr>
        <w:pStyle w:val="Subsection"/>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lastRenderedPageBreak/>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 xml:space="preserve">An approved local government may appoint a committee for the purpose of advising and assisting a fire weather officer or any deputy of a fire weather officer acting in the place of that officer under </w:t>
      </w:r>
      <w:r>
        <w:t>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lastRenderedPageBreak/>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(a)</w:t>
      </w:r>
      <w:r>
        <w:tab/>
        <w:t>during the prohibited burning times; or</w:t>
      </w:r>
    </w:p>
    <w:p>
      <w:pPr>
        <w:pStyle w:val="Indenta"/>
        <w:rPr>
          <w:snapToGrid w:val="0"/>
        </w:rPr>
      </w:pPr>
      <w:r>
        <w:tab/>
        <w:t>(b)</w:t>
      </w:r>
      <w:r>
        <w:tab/>
        <w:t>during the period in which, and in the area of the State in respect of which, a total fire ban is declared under section 22A to have effect.</w:t>
      </w:r>
    </w:p>
    <w:p>
      <w:pPr>
        <w:pStyle w:val="Footnotesection"/>
        <w:spacing w:before="80"/>
        <w:ind w:left="890" w:hanging="890"/>
      </w:pPr>
      <w:r>
        <w:tab/>
        <w:t>[Section 38 amended: No. 35 of 1957 s. 7; No. 20 of 1958 s. 2; No. 11 of 1963 s. 18; No. 67 of 1970 s. 4; No. 65 of 1977 s. 36; No. 51 of 1979 s. 4; No. 60 of 1992 s. 21; No. 14 of 1996 s. 4; No. 10 of 1998 s. 20(2); No. 42 of 1998 s. 16; No. 38 of 2002 s. 29; No. 25 of 2009 s. 12; No. 19 of 2010 s. 52(4); No. 22 of 2012 s. 60 and 69; No. 17 of 2014 s. 17(2) and (3).]</w:t>
      </w:r>
    </w:p>
    <w:p>
      <w:pPr>
        <w:pStyle w:val="Heading5"/>
        <w:spacing w:before="180"/>
      </w:pPr>
      <w:bookmarkStart w:id="74" w:name="_Toc111797673"/>
      <w:r>
        <w:rPr>
          <w:rStyle w:val="CharSectno"/>
        </w:rPr>
        <w:t>38A</w:t>
      </w:r>
      <w:r>
        <w:t>.</w:t>
      </w:r>
      <w:r>
        <w:tab/>
        <w:t>FES Commissioner may designate person employed in Department as Chief Bush Fire Control Officer</w:t>
      </w:r>
      <w:bookmarkEnd w:id="74"/>
    </w:p>
    <w:p>
      <w:pPr>
        <w:pStyle w:val="Subsection"/>
      </w:pPr>
      <w:r>
        <w:tab/>
        <w:t>(1)</w:t>
      </w:r>
      <w:r>
        <w:tab/>
        <w:t>At the request of a local government the FES Commissioner may designate a person employed in the Department as the Chief Bush Fire Control Officer for the district of that local government.</w:t>
      </w:r>
    </w:p>
    <w:p>
      <w:pPr>
        <w:pStyle w:val="Subsection"/>
      </w:pPr>
      <w:r>
        <w:tab/>
        <w:t>(2)</w:t>
      </w:r>
      <w:r>
        <w:tab/>
        <w:t>Where a Chief Bush Fire Control Officer has been designated under subsection (1) for a district the local government is not to appoint a Chief Bush Fire Control Officer under section 38(1).</w:t>
      </w:r>
    </w:p>
    <w:p>
      <w:pPr>
        <w:pStyle w:val="Subsection"/>
        <w:spacing w:before="140"/>
      </w:pPr>
      <w:r>
        <w:lastRenderedPageBreak/>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keepNext/>
        <w:spacing w:before="14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FES Commissioner.</w:t>
      </w:r>
    </w:p>
    <w:p>
      <w:pPr>
        <w:pStyle w:val="Footnotesection"/>
        <w:keepLines w:val="0"/>
        <w:spacing w:before="80"/>
        <w:ind w:left="890" w:hanging="890"/>
      </w:pPr>
      <w:r>
        <w:tab/>
        <w:t>[Section 38A inserted: No. 38 of 2002 s. 30; amended: No. 19 of 2010 s. 52(4); No. 22 of 2012 s. 61 and 69.]</w:t>
      </w:r>
    </w:p>
    <w:p>
      <w:pPr>
        <w:pStyle w:val="Heading5"/>
        <w:rPr>
          <w:snapToGrid w:val="0"/>
        </w:rPr>
      </w:pPr>
      <w:bookmarkStart w:id="75" w:name="_Toc111797674"/>
      <w:r>
        <w:rPr>
          <w:rStyle w:val="CharSectno"/>
        </w:rPr>
        <w:t>39</w:t>
      </w:r>
      <w:r>
        <w:rPr>
          <w:snapToGrid w:val="0"/>
        </w:rPr>
        <w:t>.</w:t>
      </w:r>
      <w:r>
        <w:rPr>
          <w:snapToGrid w:val="0"/>
        </w:rPr>
        <w:tab/>
        <w:t>Special powers of bush fire control officers</w:t>
      </w:r>
      <w:bookmarkEnd w:id="75"/>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 and</w:t>
      </w:r>
    </w:p>
    <w:p>
      <w:pPr>
        <w:pStyle w:val="Indenta"/>
        <w:rPr>
          <w:snapToGrid w:val="0"/>
        </w:rPr>
      </w:pPr>
      <w:r>
        <w:rPr>
          <w:snapToGrid w:val="0"/>
        </w:rPr>
        <w:tab/>
        <w:t>(b)</w:t>
      </w:r>
      <w:r>
        <w:rPr>
          <w:snapToGrid w:val="0"/>
        </w:rPr>
        <w:tab/>
        <w:t>enter any land or building, whether private property or not; and</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 and</w:t>
      </w:r>
    </w:p>
    <w:p>
      <w:pPr>
        <w:pStyle w:val="Indenta"/>
        <w:rPr>
          <w:snapToGrid w:val="0"/>
        </w:rPr>
      </w:pPr>
      <w:r>
        <w:rPr>
          <w:snapToGrid w:val="0"/>
        </w:rPr>
        <w:tab/>
        <w:t>(d)</w:t>
      </w:r>
      <w:r>
        <w:rPr>
          <w:snapToGrid w:val="0"/>
        </w:rPr>
        <w:tab/>
        <w:t>cause fire</w:t>
      </w:r>
      <w:r>
        <w:rPr>
          <w:snapToGrid w:val="0"/>
        </w:rPr>
        <w:noBreakHyphen/>
        <w:t xml:space="preserve">breaks to be ploughed or cleared on land, whether private land or not, and take such other appropriate measures on the land as he may deem </w:t>
      </w:r>
      <w:r>
        <w:rPr>
          <w:snapToGrid w:val="0"/>
        </w:rPr>
        <w:lastRenderedPageBreak/>
        <w:t>necessary for the purpose of controlling or extinguishing a bush fire or for preventing the spread or extension of the fire; and</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 and</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 and</w:t>
      </w:r>
    </w:p>
    <w:p>
      <w:pPr>
        <w:pStyle w:val="Indenta"/>
        <w:rPr>
          <w:snapToGrid w:val="0"/>
        </w:rPr>
      </w:pPr>
      <w:r>
        <w:rPr>
          <w:snapToGrid w:val="0"/>
        </w:rPr>
        <w:tab/>
        <w:t>(g)</w:t>
      </w:r>
      <w:r>
        <w:rPr>
          <w:snapToGrid w:val="0"/>
        </w:rPr>
        <w:tab/>
        <w:t>any other thing which in his opinion is incidental to the exercise of any of the foregoing powers; and</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20"/>
      </w:pPr>
      <w:r>
        <w:tab/>
        <w:t>[(2)</w:t>
      </w:r>
      <w:r>
        <w:tab/>
        <w:t>deleted]</w:t>
      </w:r>
    </w:p>
    <w:p>
      <w:pPr>
        <w:pStyle w:val="Footnotesection"/>
        <w:ind w:left="890" w:hanging="890"/>
      </w:pPr>
      <w:r>
        <w:tab/>
        <w:t>[Section 39 amended: No. 11 of 1963 s. 19; No. 51 of 1979 s. 5; No. 8 of 1987 s. 4; No. 14 of 1996 s. 4; No. 38 of 2002 s. 31 and 40; No. 25 of 2009 s. 13; No. 22 of 2012 s. 62.]</w:t>
      </w:r>
    </w:p>
    <w:p>
      <w:pPr>
        <w:pStyle w:val="Heading5"/>
        <w:rPr>
          <w:snapToGrid w:val="0"/>
        </w:rPr>
      </w:pPr>
      <w:bookmarkStart w:id="76" w:name="_Toc111797675"/>
      <w:r>
        <w:rPr>
          <w:rStyle w:val="CharSectno"/>
        </w:rPr>
        <w:lastRenderedPageBreak/>
        <w:t>39A</w:t>
      </w:r>
      <w:r>
        <w:rPr>
          <w:snapToGrid w:val="0"/>
        </w:rPr>
        <w:t>.</w:t>
      </w:r>
      <w:r>
        <w:rPr>
          <w:snapToGrid w:val="0"/>
        </w:rPr>
        <w:tab/>
        <w:t>Duties of bush fire authorities on outbreak of fire</w:t>
      </w:r>
      <w:bookmarkEnd w:id="76"/>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w:t>
      </w:r>
    </w:p>
    <w:p>
      <w:pPr>
        <w:pStyle w:val="Indenta"/>
        <w:rPr>
          <w:snapToGrid w:val="0"/>
        </w:rPr>
      </w:pPr>
      <w:r>
        <w:rPr>
          <w:snapToGrid w:val="0"/>
        </w:rPr>
        <w:tab/>
        <w:t>(a)</w:t>
      </w:r>
      <w:r>
        <w:rPr>
          <w:snapToGrid w:val="0"/>
        </w:rPr>
        <w:tab/>
        <w:t>have been lit or are maintained unlawfully; or</w:t>
      </w:r>
    </w:p>
    <w:p>
      <w:pPr>
        <w:pStyle w:val="Indenta"/>
        <w:rPr>
          <w:snapToGrid w:val="0"/>
        </w:rPr>
      </w:pPr>
      <w:r>
        <w:rPr>
          <w:snapToGrid w:val="0"/>
        </w:rPr>
        <w:tab/>
        <w:t>(b)</w:t>
      </w:r>
      <w:r>
        <w:rPr>
          <w:snapToGrid w:val="0"/>
        </w:rPr>
        <w:tab/>
        <w:t>have occurred accidentally; or</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[Section 39A inserted: No. 35 of 1957 s. 8; amended: No. 51 of 1979 s. 5; No. 14 of 1996 s. 4.]</w:t>
      </w:r>
    </w:p>
    <w:p>
      <w:pPr>
        <w:pStyle w:val="Heading5"/>
        <w:spacing w:before="280"/>
        <w:rPr>
          <w:snapToGrid w:val="0"/>
        </w:rPr>
      </w:pPr>
      <w:bookmarkStart w:id="77" w:name="_Toc111797676"/>
      <w:r>
        <w:rPr>
          <w:rStyle w:val="CharSectno"/>
        </w:rPr>
        <w:t>40</w:t>
      </w:r>
      <w:r>
        <w:rPr>
          <w:snapToGrid w:val="0"/>
        </w:rPr>
        <w:t>.</w:t>
      </w:r>
      <w:r>
        <w:rPr>
          <w:snapToGrid w:val="0"/>
        </w:rPr>
        <w:tab/>
        <w:t>Local governments may join in appointing and employing bush fire control officers</w:t>
      </w:r>
      <w:bookmarkEnd w:id="77"/>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lastRenderedPageBreak/>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No. 14 of 1996 s. 4.]</w:t>
      </w:r>
    </w:p>
    <w:p>
      <w:pPr>
        <w:pStyle w:val="Heading3"/>
        <w:keepNext w:val="0"/>
      </w:pPr>
      <w:bookmarkStart w:id="78" w:name="_Toc111797006"/>
      <w:bookmarkStart w:id="79" w:name="_Toc111797677"/>
      <w:r>
        <w:rPr>
          <w:rStyle w:val="CharDivNo"/>
        </w:rPr>
        <w:t>Division 2</w:t>
      </w:r>
      <w:r>
        <w:rPr>
          <w:snapToGrid w:val="0"/>
        </w:rPr>
        <w:t> — </w:t>
      </w:r>
      <w:r>
        <w:rPr>
          <w:rStyle w:val="CharDivText"/>
        </w:rPr>
        <w:t>Bush fire brigades</w:t>
      </w:r>
      <w:bookmarkEnd w:id="78"/>
      <w:bookmarkEnd w:id="79"/>
    </w:p>
    <w:p>
      <w:pPr>
        <w:pStyle w:val="Heading5"/>
        <w:spacing w:before="280"/>
        <w:rPr>
          <w:snapToGrid w:val="0"/>
        </w:rPr>
      </w:pPr>
      <w:bookmarkStart w:id="80" w:name="_Toc111797678"/>
      <w:r>
        <w:rPr>
          <w:rStyle w:val="CharSectno"/>
        </w:rPr>
        <w:t>41</w:t>
      </w:r>
      <w:r>
        <w:rPr>
          <w:snapToGrid w:val="0"/>
        </w:rPr>
        <w:t>.</w:t>
      </w:r>
      <w:r>
        <w:rPr>
          <w:snapToGrid w:val="0"/>
        </w:rPr>
        <w:tab/>
        <w:t>Bush fire brigades</w:t>
      </w:r>
      <w:bookmarkEnd w:id="80"/>
    </w:p>
    <w:p>
      <w:pPr>
        <w:pStyle w:val="Subsection"/>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No. 65 of 1977 s. 37; amended: No. 60 of 1992 s. 22; No. 14 of 1996 s. 4; No. 38 of 2002 s. 32; No. 22 of 2012 s. 69.]</w:t>
      </w:r>
    </w:p>
    <w:p>
      <w:pPr>
        <w:pStyle w:val="Heading5"/>
        <w:spacing w:before="200"/>
        <w:rPr>
          <w:snapToGrid w:val="0"/>
        </w:rPr>
      </w:pPr>
      <w:bookmarkStart w:id="81" w:name="_Toc111797679"/>
      <w:r>
        <w:rPr>
          <w:rStyle w:val="CharSectno"/>
        </w:rPr>
        <w:t>42</w:t>
      </w:r>
      <w:r>
        <w:rPr>
          <w:snapToGrid w:val="0"/>
        </w:rPr>
        <w:t>.</w:t>
      </w:r>
      <w:r>
        <w:rPr>
          <w:snapToGrid w:val="0"/>
        </w:rPr>
        <w:tab/>
        <w:t>Local governments may join in establishing bush fire brigade</w:t>
      </w:r>
      <w:bookmarkEnd w:id="81"/>
    </w:p>
    <w:p>
      <w:pPr>
        <w:pStyle w:val="Subsection"/>
        <w:rPr>
          <w:snapToGrid w:val="0"/>
        </w:rPr>
      </w:pPr>
      <w:r>
        <w:rPr>
          <w:snapToGrid w:val="0"/>
        </w:rPr>
        <w:tab/>
        <w:t>(1)</w:t>
      </w:r>
      <w:r>
        <w:rPr>
          <w:snapToGrid w:val="0"/>
        </w:rPr>
        <w:tab/>
        <w:t xml:space="preserve">Two or more local governments may by agreement join in establishing, maintaining, and equipping with appliances, equipment and apparatus, a bush fire brigade to act as the bush </w:t>
      </w:r>
      <w:r>
        <w:rPr>
          <w:snapToGrid w:val="0"/>
        </w:rPr>
        <w:lastRenderedPageBreak/>
        <w:t>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No. 14 of 1996 s. 4; No. 38 of 2002 s. 33.]</w:t>
      </w:r>
    </w:p>
    <w:p>
      <w:pPr>
        <w:pStyle w:val="Heading5"/>
      </w:pPr>
      <w:bookmarkStart w:id="82" w:name="_Toc111797680"/>
      <w:r>
        <w:rPr>
          <w:rStyle w:val="CharSectno"/>
        </w:rPr>
        <w:t>42A</w:t>
      </w:r>
      <w:r>
        <w:t>.</w:t>
      </w:r>
      <w:r>
        <w:tab/>
        <w:t>Constitution of bush fire brigade</w:t>
      </w:r>
      <w:bookmarkEnd w:id="82"/>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No. 38 of 2002 s. 34.]</w:t>
      </w:r>
    </w:p>
    <w:p>
      <w:pPr>
        <w:pStyle w:val="Heading5"/>
        <w:rPr>
          <w:snapToGrid w:val="0"/>
        </w:rPr>
      </w:pPr>
      <w:bookmarkStart w:id="83" w:name="_Toc111797681"/>
      <w:r>
        <w:rPr>
          <w:rStyle w:val="CharSectno"/>
        </w:rPr>
        <w:t>43</w:t>
      </w:r>
      <w:r>
        <w:rPr>
          <w:snapToGrid w:val="0"/>
        </w:rPr>
        <w:t>.</w:t>
      </w:r>
      <w:r>
        <w:rPr>
          <w:snapToGrid w:val="0"/>
        </w:rPr>
        <w:tab/>
        <w:t>Election and duties of officers of bush fire brigades</w:t>
      </w:r>
      <w:bookmarkEnd w:id="83"/>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No. 51 of 1979 s. 5; No. 14 of 1996 s. 4.]</w:t>
      </w:r>
    </w:p>
    <w:p>
      <w:pPr>
        <w:pStyle w:val="Heading5"/>
        <w:rPr>
          <w:snapToGrid w:val="0"/>
        </w:rPr>
      </w:pPr>
      <w:bookmarkStart w:id="84" w:name="_Toc111797682"/>
      <w:r>
        <w:rPr>
          <w:rStyle w:val="CharSectno"/>
        </w:rPr>
        <w:t>44</w:t>
      </w:r>
      <w:r>
        <w:rPr>
          <w:snapToGrid w:val="0"/>
        </w:rPr>
        <w:t>.</w:t>
      </w:r>
      <w:r>
        <w:rPr>
          <w:snapToGrid w:val="0"/>
        </w:rPr>
        <w:tab/>
        <w:t>Powers and authorities of officers of bush fire brigade</w:t>
      </w:r>
      <w:bookmarkEnd w:id="84"/>
    </w:p>
    <w:p>
      <w:pPr>
        <w:pStyle w:val="Subsection"/>
        <w:keepNext/>
        <w:rPr>
          <w:snapToGrid w:val="0"/>
        </w:rPr>
      </w:pPr>
      <w:r>
        <w:rPr>
          <w:snapToGrid w:val="0"/>
        </w:rPr>
        <w:tab/>
        <w:t>(1)</w:t>
      </w:r>
      <w:r>
        <w:rPr>
          <w:snapToGrid w:val="0"/>
        </w:rPr>
        <w:tab/>
        <w:t xml:space="preserve">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w:t>
      </w:r>
      <w:r>
        <w:rPr>
          <w:snapToGrid w:val="0"/>
        </w:rPr>
        <w:lastRenderedPageBreak/>
        <w:t>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lastRenderedPageBreak/>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tab/>
        <w:t>(3)</w:t>
      </w:r>
      <w:r>
        <w:tab/>
        <w:t>Subject</w:t>
      </w:r>
      <w:r>
        <w:rPr>
          <w:snapToGrid w:val="0"/>
        </w:rPr>
        <w:t xml:space="preserve"> </w:t>
      </w:r>
      <w:r>
        <w:t>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No. 35 of 1957 s. 9; No. 14 of 1996 s. 4; No. 25 of 2009 s. 14; No. 19 of 2010 s. 52(4); No. 17 of 2014 s. 17(4).]</w:t>
      </w:r>
    </w:p>
    <w:p>
      <w:pPr>
        <w:pStyle w:val="Heading5"/>
      </w:pPr>
      <w:bookmarkStart w:id="85" w:name="_Toc111797683"/>
      <w:r>
        <w:rPr>
          <w:rStyle w:val="CharSectno"/>
        </w:rPr>
        <w:lastRenderedPageBreak/>
        <w:t>45A</w:t>
      </w:r>
      <w:r>
        <w:t>.</w:t>
      </w:r>
      <w:r>
        <w:tab/>
        <w:t>Requests to authorised CALM Act officers to take control of bush fires</w:t>
      </w:r>
      <w:bookmarkEnd w:id="85"/>
    </w:p>
    <w:p>
      <w:pPr>
        <w:pStyle w:val="Subsection"/>
        <w:keepNext/>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FES Commissioner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keepNext/>
      </w:pPr>
      <w:r>
        <w:tab/>
        <w:t>(b)</w:t>
      </w:r>
      <w:r>
        <w:tab/>
        <w:t>subject to section 45(5) and (6), the officer has in relation to the fire the powers, authorities and control referred to in section 45(2) and (3).</w:t>
      </w:r>
    </w:p>
    <w:p>
      <w:pPr>
        <w:pStyle w:val="Footnotesection"/>
      </w:pPr>
      <w:r>
        <w:tab/>
        <w:t>[Section 45A inserted: No. 25 of 2009 s. 15; amended: No. 22 of 2012 s. 69.]</w:t>
      </w:r>
    </w:p>
    <w:p>
      <w:pPr>
        <w:pStyle w:val="Heading5"/>
        <w:spacing w:before="200"/>
        <w:rPr>
          <w:snapToGrid w:val="0"/>
        </w:rPr>
      </w:pPr>
      <w:bookmarkStart w:id="86" w:name="_Toc111797684"/>
      <w:r>
        <w:rPr>
          <w:rStyle w:val="CharSectno"/>
        </w:rPr>
        <w:t>45</w:t>
      </w:r>
      <w:r>
        <w:rPr>
          <w:snapToGrid w:val="0"/>
        </w:rPr>
        <w:t>.</w:t>
      </w:r>
      <w:r>
        <w:rPr>
          <w:snapToGrid w:val="0"/>
        </w:rPr>
        <w:tab/>
        <w:t>Powers and authorities exercisable by authorised CALM Act officers</w:t>
      </w:r>
      <w:bookmarkEnd w:id="86"/>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lastRenderedPageBreak/>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lastRenderedPageBreak/>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ind w:left="890" w:hanging="890"/>
      </w:pPr>
      <w:r>
        <w:tab/>
        <w:t>[Section 45 amended: No. 11 of 1963 s. 20; No. 8 of 1987 s. 5; No. 38 of 2002 s. 40(1); No. 25 of 2009 s. 16; No. 22 of 2012 s. 69.]</w:t>
      </w:r>
    </w:p>
    <w:p>
      <w:pPr>
        <w:pStyle w:val="Heading5"/>
        <w:rPr>
          <w:snapToGrid w:val="0"/>
        </w:rPr>
      </w:pPr>
      <w:bookmarkStart w:id="87" w:name="_Toc111797685"/>
      <w:r>
        <w:rPr>
          <w:rStyle w:val="CharSectno"/>
        </w:rPr>
        <w:t>46</w:t>
      </w:r>
      <w:r>
        <w:rPr>
          <w:snapToGrid w:val="0"/>
        </w:rPr>
        <w:t>.</w:t>
      </w:r>
      <w:r>
        <w:rPr>
          <w:snapToGrid w:val="0"/>
        </w:rPr>
        <w:tab/>
        <w:t>Bush fire control officer or forest officer may postpone lighting fire</w:t>
      </w:r>
      <w:bookmarkEnd w:id="87"/>
    </w:p>
    <w:p>
      <w:pPr>
        <w:pStyle w:val="Subsection"/>
        <w:keepNext/>
        <w:rPr>
          <w:snapToGrid w:val="0"/>
        </w:rPr>
      </w:pPr>
      <w:r>
        <w:rPr>
          <w:snapToGrid w:val="0"/>
        </w:rPr>
        <w:tab/>
        <w:t>(1A)</w:t>
      </w:r>
      <w:r>
        <w:rPr>
          <w:snapToGrid w:val="0"/>
        </w:rPr>
        <w:tab/>
        <w:t>Notwithstanding any other provision of this Act —</w:t>
      </w:r>
    </w:p>
    <w:p>
      <w:pPr>
        <w:pStyle w:val="Indenta"/>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rPr>
          <w:snapToGrid w:val="0"/>
        </w:rPr>
      </w:pPr>
      <w:r>
        <w:rPr>
          <w:snapToGrid w:val="0"/>
        </w:rPr>
        <w:tab/>
        <w:t>(b)</w:t>
      </w:r>
      <w:r>
        <w:rPr>
          <w:snapToGrid w:val="0"/>
        </w:rPr>
        <w:tab/>
        <w:t xml:space="preserve">where a fire is burning on land and the bush fire control officer or the local government as the case may be is of the opinion that the fire is in danger of escaping from that land, he or it may direct that all reasonable steps be </w:t>
      </w:r>
      <w:r>
        <w:rPr>
          <w:snapToGrid w:val="0"/>
        </w:rPr>
        <w:lastRenderedPageBreak/>
        <w:t>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km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ind w:left="890" w:hanging="890"/>
      </w:pPr>
      <w:r>
        <w:tab/>
        <w:t>[Section 46 amended: No. 11 of 1963 s. 21; No. 113 of 1965 s. 8(1); No. 94 of 1972 s. 4 (as amended: No. 83 of 1973 s. 3); No. 65 of 1977 s. 48; No. 8 of 1987 s. 8; No. 78 of 1995 s. 147; No. 14 of 1996 s. 4; No. 38 of 2002 s. 39 and 40(1); No. 19 of 2010 s. 52(4).]</w:t>
      </w:r>
    </w:p>
    <w:p>
      <w:pPr>
        <w:pStyle w:val="Heading5"/>
        <w:rPr>
          <w:snapToGrid w:val="0"/>
        </w:rPr>
      </w:pPr>
      <w:bookmarkStart w:id="88" w:name="_Toc111797686"/>
      <w:r>
        <w:rPr>
          <w:rStyle w:val="CharSectno"/>
        </w:rPr>
        <w:t>47</w:t>
      </w:r>
      <w:r>
        <w:rPr>
          <w:snapToGrid w:val="0"/>
        </w:rPr>
        <w:t>.</w:t>
      </w:r>
      <w:r>
        <w:rPr>
          <w:snapToGrid w:val="0"/>
        </w:rPr>
        <w:tab/>
        <w:t>Fire</w:t>
      </w:r>
      <w:r>
        <w:rPr>
          <w:snapToGrid w:val="0"/>
        </w:rPr>
        <w:noBreakHyphen/>
        <w:t>break not to be lit when bush fire burning</w:t>
      </w:r>
      <w:bookmarkEnd w:id="88"/>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 xml:space="preserve">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w:t>
      </w:r>
      <w:r>
        <w:rPr>
          <w:snapToGrid w:val="0"/>
        </w:rPr>
        <w:lastRenderedPageBreak/>
        <w:t>absence, a member of the bush fire brigade who is present at the bush fire.</w:t>
      </w:r>
    </w:p>
    <w:p>
      <w:pPr>
        <w:pStyle w:val="Footnotesection"/>
      </w:pPr>
      <w:r>
        <w:tab/>
        <w:t>[Section 47 amended: No. 8 of 1987 s. 6; No. 25 of 2009 s. 17.]</w:t>
      </w:r>
    </w:p>
    <w:p>
      <w:pPr>
        <w:pStyle w:val="Heading2"/>
      </w:pPr>
      <w:bookmarkStart w:id="89" w:name="_Toc111797016"/>
      <w:bookmarkStart w:id="90" w:name="_Toc111797687"/>
      <w:r>
        <w:rPr>
          <w:rStyle w:val="CharPartNo"/>
        </w:rPr>
        <w:lastRenderedPageBreak/>
        <w:t>Part V</w:t>
      </w:r>
      <w:r>
        <w:rPr>
          <w:rStyle w:val="CharDivNo"/>
        </w:rPr>
        <w:t> </w:t>
      </w:r>
      <w:r>
        <w:t>—</w:t>
      </w:r>
      <w:r>
        <w:rPr>
          <w:rStyle w:val="CharDivText"/>
        </w:rPr>
        <w:t> </w:t>
      </w:r>
      <w:r>
        <w:rPr>
          <w:rStyle w:val="CharPartText"/>
        </w:rPr>
        <w:t>Miscellaneous</w:t>
      </w:r>
      <w:bookmarkEnd w:id="89"/>
      <w:bookmarkEnd w:id="90"/>
    </w:p>
    <w:p>
      <w:pPr>
        <w:pStyle w:val="Heading5"/>
      </w:pPr>
      <w:bookmarkStart w:id="91" w:name="_Toc111797688"/>
      <w:r>
        <w:rPr>
          <w:rStyle w:val="CharSectno"/>
        </w:rPr>
        <w:t>48</w:t>
      </w:r>
      <w:r>
        <w:t>.</w:t>
      </w:r>
      <w:r>
        <w:tab/>
        <w:t>Delegation by local governments</w:t>
      </w:r>
      <w:bookmarkEnd w:id="91"/>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No. 38 of 2002 s. 35.]</w:t>
      </w:r>
    </w:p>
    <w:p>
      <w:pPr>
        <w:pStyle w:val="Ednotesection"/>
      </w:pPr>
      <w:r>
        <w:t>[</w:t>
      </w:r>
      <w:r>
        <w:rPr>
          <w:b/>
        </w:rPr>
        <w:t>49.</w:t>
      </w:r>
      <w:r>
        <w:tab/>
        <w:t>Deleted: No. 2 of 1996 s. 61.]</w:t>
      </w:r>
    </w:p>
    <w:p>
      <w:pPr>
        <w:pStyle w:val="Heading5"/>
        <w:rPr>
          <w:snapToGrid w:val="0"/>
        </w:rPr>
      </w:pPr>
      <w:bookmarkStart w:id="92" w:name="_Toc111797689"/>
      <w:r>
        <w:rPr>
          <w:rStyle w:val="CharSectno"/>
        </w:rPr>
        <w:t>50</w:t>
      </w:r>
      <w:r>
        <w:rPr>
          <w:snapToGrid w:val="0"/>
        </w:rPr>
        <w:t>.</w:t>
      </w:r>
      <w:r>
        <w:rPr>
          <w:snapToGrid w:val="0"/>
        </w:rPr>
        <w:tab/>
        <w:t>Records to be maintained by local governments</w:t>
      </w:r>
      <w:bookmarkEnd w:id="92"/>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lastRenderedPageBreak/>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No. 113 of 1965 s. 8(1); No. 65 of 1977 s. 39; No. 14 of 1996 s. 4; No. 42 of 1998 s. 16; No. 38 of 2002 s. 39; No. 22 of 2012 s. 69.]</w:t>
      </w:r>
    </w:p>
    <w:p>
      <w:pPr>
        <w:pStyle w:val="Heading5"/>
        <w:rPr>
          <w:snapToGrid w:val="0"/>
        </w:rPr>
      </w:pPr>
      <w:bookmarkStart w:id="93" w:name="_Toc111797690"/>
      <w:r>
        <w:rPr>
          <w:rStyle w:val="CharSectno"/>
        </w:rPr>
        <w:t>51</w:t>
      </w:r>
      <w:r>
        <w:rPr>
          <w:snapToGrid w:val="0"/>
        </w:rPr>
        <w:t>.</w:t>
      </w:r>
      <w:r>
        <w:rPr>
          <w:snapToGrid w:val="0"/>
        </w:rPr>
        <w:tab/>
        <w:t>Saving of remedies</w:t>
      </w:r>
      <w:bookmarkEnd w:id="93"/>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keepNext/>
        <w:rPr>
          <w:snapToGrid w:val="0"/>
        </w:rPr>
      </w:pPr>
      <w:r>
        <w:rPr>
          <w:snapToGrid w:val="0"/>
        </w:rPr>
        <w:lastRenderedPageBreak/>
        <w:tab/>
        <w:t>(3)</w:t>
      </w:r>
      <w:r>
        <w:rPr>
          <w:snapToGrid w:val="0"/>
        </w:rPr>
        <w:tab/>
        <w:t>The provisions of the last preceding subsection do not prejudice or affect those of section 37 of the</w:t>
      </w:r>
      <w:r>
        <w:t xml:space="preserve"> FES Act.</w:t>
      </w:r>
    </w:p>
    <w:p>
      <w:pPr>
        <w:pStyle w:val="Footnotesection"/>
        <w:ind w:left="890" w:hanging="890"/>
      </w:pPr>
      <w:r>
        <w:tab/>
        <w:t>[Section 51 amended: No. 42 of 1998 s. 12; No. 22 of 2012 s. 63.]</w:t>
      </w:r>
    </w:p>
    <w:p>
      <w:pPr>
        <w:pStyle w:val="Heading5"/>
        <w:spacing w:before="240"/>
        <w:rPr>
          <w:snapToGrid w:val="0"/>
        </w:rPr>
      </w:pPr>
      <w:bookmarkStart w:id="94" w:name="_Toc111797691"/>
      <w:r>
        <w:rPr>
          <w:rStyle w:val="CharSectno"/>
        </w:rPr>
        <w:t>52</w:t>
      </w:r>
      <w:r>
        <w:rPr>
          <w:snapToGrid w:val="0"/>
        </w:rPr>
        <w:t>.</w:t>
      </w:r>
      <w:r>
        <w:rPr>
          <w:snapToGrid w:val="0"/>
        </w:rPr>
        <w:tab/>
        <w:t>Approved area may be declared</w:t>
      </w:r>
      <w:bookmarkEnd w:id="94"/>
    </w:p>
    <w:p>
      <w:pPr>
        <w:pStyle w:val="Subsection"/>
        <w:spacing w:before="18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18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18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18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No. 14 of 1996 s. 4.]</w:t>
      </w:r>
    </w:p>
    <w:p>
      <w:pPr>
        <w:pStyle w:val="Heading5"/>
        <w:spacing w:before="240"/>
        <w:rPr>
          <w:snapToGrid w:val="0"/>
        </w:rPr>
      </w:pPr>
      <w:bookmarkStart w:id="95" w:name="_Toc111797692"/>
      <w:r>
        <w:rPr>
          <w:rStyle w:val="CharSectno"/>
        </w:rPr>
        <w:t>53</w:t>
      </w:r>
      <w:r>
        <w:rPr>
          <w:snapToGrid w:val="0"/>
        </w:rPr>
        <w:t>.</w:t>
      </w:r>
      <w:r>
        <w:rPr>
          <w:snapToGrid w:val="0"/>
        </w:rPr>
        <w:tab/>
        <w:t>Reduction in insurance premium of crops in approved area</w:t>
      </w:r>
      <w:bookmarkEnd w:id="95"/>
    </w:p>
    <w:p>
      <w:pPr>
        <w:pStyle w:val="Subsection"/>
        <w:spacing w:before="180"/>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spacing w:before="180"/>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keepLines/>
        <w:rPr>
          <w:snapToGrid w:val="0"/>
        </w:rPr>
      </w:pPr>
      <w:r>
        <w:rPr>
          <w:snapToGrid w:val="0"/>
        </w:rPr>
        <w:lastRenderedPageBreak/>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No. 113 of 1965 s. 8(1); No. 65 of 1977 s. 40 and 48; No. 38 of 2002 s. 39.]</w:t>
      </w:r>
    </w:p>
    <w:p>
      <w:pPr>
        <w:pStyle w:val="Heading5"/>
        <w:spacing w:before="240"/>
        <w:rPr>
          <w:snapToGrid w:val="0"/>
        </w:rPr>
      </w:pPr>
      <w:bookmarkStart w:id="96" w:name="_Toc111797693"/>
      <w:r>
        <w:rPr>
          <w:rStyle w:val="CharSectno"/>
        </w:rPr>
        <w:t>54</w:t>
      </w:r>
      <w:r>
        <w:rPr>
          <w:snapToGrid w:val="0"/>
        </w:rPr>
        <w:t>.</w:t>
      </w:r>
      <w:r>
        <w:rPr>
          <w:snapToGrid w:val="0"/>
        </w:rPr>
        <w:tab/>
        <w:t>Approved area may be cancelled</w:t>
      </w:r>
      <w:bookmarkEnd w:id="96"/>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No. 11 of 1963 s. 22; No. 14 of 1996 s. 4; No. 42 of 1998 s. 16; No. 22 of 2012 s. 69.]</w:t>
      </w:r>
    </w:p>
    <w:p>
      <w:pPr>
        <w:pStyle w:val="Ednotesection"/>
        <w:ind w:left="890" w:hanging="890"/>
      </w:pPr>
      <w:r>
        <w:t>[</w:t>
      </w:r>
      <w:r>
        <w:rPr>
          <w:b/>
        </w:rPr>
        <w:t>55.</w:t>
      </w:r>
      <w:r>
        <w:tab/>
        <w:t>Deleted: No. 22 of 2012 s. 64.]</w:t>
      </w:r>
    </w:p>
    <w:p>
      <w:pPr>
        <w:pStyle w:val="Heading5"/>
        <w:spacing w:before="240"/>
        <w:rPr>
          <w:snapToGrid w:val="0"/>
        </w:rPr>
      </w:pPr>
      <w:bookmarkStart w:id="97" w:name="_Toc111797694"/>
      <w:r>
        <w:rPr>
          <w:rStyle w:val="CharSectno"/>
        </w:rPr>
        <w:t>56</w:t>
      </w:r>
      <w:r>
        <w:rPr>
          <w:snapToGrid w:val="0"/>
        </w:rPr>
        <w:t>.</w:t>
      </w:r>
      <w:r>
        <w:rPr>
          <w:snapToGrid w:val="0"/>
        </w:rPr>
        <w:tab/>
        <w:t>Duties of police officers, bush fire control officers etc.</w:t>
      </w:r>
      <w:bookmarkEnd w:id="97"/>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xml:space="preserve">, who finds a person committing an offence against this Act to </w:t>
      </w:r>
      <w:r>
        <w:rPr>
          <w:snapToGrid w:val="0"/>
        </w:rPr>
        <w:lastRenderedPageBreak/>
        <w:t>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98" w:name="_Toc111797695"/>
      <w:r>
        <w:rPr>
          <w:rStyle w:val="CharSectno"/>
        </w:rPr>
        <w:t>57</w:t>
      </w:r>
      <w:r>
        <w:rPr>
          <w:snapToGrid w:val="0"/>
        </w:rPr>
        <w:t>.</w:t>
      </w:r>
      <w:r>
        <w:rPr>
          <w:snapToGrid w:val="0"/>
        </w:rPr>
        <w:tab/>
        <w:t>Obstructing officers</w:t>
      </w:r>
      <w:bookmarkEnd w:id="98"/>
    </w:p>
    <w:p>
      <w:pPr>
        <w:pStyle w:val="Subsection"/>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xml:space="preserve">, or an officer or member of a bush fire brigade or other person acting with authority under this Act, in the performance or doing of </w:t>
      </w:r>
      <w:r>
        <w:rPr>
          <w:snapToGrid w:val="0"/>
        </w:rPr>
        <w:lastRenderedPageBreak/>
        <w:t>anything which he is empowered or required to do by this Act is guilty of an offence.</w:t>
      </w:r>
    </w:p>
    <w:p>
      <w:pPr>
        <w:pStyle w:val="Penstart"/>
        <w:rPr>
          <w:snapToGrid w:val="0"/>
        </w:rPr>
      </w:pPr>
      <w:r>
        <w:rPr>
          <w:snapToGrid w:val="0"/>
        </w:rPr>
        <w:tab/>
        <w:t>Penalty: $5 000.</w:t>
      </w:r>
    </w:p>
    <w:p>
      <w:pPr>
        <w:pStyle w:val="Footnotesection"/>
        <w:ind w:left="890" w:hanging="890"/>
      </w:pPr>
      <w:r>
        <w:tab/>
        <w:t>[Section 57 amended: No. 11 of 1963 s. 24; No. 113 of 1965 s. 8(1); No. 65 of 1977 s. 48; No. 8 of 1987 s. 8; No. 60 of 1992 s. 13; No. 78 of 1995 s. 147; No. 42 of 1998 s. 16; No. 38 of 2002 s. 39 and 40(1); No. 22 of 2012 s. 66.]</w:t>
      </w:r>
    </w:p>
    <w:p>
      <w:pPr>
        <w:pStyle w:val="Heading5"/>
        <w:rPr>
          <w:snapToGrid w:val="0"/>
        </w:rPr>
      </w:pPr>
      <w:bookmarkStart w:id="99" w:name="_Toc111797696"/>
      <w:r>
        <w:rPr>
          <w:rStyle w:val="CharSectno"/>
        </w:rPr>
        <w:t>58</w:t>
      </w:r>
      <w:r>
        <w:rPr>
          <w:snapToGrid w:val="0"/>
        </w:rPr>
        <w:t>.</w:t>
      </w:r>
      <w:r>
        <w:rPr>
          <w:snapToGrid w:val="0"/>
        </w:rPr>
        <w:tab/>
        <w:t>General penalty and recovery of expenses incurred</w:t>
      </w:r>
      <w:bookmarkEnd w:id="99"/>
    </w:p>
    <w:p>
      <w:pPr>
        <w:pStyle w:val="Subsection"/>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pPr>
      <w:r>
        <w:tab/>
        <w:t>[(2)</w:t>
      </w:r>
      <w:r>
        <w:tab/>
        <w:t>deleted]</w:t>
      </w:r>
    </w:p>
    <w:p>
      <w:pPr>
        <w:pStyle w:val="Subsection"/>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keepNext/>
        <w:rPr>
          <w:snapToGrid w:val="0"/>
        </w:rPr>
      </w:pPr>
      <w:r>
        <w:rPr>
          <w:snapToGrid w:val="0"/>
        </w:rPr>
        <w:lastRenderedPageBreak/>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if the expense is incurred by any other person acting pursuant to this Act, the FES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100" w:name="_Toc111797697"/>
      <w:r>
        <w:rPr>
          <w:rStyle w:val="CharSectno"/>
        </w:rPr>
        <w:lastRenderedPageBreak/>
        <w:t>59</w:t>
      </w:r>
      <w:r>
        <w:rPr>
          <w:snapToGrid w:val="0"/>
        </w:rPr>
        <w:t>.</w:t>
      </w:r>
      <w:r>
        <w:rPr>
          <w:snapToGrid w:val="0"/>
        </w:rPr>
        <w:tab/>
        <w:t>Prosecution of offences</w:t>
      </w:r>
      <w:bookmarkEnd w:id="100"/>
    </w:p>
    <w:p>
      <w:pPr>
        <w:pStyle w:val="Subsection"/>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ind w:left="890" w:hanging="890"/>
      </w:pPr>
      <w:r>
        <w:tab/>
        <w:t>[Section 59 amended: No. 35 of 1957 s. 10; No. 11 of 1963 s. 25; No. 65 of 1977 s. 41; No. 14 of 1996 s. 4; No. 42 of 1998 s. 16; No. 38 of 2002 s. 36 and 40(1); No. 59 of 2004 s. 141; No. 19 of 2010 s. 52(4); No. 22 of 2012 s. 67.]</w:t>
      </w:r>
    </w:p>
    <w:p>
      <w:pPr>
        <w:pStyle w:val="Heading5"/>
        <w:rPr>
          <w:snapToGrid w:val="0"/>
        </w:rPr>
      </w:pPr>
      <w:bookmarkStart w:id="101" w:name="_Toc111797698"/>
      <w:r>
        <w:rPr>
          <w:rStyle w:val="CharSectno"/>
        </w:rPr>
        <w:lastRenderedPageBreak/>
        <w:t>59A</w:t>
      </w:r>
      <w:r>
        <w:rPr>
          <w:snapToGrid w:val="0"/>
        </w:rPr>
        <w:t>.</w:t>
      </w:r>
      <w:r>
        <w:rPr>
          <w:snapToGrid w:val="0"/>
        </w:rPr>
        <w:tab/>
        <w:t>Alternative procedure — infringement notices</w:t>
      </w:r>
      <w:bookmarkEnd w:id="101"/>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 xml:space="preserve">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w:t>
      </w:r>
      <w:r>
        <w:rPr>
          <w:snapToGrid w:val="0"/>
        </w:rPr>
        <w:lastRenderedPageBreak/>
        <w:t>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No. 65 of 1977 s. 42; amended: No. 8 of 1987 s. 8; No. 14 of 1996 s. 4; No. 38 of 2002 s. 37 and 39; No. 84 of 2004 s. 80.]</w:t>
      </w:r>
    </w:p>
    <w:p>
      <w:pPr>
        <w:pStyle w:val="Heading5"/>
        <w:rPr>
          <w:snapToGrid w:val="0"/>
        </w:rPr>
      </w:pPr>
      <w:bookmarkStart w:id="102" w:name="_Toc111797699"/>
      <w:r>
        <w:rPr>
          <w:rStyle w:val="CharSectno"/>
        </w:rPr>
        <w:t>60</w:t>
      </w:r>
      <w:r>
        <w:rPr>
          <w:snapToGrid w:val="0"/>
        </w:rPr>
        <w:t>.</w:t>
      </w:r>
      <w:r>
        <w:rPr>
          <w:snapToGrid w:val="0"/>
        </w:rPr>
        <w:tab/>
        <w:t>Assisting to commit an offence</w:t>
      </w:r>
      <w:bookmarkEnd w:id="102"/>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103" w:name="_Toc111797700"/>
      <w:r>
        <w:rPr>
          <w:rStyle w:val="CharSectno"/>
        </w:rPr>
        <w:lastRenderedPageBreak/>
        <w:t>61</w:t>
      </w:r>
      <w:r>
        <w:rPr>
          <w:snapToGrid w:val="0"/>
        </w:rPr>
        <w:t>.</w:t>
      </w:r>
      <w:r>
        <w:rPr>
          <w:snapToGrid w:val="0"/>
        </w:rPr>
        <w:tab/>
        <w:t>Regulations</w:t>
      </w:r>
      <w:bookmarkEnd w:id="103"/>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No. 113 of 1965 s. 8(1); No. 65 of 1977 s. 48; No. 8 of 1987 s. 8; No. 38 of 2002 s. 39.]</w:t>
      </w:r>
    </w:p>
    <w:p>
      <w:pPr>
        <w:pStyle w:val="Heading5"/>
        <w:rPr>
          <w:snapToGrid w:val="0"/>
        </w:rPr>
      </w:pPr>
      <w:bookmarkStart w:id="104" w:name="_Toc111797701"/>
      <w:r>
        <w:rPr>
          <w:rStyle w:val="CharSectno"/>
        </w:rPr>
        <w:t>62</w:t>
      </w:r>
      <w:r>
        <w:rPr>
          <w:snapToGrid w:val="0"/>
        </w:rPr>
        <w:t>.</w:t>
      </w:r>
      <w:r>
        <w:rPr>
          <w:snapToGrid w:val="0"/>
        </w:rPr>
        <w:tab/>
        <w:t>Local government may make local laws</w:t>
      </w:r>
      <w:bookmarkEnd w:id="104"/>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 and</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ind w:left="890" w:hanging="890"/>
      </w:pPr>
      <w:r>
        <w:tab/>
        <w:t>[Section 62 amended: No. 14 of 1996 s. 4.]</w:t>
      </w:r>
    </w:p>
    <w:p>
      <w:pPr>
        <w:pStyle w:val="Heading5"/>
        <w:rPr>
          <w:snapToGrid w:val="0"/>
        </w:rPr>
      </w:pPr>
      <w:bookmarkStart w:id="105" w:name="_Toc111797702"/>
      <w:r>
        <w:rPr>
          <w:rStyle w:val="CharSectno"/>
        </w:rPr>
        <w:lastRenderedPageBreak/>
        <w:t>62A</w:t>
      </w:r>
      <w:r>
        <w:rPr>
          <w:snapToGrid w:val="0"/>
        </w:rPr>
        <w:t>.</w:t>
      </w:r>
      <w:r>
        <w:rPr>
          <w:snapToGrid w:val="0"/>
        </w:rPr>
        <w:tab/>
        <w:t>Governor may amend or repeal local laws</w:t>
      </w:r>
      <w:bookmarkEnd w:id="105"/>
    </w:p>
    <w:p>
      <w:pPr>
        <w:pStyle w:val="Subsection"/>
        <w:spacing w:before="140"/>
        <w:rPr>
          <w:snapToGrid w:val="0"/>
        </w:rPr>
      </w:pPr>
      <w:r>
        <w:rPr>
          <w:snapToGrid w:val="0"/>
        </w:rPr>
        <w:tab/>
        <w:t>(1)</w:t>
      </w:r>
      <w:r>
        <w:rPr>
          <w:snapToGrid w:val="0"/>
        </w:rPr>
        <w:tab/>
        <w:t>The Governor may make a local law to amend the text of, or repeal, a local law.</w:t>
      </w:r>
    </w:p>
    <w:p>
      <w:pPr>
        <w:pStyle w:val="Subsection"/>
        <w:spacing w:before="14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4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4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4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spacing w:before="100"/>
        <w:ind w:left="890" w:hanging="890"/>
      </w:pPr>
      <w:r>
        <w:tab/>
        <w:t>[Section 62A inserted: No. 14 of 1996 s. 4.]</w:t>
      </w:r>
    </w:p>
    <w:p>
      <w:pPr>
        <w:pStyle w:val="Ednotesection"/>
        <w:spacing w:before="160"/>
        <w:ind w:left="890" w:hanging="890"/>
      </w:pPr>
      <w:r>
        <w:t>[</w:t>
      </w:r>
      <w:r>
        <w:rPr>
          <w:b/>
        </w:rPr>
        <w:t>63.</w:t>
      </w:r>
      <w:r>
        <w:tab/>
        <w:t>Deleted: No. 42 of 1998 s. 13.]</w:t>
      </w:r>
    </w:p>
    <w:p>
      <w:pPr>
        <w:pStyle w:val="Heading5"/>
        <w:spacing w:before="180"/>
        <w:rPr>
          <w:snapToGrid w:val="0"/>
        </w:rPr>
      </w:pPr>
      <w:bookmarkStart w:id="106" w:name="_Toc111797703"/>
      <w:r>
        <w:rPr>
          <w:rStyle w:val="CharSectno"/>
        </w:rPr>
        <w:t>64</w:t>
      </w:r>
      <w:r>
        <w:rPr>
          <w:snapToGrid w:val="0"/>
        </w:rPr>
        <w:t>.</w:t>
      </w:r>
      <w:r>
        <w:rPr>
          <w:snapToGrid w:val="0"/>
        </w:rPr>
        <w:tab/>
        <w:t>Prohibitions excluded by certain circumstances</w:t>
      </w:r>
      <w:bookmarkEnd w:id="106"/>
    </w:p>
    <w:p>
      <w:pPr>
        <w:pStyle w:val="Subsection"/>
        <w:tabs>
          <w:tab w:val="left" w:pos="5387"/>
        </w:tabs>
        <w:spacing w:before="140"/>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2</w:t>
      </w:r>
      <w:r>
        <w:rPr>
          <w:snapToGrid w:val="0"/>
        </w:rPr>
        <w:t>.</w:t>
      </w:r>
    </w:p>
    <w:p>
      <w:pPr>
        <w:pStyle w:val="Footnotesection"/>
        <w:spacing w:before="100"/>
        <w:ind w:left="890" w:hanging="890"/>
      </w:pPr>
      <w:r>
        <w:tab/>
        <w:t>[Section 64 amended: No. 65 of 1977 s. 43; No. 51 of 1979 s. 5; No. 38 of 2002 s. 38; No. 25 of 2009 s. 18; No. 19 of 2010 s. 52(4).]</w:t>
      </w:r>
    </w:p>
    <w:p>
      <w:pPr>
        <w:pStyle w:val="Heading5"/>
        <w:spacing w:before="180"/>
        <w:rPr>
          <w:snapToGrid w:val="0"/>
        </w:rPr>
      </w:pPr>
      <w:bookmarkStart w:id="107" w:name="_Toc111797704"/>
      <w:r>
        <w:rPr>
          <w:rStyle w:val="CharSectno"/>
        </w:rPr>
        <w:t>65</w:t>
      </w:r>
      <w:r>
        <w:rPr>
          <w:snapToGrid w:val="0"/>
        </w:rPr>
        <w:t>.</w:t>
      </w:r>
      <w:r>
        <w:rPr>
          <w:snapToGrid w:val="0"/>
        </w:rPr>
        <w:tab/>
        <w:t>Proof of certain matters</w:t>
      </w:r>
      <w:bookmarkEnd w:id="107"/>
    </w:p>
    <w:p>
      <w:pPr>
        <w:pStyle w:val="Subsection"/>
        <w:spacing w:before="120"/>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lastRenderedPageBreak/>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pPr>
      <w:r>
        <w:tab/>
        <w:t>(ca)</w:t>
      </w:r>
      <w:r>
        <w:tab/>
        <w:t>a copy purporting to be a true copy of bush fire risk treatment standards published under section 35AA(5) certified as such by the FES Commissioner; or</w:t>
      </w:r>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w:t>
      </w:r>
      <w:r>
        <w:t>order, notice or standard,</w:t>
      </w:r>
      <w:r>
        <w:rPr>
          <w:snapToGrid w:val="0"/>
        </w:rPr>
        <w:t xml:space="preserv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lastRenderedPageBreak/>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No. 35 of 1957 s. 11; No. 11 of 1963 s. 27; No. 65 of 1977 s. 44; No. 60 of 1992 s. 15; No. 14 of 1996 s. 4; No. 10 of 1998 s. 20(3); No. 42 of 1998 s. 14 and 16; No. 84 of 2004 s. 80; No. 25 of 2009 s. 19; No. 22 of 2012 s. 68; No. 27 of 2016 s. 6.]</w:t>
      </w:r>
    </w:p>
    <w:p>
      <w:pPr>
        <w:pStyle w:val="Heading5"/>
        <w:rPr>
          <w:snapToGrid w:val="0"/>
        </w:rPr>
      </w:pPr>
      <w:bookmarkStart w:id="108" w:name="_Toc111797705"/>
      <w:r>
        <w:rPr>
          <w:rStyle w:val="CharSectno"/>
        </w:rPr>
        <w:t>66</w:t>
      </w:r>
      <w:r>
        <w:rPr>
          <w:snapToGrid w:val="0"/>
        </w:rPr>
        <w:t>.</w:t>
      </w:r>
      <w:r>
        <w:rPr>
          <w:snapToGrid w:val="0"/>
        </w:rPr>
        <w:tab/>
        <w:t>Proof of ownership or occupancy</w:t>
      </w:r>
      <w:bookmarkEnd w:id="108"/>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keepNext/>
        <w:rPr>
          <w:snapToGrid w:val="0"/>
        </w:rPr>
      </w:pPr>
      <w:r>
        <w:rPr>
          <w:snapToGrid w:val="0"/>
        </w:rPr>
        <w:lastRenderedPageBreak/>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lastRenderedPageBreak/>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No. 11 of 1963 s. 28; amended: No. 14 of 1996 s. 4; No. 81 of 1996 s. 153(1); No. 57 of 1997 s. 26(3); No. 84 of 2004 s. 80; No. 28 of 2006 s. 392; No. 60 of 2006 s. 126</w:t>
      </w:r>
      <w:r>
        <w:rPr>
          <w:spacing w:val="-4"/>
        </w:rPr>
        <w:t>; No. 47 of 2011 s.</w:t>
      </w:r>
      <w:r>
        <w:t> 16.]</w:t>
      </w:r>
    </w:p>
    <w:p>
      <w:pPr>
        <w:pStyle w:val="Heading5"/>
        <w:rPr>
          <w:snapToGrid w:val="0"/>
        </w:rPr>
      </w:pPr>
      <w:bookmarkStart w:id="109" w:name="_Toc111797706"/>
      <w:r>
        <w:rPr>
          <w:rStyle w:val="CharSectno"/>
        </w:rPr>
        <w:t>67</w:t>
      </w:r>
      <w:r>
        <w:rPr>
          <w:snapToGrid w:val="0"/>
        </w:rPr>
        <w:t>.</w:t>
      </w:r>
      <w:r>
        <w:rPr>
          <w:snapToGrid w:val="0"/>
        </w:rPr>
        <w:tab/>
        <w:t>Advisory committees</w:t>
      </w:r>
      <w:bookmarkEnd w:id="109"/>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 and</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lastRenderedPageBreak/>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No. 11 of 1963 s. 28; amended: No. 67 of 1970 s. 5; No. 65 of 1977 s. 45; No. 14 of 1996 s. 4.]</w:t>
      </w:r>
    </w:p>
    <w:p>
      <w:pPr>
        <w:pStyle w:val="Heading5"/>
        <w:rPr>
          <w:snapToGrid w:val="0"/>
        </w:rPr>
      </w:pPr>
      <w:bookmarkStart w:id="110" w:name="_Toc111797707"/>
      <w:r>
        <w:rPr>
          <w:rStyle w:val="CharSectno"/>
        </w:rPr>
        <w:t>68</w:t>
      </w:r>
      <w:r>
        <w:rPr>
          <w:snapToGrid w:val="0"/>
        </w:rPr>
        <w:t>.</w:t>
      </w:r>
      <w:r>
        <w:rPr>
          <w:snapToGrid w:val="0"/>
        </w:rPr>
        <w:tab/>
        <w:t>Regional advisory committees</w:t>
      </w:r>
      <w:bookmarkEnd w:id="110"/>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 xml:space="preserve">shall be entitled to appoint the same number of persons as members of the committee and, </w:t>
      </w:r>
      <w:r>
        <w:rPr>
          <w:snapToGrid w:val="0"/>
        </w:rPr>
        <w:lastRenderedPageBreak/>
        <w:t>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 xml:space="preserve">may, where for any reason a vacancy occurs in the office of a member of the committee appointed by it, appoint a person to fill that vacancy;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No. 65 of 1977 s. 46; amended: No. 14 of 1996 s. 4.]</w:t>
      </w:r>
    </w:p>
    <w:p>
      <w:pPr>
        <w:pStyle w:val="Ednotesection"/>
      </w:pPr>
      <w:r>
        <w:t>[</w:t>
      </w:r>
      <w:r>
        <w:rPr>
          <w:b/>
        </w:rPr>
        <w:t>69.</w:t>
      </w:r>
      <w:r>
        <w:tab/>
        <w:t>Deleted: No. 42 of 1998 s.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11" w:name="_Toc111797037"/>
      <w:bookmarkStart w:id="112" w:name="_Toc111797708"/>
      <w:r>
        <w:lastRenderedPageBreak/>
        <w:t>Notes</w:t>
      </w:r>
      <w:bookmarkEnd w:id="111"/>
      <w:bookmarkEnd w:id="112"/>
    </w:p>
    <w:p>
      <w:pPr>
        <w:pStyle w:val="nStatement"/>
      </w:pPr>
      <w:r>
        <w:t xml:space="preserve">This is a compilation of the </w:t>
      </w:r>
      <w:r>
        <w:rPr>
          <w:i/>
          <w:noProof/>
        </w:rPr>
        <w:t>Bush Fires Act 1954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3" w:name="_Toc111797709"/>
      <w:r>
        <w:t>Compilation table</w:t>
      </w:r>
      <w:bookmarkEnd w:id="11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5"/>
        <w:gridCol w:w="2552"/>
        <w:gridCol w:w="9"/>
      </w:tblGrid>
      <w:tr>
        <w:trPr>
          <w:gridAfter w:val="1"/>
          <w:wAfter w:w="9" w:type="dxa"/>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5"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1954</w:t>
            </w:r>
          </w:p>
        </w:tc>
        <w:tc>
          <w:tcPr>
            <w:tcW w:w="1139" w:type="dxa"/>
          </w:tcPr>
          <w:p>
            <w:pPr>
              <w:pStyle w:val="nTable"/>
              <w:spacing w:after="40"/>
            </w:pPr>
            <w:r>
              <w:t>53 of 1954</w:t>
            </w:r>
            <w:r>
              <w:br/>
              <w:t>(3 Eliz. II No. 53)</w:t>
            </w:r>
          </w:p>
        </w:tc>
        <w:tc>
          <w:tcPr>
            <w:tcW w:w="1135" w:type="dxa"/>
          </w:tcPr>
          <w:p>
            <w:pPr>
              <w:pStyle w:val="nTable"/>
              <w:spacing w:after="40"/>
            </w:pPr>
            <w:r>
              <w:t>23 Dec 1954</w:t>
            </w:r>
          </w:p>
        </w:tc>
        <w:tc>
          <w:tcPr>
            <w:tcW w:w="2561" w:type="dxa"/>
            <w:gridSpan w:val="2"/>
          </w:tcPr>
          <w:p>
            <w:pPr>
              <w:pStyle w:val="nTable"/>
              <w:spacing w:after="40"/>
            </w:pPr>
            <w:r>
              <w:t xml:space="preserve">29 Apr 1955 (see s. 3 and </w:t>
            </w:r>
            <w:r>
              <w:rPr>
                <w:i/>
              </w:rPr>
              <w:t>Gazette</w:t>
            </w:r>
            <w:r>
              <w:t xml:space="preserve"> 29 Apr 1955 p. 749)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1957</w:t>
            </w:r>
          </w:p>
        </w:tc>
        <w:tc>
          <w:tcPr>
            <w:tcW w:w="1139" w:type="dxa"/>
          </w:tcPr>
          <w:p>
            <w:pPr>
              <w:pStyle w:val="nTable"/>
              <w:spacing w:after="40"/>
            </w:pPr>
            <w:r>
              <w:t>35 of 1957</w:t>
            </w:r>
            <w:r>
              <w:br/>
              <w:t>(6 Eliz. II No. 35)</w:t>
            </w:r>
          </w:p>
        </w:tc>
        <w:tc>
          <w:tcPr>
            <w:tcW w:w="1135" w:type="dxa"/>
          </w:tcPr>
          <w:p>
            <w:pPr>
              <w:pStyle w:val="nTable"/>
              <w:spacing w:after="40"/>
            </w:pPr>
            <w:r>
              <w:t>5 Nov 1957</w:t>
            </w:r>
          </w:p>
        </w:tc>
        <w:tc>
          <w:tcPr>
            <w:tcW w:w="2561" w:type="dxa"/>
            <w:gridSpan w:val="2"/>
          </w:tcPr>
          <w:p>
            <w:pPr>
              <w:pStyle w:val="nTable"/>
              <w:spacing w:after="40"/>
            </w:pPr>
            <w:r>
              <w:t>5 Nov 1957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1958</w:t>
            </w:r>
          </w:p>
        </w:tc>
        <w:tc>
          <w:tcPr>
            <w:tcW w:w="1139" w:type="dxa"/>
          </w:tcPr>
          <w:p>
            <w:pPr>
              <w:pStyle w:val="nTable"/>
              <w:spacing w:after="40"/>
            </w:pPr>
            <w:r>
              <w:t>20 of 1958</w:t>
            </w:r>
            <w:r>
              <w:br/>
              <w:t>(7 Eliz. II No. 20)</w:t>
            </w:r>
          </w:p>
        </w:tc>
        <w:tc>
          <w:tcPr>
            <w:tcW w:w="1135" w:type="dxa"/>
          </w:tcPr>
          <w:p>
            <w:pPr>
              <w:pStyle w:val="nTable"/>
              <w:spacing w:after="40"/>
            </w:pPr>
            <w:r>
              <w:t>22 Oct 1958</w:t>
            </w:r>
          </w:p>
        </w:tc>
        <w:tc>
          <w:tcPr>
            <w:tcW w:w="2561" w:type="dxa"/>
            <w:gridSpan w:val="2"/>
          </w:tcPr>
          <w:p>
            <w:pPr>
              <w:pStyle w:val="nTable"/>
              <w:spacing w:after="40"/>
            </w:pPr>
            <w:r>
              <w:t>22 Oct 1958</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approved 3 Jul 1961 in Vol. 15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1963</w:t>
            </w:r>
          </w:p>
        </w:tc>
        <w:tc>
          <w:tcPr>
            <w:tcW w:w="1139" w:type="dxa"/>
          </w:tcPr>
          <w:p>
            <w:pPr>
              <w:pStyle w:val="nTable"/>
              <w:spacing w:after="40"/>
            </w:pPr>
            <w:r>
              <w:t>11 of 1963</w:t>
            </w:r>
            <w:r>
              <w:br/>
              <w:t>(12 Eliz. II No. 11)</w:t>
            </w:r>
          </w:p>
        </w:tc>
        <w:tc>
          <w:tcPr>
            <w:tcW w:w="1135" w:type="dxa"/>
          </w:tcPr>
          <w:p>
            <w:pPr>
              <w:pStyle w:val="nTable"/>
              <w:spacing w:after="40"/>
            </w:pPr>
            <w:r>
              <w:t>22 Oct 1963</w:t>
            </w:r>
          </w:p>
        </w:tc>
        <w:tc>
          <w:tcPr>
            <w:tcW w:w="2561" w:type="dxa"/>
            <w:gridSpan w:val="2"/>
          </w:tcPr>
          <w:p>
            <w:pPr>
              <w:pStyle w:val="nTable"/>
              <w:spacing w:after="40"/>
            </w:pPr>
            <w:r>
              <w:t xml:space="preserve">22 Nov 1963 (see s. 2 and </w:t>
            </w:r>
            <w:r>
              <w:rPr>
                <w:i/>
              </w:rPr>
              <w:t>Gazette</w:t>
            </w:r>
            <w:r>
              <w:t xml:space="preserve"> 22 Nov 1963 p. 3618)</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1964</w:t>
            </w:r>
          </w:p>
        </w:tc>
        <w:tc>
          <w:tcPr>
            <w:tcW w:w="1139" w:type="dxa"/>
          </w:tcPr>
          <w:p>
            <w:pPr>
              <w:pStyle w:val="nTable"/>
              <w:spacing w:after="40"/>
            </w:pPr>
            <w:r>
              <w:t>23 of 1964</w:t>
            </w:r>
            <w:r>
              <w:br/>
              <w:t>(13 Eliz. II No. 23)</w:t>
            </w:r>
          </w:p>
        </w:tc>
        <w:tc>
          <w:tcPr>
            <w:tcW w:w="1135" w:type="dxa"/>
          </w:tcPr>
          <w:p>
            <w:pPr>
              <w:pStyle w:val="nTable"/>
              <w:spacing w:after="40"/>
            </w:pPr>
            <w:r>
              <w:t>28 Oct 1964</w:t>
            </w:r>
          </w:p>
        </w:tc>
        <w:tc>
          <w:tcPr>
            <w:tcW w:w="2561" w:type="dxa"/>
            <w:gridSpan w:val="2"/>
          </w:tcPr>
          <w:p>
            <w:pPr>
              <w:pStyle w:val="nTable"/>
              <w:spacing w:after="40"/>
            </w:pPr>
            <w:r>
              <w:t>28 Oct 1964</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1965</w:t>
            </w:r>
          </w:p>
        </w:tc>
        <w:tc>
          <w:tcPr>
            <w:tcW w:w="1139" w:type="dxa"/>
          </w:tcPr>
          <w:p>
            <w:pPr>
              <w:pStyle w:val="nTable"/>
              <w:spacing w:after="40"/>
            </w:pPr>
            <w:r>
              <w:t>15 of 1965</w:t>
            </w:r>
          </w:p>
        </w:tc>
        <w:tc>
          <w:tcPr>
            <w:tcW w:w="1135" w:type="dxa"/>
          </w:tcPr>
          <w:p>
            <w:pPr>
              <w:pStyle w:val="nTable"/>
              <w:spacing w:after="40"/>
            </w:pPr>
            <w:r>
              <w:t>1 Oct 1965</w:t>
            </w:r>
          </w:p>
        </w:tc>
        <w:tc>
          <w:tcPr>
            <w:tcW w:w="2561" w:type="dxa"/>
            <w:gridSpan w:val="2"/>
          </w:tcPr>
          <w:p>
            <w:pPr>
              <w:pStyle w:val="nTable"/>
              <w:spacing w:after="40"/>
            </w:pPr>
            <w:r>
              <w:t>1 Oct 1965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Decimal Currency Act 1965</w:t>
            </w:r>
          </w:p>
        </w:tc>
        <w:tc>
          <w:tcPr>
            <w:tcW w:w="1139" w:type="dxa"/>
          </w:tcPr>
          <w:p>
            <w:pPr>
              <w:pStyle w:val="nTable"/>
              <w:spacing w:after="40"/>
            </w:pPr>
            <w:r>
              <w:t>113 of 1965</w:t>
            </w:r>
          </w:p>
        </w:tc>
        <w:tc>
          <w:tcPr>
            <w:tcW w:w="1135" w:type="dxa"/>
          </w:tcPr>
          <w:p>
            <w:pPr>
              <w:pStyle w:val="nTable"/>
              <w:spacing w:after="40"/>
            </w:pPr>
            <w:r>
              <w:t>21 Dec 1965</w:t>
            </w:r>
          </w:p>
        </w:tc>
        <w:tc>
          <w:tcPr>
            <w:tcW w:w="2561"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1969</w:t>
            </w:r>
          </w:p>
        </w:tc>
        <w:tc>
          <w:tcPr>
            <w:tcW w:w="1139" w:type="dxa"/>
          </w:tcPr>
          <w:p>
            <w:pPr>
              <w:pStyle w:val="nTable"/>
              <w:spacing w:after="40"/>
            </w:pPr>
            <w:r>
              <w:t>101 of 1969</w:t>
            </w:r>
          </w:p>
        </w:tc>
        <w:tc>
          <w:tcPr>
            <w:tcW w:w="1135" w:type="dxa"/>
          </w:tcPr>
          <w:p>
            <w:pPr>
              <w:pStyle w:val="nTable"/>
              <w:spacing w:after="40"/>
            </w:pPr>
            <w:r>
              <w:t>25 Nov 1969</w:t>
            </w:r>
          </w:p>
        </w:tc>
        <w:tc>
          <w:tcPr>
            <w:tcW w:w="2561" w:type="dxa"/>
            <w:gridSpan w:val="2"/>
          </w:tcPr>
          <w:p>
            <w:pPr>
              <w:pStyle w:val="nTable"/>
              <w:spacing w:after="40"/>
            </w:pPr>
            <w:r>
              <w:t>25 Nov 1969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1970</w:t>
            </w:r>
          </w:p>
        </w:tc>
        <w:tc>
          <w:tcPr>
            <w:tcW w:w="1139" w:type="dxa"/>
          </w:tcPr>
          <w:p>
            <w:pPr>
              <w:pStyle w:val="nTable"/>
              <w:spacing w:after="40"/>
            </w:pPr>
            <w:r>
              <w:t>67 of 1970</w:t>
            </w:r>
          </w:p>
        </w:tc>
        <w:tc>
          <w:tcPr>
            <w:tcW w:w="1135" w:type="dxa"/>
          </w:tcPr>
          <w:p>
            <w:pPr>
              <w:pStyle w:val="nTable"/>
              <w:spacing w:after="40"/>
            </w:pPr>
            <w:r>
              <w:t>17 Nov 1970</w:t>
            </w:r>
          </w:p>
        </w:tc>
        <w:tc>
          <w:tcPr>
            <w:tcW w:w="2561" w:type="dxa"/>
            <w:gridSpan w:val="2"/>
          </w:tcPr>
          <w:p>
            <w:pPr>
              <w:pStyle w:val="nTable"/>
              <w:spacing w:after="40"/>
            </w:pPr>
            <w:r>
              <w:t>17 Nov 1970</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approved 14 Apr 1971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lastRenderedPageBreak/>
              <w:t>Metric Conversion Act 1972</w:t>
            </w:r>
          </w:p>
        </w:tc>
        <w:tc>
          <w:tcPr>
            <w:tcW w:w="1139" w:type="dxa"/>
          </w:tcPr>
          <w:p>
            <w:pPr>
              <w:pStyle w:val="nTable"/>
              <w:keepNext/>
              <w:keepLines/>
              <w:spacing w:after="40"/>
            </w:pPr>
            <w:r>
              <w:t>94 of 1972</w:t>
            </w:r>
            <w:r>
              <w:br/>
              <w:t>(as amended by No. 83 of 1973 s. 3)</w:t>
            </w:r>
          </w:p>
        </w:tc>
        <w:tc>
          <w:tcPr>
            <w:tcW w:w="1135" w:type="dxa"/>
          </w:tcPr>
          <w:p>
            <w:pPr>
              <w:pStyle w:val="nTable"/>
              <w:keepNext/>
              <w:keepLines/>
              <w:spacing w:after="40"/>
            </w:pPr>
            <w:r>
              <w:t>4 Dec 1972</w:t>
            </w:r>
          </w:p>
        </w:tc>
        <w:tc>
          <w:tcPr>
            <w:tcW w:w="2561" w:type="dxa"/>
            <w:gridSpan w:val="2"/>
          </w:tcPr>
          <w:p>
            <w:pPr>
              <w:pStyle w:val="nTable"/>
              <w:keepNext/>
              <w:keepLines/>
              <w:spacing w:after="40"/>
            </w:pPr>
            <w:r>
              <w:t>Relevant amendments (see Third Sch. </w:t>
            </w:r>
            <w:r>
              <w:rPr>
                <w:vertAlign w:val="superscript"/>
              </w:rPr>
              <w:t>3</w:t>
            </w:r>
            <w:r>
              <w:t xml:space="preserve">) took effect on 1 Jun 1974 (see s. 4(2) and </w:t>
            </w:r>
            <w:r>
              <w:rPr>
                <w:i/>
              </w:rPr>
              <w:t>Gazette</w:t>
            </w:r>
            <w:r>
              <w:t xml:space="preserve"> 24 May 1974 p. 1626)</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1977</w:t>
            </w:r>
          </w:p>
        </w:tc>
        <w:tc>
          <w:tcPr>
            <w:tcW w:w="1139" w:type="dxa"/>
          </w:tcPr>
          <w:p>
            <w:pPr>
              <w:pStyle w:val="nTable"/>
              <w:spacing w:after="40"/>
            </w:pPr>
            <w:r>
              <w:t>65 of 1977</w:t>
            </w:r>
          </w:p>
        </w:tc>
        <w:tc>
          <w:tcPr>
            <w:tcW w:w="1135" w:type="dxa"/>
          </w:tcPr>
          <w:p>
            <w:pPr>
              <w:pStyle w:val="nTable"/>
              <w:spacing w:after="40"/>
            </w:pPr>
            <w:r>
              <w:t>28 Nov 1977</w:t>
            </w:r>
          </w:p>
        </w:tc>
        <w:tc>
          <w:tcPr>
            <w:tcW w:w="2561" w:type="dxa"/>
            <w:gridSpan w:val="2"/>
          </w:tcPr>
          <w:p>
            <w:pPr>
              <w:pStyle w:val="nTable"/>
              <w:spacing w:after="40"/>
            </w:pPr>
            <w:r>
              <w:t xml:space="preserve">1 Jun 1978 (see s. 2 and </w:t>
            </w:r>
            <w:r>
              <w:rPr>
                <w:i/>
              </w:rPr>
              <w:t xml:space="preserve">Gazette </w:t>
            </w:r>
            <w:r>
              <w:t>10 Mar 1978 p. 667)</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approved 21 Jun 1978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1979</w:t>
            </w:r>
          </w:p>
        </w:tc>
        <w:tc>
          <w:tcPr>
            <w:tcW w:w="1139" w:type="dxa"/>
          </w:tcPr>
          <w:p>
            <w:pPr>
              <w:pStyle w:val="nTable"/>
              <w:spacing w:after="40"/>
            </w:pPr>
            <w:r>
              <w:t>51 of 1979</w:t>
            </w:r>
          </w:p>
        </w:tc>
        <w:tc>
          <w:tcPr>
            <w:tcW w:w="1135" w:type="dxa"/>
          </w:tcPr>
          <w:p>
            <w:pPr>
              <w:pStyle w:val="nTable"/>
              <w:spacing w:after="40"/>
            </w:pPr>
            <w:r>
              <w:t>7 Nov 1979</w:t>
            </w:r>
          </w:p>
        </w:tc>
        <w:tc>
          <w:tcPr>
            <w:tcW w:w="2561" w:type="dxa"/>
            <w:gridSpan w:val="2"/>
          </w:tcPr>
          <w:p>
            <w:pPr>
              <w:pStyle w:val="nTable"/>
              <w:spacing w:after="40"/>
            </w:pPr>
            <w:r>
              <w:t>7 Nov 1979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Amendment Act 1981</w:t>
            </w:r>
          </w:p>
        </w:tc>
        <w:tc>
          <w:tcPr>
            <w:tcW w:w="1139" w:type="dxa"/>
          </w:tcPr>
          <w:p>
            <w:pPr>
              <w:pStyle w:val="nTable"/>
              <w:spacing w:after="40"/>
            </w:pPr>
            <w:r>
              <w:t>95 of 1981</w:t>
            </w:r>
          </w:p>
        </w:tc>
        <w:tc>
          <w:tcPr>
            <w:tcW w:w="1135" w:type="dxa"/>
          </w:tcPr>
          <w:p>
            <w:pPr>
              <w:pStyle w:val="nTable"/>
              <w:spacing w:after="40"/>
            </w:pPr>
            <w:r>
              <w:t>4 Dec 1981</w:t>
            </w:r>
          </w:p>
        </w:tc>
        <w:tc>
          <w:tcPr>
            <w:tcW w:w="2561" w:type="dxa"/>
            <w:gridSpan w:val="2"/>
          </w:tcPr>
          <w:p>
            <w:pPr>
              <w:pStyle w:val="nTable"/>
              <w:spacing w:after="40"/>
            </w:pPr>
            <w:r>
              <w:t>4 Dec 1981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(Conservation and Land Management) Act 1984</w:t>
            </w:r>
            <w:r>
              <w:t xml:space="preserve"> Pt. IV</w:t>
            </w:r>
          </w:p>
        </w:tc>
        <w:tc>
          <w:tcPr>
            <w:tcW w:w="1139" w:type="dxa"/>
          </w:tcPr>
          <w:p>
            <w:pPr>
              <w:pStyle w:val="nTable"/>
              <w:spacing w:after="40"/>
            </w:pPr>
            <w:r>
              <w:t>112 of 1984</w:t>
            </w:r>
          </w:p>
        </w:tc>
        <w:tc>
          <w:tcPr>
            <w:tcW w:w="1135" w:type="dxa"/>
          </w:tcPr>
          <w:p>
            <w:pPr>
              <w:pStyle w:val="nTable"/>
              <w:spacing w:after="40"/>
            </w:pPr>
            <w:r>
              <w:t>19 Dec 1984</w:t>
            </w:r>
          </w:p>
        </w:tc>
        <w:tc>
          <w:tcPr>
            <w:tcW w:w="2561" w:type="dxa"/>
            <w:gridSpan w:val="2"/>
          </w:tcPr>
          <w:p>
            <w:pPr>
              <w:pStyle w:val="nTable"/>
              <w:spacing w:after="40"/>
            </w:pPr>
            <w:r>
              <w:t xml:space="preserve">22 Mar 1985 (see s. 2 and </w:t>
            </w:r>
            <w:r>
              <w:rPr>
                <w:i/>
              </w:rPr>
              <w:t>Gazette</w:t>
            </w:r>
            <w:r>
              <w:t xml:space="preserve"> 15 Mar 1985 p. 931)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Amendment Act 1987</w:t>
            </w:r>
          </w:p>
        </w:tc>
        <w:tc>
          <w:tcPr>
            <w:tcW w:w="1139" w:type="dxa"/>
          </w:tcPr>
          <w:p>
            <w:pPr>
              <w:pStyle w:val="nTable"/>
              <w:spacing w:after="40"/>
            </w:pPr>
            <w:r>
              <w:t>8 of 1987</w:t>
            </w:r>
          </w:p>
        </w:tc>
        <w:tc>
          <w:tcPr>
            <w:tcW w:w="1135" w:type="dxa"/>
          </w:tcPr>
          <w:p>
            <w:pPr>
              <w:pStyle w:val="nTable"/>
              <w:spacing w:after="40"/>
            </w:pPr>
            <w:r>
              <w:t>5 Jun 1987</w:t>
            </w:r>
          </w:p>
        </w:tc>
        <w:tc>
          <w:tcPr>
            <w:tcW w:w="2561" w:type="dxa"/>
            <w:gridSpan w:val="2"/>
          </w:tcPr>
          <w:p>
            <w:pPr>
              <w:pStyle w:val="nTable"/>
              <w:spacing w:after="40"/>
            </w:pPr>
            <w:r>
              <w:t>3 Jul 1987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Criminal Law Amendment Act 1990</w:t>
            </w:r>
            <w:r>
              <w:t xml:space="preserve"> Pt. 3</w:t>
            </w:r>
          </w:p>
        </w:tc>
        <w:tc>
          <w:tcPr>
            <w:tcW w:w="1139" w:type="dxa"/>
          </w:tcPr>
          <w:p>
            <w:pPr>
              <w:pStyle w:val="nTable"/>
              <w:spacing w:after="40"/>
            </w:pPr>
            <w:r>
              <w:t>101 of 1990</w:t>
            </w:r>
          </w:p>
        </w:tc>
        <w:tc>
          <w:tcPr>
            <w:tcW w:w="1135" w:type="dxa"/>
          </w:tcPr>
          <w:p>
            <w:pPr>
              <w:pStyle w:val="nTable"/>
              <w:spacing w:after="40"/>
            </w:pPr>
            <w:r>
              <w:t>20 Dec 1990</w:t>
            </w:r>
          </w:p>
        </w:tc>
        <w:tc>
          <w:tcPr>
            <w:tcW w:w="2561" w:type="dxa"/>
            <w:gridSpan w:val="2"/>
          </w:tcPr>
          <w:p>
            <w:pPr>
              <w:pStyle w:val="nTable"/>
              <w:spacing w:after="40"/>
            </w:pPr>
            <w:r>
              <w:t>14 Feb 1991 (see s. 2(1))</w:t>
            </w:r>
          </w:p>
        </w:tc>
      </w:tr>
      <w:tr>
        <w:tblPrEx>
          <w:tblBorders>
            <w:top w:val="none" w:sz="0" w:space="0" w:color="auto"/>
            <w:bottom w:val="none" w:sz="0" w:space="0" w:color="auto"/>
            <w:insideH w:val="none" w:sz="0" w:space="0" w:color="auto"/>
          </w:tblBorders>
        </w:tblPrEx>
        <w:trPr>
          <w:cantSplit/>
        </w:trPr>
        <w:tc>
          <w:tcPr>
            <w:tcW w:w="7108" w:type="dxa"/>
            <w:gridSpan w:val="5"/>
            <w:shd w:val="clear" w:color="auto" w:fill="auto"/>
          </w:tcPr>
          <w:p>
            <w:pPr>
              <w:pStyle w:val="nTable"/>
              <w:spacing w:after="40"/>
            </w:pPr>
            <w:r>
              <w:rPr>
                <w:b/>
              </w:rPr>
              <w:t xml:space="preserve">Reprint of the </w:t>
            </w:r>
            <w:r>
              <w:rPr>
                <w:b/>
                <w:i/>
              </w:rPr>
              <w:t>Bush Fires Act 1954</w:t>
            </w:r>
            <w:r>
              <w:rPr>
                <w:b/>
              </w:rPr>
              <w:t xml:space="preserve"> as at 27 Feb 1992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rPr>
                <w:vertAlign w:val="superscript"/>
              </w:rPr>
            </w:pPr>
            <w:r>
              <w:rPr>
                <w:i/>
              </w:rPr>
              <w:t>Bush Fires Amendment Act 1992 </w:t>
            </w:r>
            <w:r>
              <w:rPr>
                <w:i/>
                <w:vertAlign w:val="superscript"/>
              </w:rPr>
              <w:t>4</w:t>
            </w:r>
          </w:p>
        </w:tc>
        <w:tc>
          <w:tcPr>
            <w:tcW w:w="1139" w:type="dxa"/>
          </w:tcPr>
          <w:p>
            <w:pPr>
              <w:pStyle w:val="nTable"/>
              <w:spacing w:after="40"/>
            </w:pPr>
            <w:r>
              <w:t>60 of 1992</w:t>
            </w:r>
          </w:p>
        </w:tc>
        <w:tc>
          <w:tcPr>
            <w:tcW w:w="1135" w:type="dxa"/>
          </w:tcPr>
          <w:p>
            <w:pPr>
              <w:pStyle w:val="nTable"/>
              <w:spacing w:after="40"/>
            </w:pPr>
            <w:r>
              <w:t>11 Dec 1992</w:t>
            </w:r>
          </w:p>
        </w:tc>
        <w:tc>
          <w:tcPr>
            <w:tcW w:w="2561" w:type="dxa"/>
            <w:gridSpan w:val="2"/>
          </w:tcPr>
          <w:p>
            <w:pPr>
              <w:pStyle w:val="nTable"/>
              <w:spacing w:after="40"/>
            </w:pPr>
            <w:r>
              <w:t>Act other than Pt. 2: 11 Dec 1992 (see s. 2(1));</w:t>
            </w:r>
            <w:r>
              <w:br/>
              <w:t xml:space="preserve">Pt. 2: 25 Mar 1993 (see s. 2(2) and </w:t>
            </w:r>
            <w:r>
              <w:rPr>
                <w:i/>
              </w:rPr>
              <w:t>Gazette</w:t>
            </w:r>
            <w:r>
              <w:t xml:space="preserve"> 19 Mar 1993 p. 1635)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Financial Administration Legislation Amendment Act 1993</w:t>
            </w:r>
            <w:r>
              <w:t xml:space="preserve"> s. 11</w:t>
            </w:r>
          </w:p>
        </w:tc>
        <w:tc>
          <w:tcPr>
            <w:tcW w:w="1139" w:type="dxa"/>
          </w:tcPr>
          <w:p>
            <w:pPr>
              <w:pStyle w:val="nTable"/>
              <w:keepNext/>
              <w:keepLines/>
              <w:spacing w:after="40"/>
            </w:pPr>
            <w:r>
              <w:t>6 of 1993</w:t>
            </w:r>
          </w:p>
        </w:tc>
        <w:tc>
          <w:tcPr>
            <w:tcW w:w="1135" w:type="dxa"/>
          </w:tcPr>
          <w:p>
            <w:pPr>
              <w:pStyle w:val="nTable"/>
              <w:keepNext/>
              <w:keepLines/>
              <w:spacing w:after="40"/>
            </w:pPr>
            <w:r>
              <w:t>27 Aug 1993</w:t>
            </w:r>
          </w:p>
        </w:tc>
        <w:tc>
          <w:tcPr>
            <w:tcW w:w="2561" w:type="dxa"/>
            <w:gridSpan w:val="2"/>
          </w:tcPr>
          <w:p>
            <w:pPr>
              <w:pStyle w:val="nTable"/>
              <w:keepNext/>
              <w:keepLines/>
              <w:spacing w:after="40"/>
            </w:pPr>
            <w:r>
              <w:t>1 Jul 1993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(Public Sector Management) Act 1994</w:t>
            </w:r>
            <w:r>
              <w:t xml:space="preserve"> s. 19</w:t>
            </w:r>
          </w:p>
        </w:tc>
        <w:tc>
          <w:tcPr>
            <w:tcW w:w="1139" w:type="dxa"/>
          </w:tcPr>
          <w:p>
            <w:pPr>
              <w:pStyle w:val="nTable"/>
              <w:spacing w:after="40"/>
            </w:pPr>
            <w:r>
              <w:t>32 of 1994</w:t>
            </w:r>
          </w:p>
        </w:tc>
        <w:tc>
          <w:tcPr>
            <w:tcW w:w="1135" w:type="dxa"/>
          </w:tcPr>
          <w:p>
            <w:pPr>
              <w:pStyle w:val="nTable"/>
              <w:spacing w:after="40"/>
            </w:pPr>
            <w:r>
              <w:t>29 Jun 1994</w:t>
            </w:r>
          </w:p>
        </w:tc>
        <w:tc>
          <w:tcPr>
            <w:tcW w:w="2561"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Fire Brigades Amendment Act 1994</w:t>
            </w:r>
            <w:r>
              <w:t xml:space="preserve"> s. 36</w:t>
            </w:r>
          </w:p>
        </w:tc>
        <w:tc>
          <w:tcPr>
            <w:tcW w:w="1139" w:type="dxa"/>
          </w:tcPr>
          <w:p>
            <w:pPr>
              <w:pStyle w:val="nTable"/>
              <w:spacing w:after="40"/>
            </w:pPr>
            <w:r>
              <w:t>52 of 1994</w:t>
            </w:r>
          </w:p>
        </w:tc>
        <w:tc>
          <w:tcPr>
            <w:tcW w:w="1135" w:type="dxa"/>
          </w:tcPr>
          <w:p>
            <w:pPr>
              <w:pStyle w:val="nTable"/>
              <w:spacing w:after="40"/>
            </w:pPr>
            <w:r>
              <w:t>2 Nov 1994</w:t>
            </w:r>
          </w:p>
        </w:tc>
        <w:tc>
          <w:tcPr>
            <w:tcW w:w="2561" w:type="dxa"/>
            <w:gridSpan w:val="2"/>
          </w:tcPr>
          <w:p>
            <w:pPr>
              <w:pStyle w:val="nTable"/>
              <w:spacing w:after="40"/>
            </w:pPr>
            <w:r>
              <w:t xml:space="preserve">10 Dec 1994 (see s. 2 and </w:t>
            </w:r>
            <w:r>
              <w:rPr>
                <w:i/>
              </w:rPr>
              <w:t>Gazette</w:t>
            </w:r>
            <w:r>
              <w:t xml:space="preserve"> 9 Dec 1994 p. 6647)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Planning Legislation Amendment Act (No. 2) 1994</w:t>
            </w:r>
            <w:r>
              <w:t xml:space="preserve"> s. 46(1)</w:t>
            </w:r>
          </w:p>
        </w:tc>
        <w:tc>
          <w:tcPr>
            <w:tcW w:w="1139" w:type="dxa"/>
          </w:tcPr>
          <w:p>
            <w:pPr>
              <w:pStyle w:val="nTable"/>
              <w:spacing w:after="40"/>
            </w:pPr>
            <w:r>
              <w:t>84 of 1994</w:t>
            </w:r>
          </w:p>
        </w:tc>
        <w:tc>
          <w:tcPr>
            <w:tcW w:w="1135" w:type="dxa"/>
          </w:tcPr>
          <w:p>
            <w:pPr>
              <w:pStyle w:val="nTable"/>
              <w:spacing w:after="40"/>
            </w:pPr>
            <w:r>
              <w:t>13 Jan 1995</w:t>
            </w:r>
          </w:p>
        </w:tc>
        <w:tc>
          <w:tcPr>
            <w:tcW w:w="2561" w:type="dxa"/>
            <w:gridSpan w:val="2"/>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lastRenderedPageBreak/>
              <w:t>Sentencing (Consequential Provisions) Act 1995</w:t>
            </w:r>
            <w:r>
              <w:t xml:space="preserve"> Pt. 6 and s. 147</w:t>
            </w:r>
          </w:p>
        </w:tc>
        <w:tc>
          <w:tcPr>
            <w:tcW w:w="1139" w:type="dxa"/>
          </w:tcPr>
          <w:p>
            <w:pPr>
              <w:pStyle w:val="nTable"/>
              <w:spacing w:after="40"/>
            </w:pPr>
            <w:r>
              <w:t>78 of 1995</w:t>
            </w:r>
          </w:p>
        </w:tc>
        <w:tc>
          <w:tcPr>
            <w:tcW w:w="1135" w:type="dxa"/>
          </w:tcPr>
          <w:p>
            <w:pPr>
              <w:pStyle w:val="nTable"/>
              <w:spacing w:after="40"/>
            </w:pPr>
            <w:r>
              <w:t>16 Jan 1996</w:t>
            </w:r>
          </w:p>
        </w:tc>
        <w:tc>
          <w:tcPr>
            <w:tcW w:w="2561"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Coroners Act 1996</w:t>
            </w:r>
            <w:r>
              <w:t xml:space="preserve"> s. 61</w:t>
            </w:r>
          </w:p>
        </w:tc>
        <w:tc>
          <w:tcPr>
            <w:tcW w:w="1139" w:type="dxa"/>
          </w:tcPr>
          <w:p>
            <w:pPr>
              <w:pStyle w:val="nTable"/>
              <w:spacing w:after="40"/>
            </w:pPr>
            <w:r>
              <w:t>2 of 1996</w:t>
            </w:r>
          </w:p>
        </w:tc>
        <w:tc>
          <w:tcPr>
            <w:tcW w:w="1135" w:type="dxa"/>
          </w:tcPr>
          <w:p>
            <w:pPr>
              <w:pStyle w:val="nTable"/>
              <w:spacing w:after="40"/>
            </w:pPr>
            <w:r>
              <w:t>24 May 1996</w:t>
            </w:r>
          </w:p>
        </w:tc>
        <w:tc>
          <w:tcPr>
            <w:tcW w:w="2561"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Local Government (Consequential Amendments) Act 1996</w:t>
            </w:r>
            <w:r>
              <w:t xml:space="preserve"> s. 4</w:t>
            </w:r>
          </w:p>
        </w:tc>
        <w:tc>
          <w:tcPr>
            <w:tcW w:w="1139" w:type="dxa"/>
          </w:tcPr>
          <w:p>
            <w:pPr>
              <w:pStyle w:val="nTable"/>
              <w:spacing w:after="40"/>
            </w:pPr>
            <w:r>
              <w:t>14 of 1996</w:t>
            </w:r>
          </w:p>
        </w:tc>
        <w:tc>
          <w:tcPr>
            <w:tcW w:w="1135" w:type="dxa"/>
          </w:tcPr>
          <w:p>
            <w:pPr>
              <w:pStyle w:val="nTable"/>
              <w:spacing w:after="40"/>
            </w:pPr>
            <w:r>
              <w:t>28 Jun 1996</w:t>
            </w:r>
          </w:p>
        </w:tc>
        <w:tc>
          <w:tcPr>
            <w:tcW w:w="2561"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Financial Legislation Amendment Act 1996</w:t>
            </w:r>
            <w:r>
              <w:t xml:space="preserve"> s. 64</w:t>
            </w:r>
          </w:p>
        </w:tc>
        <w:tc>
          <w:tcPr>
            <w:tcW w:w="1139" w:type="dxa"/>
          </w:tcPr>
          <w:p>
            <w:pPr>
              <w:pStyle w:val="nTable"/>
              <w:spacing w:after="40"/>
            </w:pPr>
            <w:r>
              <w:t>49 of 1996</w:t>
            </w:r>
          </w:p>
        </w:tc>
        <w:tc>
          <w:tcPr>
            <w:tcW w:w="1135" w:type="dxa"/>
          </w:tcPr>
          <w:p>
            <w:pPr>
              <w:pStyle w:val="nTable"/>
              <w:spacing w:after="40"/>
            </w:pPr>
            <w:r>
              <w:t>25 Oct 1996</w:t>
            </w:r>
          </w:p>
        </w:tc>
        <w:tc>
          <w:tcPr>
            <w:tcW w:w="2561"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Transfer of Land Amendment Act 1996</w:t>
            </w:r>
            <w:r>
              <w:t xml:space="preserve"> s. 153(1)</w:t>
            </w:r>
          </w:p>
        </w:tc>
        <w:tc>
          <w:tcPr>
            <w:tcW w:w="1139" w:type="dxa"/>
          </w:tcPr>
          <w:p>
            <w:pPr>
              <w:pStyle w:val="nTable"/>
              <w:spacing w:after="40"/>
            </w:pPr>
            <w:r>
              <w:t>81 of 1996</w:t>
            </w:r>
          </w:p>
        </w:tc>
        <w:tc>
          <w:tcPr>
            <w:tcW w:w="1135" w:type="dxa"/>
          </w:tcPr>
          <w:p>
            <w:pPr>
              <w:pStyle w:val="nTable"/>
              <w:spacing w:after="40"/>
            </w:pPr>
            <w:r>
              <w:t>14 Nov 1996</w:t>
            </w:r>
          </w:p>
        </w:tc>
        <w:tc>
          <w:tcPr>
            <w:tcW w:w="2561" w:type="dxa"/>
            <w:gridSpan w:val="2"/>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as at 20 Jan 1997 </w:t>
            </w:r>
            <w:r>
              <w:t xml:space="preserve">(includes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Statutes (Repeals and Minor Amendments) Act 1997</w:t>
            </w:r>
            <w:r>
              <w:t xml:space="preserve"> s. 26</w:t>
            </w:r>
          </w:p>
        </w:tc>
        <w:tc>
          <w:tcPr>
            <w:tcW w:w="1139" w:type="dxa"/>
          </w:tcPr>
          <w:p>
            <w:pPr>
              <w:pStyle w:val="nTable"/>
              <w:spacing w:after="40"/>
            </w:pPr>
            <w:r>
              <w:t>57 of 1997</w:t>
            </w:r>
          </w:p>
        </w:tc>
        <w:tc>
          <w:tcPr>
            <w:tcW w:w="1135" w:type="dxa"/>
          </w:tcPr>
          <w:p>
            <w:pPr>
              <w:pStyle w:val="nTable"/>
              <w:spacing w:after="40"/>
            </w:pPr>
            <w:r>
              <w:t>15 Dec 1997</w:t>
            </w:r>
          </w:p>
        </w:tc>
        <w:tc>
          <w:tcPr>
            <w:tcW w:w="2561"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Statutes (Repeals and Minor Amendments) Act (No. 2) 1998</w:t>
            </w:r>
            <w:r>
              <w:t xml:space="preserve"> s. 20</w:t>
            </w:r>
          </w:p>
        </w:tc>
        <w:tc>
          <w:tcPr>
            <w:tcW w:w="1139" w:type="dxa"/>
          </w:tcPr>
          <w:p>
            <w:pPr>
              <w:pStyle w:val="nTable"/>
              <w:spacing w:after="40"/>
            </w:pPr>
            <w:r>
              <w:t>10 of 1998</w:t>
            </w:r>
          </w:p>
        </w:tc>
        <w:tc>
          <w:tcPr>
            <w:tcW w:w="1135" w:type="dxa"/>
          </w:tcPr>
          <w:p>
            <w:pPr>
              <w:pStyle w:val="nTable"/>
              <w:spacing w:after="40"/>
            </w:pPr>
            <w:r>
              <w:t>30 Apr 1998</w:t>
            </w:r>
          </w:p>
        </w:tc>
        <w:tc>
          <w:tcPr>
            <w:tcW w:w="2561"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vertAlign w:val="superscript"/>
              </w:rPr>
            </w:pPr>
            <w:r>
              <w:rPr>
                <w:i/>
              </w:rPr>
              <w:t>Fire and Emergency Services Authority of Western Australia (Consequential Provisions) Act 1998</w:t>
            </w:r>
            <w:r>
              <w:t xml:space="preserve"> Pt. 2 </w:t>
            </w:r>
            <w:r>
              <w:rPr>
                <w:vertAlign w:val="superscript"/>
              </w:rPr>
              <w:t>5</w:t>
            </w:r>
          </w:p>
        </w:tc>
        <w:tc>
          <w:tcPr>
            <w:tcW w:w="1139" w:type="dxa"/>
          </w:tcPr>
          <w:p>
            <w:pPr>
              <w:pStyle w:val="nTable"/>
              <w:spacing w:after="40"/>
            </w:pPr>
            <w:r>
              <w:t>42 of 1998</w:t>
            </w:r>
          </w:p>
        </w:tc>
        <w:tc>
          <w:tcPr>
            <w:tcW w:w="1135" w:type="dxa"/>
          </w:tcPr>
          <w:p>
            <w:pPr>
              <w:pStyle w:val="nTable"/>
              <w:spacing w:after="40"/>
            </w:pPr>
            <w:r>
              <w:t>4 Nov 1998</w:t>
            </w:r>
          </w:p>
        </w:tc>
        <w:tc>
          <w:tcPr>
            <w:tcW w:w="2561" w:type="dxa"/>
            <w:gridSpan w:val="2"/>
          </w:tcPr>
          <w:p>
            <w:pPr>
              <w:pStyle w:val="nTable"/>
              <w:spacing w:after="40"/>
            </w:pPr>
            <w:r>
              <w:t xml:space="preserve">1 Jan 1999 (see s. 2 and </w:t>
            </w:r>
            <w:r>
              <w:rPr>
                <w:i/>
              </w:rPr>
              <w:t>Gazette</w:t>
            </w:r>
            <w:r>
              <w:t xml:space="preserve"> 22 Dec 1998 p. 6833)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vertAlign w:val="superscript"/>
              </w:rPr>
            </w:pPr>
            <w:r>
              <w:rPr>
                <w:i/>
              </w:rPr>
              <w:t xml:space="preserve">Fire and Emergency Services Legislation Amendment Act 2002 </w:t>
            </w:r>
            <w:r>
              <w:t>s. 15</w:t>
            </w:r>
            <w:r>
              <w:noBreakHyphen/>
              <w:t>40 </w:t>
            </w:r>
            <w:r>
              <w:rPr>
                <w:vertAlign w:val="superscript"/>
              </w:rPr>
              <w:t>6</w:t>
            </w:r>
          </w:p>
        </w:tc>
        <w:tc>
          <w:tcPr>
            <w:tcW w:w="1139" w:type="dxa"/>
          </w:tcPr>
          <w:p>
            <w:pPr>
              <w:pStyle w:val="nTable"/>
              <w:spacing w:after="40"/>
            </w:pPr>
            <w:r>
              <w:t>38 of 2002</w:t>
            </w:r>
          </w:p>
        </w:tc>
        <w:tc>
          <w:tcPr>
            <w:tcW w:w="1135" w:type="dxa"/>
          </w:tcPr>
          <w:p>
            <w:pPr>
              <w:pStyle w:val="nTable"/>
              <w:spacing w:after="40"/>
            </w:pPr>
            <w:r>
              <w:t>20 Nov 2002</w:t>
            </w:r>
          </w:p>
        </w:tc>
        <w:tc>
          <w:tcPr>
            <w:tcW w:w="2561" w:type="dxa"/>
            <w:gridSpan w:val="2"/>
          </w:tcPr>
          <w:p>
            <w:pPr>
              <w:pStyle w:val="nTable"/>
              <w:spacing w:after="40"/>
            </w:pPr>
            <w:r>
              <w:t xml:space="preserve">30 Nov 2002 (see s. 2 and </w:t>
            </w:r>
            <w:r>
              <w:rPr>
                <w:i/>
              </w:rPr>
              <w:t>Gazette</w:t>
            </w:r>
            <w:r>
              <w:t xml:space="preserve"> 29 Nov 2002 p. 5651</w:t>
            </w:r>
            <w:r>
              <w:noBreakHyphen/>
              <w:t>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(Equality of Status) Act 2003</w:t>
            </w:r>
            <w:r>
              <w:t xml:space="preserve"> Pt. 4</w:t>
            </w:r>
          </w:p>
        </w:tc>
        <w:tc>
          <w:tcPr>
            <w:tcW w:w="1139" w:type="dxa"/>
          </w:tcPr>
          <w:p>
            <w:pPr>
              <w:pStyle w:val="nTable"/>
              <w:spacing w:after="40"/>
            </w:pPr>
            <w:r>
              <w:t>28 of 2003</w:t>
            </w:r>
          </w:p>
        </w:tc>
        <w:tc>
          <w:tcPr>
            <w:tcW w:w="1135" w:type="dxa"/>
          </w:tcPr>
          <w:p>
            <w:pPr>
              <w:pStyle w:val="nTable"/>
              <w:spacing w:after="40"/>
            </w:pPr>
            <w:r>
              <w:t>22 May 2003</w:t>
            </w:r>
          </w:p>
        </w:tc>
        <w:tc>
          <w:tcPr>
            <w:tcW w:w="2561" w:type="dxa"/>
            <w:gridSpan w:val="2"/>
          </w:tcPr>
          <w:p>
            <w:pPr>
              <w:pStyle w:val="nTable"/>
              <w:spacing w:after="40"/>
            </w:pPr>
            <w:r>
              <w:t xml:space="preserve">1 Jul 2003 (see s. 2 and </w:t>
            </w:r>
            <w:r>
              <w:rPr>
                <w:i/>
              </w:rPr>
              <w:t>Gazette</w:t>
            </w:r>
            <w:r>
              <w:t xml:space="preserve"> 30 Jun 2003 p. 2579)</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6: The </w:t>
            </w:r>
            <w:r>
              <w:rPr>
                <w:b/>
                <w:i/>
              </w:rPr>
              <w:t>Bush Fires Act 1954</w:t>
            </w:r>
            <w:r>
              <w:rPr>
                <w:b/>
              </w:rPr>
              <w:t xml:space="preserve"> as at 1 Aug 2003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and Repeal (Competition Policy) Act 2003</w:t>
            </w:r>
            <w:r>
              <w:t xml:space="preserve"> Pt. 3</w:t>
            </w:r>
          </w:p>
        </w:tc>
        <w:tc>
          <w:tcPr>
            <w:tcW w:w="1139" w:type="dxa"/>
          </w:tcPr>
          <w:p>
            <w:pPr>
              <w:pStyle w:val="nTable"/>
              <w:spacing w:after="40"/>
            </w:pPr>
            <w:r>
              <w:t>70 of 2003</w:t>
            </w:r>
          </w:p>
        </w:tc>
        <w:tc>
          <w:tcPr>
            <w:tcW w:w="1135" w:type="dxa"/>
          </w:tcPr>
          <w:p>
            <w:pPr>
              <w:pStyle w:val="nTable"/>
              <w:spacing w:after="40"/>
            </w:pPr>
            <w:r>
              <w:t>15 Dec 2003</w:t>
            </w:r>
          </w:p>
        </w:tc>
        <w:tc>
          <w:tcPr>
            <w:tcW w:w="2561" w:type="dxa"/>
            <w:gridSpan w:val="2"/>
          </w:tcPr>
          <w:p>
            <w:pPr>
              <w:pStyle w:val="nTable"/>
              <w:spacing w:after="40"/>
            </w:pPr>
            <w:r>
              <w:t xml:space="preserve">21 Apr 2004 (see s. 2 and </w:t>
            </w:r>
            <w:r>
              <w:rPr>
                <w:i/>
              </w:rPr>
              <w:t>Gazette</w:t>
            </w:r>
            <w:r>
              <w:t xml:space="preserve"> 20 Apr 2004 p. 1297)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
              </w:rPr>
            </w:pPr>
            <w:r>
              <w:rPr>
                <w:i/>
              </w:rPr>
              <w:t>Criminal Code Amendment Act 2004</w:t>
            </w:r>
            <w:r>
              <w:t xml:space="preserve"> s. 58</w:t>
            </w:r>
          </w:p>
        </w:tc>
        <w:tc>
          <w:tcPr>
            <w:tcW w:w="1139" w:type="dxa"/>
          </w:tcPr>
          <w:p>
            <w:pPr>
              <w:pStyle w:val="nTable"/>
              <w:spacing w:after="40"/>
            </w:pPr>
            <w:r>
              <w:t>4 of 2004</w:t>
            </w:r>
          </w:p>
        </w:tc>
        <w:tc>
          <w:tcPr>
            <w:tcW w:w="1135" w:type="dxa"/>
          </w:tcPr>
          <w:p>
            <w:pPr>
              <w:pStyle w:val="nTable"/>
              <w:spacing w:after="40"/>
            </w:pPr>
            <w:r>
              <w:t>23 Apr 2004</w:t>
            </w:r>
          </w:p>
        </w:tc>
        <w:tc>
          <w:tcPr>
            <w:tcW w:w="2561" w:type="dxa"/>
            <w:gridSpan w:val="2"/>
          </w:tcPr>
          <w:p>
            <w:pPr>
              <w:pStyle w:val="nTable"/>
              <w:spacing w:after="40"/>
            </w:pPr>
            <w:r>
              <w:t>21 May 2004 (see s. 2)</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vertAlign w:val="superscript"/>
              </w:rPr>
            </w:pPr>
            <w:r>
              <w:rPr>
                <w:i/>
                <w:iCs/>
                <w:snapToGrid w:val="0"/>
              </w:rPr>
              <w:lastRenderedPageBreak/>
              <w:t>Workers’ Compensation Reform Act 2004</w:t>
            </w:r>
            <w:r>
              <w:rPr>
                <w:snapToGrid w:val="0"/>
              </w:rPr>
              <w:t xml:space="preserve"> s. 174</w:t>
            </w:r>
          </w:p>
        </w:tc>
        <w:tc>
          <w:tcPr>
            <w:tcW w:w="1139" w:type="dxa"/>
            <w:tcBorders>
              <w:top w:val="nil"/>
              <w:bottom w:val="nil"/>
            </w:tcBorders>
          </w:tcPr>
          <w:p>
            <w:pPr>
              <w:pStyle w:val="nTable"/>
              <w:spacing w:after="40"/>
              <w:rPr>
                <w:snapToGrid w:val="0"/>
              </w:rPr>
            </w:pPr>
            <w:r>
              <w:rPr>
                <w:snapToGrid w:val="0"/>
              </w:rPr>
              <w:t>42 of 2004</w:t>
            </w:r>
          </w:p>
        </w:tc>
        <w:tc>
          <w:tcPr>
            <w:tcW w:w="1135" w:type="dxa"/>
            <w:tcBorders>
              <w:top w:val="nil"/>
              <w:bottom w:val="nil"/>
            </w:tcBorders>
          </w:tcPr>
          <w:p>
            <w:pPr>
              <w:pStyle w:val="nTable"/>
              <w:spacing w:after="40"/>
            </w:pPr>
            <w:r>
              <w:t>9 Nov 2004</w:t>
            </w:r>
          </w:p>
        </w:tc>
        <w:tc>
          <w:tcPr>
            <w:tcW w:w="2561" w:type="dxa"/>
            <w:gridSpan w:val="2"/>
            <w:tcBorders>
              <w:top w:val="nil"/>
              <w:bottom w:val="nil"/>
            </w:tcBorders>
          </w:tcPr>
          <w:p>
            <w:pPr>
              <w:pStyle w:val="nTable"/>
              <w:spacing w:after="40"/>
              <w:rPr>
                <w:snapToGrid w:val="0"/>
              </w:rPr>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rPr>
            </w:pPr>
            <w:r>
              <w:rPr>
                <w:i/>
                <w:iCs/>
                <w:snapToGrid w:val="0"/>
              </w:rPr>
              <w:t>Courts Legislation Amendment and Repeal Act 2004</w:t>
            </w:r>
            <w:r>
              <w:rPr>
                <w:snapToGrid w:val="0"/>
              </w:rPr>
              <w:t xml:space="preserve"> s. 141</w:t>
            </w:r>
          </w:p>
        </w:tc>
        <w:tc>
          <w:tcPr>
            <w:tcW w:w="1139" w:type="dxa"/>
            <w:tcBorders>
              <w:top w:val="nil"/>
              <w:bottom w:val="nil"/>
            </w:tcBorders>
          </w:tcPr>
          <w:p>
            <w:pPr>
              <w:pStyle w:val="nTable"/>
              <w:spacing w:after="40"/>
              <w:rPr>
                <w:snapToGrid w:val="0"/>
              </w:rPr>
            </w:pPr>
            <w:r>
              <w:rPr>
                <w:snapToGrid w:val="0"/>
              </w:rPr>
              <w:t>59 of 2004</w:t>
            </w:r>
          </w:p>
        </w:tc>
        <w:tc>
          <w:tcPr>
            <w:tcW w:w="1135" w:type="dxa"/>
            <w:tcBorders>
              <w:top w:val="nil"/>
              <w:bottom w:val="nil"/>
            </w:tcBorders>
          </w:tcPr>
          <w:p>
            <w:pPr>
              <w:pStyle w:val="nTable"/>
              <w:spacing w:after="40"/>
            </w:pPr>
            <w:r>
              <w:t>23 Nov 2004</w:t>
            </w:r>
          </w:p>
        </w:tc>
        <w:tc>
          <w:tcPr>
            <w:tcW w:w="2561" w:type="dxa"/>
            <w:gridSpan w:val="2"/>
            <w:tcBorders>
              <w:top w:val="nil"/>
              <w:bottom w:val="nil"/>
            </w:tcBorders>
          </w:tcPr>
          <w:p>
            <w:pPr>
              <w:pStyle w:val="nTable"/>
              <w:spacing w:after="40"/>
              <w:rPr>
                <w:iCs/>
                <w:snapToGrid w:val="0"/>
                <w:spacing w:val="-2"/>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9" w:type="dxa"/>
            <w:tcBorders>
              <w:top w:val="nil"/>
              <w:bottom w:val="nil"/>
            </w:tcBorders>
          </w:tcPr>
          <w:p>
            <w:pPr>
              <w:pStyle w:val="nTable"/>
              <w:spacing w:after="40"/>
              <w:rPr>
                <w:snapToGrid w:val="0"/>
              </w:rPr>
            </w:pPr>
            <w:r>
              <w:rPr>
                <w:snapToGrid w:val="0"/>
              </w:rPr>
              <w:t>84 of 2004</w:t>
            </w:r>
          </w:p>
        </w:tc>
        <w:tc>
          <w:tcPr>
            <w:tcW w:w="1135" w:type="dxa"/>
            <w:tcBorders>
              <w:top w:val="nil"/>
              <w:bottom w:val="nil"/>
            </w:tcBorders>
          </w:tcPr>
          <w:p>
            <w:pPr>
              <w:pStyle w:val="nTable"/>
              <w:spacing w:after="40"/>
            </w:pPr>
            <w:r>
              <w:t>16 Dec 2004</w:t>
            </w:r>
          </w:p>
        </w:tc>
        <w:tc>
          <w:tcPr>
            <w:tcW w:w="2561" w:type="dxa"/>
            <w:gridSpan w:val="2"/>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108" w:type="dxa"/>
            <w:gridSpan w:val="5"/>
            <w:tcBorders>
              <w:top w:val="nil"/>
              <w:bottom w:val="nil"/>
            </w:tcBorders>
          </w:tcPr>
          <w:p>
            <w:pPr>
              <w:pStyle w:val="nTable"/>
              <w:spacing w:after="40"/>
              <w:rPr>
                <w:snapToGrid w:val="0"/>
              </w:rPr>
            </w:pPr>
            <w:r>
              <w:rPr>
                <w:b/>
              </w:rPr>
              <w:t xml:space="preserve">Reprint 7: The </w:t>
            </w:r>
            <w:r>
              <w:rPr>
                <w:b/>
                <w:i/>
              </w:rPr>
              <w:t>Bush Fires Act 1954</w:t>
            </w:r>
            <w:r>
              <w:rPr>
                <w:b/>
              </w:rPr>
              <w:t xml:space="preserve"> as at 3 Mar 2006 </w:t>
            </w:r>
            <w:r>
              <w:t>(includes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rPr>
            </w:pPr>
            <w:r>
              <w:rPr>
                <w:i/>
                <w:iCs/>
                <w:snapToGrid w:val="0"/>
              </w:rPr>
              <w:t xml:space="preserve">Machinery of Government (Miscellaneous Amendments) Act 2006 </w:t>
            </w:r>
            <w:r>
              <w:rPr>
                <w:snapToGrid w:val="0"/>
              </w:rPr>
              <w:t>Pt. 14 Div. 1</w:t>
            </w:r>
          </w:p>
        </w:tc>
        <w:tc>
          <w:tcPr>
            <w:tcW w:w="1139" w:type="dxa"/>
            <w:tcBorders>
              <w:top w:val="nil"/>
              <w:bottom w:val="nil"/>
            </w:tcBorders>
          </w:tcPr>
          <w:p>
            <w:pPr>
              <w:pStyle w:val="nTable"/>
              <w:spacing w:after="40"/>
              <w:rPr>
                <w:snapToGrid w:val="0"/>
              </w:rPr>
            </w:pPr>
            <w:r>
              <w:rPr>
                <w:snapToGrid w:val="0"/>
              </w:rPr>
              <w:t>28 of 2006</w:t>
            </w:r>
          </w:p>
        </w:tc>
        <w:tc>
          <w:tcPr>
            <w:tcW w:w="1135" w:type="dxa"/>
            <w:tcBorders>
              <w:top w:val="nil"/>
              <w:bottom w:val="nil"/>
            </w:tcBorders>
          </w:tcPr>
          <w:p>
            <w:pPr>
              <w:pStyle w:val="nTable"/>
              <w:spacing w:after="40"/>
            </w:pPr>
            <w:r>
              <w:t>26 Jun 2006</w:t>
            </w:r>
          </w:p>
        </w:tc>
        <w:tc>
          <w:tcPr>
            <w:tcW w:w="2561" w:type="dxa"/>
            <w:gridSpan w:val="2"/>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126</w:t>
            </w:r>
          </w:p>
        </w:tc>
        <w:tc>
          <w:tcPr>
            <w:tcW w:w="1139" w:type="dxa"/>
            <w:tcBorders>
              <w:top w:val="nil"/>
              <w:bottom w:val="nil"/>
            </w:tcBorders>
          </w:tcPr>
          <w:p>
            <w:pPr>
              <w:pStyle w:val="nTable"/>
              <w:spacing w:after="40"/>
              <w:rPr>
                <w:snapToGrid w:val="0"/>
              </w:rPr>
            </w:pPr>
            <w:r>
              <w:rPr>
                <w:snapToGrid w:val="0"/>
              </w:rPr>
              <w:t>60 of 2006</w:t>
            </w:r>
          </w:p>
        </w:tc>
        <w:tc>
          <w:tcPr>
            <w:tcW w:w="1135" w:type="dxa"/>
            <w:tcBorders>
              <w:top w:val="nil"/>
              <w:bottom w:val="nil"/>
            </w:tcBorders>
          </w:tcPr>
          <w:p>
            <w:pPr>
              <w:pStyle w:val="nTable"/>
              <w:spacing w:after="40"/>
            </w:pPr>
            <w:r>
              <w:rPr>
                <w:snapToGrid w:val="0"/>
              </w:rPr>
              <w:t>16 Nov 2006</w:t>
            </w:r>
          </w:p>
        </w:tc>
        <w:tc>
          <w:tcPr>
            <w:tcW w:w="2561" w:type="dxa"/>
            <w:gridSpan w:val="2"/>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28</w:t>
            </w:r>
          </w:p>
        </w:tc>
        <w:tc>
          <w:tcPr>
            <w:tcW w:w="1139" w:type="dxa"/>
          </w:tcPr>
          <w:p>
            <w:pPr>
              <w:pStyle w:val="nTable"/>
              <w:spacing w:after="40"/>
            </w:pPr>
            <w:r>
              <w:rPr>
                <w:snapToGrid w:val="0"/>
              </w:rPr>
              <w:t>24 of 2007</w:t>
            </w:r>
          </w:p>
        </w:tc>
        <w:tc>
          <w:tcPr>
            <w:tcW w:w="1135" w:type="dxa"/>
          </w:tcPr>
          <w:p>
            <w:pPr>
              <w:pStyle w:val="nTable"/>
              <w:spacing w:after="40"/>
            </w:pPr>
            <w:r>
              <w:rPr>
                <w:snapToGrid w:val="0"/>
              </w:rPr>
              <w:t>12 Oct 2007</w:t>
            </w:r>
          </w:p>
        </w:tc>
        <w:tc>
          <w:tcPr>
            <w:tcW w:w="2561" w:type="dxa"/>
            <w:gridSpan w:val="2"/>
          </w:tcPr>
          <w:p>
            <w:pPr>
              <w:pStyle w:val="nTable"/>
              <w:spacing w:after="40"/>
              <w:rPr>
                <w:b/>
              </w:rPr>
            </w:pPr>
            <w:r>
              <w:rPr>
                <w:snapToGrid w:val="0"/>
              </w:rPr>
              <w:t xml:space="preserve">1 May 2013 (see s. 2(2) and </w:t>
            </w:r>
            <w:r>
              <w:rPr>
                <w:i/>
                <w:snapToGrid w:val="0"/>
              </w:rPr>
              <w:t>Gazette</w:t>
            </w:r>
            <w:r>
              <w:rPr>
                <w:snapToGrid w:val="0"/>
              </w:rPr>
              <w:t xml:space="preserve"> 5 Feb 2013 p. 823)</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rPr>
            </w:pPr>
            <w:r>
              <w:rPr>
                <w:i/>
                <w:snapToGrid w:val="0"/>
              </w:rPr>
              <w:t>Bush Fires Amendment Act 2009</w:t>
            </w:r>
            <w:r>
              <w:rPr>
                <w:iCs/>
                <w:snapToGrid w:val="0"/>
              </w:rPr>
              <w:t xml:space="preserve"> Pt. 2</w:t>
            </w:r>
          </w:p>
        </w:tc>
        <w:tc>
          <w:tcPr>
            <w:tcW w:w="1139" w:type="dxa"/>
            <w:tcBorders>
              <w:top w:val="nil"/>
              <w:bottom w:val="nil"/>
            </w:tcBorders>
          </w:tcPr>
          <w:p>
            <w:pPr>
              <w:pStyle w:val="nTable"/>
              <w:spacing w:after="40"/>
              <w:rPr>
                <w:snapToGrid w:val="0"/>
              </w:rPr>
            </w:pPr>
            <w:r>
              <w:rPr>
                <w:snapToGrid w:val="0"/>
              </w:rPr>
              <w:t>25 of 2009</w:t>
            </w:r>
          </w:p>
        </w:tc>
        <w:tc>
          <w:tcPr>
            <w:tcW w:w="1135" w:type="dxa"/>
            <w:tcBorders>
              <w:top w:val="nil"/>
              <w:bottom w:val="nil"/>
            </w:tcBorders>
          </w:tcPr>
          <w:p>
            <w:pPr>
              <w:pStyle w:val="nTable"/>
              <w:spacing w:after="40"/>
              <w:rPr>
                <w:snapToGrid w:val="0"/>
              </w:rPr>
            </w:pPr>
            <w:r>
              <w:rPr>
                <w:snapToGrid w:val="0"/>
              </w:rPr>
              <w:t>17 Nov 2009</w:t>
            </w:r>
          </w:p>
        </w:tc>
        <w:tc>
          <w:tcPr>
            <w:tcW w:w="2561" w:type="dxa"/>
            <w:gridSpan w:val="2"/>
            <w:tcBorders>
              <w:top w:val="nil"/>
              <w:bottom w:val="nil"/>
            </w:tcBorders>
          </w:tcPr>
          <w:p>
            <w:pPr>
              <w:pStyle w:val="nTable"/>
              <w:spacing w:after="40"/>
              <w:rPr>
                <w:snapToGrid w:val="0"/>
              </w:rPr>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Cs/>
                <w:snapToGrid w:val="0"/>
              </w:rPr>
            </w:pPr>
            <w:r>
              <w:rPr>
                <w:i/>
                <w:snapToGrid w:val="0"/>
              </w:rPr>
              <w:t>Arson Legislation Amendment Act 2009</w:t>
            </w:r>
            <w:r>
              <w:rPr>
                <w:iCs/>
                <w:snapToGrid w:val="0"/>
              </w:rPr>
              <w:t xml:space="preserve"> Pt. 2</w:t>
            </w:r>
          </w:p>
        </w:tc>
        <w:tc>
          <w:tcPr>
            <w:tcW w:w="1139" w:type="dxa"/>
          </w:tcPr>
          <w:p>
            <w:pPr>
              <w:pStyle w:val="nTable"/>
              <w:spacing w:after="40"/>
            </w:pPr>
            <w:r>
              <w:t>43 of 2009</w:t>
            </w:r>
          </w:p>
        </w:tc>
        <w:tc>
          <w:tcPr>
            <w:tcW w:w="1135" w:type="dxa"/>
          </w:tcPr>
          <w:p>
            <w:pPr>
              <w:pStyle w:val="nTable"/>
              <w:spacing w:after="40"/>
            </w:pPr>
            <w:r>
              <w:t>3 Dec 2009</w:t>
            </w:r>
          </w:p>
        </w:tc>
        <w:tc>
          <w:tcPr>
            <w:tcW w:w="2561" w:type="dxa"/>
            <w:gridSpan w:val="2"/>
          </w:tcPr>
          <w:p>
            <w:pPr>
              <w:pStyle w:val="nTable"/>
              <w:spacing w:after="40"/>
              <w:rPr>
                <w:snapToGrid w:val="0"/>
              </w:rPr>
            </w:pPr>
            <w:r>
              <w:rPr>
                <w:snapToGrid w:val="0"/>
              </w:rPr>
              <w:t xml:space="preserve">19 Dec 2009 (see s. 2(b) and </w:t>
            </w:r>
            <w:r>
              <w:rPr>
                <w:i/>
                <w:iCs/>
                <w:snapToGrid w:val="0"/>
              </w:rPr>
              <w:t>Gazette</w:t>
            </w:r>
            <w:r>
              <w:rPr>
                <w:snapToGrid w:val="0"/>
              </w:rPr>
              <w:t xml:space="preserve"> 18 Dec 2009 p. 5167)</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rPr>
                <w:snapToGrid w:val="0"/>
              </w:rPr>
            </w:pPr>
            <w:r>
              <w:rPr>
                <w:b/>
              </w:rPr>
              <w:t xml:space="preserve">Reprint 8: The </w:t>
            </w:r>
            <w:r>
              <w:rPr>
                <w:b/>
                <w:i/>
              </w:rPr>
              <w:t>Bush Fires Act 1954</w:t>
            </w:r>
            <w:r>
              <w:rPr>
                <w:b/>
              </w:rPr>
              <w:t xml:space="preserve"> as at 9 Apr 2010 </w:t>
            </w:r>
            <w:r>
              <w:t xml:space="preserve">(includes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43(3) and 52</w:t>
            </w:r>
            <w:r>
              <w:rPr>
                <w:iCs/>
                <w:snapToGrid w:val="0"/>
                <w:vertAlign w:val="superscript"/>
              </w:rPr>
              <w:t> 7</w:t>
            </w:r>
          </w:p>
        </w:tc>
        <w:tc>
          <w:tcPr>
            <w:tcW w:w="1139" w:type="dxa"/>
          </w:tcPr>
          <w:p>
            <w:pPr>
              <w:pStyle w:val="nTable"/>
              <w:spacing w:after="40"/>
              <w:rPr>
                <w:snapToGrid w:val="0"/>
              </w:rPr>
            </w:pPr>
            <w:r>
              <w:rPr>
                <w:snapToGrid w:val="0"/>
              </w:rPr>
              <w:t>19 of 2010 (as amended by No. 17 of 2014 s. 39(5)</w:t>
            </w:r>
            <w:r>
              <w:rPr>
                <w:snapToGrid w:val="0"/>
              </w:rPr>
              <w:noBreakHyphen/>
              <w:t>(8))</w:t>
            </w:r>
          </w:p>
        </w:tc>
        <w:tc>
          <w:tcPr>
            <w:tcW w:w="1135" w:type="dxa"/>
          </w:tcPr>
          <w:p>
            <w:pPr>
              <w:pStyle w:val="nTable"/>
              <w:spacing w:after="40"/>
              <w:rPr>
                <w:snapToGrid w:val="0"/>
              </w:rPr>
            </w:pPr>
            <w:r>
              <w:rPr>
                <w:snapToGrid w:val="0"/>
              </w:rPr>
              <w:t>28 Jun 2010</w:t>
            </w:r>
          </w:p>
        </w:tc>
        <w:tc>
          <w:tcPr>
            <w:tcW w:w="2561" w:type="dxa"/>
            <w:gridSpan w:val="2"/>
          </w:tcPr>
          <w:p>
            <w:pPr>
              <w:pStyle w:val="nTable"/>
              <w:spacing w:after="40"/>
              <w:rPr>
                <w:snapToGrid w:val="0"/>
              </w:rPr>
            </w:pPr>
            <w:r>
              <w:rPr>
                <w:color w:val="000000"/>
              </w:rPr>
              <w:t xml:space="preserve">s. 43(3), 52(1)-(3) and 52(4) (other than the amendments to s. 21(1), (2) and (3), s. 39(2), s. 45 and s. 47, the amendment to s. 44(3) to delete “(3)(a) Where” and insert “(3) Where” and the amendments to s. 64 to delete “s. 21(2),” and insert “s. 21(2A) and (2B),”): 11 Sep 2010 (see s. 2(b) and </w:t>
            </w:r>
            <w:r>
              <w:rPr>
                <w:i/>
                <w:color w:val="000000"/>
              </w:rPr>
              <w:t xml:space="preserve">Gazette </w:t>
            </w:r>
            <w:r>
              <w:rPr>
                <w:color w:val="000000"/>
              </w:rPr>
              <w:t>10 Sep 2010 p. 4341)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snapToGrid w:val="0"/>
              </w:rPr>
            </w:pPr>
            <w:r>
              <w:rPr>
                <w:i/>
                <w:snapToGrid w:val="0"/>
              </w:rPr>
              <w:lastRenderedPageBreak/>
              <w:t>Statutes (Repeals and Minor Amendments) Act 2011</w:t>
            </w:r>
            <w:r>
              <w:rPr>
                <w:snapToGrid w:val="0"/>
              </w:rPr>
              <w:t xml:space="preserve"> s. 16</w:t>
            </w:r>
          </w:p>
        </w:tc>
        <w:tc>
          <w:tcPr>
            <w:tcW w:w="1139" w:type="dxa"/>
          </w:tcPr>
          <w:p>
            <w:pPr>
              <w:pStyle w:val="nTable"/>
              <w:spacing w:after="40"/>
              <w:rPr>
                <w:snapToGrid w:val="0"/>
              </w:rPr>
            </w:pPr>
            <w:r>
              <w:rPr>
                <w:snapToGrid w:val="0"/>
              </w:rPr>
              <w:t>47 of 2011</w:t>
            </w:r>
          </w:p>
        </w:tc>
        <w:tc>
          <w:tcPr>
            <w:tcW w:w="1135" w:type="dxa"/>
          </w:tcPr>
          <w:p>
            <w:pPr>
              <w:pStyle w:val="nTable"/>
              <w:spacing w:after="40"/>
              <w:rPr>
                <w:snapToGrid w:val="0"/>
              </w:rPr>
            </w:pPr>
            <w:r>
              <w:rPr>
                <w:snapToGrid w:val="0"/>
              </w:rPr>
              <w:t>25 Oct 2011</w:t>
            </w:r>
          </w:p>
        </w:tc>
        <w:tc>
          <w:tcPr>
            <w:tcW w:w="2561" w:type="dxa"/>
            <w:gridSpan w:val="2"/>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 xml:space="preserve">Road Traffic Legislation Amendment Act 2012 </w:t>
            </w:r>
            <w:r>
              <w:rPr>
                <w:snapToGrid w:val="0"/>
              </w:rPr>
              <w:t>Pt. 4 Div. 4</w:t>
            </w:r>
            <w:r>
              <w:rPr>
                <w:snapToGrid w:val="0"/>
                <w:vertAlign w:val="superscript"/>
              </w:rPr>
              <w:t> </w:t>
            </w:r>
          </w:p>
        </w:tc>
        <w:tc>
          <w:tcPr>
            <w:tcW w:w="1139" w:type="dxa"/>
          </w:tcPr>
          <w:p>
            <w:pPr>
              <w:pStyle w:val="nTable"/>
              <w:spacing w:after="40"/>
              <w:rPr>
                <w:snapToGrid w:val="0"/>
              </w:rPr>
            </w:pPr>
            <w:r>
              <w:rPr>
                <w:snapToGrid w:val="0"/>
              </w:rPr>
              <w:t>8 of 2012</w:t>
            </w:r>
          </w:p>
        </w:tc>
        <w:tc>
          <w:tcPr>
            <w:tcW w:w="1135" w:type="dxa"/>
          </w:tcPr>
          <w:p>
            <w:pPr>
              <w:pStyle w:val="nTable"/>
              <w:spacing w:after="40"/>
              <w:rPr>
                <w:snapToGrid w:val="0"/>
              </w:rPr>
            </w:pPr>
            <w:r>
              <w:rPr>
                <w:snapToGrid w:val="0"/>
              </w:rPr>
              <w:t>21 May 2012</w:t>
            </w:r>
          </w:p>
        </w:tc>
        <w:tc>
          <w:tcPr>
            <w:tcW w:w="2561" w:type="dxa"/>
            <w:gridSpan w:val="2"/>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3</w:t>
            </w:r>
          </w:p>
        </w:tc>
        <w:tc>
          <w:tcPr>
            <w:tcW w:w="1139" w:type="dxa"/>
            <w:shd w:val="clear" w:color="auto" w:fill="auto"/>
          </w:tcPr>
          <w:p>
            <w:pPr>
              <w:pStyle w:val="nTable"/>
              <w:spacing w:after="40"/>
              <w:rPr>
                <w:snapToGrid w:val="0"/>
              </w:rPr>
            </w:pPr>
            <w:r>
              <w:rPr>
                <w:snapToGrid w:val="0"/>
              </w:rPr>
              <w:t>22 of 2012</w:t>
            </w:r>
          </w:p>
        </w:tc>
        <w:tc>
          <w:tcPr>
            <w:tcW w:w="1135" w:type="dxa"/>
            <w:shd w:val="clear" w:color="auto" w:fill="auto"/>
          </w:tcPr>
          <w:p>
            <w:pPr>
              <w:pStyle w:val="nTable"/>
              <w:spacing w:after="40"/>
              <w:rPr>
                <w:snapToGrid w:val="0"/>
              </w:rPr>
            </w:pPr>
            <w:r>
              <w:rPr>
                <w:snapToGrid w:val="0"/>
              </w:rPr>
              <w:t>29 Aug 2012</w:t>
            </w:r>
          </w:p>
        </w:tc>
        <w:tc>
          <w:tcPr>
            <w:tcW w:w="2561" w:type="dxa"/>
            <w:gridSpan w:val="2"/>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7108" w:type="dxa"/>
            <w:gridSpan w:val="5"/>
            <w:shd w:val="clear" w:color="auto" w:fill="auto"/>
          </w:tcPr>
          <w:p>
            <w:pPr>
              <w:pStyle w:val="nTable"/>
              <w:spacing w:after="40"/>
              <w:rPr>
                <w:snapToGrid w:val="0"/>
              </w:rPr>
            </w:pPr>
            <w:r>
              <w:rPr>
                <w:b/>
              </w:rPr>
              <w:t xml:space="preserve">Reprint 9:  The </w:t>
            </w:r>
            <w:r>
              <w:rPr>
                <w:b/>
                <w:i/>
              </w:rPr>
              <w:t>Bush Fires Act 1954</w:t>
            </w:r>
            <w:r>
              <w:rPr>
                <w:b/>
              </w:rPr>
              <w:t xml:space="preserve"> as at 11 Oct 2013 </w:t>
            </w:r>
            <w:r>
              <w:t xml:space="preserve">(includes amendments listed above except those in the </w:t>
            </w:r>
            <w:r>
              <w:rPr>
                <w:i/>
                <w:snapToGrid w:val="0"/>
              </w:rPr>
              <w:t xml:space="preserve">Road Traffic Legislation Amendment Act 2012 </w:t>
            </w:r>
            <w:r>
              <w:rPr>
                <w:snapToGrid w:val="0"/>
              </w:rPr>
              <w:t>Pt. 4 Div. </w:t>
            </w:r>
            <w:r>
              <w:t>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17</w:t>
            </w:r>
          </w:p>
        </w:tc>
        <w:tc>
          <w:tcPr>
            <w:tcW w:w="1139" w:type="dxa"/>
            <w:shd w:val="clear" w:color="auto" w:fill="auto"/>
          </w:tcPr>
          <w:p>
            <w:pPr>
              <w:pStyle w:val="nTable"/>
              <w:spacing w:after="40"/>
              <w:rPr>
                <w:snapToGrid w:val="0"/>
              </w:rPr>
            </w:pPr>
            <w:r>
              <w:rPr>
                <w:snapToGrid w:val="0"/>
              </w:rPr>
              <w:t>17 of 2014</w:t>
            </w:r>
          </w:p>
        </w:tc>
        <w:tc>
          <w:tcPr>
            <w:tcW w:w="1135" w:type="dxa"/>
            <w:shd w:val="clear" w:color="auto" w:fill="auto"/>
          </w:tcPr>
          <w:p>
            <w:pPr>
              <w:pStyle w:val="nTable"/>
              <w:spacing w:after="40"/>
              <w:rPr>
                <w:snapToGrid w:val="0"/>
              </w:rPr>
            </w:pPr>
            <w:r>
              <w:rPr>
                <w:snapToGrid w:val="0"/>
              </w:rPr>
              <w:t>2 Jul 2014</w:t>
            </w:r>
          </w:p>
        </w:tc>
        <w:tc>
          <w:tcPr>
            <w:tcW w:w="2561" w:type="dxa"/>
            <w:gridSpan w:val="2"/>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t>Bush Fires Amendment Act 2016</w:t>
            </w:r>
            <w:r>
              <w:rPr>
                <w:snapToGrid w:val="0"/>
              </w:rPr>
              <w:t xml:space="preserve"> </w:t>
            </w:r>
          </w:p>
        </w:tc>
        <w:tc>
          <w:tcPr>
            <w:tcW w:w="1139" w:type="dxa"/>
            <w:shd w:val="clear" w:color="auto" w:fill="auto"/>
          </w:tcPr>
          <w:p>
            <w:pPr>
              <w:pStyle w:val="nTable"/>
              <w:spacing w:after="40"/>
              <w:rPr>
                <w:snapToGrid w:val="0"/>
              </w:rPr>
            </w:pPr>
            <w:r>
              <w:t>27 of 2016</w:t>
            </w:r>
          </w:p>
        </w:tc>
        <w:tc>
          <w:tcPr>
            <w:tcW w:w="1135" w:type="dxa"/>
            <w:shd w:val="clear" w:color="auto" w:fill="auto"/>
          </w:tcPr>
          <w:p>
            <w:pPr>
              <w:pStyle w:val="nTable"/>
              <w:spacing w:after="40"/>
              <w:rPr>
                <w:snapToGrid w:val="0"/>
              </w:rPr>
            </w:pPr>
            <w:r>
              <w:t>21 Sep 2016</w:t>
            </w:r>
          </w:p>
        </w:tc>
        <w:tc>
          <w:tcPr>
            <w:tcW w:w="2561" w:type="dxa"/>
            <w:gridSpan w:val="2"/>
            <w:shd w:val="clear" w:color="auto" w:fill="auto"/>
          </w:tcPr>
          <w:p>
            <w:pPr>
              <w:pStyle w:val="nTable"/>
              <w:spacing w:after="40"/>
              <w:rPr>
                <w:i/>
                <w:snapToGrid w:val="0"/>
              </w:rPr>
            </w:pPr>
            <w:r>
              <w:t>s. 1 and 2: 21 Sep 2016 (see s. 2(a));</w:t>
            </w:r>
            <w:r>
              <w:br/>
              <w:t xml:space="preserve">Act other than s. 1 and 2: 1 Jul 2017 (see s. 2(b) and </w:t>
            </w:r>
            <w:r>
              <w:rPr>
                <w:i/>
              </w:rPr>
              <w:t xml:space="preserve">Gazette </w:t>
            </w:r>
            <w:r>
              <w:t>30 Jun 2017 p. 3552)</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t>Biodiversity Conservation Act 2016</w:t>
            </w:r>
            <w:r>
              <w:t xml:space="preserve"> s. 312</w:t>
            </w:r>
          </w:p>
        </w:tc>
        <w:tc>
          <w:tcPr>
            <w:tcW w:w="1139" w:type="dxa"/>
            <w:shd w:val="clear" w:color="auto" w:fill="auto"/>
          </w:tcPr>
          <w:p>
            <w:pPr>
              <w:pStyle w:val="nTable"/>
              <w:spacing w:after="40"/>
            </w:pPr>
            <w:r>
              <w:t>24 of 2016</w:t>
            </w:r>
          </w:p>
        </w:tc>
        <w:tc>
          <w:tcPr>
            <w:tcW w:w="1135" w:type="dxa"/>
            <w:shd w:val="clear" w:color="auto" w:fill="auto"/>
          </w:tcPr>
          <w:p>
            <w:pPr>
              <w:pStyle w:val="nTable"/>
              <w:spacing w:after="40"/>
            </w:pPr>
            <w:r>
              <w:t>21 Sep 2016</w:t>
            </w:r>
          </w:p>
        </w:tc>
        <w:tc>
          <w:tcPr>
            <w:tcW w:w="2561" w:type="dxa"/>
            <w:gridSpan w:val="2"/>
            <w:shd w:val="clear" w:color="auto" w:fill="auto"/>
          </w:tcPr>
          <w:p>
            <w:pPr>
              <w:pStyle w:val="nTable"/>
              <w:spacing w:after="40"/>
            </w:pPr>
            <w:r>
              <w:t xml:space="preserve">1 Jan 2019 (see s. 2(b) and </w:t>
            </w:r>
            <w:r>
              <w:rPr>
                <w:i/>
              </w:rPr>
              <w:t>Gazette</w:t>
            </w:r>
            <w:r>
              <w:t xml:space="preserve"> 14 Sep 2018 p. 3305)</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Firefighters and Emergency Volunteers Legislation Amendment (Compensation) Act 2016</w:t>
            </w:r>
            <w:r>
              <w:rPr>
                <w:snapToGrid w:val="0"/>
              </w:rPr>
              <w:t xml:space="preserve"> Pt. 2</w:t>
            </w:r>
            <w:r>
              <w:rPr>
                <w:snapToGrid w:val="0"/>
                <w:vertAlign w:val="superscript"/>
              </w:rPr>
              <w:t> </w:t>
            </w:r>
          </w:p>
        </w:tc>
        <w:tc>
          <w:tcPr>
            <w:tcW w:w="1139" w:type="dxa"/>
            <w:tcBorders>
              <w:top w:val="nil"/>
              <w:bottom w:val="nil"/>
            </w:tcBorders>
            <w:shd w:val="clear" w:color="auto" w:fill="auto"/>
          </w:tcPr>
          <w:p>
            <w:pPr>
              <w:pStyle w:val="nTable"/>
              <w:spacing w:after="40"/>
            </w:pPr>
            <w:r>
              <w:t>28 of 2016</w:t>
            </w:r>
          </w:p>
        </w:tc>
        <w:tc>
          <w:tcPr>
            <w:tcW w:w="1135"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pPr>
            <w:r>
              <w:t xml:space="preserve">16 Sep 2017 (see s. 2(b) and </w:t>
            </w:r>
            <w:r>
              <w:rPr>
                <w:i/>
              </w:rPr>
              <w:t xml:space="preserve">Gazette </w:t>
            </w:r>
            <w:r>
              <w:t>15 Sep 2017 p. 4791)</w:t>
            </w:r>
          </w:p>
        </w:tc>
      </w:tr>
      <w:tr>
        <w:tblPrEx>
          <w:tblBorders>
            <w:top w:val="none" w:sz="0" w:space="0" w:color="auto"/>
            <w:bottom w:val="none" w:sz="0" w:space="0" w:color="auto"/>
            <w:insideH w:val="none" w:sz="0" w:space="0" w:color="auto"/>
          </w:tblBorders>
        </w:tblPrEx>
        <w:trPr>
          <w:cantSplit/>
        </w:trPr>
        <w:tc>
          <w:tcPr>
            <w:tcW w:w="2273" w:type="dxa"/>
            <w:tcBorders>
              <w:bottom w:val="single" w:sz="2" w:space="0" w:color="auto"/>
            </w:tcBorders>
            <w:shd w:val="clear" w:color="auto" w:fill="auto"/>
          </w:tcPr>
          <w:p>
            <w:pPr>
              <w:pStyle w:val="nTable"/>
              <w:spacing w:after="40"/>
              <w:ind w:right="113"/>
              <w:rPr>
                <w:i/>
                <w:snapToGrid w:val="0"/>
              </w:rPr>
            </w:pPr>
            <w:r>
              <w:rPr>
                <w:i/>
              </w:rPr>
              <w:t>Environmental Protection Amendment Act 2020</w:t>
            </w:r>
            <w:r>
              <w:t xml:space="preserve"> s. 114</w:t>
            </w:r>
          </w:p>
        </w:tc>
        <w:tc>
          <w:tcPr>
            <w:tcW w:w="1139" w:type="dxa"/>
            <w:tcBorders>
              <w:bottom w:val="single" w:sz="2" w:space="0" w:color="auto"/>
            </w:tcBorders>
            <w:shd w:val="clear" w:color="auto" w:fill="auto"/>
          </w:tcPr>
          <w:p>
            <w:pPr>
              <w:pStyle w:val="nTable"/>
              <w:spacing w:after="40"/>
            </w:pPr>
            <w:r>
              <w:t>40 of 2020</w:t>
            </w:r>
          </w:p>
        </w:tc>
        <w:tc>
          <w:tcPr>
            <w:tcW w:w="1135" w:type="dxa"/>
            <w:tcBorders>
              <w:bottom w:val="single" w:sz="2" w:space="0" w:color="auto"/>
            </w:tcBorders>
            <w:shd w:val="clear" w:color="auto" w:fill="auto"/>
          </w:tcPr>
          <w:p>
            <w:pPr>
              <w:pStyle w:val="nTable"/>
              <w:spacing w:after="40"/>
            </w:pPr>
            <w:r>
              <w:t>19 Nov 2020</w:t>
            </w:r>
          </w:p>
        </w:tc>
        <w:tc>
          <w:tcPr>
            <w:tcW w:w="2561" w:type="dxa"/>
            <w:gridSpan w:val="2"/>
            <w:tcBorders>
              <w:bottom w:val="single" w:sz="2" w:space="0" w:color="auto"/>
            </w:tcBorders>
            <w:shd w:val="clear" w:color="auto" w:fill="auto"/>
          </w:tcPr>
          <w:p>
            <w:pPr>
              <w:pStyle w:val="nTable"/>
              <w:spacing w:after="40"/>
            </w:pPr>
            <w:r>
              <w:t>23 Oct 2021 (see s. 2(1)(e) and SL 2021/176 cl. 2)</w:t>
            </w:r>
          </w:p>
        </w:tc>
      </w:tr>
    </w:tbl>
    <w:p>
      <w:pPr>
        <w:pStyle w:val="nHeading3"/>
      </w:pPr>
      <w:bookmarkStart w:id="114" w:name="_Toc111797710"/>
      <w:r>
        <w:t>Uncommenced provisions table</w:t>
      </w:r>
      <w:bookmarkEnd w:id="11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Bush Fires Amendment Act 2022</w:t>
            </w:r>
            <w:r>
              <w:t xml:space="preserve"> s. 3</w:t>
            </w:r>
            <w:r>
              <w:noBreakHyphen/>
              <w:t>7</w:t>
            </w:r>
          </w:p>
        </w:tc>
        <w:tc>
          <w:tcPr>
            <w:tcW w:w="1134" w:type="dxa"/>
            <w:tcBorders>
              <w:bottom w:val="single" w:sz="4" w:space="0" w:color="auto"/>
            </w:tcBorders>
          </w:tcPr>
          <w:p>
            <w:pPr>
              <w:pStyle w:val="nTable"/>
              <w:spacing w:after="40"/>
            </w:pPr>
            <w:r>
              <w:t>26 of 2022</w:t>
            </w:r>
          </w:p>
        </w:tc>
        <w:tc>
          <w:tcPr>
            <w:tcW w:w="1134" w:type="dxa"/>
            <w:tcBorders>
              <w:bottom w:val="single" w:sz="4" w:space="0" w:color="auto"/>
            </w:tcBorders>
          </w:tcPr>
          <w:p>
            <w:pPr>
              <w:pStyle w:val="nTable"/>
              <w:spacing w:after="40"/>
            </w:pPr>
            <w:r>
              <w:t>19 Aug 2022</w:t>
            </w:r>
          </w:p>
        </w:tc>
        <w:tc>
          <w:tcPr>
            <w:tcW w:w="2552" w:type="dxa"/>
            <w:tcBorders>
              <w:bottom w:val="single" w:sz="4" w:space="0" w:color="auto"/>
            </w:tcBorders>
          </w:tcPr>
          <w:p>
            <w:pPr>
              <w:pStyle w:val="nTable"/>
              <w:spacing w:after="40"/>
            </w:pPr>
            <w:r>
              <w:t>To be proclaimed (see s. 2(b))</w:t>
            </w:r>
          </w:p>
        </w:tc>
      </w:tr>
    </w:tbl>
    <w:p>
      <w:pPr>
        <w:pStyle w:val="nHeading3"/>
      </w:pPr>
      <w:bookmarkStart w:id="115" w:name="_Toc111797711"/>
      <w:r>
        <w:lastRenderedPageBreak/>
        <w:t>Other notes</w:t>
      </w:r>
      <w:bookmarkEnd w:id="115"/>
    </w:p>
    <w:p>
      <w:pPr>
        <w:pStyle w:val="nNote"/>
        <w:spacing w:before="160"/>
        <w:rPr>
          <w:snapToGrid w:val="0"/>
        </w:rPr>
      </w:pPr>
      <w:r>
        <w:rPr>
          <w:snapToGrid w:val="0"/>
          <w:vertAlign w:val="superscript"/>
        </w:rPr>
        <w:t>1</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Note"/>
        <w:keepNext/>
        <w:keepLines/>
        <w:rPr>
          <w:i/>
          <w:snapToGrid w:val="0"/>
        </w:rPr>
      </w:pPr>
      <w:r>
        <w:rPr>
          <w:snapToGrid w:val="0"/>
          <w:vertAlign w:val="superscript"/>
        </w:rPr>
        <w:t>3</w:t>
      </w:r>
      <w:r>
        <w:rPr>
          <w:snapToGrid w:val="0"/>
        </w:rPr>
        <w:tab/>
        <w:t xml:space="preserve">The Third Schedule was inserted by the </w:t>
      </w:r>
      <w:r>
        <w:rPr>
          <w:i/>
          <w:snapToGrid w:val="0"/>
        </w:rPr>
        <w:t>Metric Conversion Act Amendment Act (No. 2) 1973.</w:t>
      </w:r>
    </w:p>
    <w:p>
      <w:pPr>
        <w:pStyle w:val="nNote"/>
        <w:rPr>
          <w:snapToGrid w:val="0"/>
        </w:rPr>
      </w:pPr>
      <w:r>
        <w:rPr>
          <w:snapToGrid w:val="0"/>
          <w:vertAlign w:val="superscript"/>
        </w:rPr>
        <w:t>4</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Note"/>
        <w:keepNext/>
        <w:rPr>
          <w:snapToGrid w:val="0"/>
        </w:rPr>
      </w:pPr>
      <w:r>
        <w:rPr>
          <w:snapToGrid w:val="0"/>
          <w:vertAlign w:val="superscript"/>
        </w:rPr>
        <w:t>5</w:t>
      </w:r>
      <w:r>
        <w:rPr>
          <w:snapToGrid w:val="0"/>
        </w:rPr>
        <w:tab/>
        <w:t xml:space="preserve">The </w:t>
      </w:r>
      <w:r>
        <w:rPr>
          <w:i/>
          <w:snapToGrid w:val="0"/>
        </w:rPr>
        <w:t>Fire and Emergency Services Authority of Western Australia (Consequential Provisions) Act 1998</w:t>
      </w:r>
      <w:r>
        <w:rPr>
          <w:snapToGrid w:val="0"/>
        </w:rPr>
        <w:t xml:space="preserve"> s. 11(2) is a transitional provision that is of no further effect.</w:t>
      </w:r>
    </w:p>
    <w:p>
      <w:pPr>
        <w:pStyle w:val="nNote"/>
        <w:keepNext/>
        <w:keepLines/>
        <w:rPr>
          <w:snapToGrid w:val="0"/>
        </w:rPr>
      </w:pPr>
      <w:r>
        <w:rPr>
          <w:snapToGrid w:val="0"/>
          <w:vertAlign w:val="superscript"/>
        </w:rPr>
        <w:t>6</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Note"/>
        <w:keepNext/>
        <w:keepLines/>
        <w:rPr>
          <w:snapToGrid w:val="0"/>
        </w:rPr>
      </w:pPr>
      <w:r>
        <w:rPr>
          <w:snapToGrid w:val="0"/>
          <w:vertAlign w:val="superscript"/>
        </w:rPr>
        <w:t>7</w:t>
      </w:r>
      <w:r>
        <w:rPr>
          <w:snapToGrid w:val="0"/>
        </w:rPr>
        <w:tab/>
        <w:t xml:space="preserve">The </w:t>
      </w:r>
      <w:r>
        <w:rPr>
          <w:i/>
          <w:snapToGrid w:val="0"/>
        </w:rPr>
        <w:t>Standardisation of Formatting Act 2010</w:t>
      </w:r>
      <w:r>
        <w:rPr>
          <w:snapToGrid w:val="0"/>
        </w:rPr>
        <w:t xml:space="preserve"> s. 52(4) in relation to amendments to the </w:t>
      </w:r>
      <w:r>
        <w:rPr>
          <w:i/>
          <w:snapToGrid w:val="0"/>
        </w:rPr>
        <w:t>Bush Fires Act 1954</w:t>
      </w:r>
      <w:r>
        <w:rPr>
          <w:snapToGrid w:val="0"/>
        </w:rPr>
        <w:t xml:space="preserve"> s. 21(1), (2) and (3), s. 39(2), s. 45 and s. 47, the amendment to s. 44(3) to delete “(3)(a) Where” and insert “(3) Where” and the amendments to s. 64 to delete “s. 21(2),” and insert “s. 21(2A) and (2B), had not come into operation when it was deleted by the </w:t>
      </w:r>
      <w:r>
        <w:rPr>
          <w:i/>
          <w:snapToGrid w:val="0"/>
        </w:rPr>
        <w:t>Statutes (Repeals and Minor Amendments) Act 2014</w:t>
      </w:r>
      <w:r>
        <w:rPr>
          <w:snapToGrid w:val="0"/>
        </w:rPr>
        <w:t xml:space="preserve"> s. 39(5)-(8).</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17" w:name="_Toc111797040"/>
      <w:bookmarkStart w:id="118" w:name="_Toc111797712"/>
      <w:r>
        <w:rPr>
          <w:sz w:val="28"/>
        </w:rPr>
        <w:lastRenderedPageBreak/>
        <w:t>Defined terms</w:t>
      </w:r>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adjoining</w:t>
      </w:r>
      <w:r>
        <w:tab/>
        <w:t>7(1)</w:t>
      </w:r>
    </w:p>
    <w:p>
      <w:pPr>
        <w:pStyle w:val="DefinedTerms"/>
      </w:pPr>
      <w:r>
        <w:t>affected area</w:t>
      </w:r>
      <w:r>
        <w:tab/>
        <w:t>14B(1)</w:t>
      </w:r>
    </w:p>
    <w:p>
      <w:pPr>
        <w:pStyle w:val="DefinedTerms"/>
      </w:pPr>
      <w:r>
        <w:t>approved local government</w:t>
      </w:r>
      <w:r>
        <w:tab/>
        <w:t>38(6)</w:t>
      </w:r>
    </w:p>
    <w:p>
      <w:pPr>
        <w:pStyle w:val="DefinedTerms"/>
      </w:pPr>
      <w:r>
        <w:t>area of the State</w:t>
      </w:r>
      <w:r>
        <w:tab/>
        <w:t>21</w:t>
      </w:r>
    </w:p>
    <w:p>
      <w:pPr>
        <w:pStyle w:val="DefinedTerms"/>
      </w:pPr>
      <w:r>
        <w:t>authorisation</w:t>
      </w:r>
      <w:r>
        <w:tab/>
        <w:t>14B(1)</w:t>
      </w:r>
    </w:p>
    <w:p>
      <w:pPr>
        <w:pStyle w:val="DefinedTerms"/>
      </w:pPr>
      <w:r>
        <w:t>authorised CALM Act officer</w:t>
      </w:r>
      <w:r>
        <w:tab/>
        <w:t>7(1)</w:t>
      </w:r>
    </w:p>
    <w:p>
      <w:pPr>
        <w:pStyle w:val="DefinedTerms"/>
      </w:pPr>
      <w:r>
        <w:t>authorised period</w:t>
      </w:r>
      <w:r>
        <w:tab/>
        <w:t>14B(1)</w:t>
      </w:r>
    </w:p>
    <w:p>
      <w:pPr>
        <w:pStyle w:val="DefinedTerms"/>
      </w:pPr>
      <w:r>
        <w:t>authorised person</w:t>
      </w:r>
      <w:r>
        <w:tab/>
        <w:t>13(6), 14B(1)</w:t>
      </w:r>
    </w:p>
    <w:p>
      <w:pPr>
        <w:pStyle w:val="DefinedTerms"/>
      </w:pPr>
      <w:r>
        <w:t>burn garden refuse</w:t>
      </w:r>
      <w:r>
        <w:tab/>
        <w:t>24C</w:t>
      </w:r>
    </w:p>
    <w:p>
      <w:pPr>
        <w:pStyle w:val="DefinedTerms"/>
      </w:pPr>
      <w:r>
        <w:t>bush</w:t>
      </w:r>
      <w:r>
        <w:tab/>
        <w:t>7(1)</w:t>
      </w:r>
    </w:p>
    <w:p>
      <w:pPr>
        <w:pStyle w:val="DefinedTerms"/>
      </w:pPr>
      <w:r>
        <w:t>bush fire</w:t>
      </w:r>
      <w:r>
        <w:tab/>
        <w:t>35A</w:t>
      </w:r>
    </w:p>
    <w:p>
      <w:pPr>
        <w:pStyle w:val="DefinedTerms"/>
      </w:pPr>
      <w:r>
        <w:t>bush fire brigade</w:t>
      </w:r>
      <w:r>
        <w:tab/>
        <w:t>7(1)</w:t>
      </w:r>
    </w:p>
    <w:p>
      <w:pPr>
        <w:pStyle w:val="DefinedTerms"/>
      </w:pPr>
      <w:r>
        <w:t>bush fire officer</w:t>
      </w:r>
      <w:r>
        <w:tab/>
        <w:t>45A(1), 45(1)</w:t>
      </w:r>
    </w:p>
    <w:p>
      <w:pPr>
        <w:pStyle w:val="DefinedTerms"/>
      </w:pPr>
      <w:r>
        <w:t>bush fire risk treatment standards</w:t>
      </w:r>
      <w:r>
        <w:tab/>
        <w:t>35AA(1), 35AB(1)</w:t>
      </w:r>
    </w:p>
    <w:p>
      <w:pPr>
        <w:pStyle w:val="DefinedTerms"/>
      </w:pPr>
      <w:r>
        <w:t>CALM Act</w:t>
      </w:r>
      <w:r>
        <w:tab/>
        <w:t>45(1)</w:t>
      </w:r>
    </w:p>
    <w:p>
      <w:pPr>
        <w:pStyle w:val="DefinedTerms"/>
      </w:pPr>
      <w:r>
        <w:t>CALM Act CEO</w:t>
      </w:r>
      <w:r>
        <w:tab/>
        <w:t>7(1)</w:t>
      </w:r>
    </w:p>
    <w:p>
      <w:pPr>
        <w:pStyle w:val="DefinedTerms"/>
      </w:pPr>
      <w:r>
        <w:t>CALM Act Department</w:t>
      </w:r>
      <w:r>
        <w:tab/>
        <w:t>7(1)</w:t>
      </w:r>
    </w:p>
    <w:p>
      <w:pPr>
        <w:pStyle w:val="DefinedTerms"/>
      </w:pPr>
      <w:r>
        <w:t>common boundary</w:t>
      </w:r>
      <w:r>
        <w:tab/>
        <w:t>22(1)</w:t>
      </w:r>
    </w:p>
    <w:p>
      <w:pPr>
        <w:pStyle w:val="DefinedTerms"/>
      </w:pPr>
      <w:r>
        <w:t>conservation land</w:t>
      </w:r>
      <w:r>
        <w:tab/>
        <w:t>9, 45(1)</w:t>
      </w:r>
    </w:p>
    <w:p>
      <w:pPr>
        <w:pStyle w:val="DefinedTerms"/>
      </w:pPr>
      <w:r>
        <w:t>crop</w:t>
      </w:r>
      <w:r>
        <w:tab/>
        <w:t>53(3)</w:t>
      </w:r>
    </w:p>
    <w:p>
      <w:pPr>
        <w:pStyle w:val="DefinedTerms"/>
      </w:pPr>
      <w:r>
        <w:t>Department</w:t>
      </w:r>
      <w:r>
        <w:tab/>
        <w:t>7(1)</w:t>
      </w:r>
    </w:p>
    <w:p>
      <w:pPr>
        <w:pStyle w:val="DefinedTerms"/>
      </w:pPr>
      <w:r>
        <w:t>departmental officer</w:t>
      </w:r>
      <w:r>
        <w:tab/>
        <w:t>12(1)</w:t>
      </w:r>
    </w:p>
    <w:p>
      <w:pPr>
        <w:pStyle w:val="DefinedTerms"/>
      </w:pPr>
      <w:r>
        <w:t>designation</w:t>
      </w:r>
      <w:r>
        <w:tab/>
        <w:t>12(1)</w:t>
      </w:r>
    </w:p>
    <w:p>
      <w:pPr>
        <w:pStyle w:val="DefinedTerms"/>
      </w:pPr>
      <w:r>
        <w:t>employed in the Department</w:t>
      </w:r>
      <w:r>
        <w:tab/>
        <w:t>7(1)</w:t>
      </w:r>
    </w:p>
    <w:p>
      <w:pPr>
        <w:pStyle w:val="DefinedTerms"/>
      </w:pPr>
      <w:r>
        <w:t>exempt land</w:t>
      </w:r>
      <w:r>
        <w:tab/>
        <w:t>22(1)</w:t>
      </w:r>
    </w:p>
    <w:p>
      <w:pPr>
        <w:pStyle w:val="DefinedTerms"/>
      </w:pPr>
      <w:r>
        <w:t>FES Act</w:t>
      </w:r>
      <w:r>
        <w:tab/>
        <w:t>7(1)</w:t>
      </w:r>
    </w:p>
    <w:p>
      <w:pPr>
        <w:pStyle w:val="DefinedTerms"/>
      </w:pPr>
      <w:r>
        <w:t>FES Commissioner</w:t>
      </w:r>
      <w:r>
        <w:tab/>
        <w:t>7(1)</w:t>
      </w:r>
    </w:p>
    <w:p>
      <w:pPr>
        <w:pStyle w:val="DefinedTerms"/>
      </w:pPr>
      <w:r>
        <w:t>forest land</w:t>
      </w:r>
      <w:r>
        <w:tab/>
        <w:t>7(1)</w:t>
      </w:r>
    </w:p>
    <w:p>
      <w:pPr>
        <w:pStyle w:val="DefinedTerms"/>
      </w:pPr>
      <w:r>
        <w:t>incendiary material</w:t>
      </w:r>
      <w:r>
        <w:tab/>
        <w:t>27D(1)</w:t>
      </w:r>
    </w:p>
    <w:p>
      <w:pPr>
        <w:pStyle w:val="DefinedTerms"/>
      </w:pPr>
      <w:r>
        <w:t>infringement notice</w:t>
      </w:r>
      <w:r>
        <w:tab/>
        <w:t>59A(2)</w:t>
      </w:r>
    </w:p>
    <w:p>
      <w:pPr>
        <w:pStyle w:val="DefinedTerms"/>
      </w:pPr>
      <w:r>
        <w:t>land other than conservation land</w:t>
      </w:r>
      <w:r>
        <w:tab/>
        <w:t>9, 45(1)</w:t>
      </w:r>
    </w:p>
    <w:p>
      <w:pPr>
        <w:pStyle w:val="DefinedTerms"/>
      </w:pPr>
      <w:r>
        <w:t>limited burning times</w:t>
      </w:r>
      <w:r>
        <w:tab/>
        <w:t>24C</w:t>
      </w:r>
    </w:p>
    <w:p>
      <w:pPr>
        <w:pStyle w:val="DefinedTerms"/>
      </w:pPr>
      <w:r>
        <w:t>normal brigade activities</w:t>
      </w:r>
      <w:r>
        <w:tab/>
        <w:t>35A</w:t>
      </w:r>
    </w:p>
    <w:p>
      <w:pPr>
        <w:pStyle w:val="DefinedTerms"/>
      </w:pPr>
      <w:r>
        <w:t>occupier of land</w:t>
      </w:r>
      <w:r>
        <w:tab/>
        <w:t>7(1)</w:t>
      </w:r>
    </w:p>
    <w:p>
      <w:pPr>
        <w:pStyle w:val="DefinedTerms"/>
      </w:pPr>
      <w:r>
        <w:t>owner or occupier of land</w:t>
      </w:r>
      <w:r>
        <w:tab/>
        <w:t>33(9), 35AB(1)</w:t>
      </w:r>
    </w:p>
    <w:p>
      <w:pPr>
        <w:pStyle w:val="DefinedTerms"/>
      </w:pPr>
      <w:r>
        <w:t>prescribed condition</w:t>
      </w:r>
      <w:r>
        <w:tab/>
        <w:t>18(5D)</w:t>
      </w:r>
    </w:p>
    <w:p>
      <w:pPr>
        <w:pStyle w:val="DefinedTerms"/>
      </w:pPr>
      <w:r>
        <w:t>prohibited burning times</w:t>
      </w:r>
      <w:r>
        <w:tab/>
        <w:t>7(1)</w:t>
      </w:r>
    </w:p>
    <w:p>
      <w:pPr>
        <w:pStyle w:val="DefinedTerms"/>
      </w:pPr>
      <w:r>
        <w:t>property</w:t>
      </w:r>
      <w:r>
        <w:tab/>
        <w:t>32(1)</w:t>
      </w:r>
    </w:p>
    <w:p>
      <w:pPr>
        <w:pStyle w:val="DefinedTerms"/>
      </w:pPr>
      <w:r>
        <w:t>prosecutor</w:t>
      </w:r>
      <w:r>
        <w:tab/>
        <w:t>59A(1)</w:t>
      </w:r>
    </w:p>
    <w:p>
      <w:pPr>
        <w:pStyle w:val="DefinedTerms"/>
      </w:pPr>
      <w:r>
        <w:t>publish</w:t>
      </w:r>
      <w:r>
        <w:tab/>
        <w:t>17(9)</w:t>
      </w:r>
    </w:p>
    <w:p>
      <w:pPr>
        <w:pStyle w:val="DefinedTerms"/>
      </w:pPr>
      <w:r>
        <w:lastRenderedPageBreak/>
        <w:t>relevant body</w:t>
      </w:r>
      <w:r>
        <w:tab/>
        <w:t>58(3A)</w:t>
      </w:r>
    </w:p>
    <w:p>
      <w:pPr>
        <w:pStyle w:val="DefinedTerms"/>
      </w:pPr>
      <w:r>
        <w:t>relevant bush fire</w:t>
      </w:r>
      <w:r>
        <w:tab/>
        <w:t>14B(1)</w:t>
      </w:r>
    </w:p>
    <w:p>
      <w:pPr>
        <w:pStyle w:val="DefinedTerms"/>
      </w:pPr>
      <w:r>
        <w:t>restricted burning times</w:t>
      </w:r>
      <w:r>
        <w:tab/>
        <w:t>7(1)</w:t>
      </w:r>
    </w:p>
    <w:p>
      <w:pPr>
        <w:pStyle w:val="DefinedTerms"/>
      </w:pPr>
      <w:r>
        <w:t>rubbish tip</w:t>
      </w:r>
      <w:r>
        <w:tab/>
        <w:t>24C</w:t>
      </w:r>
    </w:p>
    <w:p>
      <w:pPr>
        <w:pStyle w:val="DefinedTerms"/>
      </w:pPr>
      <w:r>
        <w:t>specified</w:t>
      </w:r>
      <w:r>
        <w:tab/>
        <w:t>24C</w:t>
      </w:r>
    </w:p>
    <w:p>
      <w:pPr>
        <w:pStyle w:val="DefinedTerms"/>
      </w:pPr>
      <w:r>
        <w:t>total fire ban</w:t>
      </w:r>
      <w:r>
        <w:tab/>
        <w:t>21</w:t>
      </w:r>
    </w:p>
    <w:p>
      <w:pPr>
        <w:pStyle w:val="DefinedTerms"/>
      </w:pPr>
      <w:r>
        <w:t>volunteer fire fighter</w:t>
      </w:r>
      <w:r>
        <w:tab/>
        <w:t>35A</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spacing w:after="40"/>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9EA4D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A8A12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C1A9B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B3829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A4257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CE06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3410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F8B0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0AE0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9EBA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C2808C0"/>
    <w:multiLevelType w:val="singleLevel"/>
    <w:tmpl w:val="5C2211F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19102105"/>
    <w:docVar w:name="WAFER_20140113093642" w:val="RemoveTocBookmarks,RemoveUnusedBookmarks,RemoveLanguageTags,UsedStyles,ResetPageSize,UpdateArrangement"/>
    <w:docVar w:name="WAFER_20140113093642_GUID" w:val="881c18dc-1b59-44e0-aaa8-6cbd9ada074e"/>
    <w:docVar w:name="WAFER_20140113094411" w:val="RemoveTocBookmarks,RunningHeaders"/>
    <w:docVar w:name="WAFER_20140113094411_GUID" w:val="166d8293-2e86-4eb1-99d4-513c0519f3a0"/>
    <w:docVar w:name="WAFER_20140306114024" w:val="RemoveTocBookmarks,RemoveUnusedBookmarks,RemoveLanguageTags,UsedStyles,ResetPageSize"/>
    <w:docVar w:name="WAFER_20140306114024_GUID" w:val="d69a30c8-e0b1-4fea-b596-871b6f641219"/>
    <w:docVar w:name="WAFER_20140306114806" w:val="RemoveTocBookmarks,RunningHeaders"/>
    <w:docVar w:name="WAFER_20140306114806_GUID" w:val="eb4c4aaa-9e5b-4ed8-9563-3cdf0207fbcd"/>
    <w:docVar w:name="WAFER_20150325145623" w:val="ResetPageSize,UpdateArrangement,UpdateNTable"/>
    <w:docVar w:name="WAFER_20150325145623_GUID" w:val="8c70edaf-11f4-499d-b203-bcc65953c638"/>
    <w:docVar w:name="WAFER_20151102142131" w:val="UpdateStyles,UsedStyles"/>
    <w:docVar w:name="WAFER_20151102142131_GUID" w:val="d0e00ad3-b005-4d15-a39c-9fad533f29fc"/>
    <w:docVar w:name="WAFER_20170914141321" w:val="RemoveTocBookmarks,RemoveUnusedBookmarks,RemoveLanguageTags,UsedStyles,ResetPageSize"/>
    <w:docVar w:name="WAFER_20170914141321_GUID" w:val="ae998293-4faa-44e6-ac5c-069697d321c3"/>
    <w:docVar w:name="WAFER_20201118121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21013_GUID" w:val="5337651e-d2b0-4bab-91c5-37df3cca59e5"/>
    <w:docVar w:name="WAFER_202110200938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10_GUID" w:val="f5e2a353-7c5b-491a-8941-3d8ff52a8886"/>
    <w:docVar w:name="WAFER_202208191021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19102105_GUID" w:val="d9fe03b4-024d-4d46-881e-f79f0f1541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78CFDE-038A-483B-B6A8-6631F2879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30704</Words>
  <Characters>138784</Characters>
  <Application>Microsoft Office Word</Application>
  <DocSecurity>0</DocSecurity>
  <Lines>3750</Lines>
  <Paragraphs>1729</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1954 - 09-k0-00</dc:title>
  <dc:subject/>
  <dc:creator/>
  <cp:keywords/>
  <dc:description/>
  <cp:lastModifiedBy>Master Repository Process</cp:lastModifiedBy>
  <cp:revision>4</cp:revision>
  <cp:lastPrinted>2014-09-08T05:27:00Z</cp:lastPrinted>
  <dcterms:created xsi:type="dcterms:W3CDTF">2022-08-21T01:33:00Z</dcterms:created>
  <dcterms:modified xsi:type="dcterms:W3CDTF">2022-08-21T01:33:00Z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DocumentType">
    <vt:lpwstr>Act</vt:lpwstr>
  </property>
  <property fmtid="{D5CDD505-2E9C-101B-9397-08002B2CF9AE}" pid="4" name="OwlsUID">
    <vt:i4>95</vt:i4>
  </property>
  <property fmtid="{D5CDD505-2E9C-101B-9397-08002B2CF9AE}" pid="5" name="ReprintNo">
    <vt:lpwstr>9</vt:lpwstr>
  </property>
  <property fmtid="{D5CDD505-2E9C-101B-9397-08002B2CF9AE}" pid="6" name="ReprintedAsAt">
    <vt:filetime>2013-10-10T16:00:00Z</vt:filetime>
  </property>
  <property fmtid="{D5CDD505-2E9C-101B-9397-08002B2CF9AE}" pid="7" name="AsAtDate">
    <vt:lpwstr>19 Aug 2022</vt:lpwstr>
  </property>
  <property fmtid="{D5CDD505-2E9C-101B-9397-08002B2CF9AE}" pid="8" name="Suffix">
    <vt:lpwstr>09-k0-00</vt:lpwstr>
  </property>
  <property fmtid="{D5CDD505-2E9C-101B-9397-08002B2CF9AE}" pid="9" name="CommencementDate">
    <vt:lpwstr>20220819</vt:lpwstr>
  </property>
</Properties>
</file>