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_Toc120264039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_Toc120264040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_Toc120264041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_Toc120264042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_Toc120264044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_Toc120264045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_Toc120264046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_Toc120264047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_Toc120264048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_Toc120264049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_Toc120264050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_Toc120264051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_Toc120264052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_Toc120264055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_Toc120264056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_Toc120264058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_Toc120264059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_Toc120264060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_Toc120264061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_Toc120264062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_Toc120264064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_Toc120264065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_Toc120264067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_Toc120264068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_Toc120264069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_Toc120264070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_Toc120264071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_Toc120264072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_Toc120264073 \h </w:instrText>
      </w:r>
      <w:r>
        <w:fldChar w:fldCharType="separate"/>
      </w:r>
      <w:r>
        <w:t>33</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_Toc120264074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_Toc120264075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_Toc120264077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_Toc120264078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_Toc120264080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_Toc120264082 \h </w:instrText>
      </w:r>
      <w:r>
        <w:fldChar w:fldCharType="separate"/>
      </w:r>
      <w:r>
        <w:t>39</w:t>
      </w:r>
      <w:r>
        <w:fldChar w:fldCharType="end"/>
      </w:r>
    </w:p>
    <w:p>
      <w:pPr>
        <w:pStyle w:val="TOC8"/>
        <w:rPr>
          <w:rFonts w:asciiTheme="minorHAnsi" w:eastAsiaTheme="minorEastAsia" w:hAnsiTheme="minorHAnsi" w:cstheme="minorBidi"/>
          <w:szCs w:val="22"/>
        </w:rPr>
      </w:pPr>
      <w:r>
        <w:lastRenderedPageBreak/>
        <w:t>30</w:t>
      </w:r>
      <w:r>
        <w:rPr>
          <w:snapToGrid w:val="0"/>
        </w:rPr>
        <w:t>.</w:t>
      </w:r>
      <w:r>
        <w:rPr>
          <w:snapToGrid w:val="0"/>
        </w:rPr>
        <w:tab/>
        <w:t>Protection of Commissioner and officers</w:t>
      </w:r>
      <w:r>
        <w:tab/>
      </w:r>
      <w:r>
        <w:fldChar w:fldCharType="begin"/>
      </w:r>
      <w:r>
        <w:instrText xml:space="preserve"> PAGEREF _Toc120264083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_Toc120264084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_Toc120264085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_Toc120264086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_Toc120264087 \h </w:instrText>
      </w:r>
      <w:r>
        <w:fldChar w:fldCharType="separate"/>
      </w:r>
      <w:r>
        <w:t>41</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_Toc120264088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_Toc120264089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_Toc120264092 \h </w:instrText>
      </w:r>
      <w:r>
        <w:fldChar w:fldCharType="separate"/>
      </w:r>
      <w:r>
        <w:t>46</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_Toc120264093 \h </w:instrText>
      </w:r>
      <w:r>
        <w:fldChar w:fldCharType="separate"/>
      </w:r>
      <w:r>
        <w:t>54</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_Toc120264094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No. 78 of 1996 s. 4; No. 78 of 2003 s. 72(1); No. 10 of 2009 s. 4.]</w:t>
      </w:r>
    </w:p>
    <w:p>
      <w:pPr>
        <w:pStyle w:val="Heading2"/>
      </w:pPr>
      <w:bookmarkStart w:id="3" w:name="_Toc120263771"/>
      <w:bookmarkStart w:id="4" w:name="_Toc120264038"/>
      <w:r>
        <w:rPr>
          <w:rStyle w:val="CharPartNo"/>
        </w:rPr>
        <w:lastRenderedPageBreak/>
        <w:t>Part I</w:t>
      </w:r>
      <w:r>
        <w:rPr>
          <w:rStyle w:val="CharDivNo"/>
        </w:rPr>
        <w:t> </w:t>
      </w:r>
      <w:r>
        <w:t>—</w:t>
      </w:r>
      <w:r>
        <w:rPr>
          <w:rStyle w:val="CharDivText"/>
        </w:rPr>
        <w:t> </w:t>
      </w:r>
      <w:r>
        <w:rPr>
          <w:rStyle w:val="CharPartText"/>
        </w:rPr>
        <w:t>Preliminary</w:t>
      </w:r>
      <w:bookmarkEnd w:id="3"/>
      <w:bookmarkEnd w:id="4"/>
    </w:p>
    <w:p>
      <w:pPr>
        <w:pStyle w:val="Heading5"/>
        <w:rPr>
          <w:snapToGrid w:val="0"/>
        </w:rPr>
      </w:pPr>
      <w:bookmarkStart w:id="5" w:name="_Toc120264039"/>
      <w:r>
        <w:rPr>
          <w:rStyle w:val="CharSectno"/>
        </w:rPr>
        <w:t>1</w:t>
      </w:r>
      <w:r>
        <w:rPr>
          <w:snapToGrid w:val="0"/>
        </w:rPr>
        <w:t>.</w:t>
      </w:r>
      <w:r>
        <w:rPr>
          <w:snapToGrid w:val="0"/>
        </w:rPr>
        <w:tab/>
        <w:t>Short title</w:t>
      </w:r>
      <w:bookmarkEnd w:id="5"/>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6" w:name="_Toc120264040"/>
      <w:r>
        <w:rPr>
          <w:rStyle w:val="CharSectno"/>
        </w:rPr>
        <w:t>2</w:t>
      </w:r>
      <w:r>
        <w:rPr>
          <w:snapToGrid w:val="0"/>
        </w:rPr>
        <w:t>.</w:t>
      </w:r>
      <w:r>
        <w:rPr>
          <w:snapToGrid w:val="0"/>
        </w:rPr>
        <w:tab/>
        <w:t>Commencement</w:t>
      </w:r>
      <w:bookmarkEnd w:id="6"/>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7" w:name="_Toc120264041"/>
      <w:r>
        <w:rPr>
          <w:rStyle w:val="CharSectno"/>
        </w:rPr>
        <w:t>4</w:t>
      </w:r>
      <w:r>
        <w:rPr>
          <w:snapToGrid w:val="0"/>
        </w:rPr>
        <w:t>.</w:t>
      </w:r>
      <w:r>
        <w:rPr>
          <w:snapToGrid w:val="0"/>
        </w:rPr>
        <w:tab/>
        <w:t>Terms used</w:t>
      </w:r>
      <w:bookmarkEnd w:id="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lastRenderedPageBreak/>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8" w:name="_Toc120264042"/>
      <w:r>
        <w:rPr>
          <w:rStyle w:val="CharSectno"/>
        </w:rPr>
        <w:lastRenderedPageBreak/>
        <w:t>4A</w:t>
      </w:r>
      <w:r>
        <w:rPr>
          <w:snapToGrid w:val="0"/>
        </w:rPr>
        <w:t>.</w:t>
      </w:r>
      <w:r>
        <w:rPr>
          <w:snapToGrid w:val="0"/>
        </w:rPr>
        <w:tab/>
        <w:t>Term used: authority</w:t>
      </w:r>
      <w:bookmarkEnd w:id="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lastRenderedPageBreak/>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9" w:name="_Toc120263776"/>
      <w:bookmarkStart w:id="10" w:name="_Toc120264043"/>
      <w:r>
        <w:rPr>
          <w:rStyle w:val="CharPartNo"/>
        </w:rPr>
        <w:lastRenderedPageBreak/>
        <w:t>Part II</w:t>
      </w:r>
      <w:r>
        <w:rPr>
          <w:rStyle w:val="CharDivNo"/>
        </w:rPr>
        <w:t> </w:t>
      </w:r>
      <w:r>
        <w:t>—</w:t>
      </w:r>
      <w:r>
        <w:rPr>
          <w:rStyle w:val="CharDivText"/>
        </w:rPr>
        <w:t> </w:t>
      </w:r>
      <w:r>
        <w:rPr>
          <w:rStyle w:val="CharPartText"/>
        </w:rPr>
        <w:t>The Parliamentary Commissioner for Administrative Investigations</w:t>
      </w:r>
      <w:bookmarkEnd w:id="9"/>
      <w:bookmarkEnd w:id="10"/>
    </w:p>
    <w:p>
      <w:pPr>
        <w:pStyle w:val="Heading5"/>
        <w:rPr>
          <w:snapToGrid w:val="0"/>
        </w:rPr>
      </w:pPr>
      <w:bookmarkStart w:id="11" w:name="_Toc120264044"/>
      <w:r>
        <w:rPr>
          <w:rStyle w:val="CharSectno"/>
        </w:rPr>
        <w:t>5</w:t>
      </w:r>
      <w:r>
        <w:rPr>
          <w:snapToGrid w:val="0"/>
        </w:rPr>
        <w:t>.</w:t>
      </w:r>
      <w:r>
        <w:rPr>
          <w:snapToGrid w:val="0"/>
        </w:rPr>
        <w:tab/>
        <w:t>Commissioner and Deputy Commissioner, appointment of etc.</w:t>
      </w:r>
      <w:bookmarkEnd w:id="11"/>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lastRenderedPageBreak/>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2" w:name="_Toc120264045"/>
      <w:r>
        <w:rPr>
          <w:rStyle w:val="CharSectno"/>
        </w:rPr>
        <w:t>6</w:t>
      </w:r>
      <w:r>
        <w:rPr>
          <w:snapToGrid w:val="0"/>
        </w:rPr>
        <w:t>.</w:t>
      </w:r>
      <w:r>
        <w:rPr>
          <w:snapToGrid w:val="0"/>
        </w:rPr>
        <w:tab/>
        <w:t>Removal or suspension of Commissioner or Deputy Commissioner</w:t>
      </w:r>
      <w:bookmarkEnd w:id="1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lastRenderedPageBreak/>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13" w:name="_Toc120264046"/>
      <w:r>
        <w:rPr>
          <w:rStyle w:val="CharSectno"/>
        </w:rPr>
        <w:t>6A</w:t>
      </w:r>
      <w:r>
        <w:rPr>
          <w:snapToGrid w:val="0"/>
        </w:rPr>
        <w:t>.</w:t>
      </w:r>
      <w:r>
        <w:rPr>
          <w:snapToGrid w:val="0"/>
        </w:rPr>
        <w:tab/>
        <w:t>Deputy Parliamentary Commissioner, functions of</w:t>
      </w:r>
      <w:bookmarkEnd w:id="1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14" w:name="_Toc120264047"/>
      <w:r>
        <w:rPr>
          <w:rStyle w:val="CharSectno"/>
        </w:rPr>
        <w:lastRenderedPageBreak/>
        <w:t>7</w:t>
      </w:r>
      <w:r>
        <w:rPr>
          <w:snapToGrid w:val="0"/>
        </w:rPr>
        <w:t>.</w:t>
      </w:r>
      <w:r>
        <w:rPr>
          <w:snapToGrid w:val="0"/>
        </w:rPr>
        <w:tab/>
        <w:t>Acting Parliamentary Commissioner, appointment of etc.</w:t>
      </w:r>
      <w:bookmarkEnd w:id="1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15" w:name="_Toc120264048"/>
      <w:r>
        <w:rPr>
          <w:rStyle w:val="CharSectno"/>
        </w:rPr>
        <w:t>8</w:t>
      </w:r>
      <w:r>
        <w:rPr>
          <w:snapToGrid w:val="0"/>
        </w:rPr>
        <w:t>.</w:t>
      </w:r>
      <w:r>
        <w:rPr>
          <w:snapToGrid w:val="0"/>
        </w:rPr>
        <w:tab/>
        <w:t>Oath or affirmation of Commissioner, Deputy Commissioner and Acting Commissioner</w:t>
      </w:r>
      <w:bookmarkEnd w:id="15"/>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lastRenderedPageBreak/>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16" w:name="_Toc120264049"/>
      <w:r>
        <w:rPr>
          <w:rStyle w:val="CharSectno"/>
        </w:rPr>
        <w:t>9</w:t>
      </w:r>
      <w:r>
        <w:rPr>
          <w:snapToGrid w:val="0"/>
        </w:rPr>
        <w:t>.</w:t>
      </w:r>
      <w:r>
        <w:rPr>
          <w:snapToGrid w:val="0"/>
        </w:rPr>
        <w:tab/>
        <w:t>Staff of Commissioner</w:t>
      </w:r>
      <w:bookmarkEnd w:id="1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lastRenderedPageBreak/>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17" w:name="_Toc120264050"/>
      <w:r>
        <w:rPr>
          <w:rStyle w:val="CharSectno"/>
        </w:rPr>
        <w:t>10</w:t>
      </w:r>
      <w:r>
        <w:rPr>
          <w:snapToGrid w:val="0"/>
        </w:rPr>
        <w:t>.</w:t>
      </w:r>
      <w:r>
        <w:rPr>
          <w:snapToGrid w:val="0"/>
        </w:rPr>
        <w:tab/>
        <w:t>Other provisions as to Commissioner and other officers</w:t>
      </w:r>
      <w:bookmarkEnd w:id="17"/>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lastRenderedPageBreak/>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18" w:name="_Toc120264051"/>
      <w:r>
        <w:rPr>
          <w:rStyle w:val="CharSectno"/>
        </w:rPr>
        <w:t>11</w:t>
      </w:r>
      <w:r>
        <w:rPr>
          <w:snapToGrid w:val="0"/>
        </w:rPr>
        <w:t>.</w:t>
      </w:r>
      <w:r>
        <w:rPr>
          <w:snapToGrid w:val="0"/>
        </w:rPr>
        <w:tab/>
        <w:t>Delegation by Commissioner</w:t>
      </w:r>
      <w:bookmarkEnd w:id="1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lastRenderedPageBreak/>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19" w:name="_Toc120264052"/>
      <w:r>
        <w:rPr>
          <w:rStyle w:val="CharSectno"/>
        </w:rPr>
        <w:t>12</w:t>
      </w:r>
      <w:r>
        <w:rPr>
          <w:snapToGrid w:val="0"/>
        </w:rPr>
        <w:t>.</w:t>
      </w:r>
      <w:r>
        <w:rPr>
          <w:snapToGrid w:val="0"/>
        </w:rPr>
        <w:tab/>
        <w:t>Rules of Parliament</w:t>
      </w:r>
      <w:bookmarkEnd w:id="19"/>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lastRenderedPageBreak/>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20" w:name="_Toc120263786"/>
      <w:bookmarkStart w:id="21" w:name="_Toc120264053"/>
      <w:r>
        <w:rPr>
          <w:rStyle w:val="CharPartNo"/>
        </w:rPr>
        <w:lastRenderedPageBreak/>
        <w:t>Part III</w:t>
      </w:r>
      <w:r>
        <w:t> — </w:t>
      </w:r>
      <w:r>
        <w:rPr>
          <w:rStyle w:val="CharPartText"/>
        </w:rPr>
        <w:t>Jurisdiction and functions of the Commissioner</w:t>
      </w:r>
      <w:bookmarkEnd w:id="20"/>
      <w:bookmarkEnd w:id="21"/>
    </w:p>
    <w:p>
      <w:pPr>
        <w:pStyle w:val="Heading3"/>
      </w:pPr>
      <w:bookmarkStart w:id="22" w:name="_Toc120263787"/>
      <w:bookmarkStart w:id="23" w:name="_Toc120264054"/>
      <w:r>
        <w:rPr>
          <w:rStyle w:val="CharDivNo"/>
        </w:rPr>
        <w:t>Division 1</w:t>
      </w:r>
      <w:r>
        <w:rPr>
          <w:snapToGrid w:val="0"/>
        </w:rPr>
        <w:t> — </w:t>
      </w:r>
      <w:r>
        <w:rPr>
          <w:rStyle w:val="CharDivText"/>
        </w:rPr>
        <w:t>Extent of jurisdiction</w:t>
      </w:r>
      <w:bookmarkEnd w:id="22"/>
      <w:bookmarkEnd w:id="23"/>
    </w:p>
    <w:p>
      <w:pPr>
        <w:pStyle w:val="Heading5"/>
        <w:rPr>
          <w:snapToGrid w:val="0"/>
        </w:rPr>
      </w:pPr>
      <w:bookmarkStart w:id="24" w:name="_Toc120264055"/>
      <w:r>
        <w:rPr>
          <w:rStyle w:val="CharSectno"/>
        </w:rPr>
        <w:t>13</w:t>
      </w:r>
      <w:r>
        <w:rPr>
          <w:snapToGrid w:val="0"/>
        </w:rPr>
        <w:t>.</w:t>
      </w:r>
      <w:r>
        <w:rPr>
          <w:snapToGrid w:val="0"/>
        </w:rPr>
        <w:tab/>
        <w:t>Departments and authorities subject to investigation</w:t>
      </w:r>
      <w:bookmarkEnd w:id="24"/>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lastRenderedPageBreak/>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lastRenderedPageBreak/>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lastRenderedPageBreak/>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25" w:name="_Toc120264056"/>
      <w:r>
        <w:rPr>
          <w:rStyle w:val="CharSectno"/>
        </w:rPr>
        <w:t>14</w:t>
      </w:r>
      <w:r>
        <w:rPr>
          <w:snapToGrid w:val="0"/>
        </w:rPr>
        <w:t>.</w:t>
      </w:r>
      <w:r>
        <w:rPr>
          <w:snapToGrid w:val="0"/>
        </w:rPr>
        <w:tab/>
        <w:t>Matters subject to investigation</w:t>
      </w:r>
      <w:bookmarkEnd w:id="25"/>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lastRenderedPageBreak/>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26" w:name="_Toc120263790"/>
      <w:bookmarkStart w:id="27" w:name="_Toc120264057"/>
      <w:r>
        <w:rPr>
          <w:rStyle w:val="CharDivNo"/>
        </w:rPr>
        <w:t>Division 2</w:t>
      </w:r>
      <w:r>
        <w:rPr>
          <w:snapToGrid w:val="0"/>
        </w:rPr>
        <w:t> — </w:t>
      </w:r>
      <w:r>
        <w:rPr>
          <w:rStyle w:val="CharDivText"/>
        </w:rPr>
        <w:t>Initiation of investigations</w:t>
      </w:r>
      <w:bookmarkEnd w:id="26"/>
      <w:bookmarkEnd w:id="27"/>
    </w:p>
    <w:p>
      <w:pPr>
        <w:pStyle w:val="Heading5"/>
        <w:rPr>
          <w:snapToGrid w:val="0"/>
        </w:rPr>
      </w:pPr>
      <w:bookmarkStart w:id="28" w:name="_Toc120264058"/>
      <w:r>
        <w:rPr>
          <w:rStyle w:val="CharSectno"/>
        </w:rPr>
        <w:t>15</w:t>
      </w:r>
      <w:r>
        <w:rPr>
          <w:snapToGrid w:val="0"/>
        </w:rPr>
        <w:t>.</w:t>
      </w:r>
      <w:r>
        <w:rPr>
          <w:snapToGrid w:val="0"/>
        </w:rPr>
        <w:tab/>
        <w:t>Investigations on reference by Parliament</w:t>
      </w:r>
      <w:bookmarkEnd w:id="28"/>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lastRenderedPageBreak/>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29" w:name="_Toc120264059"/>
      <w:r>
        <w:rPr>
          <w:rStyle w:val="CharSectno"/>
        </w:rPr>
        <w:t>16</w:t>
      </w:r>
      <w:r>
        <w:rPr>
          <w:snapToGrid w:val="0"/>
        </w:rPr>
        <w:t>.</w:t>
      </w:r>
      <w:r>
        <w:rPr>
          <w:snapToGrid w:val="0"/>
        </w:rPr>
        <w:tab/>
        <w:t>Initiation of investigations</w:t>
      </w:r>
      <w:bookmarkEnd w:id="29"/>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30" w:name="_Toc120264060"/>
      <w:r>
        <w:rPr>
          <w:rStyle w:val="CharSectno"/>
        </w:rPr>
        <w:t>17</w:t>
      </w:r>
      <w:r>
        <w:rPr>
          <w:snapToGrid w:val="0"/>
        </w:rPr>
        <w:t>.</w:t>
      </w:r>
      <w:r>
        <w:rPr>
          <w:snapToGrid w:val="0"/>
        </w:rPr>
        <w:tab/>
        <w:t>Complaints to Commissioner</w:t>
      </w:r>
      <w:bookmarkEnd w:id="3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lastRenderedPageBreak/>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31" w:name="_Toc120264061"/>
      <w:r>
        <w:rPr>
          <w:rStyle w:val="CharSectno"/>
        </w:rPr>
        <w:t>17A</w:t>
      </w:r>
      <w:r>
        <w:rPr>
          <w:snapToGrid w:val="0"/>
        </w:rPr>
        <w:t>.</w:t>
      </w:r>
      <w:r>
        <w:rPr>
          <w:snapToGrid w:val="0"/>
        </w:rPr>
        <w:tab/>
        <w:t>Complaints by persons in custody</w:t>
      </w:r>
      <w:bookmarkEnd w:id="3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 xml:space="preserve">to be provided with facilities for preparing a complaint in writing under this Act, for furnishing in writing to the Commissioner after the complaint has been made any other relevant information, and for enclosing the complaint or </w:t>
      </w:r>
      <w:r>
        <w:rPr>
          <w:snapToGrid w:val="0"/>
        </w:rPr>
        <w:lastRenderedPageBreak/>
        <w:t>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lastRenderedPageBreak/>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32" w:name="_Toc120264062"/>
      <w:r>
        <w:rPr>
          <w:rStyle w:val="CharSectno"/>
        </w:rPr>
        <w:t>18</w:t>
      </w:r>
      <w:r>
        <w:rPr>
          <w:snapToGrid w:val="0"/>
        </w:rPr>
        <w:t>.</w:t>
      </w:r>
      <w:r>
        <w:rPr>
          <w:snapToGrid w:val="0"/>
        </w:rPr>
        <w:tab/>
        <w:t>Refusal to investigate complaints</w:t>
      </w:r>
      <w:bookmarkEnd w:id="32"/>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lastRenderedPageBreak/>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3" w:name="_Toc120263796"/>
      <w:bookmarkStart w:id="34" w:name="_Toc120264063"/>
      <w:r>
        <w:rPr>
          <w:rStyle w:val="CharDivNo"/>
        </w:rPr>
        <w:t>Division 3A</w:t>
      </w:r>
      <w:r>
        <w:t> — </w:t>
      </w:r>
      <w:r>
        <w:rPr>
          <w:rStyle w:val="CharDivText"/>
        </w:rPr>
        <w:t>Deaths of certain children</w:t>
      </w:r>
      <w:bookmarkEnd w:id="33"/>
      <w:bookmarkEnd w:id="34"/>
    </w:p>
    <w:p>
      <w:pPr>
        <w:pStyle w:val="Footnoteheading"/>
      </w:pPr>
      <w:r>
        <w:tab/>
        <w:t>[Heading inserted: No. 10 of 2009 s. 7.]</w:t>
      </w:r>
    </w:p>
    <w:p>
      <w:pPr>
        <w:pStyle w:val="Heading5"/>
      </w:pPr>
      <w:bookmarkStart w:id="35" w:name="_Toc120264064"/>
      <w:r>
        <w:rPr>
          <w:rStyle w:val="CharSectno"/>
        </w:rPr>
        <w:t>19A</w:t>
      </w:r>
      <w:r>
        <w:t>.</w:t>
      </w:r>
      <w:r>
        <w:tab/>
        <w:t>Terms used</w:t>
      </w:r>
      <w:bookmarkEnd w:id="35"/>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lastRenderedPageBreak/>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w:t>
      </w:r>
    </w:p>
    <w:p>
      <w:pPr>
        <w:pStyle w:val="Heading5"/>
      </w:pPr>
      <w:bookmarkStart w:id="36" w:name="_Toc120264065"/>
      <w:r>
        <w:rPr>
          <w:rStyle w:val="CharSectno"/>
        </w:rPr>
        <w:t>19B</w:t>
      </w:r>
      <w:r>
        <w:t>.</w:t>
      </w:r>
      <w:r>
        <w:tab/>
        <w:t>Functions as to investigable deaths</w:t>
      </w:r>
      <w:bookmarkEnd w:id="3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w:t>
      </w:r>
      <w:r>
        <w:lastRenderedPageBreak/>
        <w:t xml:space="preserve">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spacing w:before="340"/>
      </w:pPr>
      <w:bookmarkStart w:id="37" w:name="_Toc120263799"/>
      <w:bookmarkStart w:id="38" w:name="_Toc120264066"/>
      <w:r>
        <w:rPr>
          <w:rStyle w:val="CharDivNo"/>
        </w:rPr>
        <w:t>Division 3</w:t>
      </w:r>
      <w:r>
        <w:rPr>
          <w:snapToGrid w:val="0"/>
        </w:rPr>
        <w:t> — </w:t>
      </w:r>
      <w:r>
        <w:rPr>
          <w:rStyle w:val="CharDivText"/>
        </w:rPr>
        <w:t>Conduct of investigations</w:t>
      </w:r>
      <w:bookmarkEnd w:id="37"/>
      <w:bookmarkEnd w:id="38"/>
    </w:p>
    <w:p>
      <w:pPr>
        <w:pStyle w:val="Heading5"/>
        <w:spacing w:before="240"/>
        <w:rPr>
          <w:snapToGrid w:val="0"/>
        </w:rPr>
      </w:pPr>
      <w:bookmarkStart w:id="39" w:name="_Toc120264067"/>
      <w:r>
        <w:rPr>
          <w:rStyle w:val="CharSectno"/>
        </w:rPr>
        <w:t>19</w:t>
      </w:r>
      <w:r>
        <w:rPr>
          <w:snapToGrid w:val="0"/>
        </w:rPr>
        <w:t>.</w:t>
      </w:r>
      <w:r>
        <w:rPr>
          <w:snapToGrid w:val="0"/>
        </w:rPr>
        <w:tab/>
        <w:t>Proceedings on investigations</w:t>
      </w:r>
      <w:bookmarkEnd w:id="39"/>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lastRenderedPageBreak/>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No. 78 of 1996 s. 13 and 21; No. 43 of 1999 s. 20; No. 47 of 1999 s. 27; No. 4 of 2015 s. 87(4).]</w:t>
      </w:r>
    </w:p>
    <w:p>
      <w:pPr>
        <w:pStyle w:val="Heading5"/>
        <w:rPr>
          <w:snapToGrid w:val="0"/>
        </w:rPr>
      </w:pPr>
      <w:bookmarkStart w:id="40" w:name="_Toc120264068"/>
      <w:r>
        <w:rPr>
          <w:rStyle w:val="CharSectno"/>
        </w:rPr>
        <w:lastRenderedPageBreak/>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4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No. 68 of 1976 s. 6; No. 19 of 2010 s. 51.]</w:t>
      </w:r>
    </w:p>
    <w:p>
      <w:pPr>
        <w:pStyle w:val="Heading5"/>
        <w:spacing w:before="180"/>
        <w:rPr>
          <w:snapToGrid w:val="0"/>
        </w:rPr>
      </w:pPr>
      <w:bookmarkStart w:id="41" w:name="_Toc120264069"/>
      <w:r>
        <w:rPr>
          <w:rStyle w:val="CharSectno"/>
        </w:rPr>
        <w:t>21</w:t>
      </w:r>
      <w:r>
        <w:rPr>
          <w:snapToGrid w:val="0"/>
        </w:rPr>
        <w:t>.</w:t>
      </w:r>
      <w:r>
        <w:rPr>
          <w:snapToGrid w:val="0"/>
        </w:rPr>
        <w:tab/>
        <w:t>Power to enter premises</w:t>
      </w:r>
      <w:bookmarkEnd w:id="41"/>
    </w:p>
    <w:p>
      <w:pPr>
        <w:pStyle w:val="Subsection"/>
        <w:spacing w:before="140"/>
        <w:rPr>
          <w:snapToGrid w:val="0"/>
        </w:rPr>
      </w:pPr>
      <w:r>
        <w:rPr>
          <w:snapToGrid w:val="0"/>
        </w:rPr>
        <w:tab/>
      </w:r>
      <w:r>
        <w:rPr>
          <w:snapToGrid w:val="0"/>
        </w:rPr>
        <w:tab/>
        <w:t xml:space="preserve">For the purposes of conducting an investigation under this Act, the Commissioner may, at any time, enter any premises occupied or used by any department or authority to which this </w:t>
      </w:r>
      <w:r>
        <w:rPr>
          <w:snapToGrid w:val="0"/>
        </w:rPr>
        <w:lastRenderedPageBreak/>
        <w:t>Act applies, and inspect those premises or anything for the time being therein.</w:t>
      </w:r>
    </w:p>
    <w:p>
      <w:pPr>
        <w:pStyle w:val="Footnotesection"/>
      </w:pPr>
      <w:r>
        <w:tab/>
        <w:t>[Section 21 amended: No. 124 of 1984 s. 7; No. 78 of 1996 s. 21; No. 10 of 1998 s. 57(2).]</w:t>
      </w:r>
    </w:p>
    <w:p>
      <w:pPr>
        <w:pStyle w:val="Heading5"/>
        <w:spacing w:before="180"/>
        <w:rPr>
          <w:snapToGrid w:val="0"/>
        </w:rPr>
      </w:pPr>
      <w:bookmarkStart w:id="42" w:name="_Toc120264070"/>
      <w:r>
        <w:rPr>
          <w:rStyle w:val="CharSectno"/>
        </w:rPr>
        <w:t>22</w:t>
      </w:r>
      <w:r>
        <w:rPr>
          <w:snapToGrid w:val="0"/>
        </w:rPr>
        <w:t>.</w:t>
      </w:r>
      <w:r>
        <w:rPr>
          <w:snapToGrid w:val="0"/>
        </w:rPr>
        <w:tab/>
        <w:t>Protection for proceedings in Cabinet</w:t>
      </w:r>
      <w:bookmarkEnd w:id="42"/>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43" w:name="_Toc120264071"/>
      <w:r>
        <w:rPr>
          <w:rStyle w:val="CharSectno"/>
        </w:rPr>
        <w:t>22A</w:t>
      </w:r>
      <w:r>
        <w:rPr>
          <w:snapToGrid w:val="0"/>
        </w:rPr>
        <w:t>.</w:t>
      </w:r>
      <w:r>
        <w:rPr>
          <w:snapToGrid w:val="0"/>
        </w:rPr>
        <w:tab/>
        <w:t>Consultation</w:t>
      </w:r>
      <w:bookmarkEnd w:id="43"/>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w:t>
      </w:r>
    </w:p>
    <w:p>
      <w:pPr>
        <w:pStyle w:val="Heading5"/>
        <w:rPr>
          <w:snapToGrid w:val="0"/>
        </w:rPr>
      </w:pPr>
      <w:bookmarkStart w:id="44" w:name="_Toc120264072"/>
      <w:r>
        <w:rPr>
          <w:rStyle w:val="CharSectno"/>
        </w:rPr>
        <w:lastRenderedPageBreak/>
        <w:t>22B</w:t>
      </w:r>
      <w:r>
        <w:rPr>
          <w:snapToGrid w:val="0"/>
        </w:rPr>
        <w:t>.</w:t>
      </w:r>
      <w:r>
        <w:rPr>
          <w:snapToGrid w:val="0"/>
        </w:rPr>
        <w:tab/>
        <w:t>Disclosure of certain information</w:t>
      </w:r>
      <w:bookmarkEnd w:id="44"/>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lastRenderedPageBreak/>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 xml:space="preserve">a member of the staff of the Commissioner for Children and Young People authorised for the </w:t>
      </w:r>
      <w:r>
        <w:lastRenderedPageBreak/>
        <w:t>purposes of this subparagraph by the Commissioner,</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w:t>
      </w:r>
    </w:p>
    <w:p>
      <w:pPr>
        <w:pStyle w:val="Heading5"/>
        <w:rPr>
          <w:snapToGrid w:val="0"/>
        </w:rPr>
      </w:pPr>
      <w:bookmarkStart w:id="45" w:name="_Toc120264073"/>
      <w:r>
        <w:rPr>
          <w:rStyle w:val="CharSectno"/>
        </w:rPr>
        <w:t>23</w:t>
      </w:r>
      <w:r>
        <w:rPr>
          <w:snapToGrid w:val="0"/>
        </w:rPr>
        <w:t>.</w:t>
      </w:r>
      <w:r>
        <w:rPr>
          <w:snapToGrid w:val="0"/>
        </w:rPr>
        <w:tab/>
        <w:t>Secrecy</w:t>
      </w:r>
      <w:bookmarkEnd w:id="4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lastRenderedPageBreak/>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w:t>
      </w:r>
    </w:p>
    <w:p>
      <w:pPr>
        <w:pStyle w:val="Heading5"/>
        <w:rPr>
          <w:snapToGrid w:val="0"/>
        </w:rPr>
      </w:pPr>
      <w:bookmarkStart w:id="46" w:name="_Toc120264074"/>
      <w:r>
        <w:rPr>
          <w:rStyle w:val="CharSectno"/>
        </w:rPr>
        <w:lastRenderedPageBreak/>
        <w:t>23A</w:t>
      </w:r>
      <w:r>
        <w:rPr>
          <w:snapToGrid w:val="0"/>
        </w:rPr>
        <w:t>.</w:t>
      </w:r>
      <w:r>
        <w:rPr>
          <w:snapToGrid w:val="0"/>
        </w:rPr>
        <w:tab/>
        <w:t>Documents sent to or by Commissioner not admissible</w:t>
      </w:r>
      <w:bookmarkEnd w:id="46"/>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No. 73 of 1976 s. 8; amended: No. 74 of 2003 s. 91(16).]</w:t>
      </w:r>
    </w:p>
    <w:p>
      <w:pPr>
        <w:pStyle w:val="Heading5"/>
        <w:rPr>
          <w:snapToGrid w:val="0"/>
        </w:rPr>
      </w:pPr>
      <w:bookmarkStart w:id="47" w:name="_Toc120264075"/>
      <w:r>
        <w:rPr>
          <w:rStyle w:val="CharSectno"/>
        </w:rPr>
        <w:t>24</w:t>
      </w:r>
      <w:r>
        <w:rPr>
          <w:snapToGrid w:val="0"/>
        </w:rPr>
        <w:t>.</w:t>
      </w:r>
      <w:r>
        <w:rPr>
          <w:snapToGrid w:val="0"/>
        </w:rPr>
        <w:tab/>
        <w:t>Obstruction</w:t>
      </w:r>
      <w:bookmarkEnd w:id="4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48" w:name="_Toc120263809"/>
      <w:bookmarkStart w:id="49" w:name="_Toc120264076"/>
      <w:r>
        <w:rPr>
          <w:rStyle w:val="CharDivNo"/>
        </w:rPr>
        <w:t>Division 4</w:t>
      </w:r>
      <w:r>
        <w:rPr>
          <w:snapToGrid w:val="0"/>
        </w:rPr>
        <w:t> — </w:t>
      </w:r>
      <w:r>
        <w:rPr>
          <w:rStyle w:val="CharDivText"/>
        </w:rPr>
        <w:t>Action on investigations</w:t>
      </w:r>
      <w:bookmarkEnd w:id="48"/>
      <w:bookmarkEnd w:id="49"/>
    </w:p>
    <w:p>
      <w:pPr>
        <w:pStyle w:val="Heading5"/>
        <w:spacing w:before="180"/>
        <w:rPr>
          <w:snapToGrid w:val="0"/>
        </w:rPr>
      </w:pPr>
      <w:bookmarkStart w:id="50" w:name="_Toc120264077"/>
      <w:r>
        <w:rPr>
          <w:rStyle w:val="CharSectno"/>
        </w:rPr>
        <w:t>25</w:t>
      </w:r>
      <w:r>
        <w:rPr>
          <w:snapToGrid w:val="0"/>
        </w:rPr>
        <w:t>.</w:t>
      </w:r>
      <w:r>
        <w:rPr>
          <w:snapToGrid w:val="0"/>
        </w:rPr>
        <w:tab/>
        <w:t>Procedure on completion of investigation</w:t>
      </w:r>
      <w:bookmarkEnd w:id="5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lastRenderedPageBreak/>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lastRenderedPageBreak/>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51" w:name="_Toc120264078"/>
      <w:r>
        <w:rPr>
          <w:rStyle w:val="CharSectno"/>
        </w:rPr>
        <w:t>26</w:t>
      </w:r>
      <w:r>
        <w:rPr>
          <w:snapToGrid w:val="0"/>
        </w:rPr>
        <w:t>.</w:t>
      </w:r>
      <w:r>
        <w:rPr>
          <w:snapToGrid w:val="0"/>
        </w:rPr>
        <w:tab/>
        <w:t>Information to complainant on investigation</w:t>
      </w:r>
      <w:bookmarkEnd w:id="51"/>
    </w:p>
    <w:p>
      <w:pPr>
        <w:pStyle w:val="Subsection"/>
        <w:spacing w:before="120"/>
        <w:rPr>
          <w:snapToGrid w:val="0"/>
        </w:rPr>
      </w:pPr>
      <w:r>
        <w:rPr>
          <w:snapToGrid w:val="0"/>
        </w:rPr>
        <w:tab/>
      </w:r>
      <w:r>
        <w:rPr>
          <w:snapToGrid w:val="0"/>
        </w:rPr>
        <w:tab/>
        <w:t xml:space="preserve">Where the Commissioner conducts an investigation on a complaint made under this Act he shall inform the complainant, </w:t>
      </w:r>
      <w:r>
        <w:rPr>
          <w:snapToGrid w:val="0"/>
        </w:rPr>
        <w:lastRenderedPageBreak/>
        <w:t>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52" w:name="_Toc120263812"/>
      <w:bookmarkStart w:id="53" w:name="_Toc120264079"/>
      <w:r>
        <w:rPr>
          <w:rStyle w:val="CharDivNo"/>
        </w:rPr>
        <w:t>Division 5</w:t>
      </w:r>
      <w:r>
        <w:rPr>
          <w:snapToGrid w:val="0"/>
        </w:rPr>
        <w:t> — </w:t>
      </w:r>
      <w:r>
        <w:rPr>
          <w:rStyle w:val="CharDivText"/>
        </w:rPr>
        <w:t>Annual and other reports of the Commissioner</w:t>
      </w:r>
      <w:bookmarkEnd w:id="52"/>
      <w:bookmarkEnd w:id="53"/>
    </w:p>
    <w:p>
      <w:pPr>
        <w:pStyle w:val="Heading5"/>
        <w:rPr>
          <w:snapToGrid w:val="0"/>
        </w:rPr>
      </w:pPr>
      <w:bookmarkStart w:id="54" w:name="_Toc120264080"/>
      <w:r>
        <w:rPr>
          <w:rStyle w:val="CharSectno"/>
        </w:rPr>
        <w:t>27</w:t>
      </w:r>
      <w:r>
        <w:rPr>
          <w:snapToGrid w:val="0"/>
        </w:rPr>
        <w:t>.</w:t>
      </w:r>
      <w:r>
        <w:rPr>
          <w:snapToGrid w:val="0"/>
        </w:rPr>
        <w:tab/>
        <w:t>Commissioner may report to Parliament</w:t>
      </w:r>
      <w:bookmarkEnd w:id="5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Ednotesection"/>
      </w:pPr>
      <w:r>
        <w:t>[</w:t>
      </w:r>
      <w:r>
        <w:rPr>
          <w:b/>
        </w:rPr>
        <w:t>28.</w:t>
      </w:r>
      <w:r>
        <w:tab/>
        <w:t>Deleted: No. 124 of 1984 s. 9.]</w:t>
      </w:r>
    </w:p>
    <w:p>
      <w:pPr>
        <w:pStyle w:val="Heading2"/>
      </w:pPr>
      <w:bookmarkStart w:id="55" w:name="_Toc120263814"/>
      <w:bookmarkStart w:id="56" w:name="_Toc120264081"/>
      <w:r>
        <w:rPr>
          <w:rStyle w:val="CharPartNo"/>
        </w:rPr>
        <w:lastRenderedPageBreak/>
        <w:t>Part IV</w:t>
      </w:r>
      <w:r>
        <w:rPr>
          <w:rStyle w:val="CharDivNo"/>
        </w:rPr>
        <w:t> </w:t>
      </w:r>
      <w:r>
        <w:t>—</w:t>
      </w:r>
      <w:r>
        <w:rPr>
          <w:rStyle w:val="CharDivText"/>
        </w:rPr>
        <w:t> </w:t>
      </w:r>
      <w:r>
        <w:rPr>
          <w:rStyle w:val="CharPartText"/>
        </w:rPr>
        <w:t>Miscellaneous</w:t>
      </w:r>
      <w:bookmarkEnd w:id="55"/>
      <w:bookmarkEnd w:id="56"/>
    </w:p>
    <w:p>
      <w:pPr>
        <w:pStyle w:val="Heading5"/>
        <w:rPr>
          <w:snapToGrid w:val="0"/>
        </w:rPr>
      </w:pPr>
      <w:bookmarkStart w:id="57" w:name="_Toc120264082"/>
      <w:r>
        <w:rPr>
          <w:rStyle w:val="CharSectno"/>
        </w:rPr>
        <w:t>29</w:t>
      </w:r>
      <w:r>
        <w:rPr>
          <w:snapToGrid w:val="0"/>
        </w:rPr>
        <w:t>.</w:t>
      </w:r>
      <w:r>
        <w:rPr>
          <w:snapToGrid w:val="0"/>
        </w:rPr>
        <w:tab/>
        <w:t>Supreme Court may determine jurisdictional questions</w:t>
      </w:r>
      <w:bookmarkEnd w:id="57"/>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58" w:name="_Toc120264083"/>
      <w:r>
        <w:rPr>
          <w:rStyle w:val="CharSectno"/>
        </w:rPr>
        <w:t>30</w:t>
      </w:r>
      <w:r>
        <w:rPr>
          <w:snapToGrid w:val="0"/>
        </w:rPr>
        <w:t>.</w:t>
      </w:r>
      <w:r>
        <w:rPr>
          <w:snapToGrid w:val="0"/>
        </w:rPr>
        <w:tab/>
        <w:t>Protection of Commissioner and officers</w:t>
      </w:r>
      <w:bookmarkEnd w:id="58"/>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lastRenderedPageBreak/>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59" w:name="_Toc120264084"/>
      <w:r>
        <w:rPr>
          <w:rStyle w:val="CharSectno"/>
        </w:rPr>
        <w:t>30A</w:t>
      </w:r>
      <w:r>
        <w:rPr>
          <w:snapToGrid w:val="0"/>
        </w:rPr>
        <w:t>.</w:t>
      </w:r>
      <w:r>
        <w:rPr>
          <w:snapToGrid w:val="0"/>
        </w:rPr>
        <w:tab/>
        <w:t>Protection of complainants etc.</w:t>
      </w:r>
      <w:bookmarkEnd w:id="59"/>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spacing w:before="180"/>
        <w:rPr>
          <w:snapToGrid w:val="0"/>
        </w:rPr>
      </w:pPr>
      <w:bookmarkStart w:id="60" w:name="_Toc120264085"/>
      <w:r>
        <w:rPr>
          <w:rStyle w:val="CharSectno"/>
        </w:rPr>
        <w:t>30B</w:t>
      </w:r>
      <w:r>
        <w:rPr>
          <w:snapToGrid w:val="0"/>
        </w:rPr>
        <w:t>.</w:t>
      </w:r>
      <w:r>
        <w:rPr>
          <w:snapToGrid w:val="0"/>
        </w:rPr>
        <w:tab/>
        <w:t>Victimisation</w:t>
      </w:r>
      <w:bookmarkEnd w:id="6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lastRenderedPageBreak/>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w:t>
      </w:r>
    </w:p>
    <w:p>
      <w:pPr>
        <w:pStyle w:val="Heading5"/>
        <w:spacing w:before="180"/>
        <w:rPr>
          <w:snapToGrid w:val="0"/>
        </w:rPr>
      </w:pPr>
      <w:bookmarkStart w:id="61" w:name="_Toc120264086"/>
      <w:r>
        <w:rPr>
          <w:rStyle w:val="CharSectno"/>
        </w:rPr>
        <w:t>31</w:t>
      </w:r>
      <w:r>
        <w:rPr>
          <w:snapToGrid w:val="0"/>
        </w:rPr>
        <w:t>.</w:t>
      </w:r>
      <w:r>
        <w:rPr>
          <w:snapToGrid w:val="0"/>
        </w:rPr>
        <w:tab/>
        <w:t>General penalty</w:t>
      </w:r>
      <w:bookmarkEnd w:id="6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62" w:name="_Toc120264087"/>
      <w:r>
        <w:rPr>
          <w:rStyle w:val="CharSectno"/>
        </w:rPr>
        <w:t>32</w:t>
      </w:r>
      <w:r>
        <w:rPr>
          <w:snapToGrid w:val="0"/>
        </w:rPr>
        <w:t>.</w:t>
      </w:r>
      <w:r>
        <w:rPr>
          <w:snapToGrid w:val="0"/>
        </w:rPr>
        <w:tab/>
        <w:t>Expenses of Act</w:t>
      </w:r>
      <w:bookmarkEnd w:id="6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63" w:name="_Toc120264088"/>
      <w:r>
        <w:rPr>
          <w:rStyle w:val="CharSectno"/>
        </w:rPr>
        <w:lastRenderedPageBreak/>
        <w:t>33</w:t>
      </w:r>
      <w:r>
        <w:rPr>
          <w:snapToGrid w:val="0"/>
        </w:rPr>
        <w:t>.</w:t>
      </w:r>
      <w:r>
        <w:rPr>
          <w:snapToGrid w:val="0"/>
        </w:rPr>
        <w:tab/>
        <w:t>Regulations</w:t>
      </w:r>
      <w:bookmarkEnd w:id="63"/>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No. 78 of 1996 s. 19.]</w:t>
      </w:r>
    </w:p>
    <w:p>
      <w:pPr>
        <w:pStyle w:val="Heading5"/>
      </w:pPr>
      <w:bookmarkStart w:id="64" w:name="_Toc120264089"/>
      <w:r>
        <w:rPr>
          <w:rStyle w:val="CharSectno"/>
        </w:rPr>
        <w:t>34</w:t>
      </w:r>
      <w:r>
        <w:t>.</w:t>
      </w:r>
      <w:r>
        <w:tab/>
        <w:t>Energy and water ombudsman schemes</w:t>
      </w:r>
      <w:bookmarkEnd w:id="6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lastRenderedPageBreak/>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yScheduleHeading"/>
      </w:pPr>
      <w:bookmarkStart w:id="65" w:name="_Toc120263823"/>
      <w:bookmarkStart w:id="66" w:name="_Toc120264090"/>
      <w:r>
        <w:rPr>
          <w:rStyle w:val="CharSchNo"/>
        </w:rPr>
        <w:lastRenderedPageBreak/>
        <w:t>Schedule 1</w:t>
      </w:r>
      <w:r>
        <w:t> — </w:t>
      </w:r>
      <w:r>
        <w:rPr>
          <w:rStyle w:val="CharSchText"/>
        </w:rPr>
        <w:t>Departments and authorities, and extent, to which this Act does not apply</w:t>
      </w:r>
      <w:bookmarkEnd w:id="65"/>
      <w:bookmarkEnd w:id="66"/>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lastRenderedPageBreak/>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No. 10 of 2009 s. 10; amended: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5"/>
          <w:headerReference w:type="default" r:id="rId26"/>
          <w:headerReference w:type="first" r:id="rId27"/>
          <w:pgSz w:w="11907" w:h="16840" w:code="9"/>
          <w:pgMar w:top="2381" w:right="2409" w:bottom="3543" w:left="2409" w:header="720" w:footer="3380" w:gutter="0"/>
          <w:cols w:space="720"/>
          <w:noEndnote/>
          <w:docGrid w:linePitch="326"/>
        </w:sectPr>
      </w:pPr>
    </w:p>
    <w:p>
      <w:pPr>
        <w:pStyle w:val="nHeading2"/>
      </w:pPr>
      <w:bookmarkStart w:id="68" w:name="_Toc120263824"/>
      <w:bookmarkStart w:id="69" w:name="_Toc120264091"/>
      <w:r>
        <w:lastRenderedPageBreak/>
        <w:t>Notes</w:t>
      </w:r>
      <w:bookmarkEnd w:id="68"/>
      <w:bookmarkEnd w:id="69"/>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70" w:name="_Toc120264092"/>
      <w:r>
        <w:t>Compilation table</w:t>
      </w:r>
      <w:bookmarkEnd w:id="70"/>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22"/>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096"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r>
              <w:rPr>
                <w:i/>
              </w:rPr>
              <w:lastRenderedPageBreak/>
              <w:t>Perth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r>
              <w:rPr>
                <w:i/>
              </w:rPr>
              <w:t>Rottnest Island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lastRenderedPageBreak/>
              <w:t>Acts Amendment (Swan River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(Perth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lastRenderedPageBreak/>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r>
              <w:rPr>
                <w:i/>
              </w:rPr>
              <w:t>East Perth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r>
              <w:rPr>
                <w:i/>
              </w:rPr>
              <w:t>Western Australian Land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lastRenderedPageBreak/>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r>
              <w:rPr>
                <w:i/>
              </w:rPr>
              <w:t>Perth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lastRenderedPageBreak/>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lastRenderedPageBreak/>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(Western Australia)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5</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lastRenderedPageBreak/>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6"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6"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lastRenderedPageBreak/>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6"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22"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6" w:type="dxa"/>
            <w:gridSpan w:val="8"/>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70" w:type="dxa"/>
            <w:gridSpan w:val="2"/>
            <w:tcBorders>
              <w:bottom w:val="single" w:sz="8" w:space="0" w:color="auto"/>
            </w:tcBorders>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gridSpan w:val="2"/>
            <w:tcBorders>
              <w:bottom w:val="single" w:sz="8" w:space="0" w:color="auto"/>
            </w:tcBorders>
            <w:shd w:val="clear" w:color="auto" w:fill="auto"/>
          </w:tcPr>
          <w:p>
            <w:pPr>
              <w:pStyle w:val="nTable"/>
              <w:spacing w:after="40"/>
              <w:rPr>
                <w:b/>
                <w:snapToGrid w:val="0"/>
              </w:rPr>
            </w:pPr>
            <w:r>
              <w:t>26 of 2016</w:t>
            </w:r>
          </w:p>
        </w:tc>
        <w:tc>
          <w:tcPr>
            <w:tcW w:w="1134" w:type="dxa"/>
            <w:gridSpan w:val="2"/>
            <w:tcBorders>
              <w:bottom w:val="single" w:sz="8" w:space="0" w:color="auto"/>
            </w:tcBorders>
            <w:shd w:val="clear" w:color="auto" w:fill="auto"/>
          </w:tcPr>
          <w:p>
            <w:pPr>
              <w:pStyle w:val="nTable"/>
              <w:spacing w:after="40"/>
              <w:rPr>
                <w:b/>
                <w:snapToGrid w:val="0"/>
              </w:rPr>
            </w:pPr>
            <w:r>
              <w:t>21 Sep 2016</w:t>
            </w:r>
          </w:p>
        </w:tc>
        <w:tc>
          <w:tcPr>
            <w:tcW w:w="2558" w:type="dxa"/>
            <w:gridSpan w:val="2"/>
            <w:tcBorders>
              <w:bottom w:val="single" w:sz="8" w:space="0" w:color="auto"/>
            </w:tcBorders>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bl>
    <w:p>
      <w:pPr>
        <w:pStyle w:val="nHeading3"/>
      </w:pPr>
      <w:bookmarkStart w:id="71" w:name="_Toc120264093"/>
      <w:r>
        <w:t>Uncommenced provisions table</w:t>
      </w:r>
      <w:bookmarkEnd w:id="71"/>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trPr>
        <w:tc>
          <w:tcPr>
            <w:tcW w:w="2268" w:type="dxa"/>
            <w:tcBorders>
              <w:bottom w:val="single" w:sz="4" w:space="0" w:color="auto"/>
            </w:tcBorders>
            <w:shd w:val="clear" w:color="auto" w:fill="auto"/>
          </w:tcPr>
          <w:p>
            <w:pPr>
              <w:pStyle w:val="nTable"/>
              <w:spacing w:after="40"/>
              <w:ind w:right="113"/>
              <w:rPr>
                <w:i/>
              </w:rPr>
            </w:pPr>
            <w:r>
              <w:rPr>
                <w:i/>
              </w:rPr>
              <w:lastRenderedPageBreak/>
              <w:t xml:space="preserve">Parliamentary Commissioner Amendment (Reportable Conduct) Act 2022 </w:t>
            </w:r>
            <w:r>
              <w:t>(other than Pt. 1)</w:t>
            </w:r>
          </w:p>
        </w:tc>
        <w:tc>
          <w:tcPr>
            <w:tcW w:w="1134" w:type="dxa"/>
            <w:tcBorders>
              <w:bottom w:val="single" w:sz="4" w:space="0" w:color="auto"/>
            </w:tcBorders>
            <w:shd w:val="clear" w:color="auto" w:fill="auto"/>
          </w:tcPr>
          <w:p>
            <w:pPr>
              <w:pStyle w:val="nTable"/>
              <w:spacing w:after="40"/>
            </w:pPr>
            <w:r>
              <w:t>25 of 2022</w:t>
            </w:r>
          </w:p>
        </w:tc>
        <w:tc>
          <w:tcPr>
            <w:tcW w:w="1134" w:type="dxa"/>
            <w:tcBorders>
              <w:bottom w:val="single" w:sz="4" w:space="0" w:color="auto"/>
            </w:tcBorders>
            <w:shd w:val="clear" w:color="auto" w:fill="auto"/>
          </w:tcPr>
          <w:p>
            <w:pPr>
              <w:pStyle w:val="nTable"/>
              <w:spacing w:after="40"/>
            </w:pPr>
            <w:r>
              <w:t>19 Aug 2022</w:t>
            </w:r>
          </w:p>
        </w:tc>
        <w:tc>
          <w:tcPr>
            <w:tcW w:w="2552" w:type="dxa"/>
            <w:tcBorders>
              <w:bottom w:val="single" w:sz="4" w:space="0" w:color="auto"/>
            </w:tcBorders>
            <w:shd w:val="clear" w:color="auto" w:fill="auto"/>
          </w:tcPr>
          <w:p>
            <w:pPr>
              <w:pStyle w:val="nTable"/>
              <w:spacing w:after="40"/>
            </w:pPr>
            <w:r>
              <w:t>Act other than Pt. 1 and Pt. 2 Div. 2: 1 Jan 2023 (see s. 2(c) and SL 2022/206 cl. 2);</w:t>
            </w:r>
          </w:p>
          <w:p>
            <w:pPr>
              <w:pStyle w:val="nTable"/>
              <w:spacing w:after="40"/>
            </w:pPr>
            <w:r>
              <w:t>Pt. 2 Div. 2: 1 Jan 2024 (see s. 2(b) and SL 2022/206 cl. 2)</w:t>
            </w:r>
          </w:p>
        </w:tc>
      </w:tr>
    </w:tbl>
    <w:p>
      <w:pPr>
        <w:pStyle w:val="nHeading3"/>
      </w:pPr>
      <w:bookmarkStart w:id="72" w:name="_Toc120264094"/>
      <w:r>
        <w:t>Other notes</w:t>
      </w:r>
      <w:bookmarkEnd w:id="72"/>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w:t>
      </w:r>
      <w:r>
        <w:rPr>
          <w:i/>
        </w:rPr>
        <w:lastRenderedPageBreak/>
        <w:t xml:space="preserve">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8"/>
          <w:headerReference w:type="default" r:id="rId29"/>
          <w:pgSz w:w="11907" w:h="16840" w:code="9"/>
          <w:pgMar w:top="2376" w:right="2405" w:bottom="3542" w:left="2405" w:header="706" w:footer="3380" w:gutter="0"/>
          <w:cols w:space="720"/>
          <w:noEndnote/>
          <w:docGrid w:linePitch="326"/>
        </w:sectPr>
      </w:pPr>
    </w:p>
    <w:p>
      <w:pPr>
        <w:pStyle w:val="nHeading2"/>
        <w:rPr>
          <w:sz w:val="28"/>
        </w:rPr>
      </w:pPr>
      <w:bookmarkStart w:id="74" w:name="_Toc120263828"/>
      <w:bookmarkStart w:id="75" w:name="_Toc120264095"/>
      <w:r>
        <w:rPr>
          <w:sz w:val="28"/>
        </w:rPr>
        <w:lastRenderedPageBreak/>
        <w:t>Defined terms</w:t>
      </w:r>
      <w:bookmarkEnd w:id="74"/>
      <w:bookmarkEnd w:id="7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ind w:left="1145" w:hanging="567"/>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10-e0-01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Aug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Aug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10-e0-01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Aug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10-e0-01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10-e0-01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Aug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Aug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10-e0-01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Aug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10-e0-01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7" w:name="Schedule"/>
    <w:bookmarkEnd w:id="6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73" w:name="Compilation"/>
    <w:bookmarkEnd w:id="73"/>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6" w:name="DefinedTerms"/>
    <w:bookmarkEnd w:id="7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7" w:name="Coversheet"/>
    <w:bookmarkEnd w:id="7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1125101500"/>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9A08A-8176-460F-9E56-59CD28642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15699</Words>
  <Characters>73943</Characters>
  <Application>Microsoft Office Word</Application>
  <DocSecurity>0</DocSecurity>
  <Lines>2385</Lines>
  <Paragraphs>1337</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1971 - 10-e0-01</dc:title>
  <dc:subject/>
  <dc:creator/>
  <cp:keywords/>
  <dc:description/>
  <cp:lastModifiedBy>Master Repository Process</cp:lastModifiedBy>
  <cp:revision>4</cp:revision>
  <cp:lastPrinted>2016-03-16T01:33:00Z</cp:lastPrinted>
  <dcterms:created xsi:type="dcterms:W3CDTF">2022-12-02T00:38:00Z</dcterms:created>
  <dcterms:modified xsi:type="dcterms:W3CDTF">2022-12-02T00:38:00Z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AsAtDate">
    <vt:lpwstr>19 Aug 2022</vt:lpwstr>
  </property>
  <property fmtid="{D5CDD505-2E9C-101B-9397-08002B2CF9AE}" pid="8" name="Suffix">
    <vt:lpwstr>10-e0-01</vt:lpwstr>
  </property>
  <property fmtid="{D5CDD505-2E9C-101B-9397-08002B2CF9AE}" pid="9" name="CommencementDate">
    <vt:lpwstr>20220819</vt:lpwstr>
  </property>
</Properties>
</file>