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Dog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Dog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_Toc112320864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_Toc112320865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_Toc112320866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_Toc112320867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Dogs to be registered</w:t>
      </w:r>
      <w:r>
        <w:tab/>
      </w:r>
      <w:r>
        <w:fldChar w:fldCharType="begin"/>
      </w:r>
      <w:r>
        <w:instrText xml:space="preserve"> PAGEREF _Toc112320868 \h </w:instrText>
      </w:r>
      <w:r>
        <w:fldChar w:fldCharType="separate"/>
      </w:r>
      <w:r>
        <w:t>10</w:t>
      </w:r>
      <w:r>
        <w:fldChar w:fldCharType="end"/>
      </w:r>
    </w:p>
    <w:p>
      <w:pPr>
        <w:pStyle w:val="TOC8"/>
        <w:rPr>
          <w:rFonts w:asciiTheme="minorHAnsi" w:eastAsiaTheme="minorEastAsia" w:hAnsiTheme="minorHAnsi" w:cstheme="minorBidi"/>
          <w:szCs w:val="22"/>
        </w:rPr>
      </w:pPr>
      <w:r>
        <w:t>8.</w:t>
      </w:r>
      <w:r>
        <w:tab/>
        <w:t>Assistance dogs</w:t>
      </w:r>
      <w:r>
        <w:tab/>
      </w:r>
      <w:r>
        <w:fldChar w:fldCharType="begin"/>
      </w:r>
      <w:r>
        <w:instrText xml:space="preserve"> PAGEREF _Toc112320869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rPr>
          <w:snapToGrid w:val="0"/>
        </w:rPr>
        <w:t>.</w:t>
      </w:r>
      <w:r>
        <w:rPr>
          <w:snapToGrid w:val="0"/>
        </w:rPr>
        <w:tab/>
        <w:t>Administrative responsibility</w:t>
      </w:r>
      <w:r>
        <w:tab/>
      </w:r>
      <w:r>
        <w:fldChar w:fldCharType="begin"/>
      </w:r>
      <w:r>
        <w:instrText xml:space="preserve"> PAGEREF _Toc112320871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Dogs not kept in district</w:t>
      </w:r>
      <w:r>
        <w:tab/>
      </w:r>
      <w:r>
        <w:fldChar w:fldCharType="begin"/>
      </w:r>
      <w:r>
        <w:instrText xml:space="preserve"> PAGEREF _Toc112320872 \h </w:instrText>
      </w:r>
      <w:r>
        <w:fldChar w:fldCharType="separate"/>
      </w:r>
      <w:r>
        <w:t>15</w:t>
      </w:r>
      <w:r>
        <w:fldChar w:fldCharType="end"/>
      </w:r>
    </w:p>
    <w:p>
      <w:pPr>
        <w:pStyle w:val="TOC8"/>
        <w:rPr>
          <w:rFonts w:asciiTheme="minorHAnsi" w:eastAsiaTheme="minorEastAsia" w:hAnsiTheme="minorHAnsi" w:cstheme="minorBidi"/>
          <w:szCs w:val="22"/>
        </w:rPr>
      </w:pPr>
      <w:r>
        <w:t>10AA.</w:t>
      </w:r>
      <w:r>
        <w:tab/>
        <w:t xml:space="preserve">Delegation of </w:t>
      </w:r>
      <w:r>
        <w:rPr>
          <w:snapToGrid w:val="0"/>
        </w:rPr>
        <w:t>local</w:t>
      </w:r>
      <w:r>
        <w:t xml:space="preserve"> government powers and duties</w:t>
      </w:r>
      <w:r>
        <w:tab/>
      </w:r>
      <w:r>
        <w:fldChar w:fldCharType="begin"/>
      </w:r>
      <w:r>
        <w:instrText xml:space="preserve"> PAGEREF _Toc112320873 \h </w:instrText>
      </w:r>
      <w:r>
        <w:fldChar w:fldCharType="separate"/>
      </w:r>
      <w:r>
        <w:t>15</w:t>
      </w:r>
      <w:r>
        <w:fldChar w:fldCharType="end"/>
      </w:r>
    </w:p>
    <w:p>
      <w:pPr>
        <w:pStyle w:val="TOC8"/>
        <w:rPr>
          <w:rFonts w:asciiTheme="minorHAnsi" w:eastAsiaTheme="minorEastAsia" w:hAnsiTheme="minorHAnsi" w:cstheme="minorBidi"/>
          <w:szCs w:val="22"/>
        </w:rPr>
      </w:pPr>
      <w:r>
        <w:t>10AB.</w:t>
      </w:r>
      <w:r>
        <w:tab/>
        <w:t>Register of, and review of, delegations</w:t>
      </w:r>
      <w:r>
        <w:tab/>
      </w:r>
      <w:r>
        <w:fldChar w:fldCharType="begin"/>
      </w:r>
      <w:r>
        <w:instrText xml:space="preserve"> PAGEREF _Toc112320874 \h </w:instrText>
      </w:r>
      <w:r>
        <w:fldChar w:fldCharType="separate"/>
      </w:r>
      <w:r>
        <w:t>16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Payments to veterinarians towards cost of sterilisation</w:t>
      </w:r>
      <w:r>
        <w:tab/>
      </w:r>
      <w:r>
        <w:fldChar w:fldCharType="begin"/>
      </w:r>
      <w:r>
        <w:instrText xml:space="preserve"> PAGEREF _Toc112320875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Staff and services</w:t>
      </w:r>
      <w:r>
        <w:tab/>
      </w:r>
      <w:r>
        <w:fldChar w:fldCharType="begin"/>
      </w:r>
      <w:r>
        <w:instrText xml:space="preserve"> PAGEREF _Toc112320876 \h </w:instrText>
      </w:r>
      <w:r>
        <w:fldChar w:fldCharType="separate"/>
      </w:r>
      <w:r>
        <w:t>17</w:t>
      </w:r>
      <w:r>
        <w:fldChar w:fldCharType="end"/>
      </w:r>
    </w:p>
    <w:p>
      <w:pPr>
        <w:pStyle w:val="TOC8"/>
        <w:rPr>
          <w:rFonts w:asciiTheme="minorHAnsi" w:eastAsiaTheme="minorEastAsia" w:hAnsiTheme="minorHAnsi" w:cstheme="minorBidi"/>
          <w:szCs w:val="22"/>
        </w:rPr>
      </w:pPr>
      <w:r>
        <w:t>11A.</w:t>
      </w:r>
      <w:r>
        <w:tab/>
        <w:t>Authorised persons</w:t>
      </w:r>
      <w:r>
        <w:tab/>
      </w:r>
      <w:r>
        <w:fldChar w:fldCharType="begin"/>
      </w:r>
      <w:r>
        <w:instrText xml:space="preserve"> PAGEREF _Toc112320877 \h </w:instrText>
      </w:r>
      <w:r>
        <w:fldChar w:fldCharType="separate"/>
      </w:r>
      <w:r>
        <w:t>18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Joint jurisdiction</w:t>
      </w:r>
      <w:r>
        <w:tab/>
      </w:r>
      <w:r>
        <w:fldChar w:fldCharType="begin"/>
      </w:r>
      <w:r>
        <w:instrText xml:space="preserve"> PAGEREF _Toc112320878 \h </w:instrText>
      </w:r>
      <w:r>
        <w:fldChar w:fldCharType="separate"/>
      </w:r>
      <w:r>
        <w:t>18</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Entry of premises</w:t>
      </w:r>
      <w:r>
        <w:tab/>
      </w:r>
      <w:r>
        <w:fldChar w:fldCharType="begin"/>
      </w:r>
      <w:r>
        <w:instrText xml:space="preserve"> PAGEREF _Toc112320879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Immunity of persons acting in good faith</w:t>
      </w:r>
      <w:r>
        <w:tab/>
      </w:r>
      <w:r>
        <w:fldChar w:fldCharType="begin"/>
      </w:r>
      <w:r>
        <w:instrText xml:space="preserve"> PAGEREF _Toc112320880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Registration and identification</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14.</w:t>
      </w:r>
      <w:r>
        <w:tab/>
        <w:t>Register of dogs</w:t>
      </w:r>
      <w:r>
        <w:tab/>
      </w:r>
      <w:r>
        <w:fldChar w:fldCharType="begin"/>
      </w:r>
      <w:r>
        <w:instrText xml:space="preserve"> PAGEREF _Toc112320883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Registration periods and fees</w:t>
      </w:r>
      <w:r>
        <w:tab/>
      </w:r>
      <w:r>
        <w:fldChar w:fldCharType="begin"/>
      </w:r>
      <w:r>
        <w:instrText xml:space="preserve"> PAGEREF _Toc112320884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Registration procedure</w:t>
      </w:r>
      <w:r>
        <w:tab/>
      </w:r>
      <w:r>
        <w:fldChar w:fldCharType="begin"/>
      </w:r>
      <w:r>
        <w:instrText xml:space="preserve"> PAGEREF _Toc112320885 \h </w:instrText>
      </w:r>
      <w:r>
        <w:fldChar w:fldCharType="separate"/>
      </w:r>
      <w:r>
        <w:t>23</w:t>
      </w:r>
      <w:r>
        <w:fldChar w:fldCharType="end"/>
      </w:r>
    </w:p>
    <w:p>
      <w:pPr>
        <w:pStyle w:val="TOC8"/>
        <w:rPr>
          <w:rFonts w:asciiTheme="minorHAnsi" w:eastAsiaTheme="minorEastAsia" w:hAnsiTheme="minorHAnsi" w:cstheme="minorBidi"/>
          <w:szCs w:val="22"/>
        </w:rPr>
      </w:pPr>
      <w:r>
        <w:t>16AA</w:t>
      </w:r>
      <w:r>
        <w:rPr>
          <w:snapToGrid w:val="0"/>
        </w:rPr>
        <w:t>.</w:t>
      </w:r>
      <w:r>
        <w:rPr>
          <w:snapToGrid w:val="0"/>
        </w:rPr>
        <w:tab/>
        <w:t>Owner’s delegate</w:t>
      </w:r>
      <w:r>
        <w:tab/>
      </w:r>
      <w:r>
        <w:fldChar w:fldCharType="begin"/>
      </w:r>
      <w:r>
        <w:instrText xml:space="preserve"> PAGEREF _Toc112320886 \h </w:instrText>
      </w:r>
      <w:r>
        <w:fldChar w:fldCharType="separate"/>
      </w:r>
      <w:r>
        <w:t>26</w:t>
      </w:r>
      <w:r>
        <w:fldChar w:fldCharType="end"/>
      </w:r>
    </w:p>
    <w:p>
      <w:pPr>
        <w:pStyle w:val="TOC8"/>
        <w:rPr>
          <w:rFonts w:asciiTheme="minorHAnsi" w:eastAsiaTheme="minorEastAsia" w:hAnsiTheme="minorHAnsi" w:cstheme="minorBidi"/>
          <w:szCs w:val="22"/>
        </w:rPr>
      </w:pPr>
      <w:r>
        <w:lastRenderedPageBreak/>
        <w:t>16A</w:t>
      </w:r>
      <w:r>
        <w:rPr>
          <w:snapToGrid w:val="0"/>
        </w:rPr>
        <w:t>.</w:t>
      </w:r>
      <w:r>
        <w:rPr>
          <w:snapToGrid w:val="0"/>
        </w:rPr>
        <w:tab/>
        <w:t>Change of ownership</w:t>
      </w:r>
      <w:r>
        <w:tab/>
      </w:r>
      <w:r>
        <w:fldChar w:fldCharType="begin"/>
      </w:r>
      <w:r>
        <w:instrText xml:space="preserve"> PAGEREF _Toc112320887 \h </w:instrText>
      </w:r>
      <w:r>
        <w:fldChar w:fldCharType="separate"/>
      </w:r>
      <w:r>
        <w:t>26</w:t>
      </w:r>
      <w:r>
        <w:fldChar w:fldCharType="end"/>
      </w:r>
    </w:p>
    <w:p>
      <w:pPr>
        <w:pStyle w:val="TOC8"/>
        <w:rPr>
          <w:rFonts w:asciiTheme="minorHAnsi" w:eastAsiaTheme="minorEastAsia" w:hAnsiTheme="minorHAnsi" w:cstheme="minorBidi"/>
          <w:szCs w:val="22"/>
        </w:rPr>
      </w:pPr>
      <w:r>
        <w:t>17A.</w:t>
      </w:r>
      <w:r>
        <w:tab/>
        <w:t>If no application for registration made</w:t>
      </w:r>
      <w:r>
        <w:tab/>
      </w:r>
      <w:r>
        <w:fldChar w:fldCharType="begin"/>
      </w:r>
      <w:r>
        <w:instrText xml:space="preserve"> PAGEREF _Toc112320888 \h </w:instrText>
      </w:r>
      <w:r>
        <w:fldChar w:fldCharType="separate"/>
      </w:r>
      <w:r>
        <w:t>27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Refusal or cancellation of registration</w:t>
      </w:r>
      <w:r>
        <w:tab/>
      </w:r>
      <w:r>
        <w:fldChar w:fldCharType="begin"/>
      </w:r>
      <w:r>
        <w:instrText xml:space="preserve"> PAGEREF _Toc112320889 \h </w:instrText>
      </w:r>
      <w:r>
        <w:fldChar w:fldCharType="separate"/>
      </w:r>
      <w:r>
        <w:t>28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Registration tags</w:t>
      </w:r>
      <w:r>
        <w:tab/>
      </w:r>
      <w:r>
        <w:fldChar w:fldCharType="begin"/>
      </w:r>
      <w:r>
        <w:instrText xml:space="preserve"> PAGEREF _Toc112320890 \h </w:instrText>
      </w:r>
      <w:r>
        <w:fldChar w:fldCharType="separate"/>
      </w:r>
      <w:r>
        <w:t>29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Refund of fee on cancellation</w:t>
      </w:r>
      <w:r>
        <w:tab/>
      </w:r>
      <w:r>
        <w:fldChar w:fldCharType="begin"/>
      </w:r>
      <w:r>
        <w:instrText xml:space="preserve"> PAGEREF _Toc112320891 \h </w:instrText>
      </w:r>
      <w:r>
        <w:fldChar w:fldCharType="separate"/>
      </w:r>
      <w:r>
        <w:t>30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Offences relating to registration etc.</w:t>
      </w:r>
      <w:r>
        <w:tab/>
      </w:r>
      <w:r>
        <w:fldChar w:fldCharType="begin"/>
      </w:r>
      <w:r>
        <w:instrText xml:space="preserve"> PAGEREF _Toc112320892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21.</w:t>
      </w:r>
      <w:r>
        <w:tab/>
        <w:t>Microchipping of dogs other than dangerous dogs</w:t>
      </w:r>
      <w:r>
        <w:tab/>
      </w:r>
      <w:r>
        <w:fldChar w:fldCharType="begin"/>
      </w:r>
      <w:r>
        <w:instrText xml:space="preserve"> PAGEREF _Toc112320894 \h </w:instrText>
      </w:r>
      <w:r>
        <w:fldChar w:fldCharType="separate"/>
      </w:r>
      <w:r>
        <w:t>31</w:t>
      </w:r>
      <w:r>
        <w:fldChar w:fldCharType="end"/>
      </w:r>
    </w:p>
    <w:p>
      <w:pPr>
        <w:pStyle w:val="TOC8"/>
        <w:rPr>
          <w:rFonts w:asciiTheme="minorHAnsi" w:eastAsiaTheme="minorEastAsia" w:hAnsiTheme="minorHAnsi" w:cstheme="minorBidi"/>
          <w:szCs w:val="22"/>
        </w:rPr>
      </w:pPr>
      <w:r>
        <w:t>22.</w:t>
      </w:r>
      <w:r>
        <w:tab/>
        <w:t>Microchipping of dangerous dogs</w:t>
      </w:r>
      <w:r>
        <w:tab/>
      </w:r>
      <w:r>
        <w:fldChar w:fldCharType="begin"/>
      </w:r>
      <w:r>
        <w:instrText xml:space="preserve"> PAGEREF _Toc112320895 \h </w:instrText>
      </w:r>
      <w:r>
        <w:fldChar w:fldCharType="separate"/>
      </w:r>
      <w:r>
        <w:t>32</w:t>
      </w:r>
      <w:r>
        <w:fldChar w:fldCharType="end"/>
      </w:r>
    </w:p>
    <w:p>
      <w:pPr>
        <w:pStyle w:val="TOC8"/>
        <w:rPr>
          <w:rFonts w:asciiTheme="minorHAnsi" w:eastAsiaTheme="minorEastAsia" w:hAnsiTheme="minorHAnsi" w:cstheme="minorBidi"/>
          <w:szCs w:val="22"/>
        </w:rPr>
      </w:pPr>
      <w:r>
        <w:t>23.</w:t>
      </w:r>
      <w:r>
        <w:tab/>
        <w:t>Notice to be given of microchip information</w:t>
      </w:r>
      <w:r>
        <w:tab/>
      </w:r>
      <w:r>
        <w:fldChar w:fldCharType="begin"/>
      </w:r>
      <w:r>
        <w:instrText xml:space="preserve"> PAGEREF _Toc112320896 \h </w:instrText>
      </w:r>
      <w:r>
        <w:fldChar w:fldCharType="separate"/>
      </w:r>
      <w:r>
        <w:t>34</w:t>
      </w:r>
      <w:r>
        <w:fldChar w:fldCharType="end"/>
      </w:r>
    </w:p>
    <w:p>
      <w:pPr>
        <w:pStyle w:val="TOC8"/>
        <w:rPr>
          <w:rFonts w:asciiTheme="minorHAnsi" w:eastAsiaTheme="minorEastAsia" w:hAnsiTheme="minorHAnsi" w:cstheme="minorBidi"/>
          <w:szCs w:val="22"/>
        </w:rPr>
      </w:pPr>
      <w:r>
        <w:t>24.</w:t>
      </w:r>
      <w:r>
        <w:tab/>
        <w:t>Microchip implanter to give information to microchip database company</w:t>
      </w:r>
      <w:r>
        <w:tab/>
      </w:r>
      <w:r>
        <w:fldChar w:fldCharType="begin"/>
      </w:r>
      <w:r>
        <w:instrText xml:space="preserve"> PAGEREF _Toc112320897 \h </w:instrText>
      </w:r>
      <w:r>
        <w:fldChar w:fldCharType="separate"/>
      </w:r>
      <w:r>
        <w:t>34</w:t>
      </w:r>
      <w:r>
        <w:fldChar w:fldCharType="end"/>
      </w:r>
    </w:p>
    <w:p>
      <w:pPr>
        <w:pStyle w:val="TOC8"/>
        <w:rPr>
          <w:rFonts w:asciiTheme="minorHAnsi" w:eastAsiaTheme="minorEastAsia" w:hAnsiTheme="minorHAnsi" w:cstheme="minorBidi"/>
          <w:szCs w:val="22"/>
        </w:rPr>
      </w:pPr>
      <w:r>
        <w:t>25.</w:t>
      </w:r>
      <w:r>
        <w:tab/>
        <w:t>Microchip database company’s obligations</w:t>
      </w:r>
      <w:r>
        <w:tab/>
      </w:r>
      <w:r>
        <w:fldChar w:fldCharType="begin"/>
      </w:r>
      <w:r>
        <w:instrText xml:space="preserve"> PAGEREF _Toc112320898 \h </w:instrText>
      </w:r>
      <w:r>
        <w:fldChar w:fldCharType="separate"/>
      </w:r>
      <w:r>
        <w:t>34</w:t>
      </w:r>
      <w:r>
        <w:fldChar w:fldCharType="end"/>
      </w:r>
    </w:p>
    <w:p>
      <w:pPr>
        <w:pStyle w:val="TOC8"/>
        <w:rPr>
          <w:rFonts w:asciiTheme="minorHAnsi" w:eastAsiaTheme="minorEastAsia" w:hAnsiTheme="minorHAnsi" w:cstheme="minorBidi"/>
          <w:szCs w:val="22"/>
        </w:rPr>
      </w:pPr>
      <w:r>
        <w:t>26A.</w:t>
      </w:r>
      <w:r>
        <w:tab/>
        <w:t>Interference with microchips</w:t>
      </w:r>
      <w:r>
        <w:tab/>
      </w:r>
      <w:r>
        <w:fldChar w:fldCharType="begin"/>
      </w:r>
      <w:r>
        <w:instrText xml:space="preserve"> PAGEREF _Toc112320899 \h </w:instrText>
      </w:r>
      <w:r>
        <w:fldChar w:fldCharType="separate"/>
      </w:r>
      <w:r>
        <w:t>35</w:t>
      </w:r>
      <w:r>
        <w:fldChar w:fldCharType="end"/>
      </w:r>
    </w:p>
    <w:p>
      <w:pPr>
        <w:pStyle w:val="TOC8"/>
        <w:rPr>
          <w:rFonts w:asciiTheme="minorHAnsi" w:eastAsiaTheme="minorEastAsia" w:hAnsiTheme="minorHAnsi" w:cstheme="minorBidi"/>
          <w:szCs w:val="22"/>
        </w:rPr>
      </w:pPr>
      <w:r>
        <w:t>26B.</w:t>
      </w:r>
      <w:r>
        <w:tab/>
        <w:t>Transfer of ownership of unmicrochipped dogs</w:t>
      </w:r>
      <w:r>
        <w:tab/>
      </w:r>
      <w:r>
        <w:fldChar w:fldCharType="begin"/>
      </w:r>
      <w:r>
        <w:instrText xml:space="preserve"> PAGEREF _Toc112320900 \h </w:instrText>
      </w:r>
      <w:r>
        <w:fldChar w:fldCharType="separate"/>
      </w:r>
      <w:r>
        <w:t>35</w:t>
      </w:r>
      <w:r>
        <w:fldChar w:fldCharType="end"/>
      </w:r>
    </w:p>
    <w:p>
      <w:pPr>
        <w:pStyle w:val="TOC8"/>
        <w:rPr>
          <w:rFonts w:asciiTheme="minorHAnsi" w:eastAsiaTheme="minorEastAsia" w:hAnsiTheme="minorHAnsi" w:cstheme="minorBidi"/>
          <w:szCs w:val="22"/>
        </w:rPr>
      </w:pPr>
      <w:r>
        <w:t>26C.</w:t>
      </w:r>
      <w:r>
        <w:tab/>
        <w:t>Transfer of ownership of microchipped dogs</w:t>
      </w:r>
      <w:r>
        <w:tab/>
      </w:r>
      <w:r>
        <w:fldChar w:fldCharType="begin"/>
      </w:r>
      <w:r>
        <w:instrText xml:space="preserve"> PAGEREF _Toc112320901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Changes to recorded information</w:t>
      </w:r>
    </w:p>
    <w:p>
      <w:pPr>
        <w:pStyle w:val="TOC8"/>
        <w:rPr>
          <w:rFonts w:asciiTheme="minorHAnsi" w:eastAsiaTheme="minorEastAsia" w:hAnsiTheme="minorHAnsi" w:cstheme="minorBidi"/>
          <w:szCs w:val="22"/>
        </w:rPr>
      </w:pPr>
      <w:r>
        <w:t>26D.</w:t>
      </w:r>
      <w:r>
        <w:tab/>
        <w:t>Notice to be given of changes to recorded information</w:t>
      </w:r>
      <w:r>
        <w:tab/>
      </w:r>
      <w:r>
        <w:fldChar w:fldCharType="begin"/>
      </w:r>
      <w:r>
        <w:instrText xml:space="preserve"> PAGEREF _Toc112320903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The keeping of dogs</w:t>
      </w:r>
    </w:p>
    <w:p>
      <w:pPr>
        <w:pStyle w:val="TOC8"/>
        <w:rPr>
          <w:rFonts w:asciiTheme="minorHAnsi" w:eastAsiaTheme="minorEastAsia" w:hAnsiTheme="minorHAnsi" w:cstheme="minorBidi"/>
          <w:szCs w:val="22"/>
        </w:rPr>
      </w:pPr>
      <w:r>
        <w:t>26</w:t>
      </w:r>
      <w:r>
        <w:rPr>
          <w:snapToGrid w:val="0"/>
        </w:rPr>
        <w:t>.</w:t>
      </w:r>
      <w:r>
        <w:rPr>
          <w:snapToGrid w:val="0"/>
        </w:rPr>
        <w:tab/>
        <w:t>Limitation as to numbers</w:t>
      </w:r>
      <w:r>
        <w:tab/>
      </w:r>
      <w:r>
        <w:fldChar w:fldCharType="begin"/>
      </w:r>
      <w:r>
        <w:instrText xml:space="preserve"> PAGEREF _Toc112320905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Licensing of approved kennel establishments</w:t>
      </w:r>
      <w:r>
        <w:tab/>
      </w:r>
      <w:r>
        <w:fldChar w:fldCharType="begin"/>
      </w:r>
      <w:r>
        <w:instrText xml:space="preserve"> PAGEREF _Toc112320906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VI — Control of dogs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Dogs generally</w:t>
      </w:r>
    </w:p>
    <w:p>
      <w:pPr>
        <w:pStyle w:val="TOC8"/>
        <w:rPr>
          <w:rFonts w:asciiTheme="minorHAnsi" w:eastAsiaTheme="minorEastAsia" w:hAnsiTheme="minorHAnsi" w:cstheme="minorBidi"/>
          <w:szCs w:val="22"/>
        </w:rPr>
      </w:pPr>
      <w:r>
        <w:t>28.</w:t>
      </w:r>
      <w:r>
        <w:tab/>
        <w:t>Obligation to identify dog’s owner</w:t>
      </w:r>
      <w:r>
        <w:tab/>
      </w:r>
      <w:r>
        <w:fldChar w:fldCharType="begin"/>
      </w:r>
      <w:r>
        <w:instrText xml:space="preserve"> PAGEREF _Toc112320909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 to seize dogs</w:t>
      </w:r>
      <w:r>
        <w:tab/>
      </w:r>
      <w:r>
        <w:fldChar w:fldCharType="begin"/>
      </w:r>
      <w:r>
        <w:instrText xml:space="preserve"> PAGEREF _Toc112320910 \h </w:instrText>
      </w:r>
      <w:r>
        <w:fldChar w:fldCharType="separate"/>
      </w:r>
      <w:r>
        <w:t>42</w:t>
      </w:r>
      <w:r>
        <w:fldChar w:fldCharType="end"/>
      </w:r>
    </w:p>
    <w:p>
      <w:pPr>
        <w:pStyle w:val="TOC8"/>
        <w:rPr>
          <w:rFonts w:asciiTheme="minorHAnsi" w:eastAsiaTheme="minorEastAsia" w:hAnsiTheme="minorHAnsi" w:cstheme="minorBidi"/>
          <w:szCs w:val="22"/>
        </w:rPr>
      </w:pPr>
      <w:r>
        <w:t>30A.</w:t>
      </w:r>
      <w:r>
        <w:tab/>
        <w:t>Operator of dog management facility may have dog microchipped at owner’s expense</w:t>
      </w:r>
      <w:r>
        <w:tab/>
      </w:r>
      <w:r>
        <w:fldChar w:fldCharType="begin"/>
      </w:r>
      <w:r>
        <w:instrText xml:space="preserve"> PAGEREF _Toc112320911 \h </w:instrText>
      </w:r>
      <w:r>
        <w:fldChar w:fldCharType="separate"/>
      </w:r>
      <w:r>
        <w:t>49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Dogs to wear collars, registration tags etc.</w:t>
      </w:r>
      <w:r>
        <w:tab/>
      </w:r>
      <w:r>
        <w:fldChar w:fldCharType="begin"/>
      </w:r>
      <w:r>
        <w:instrText xml:space="preserve"> PAGEREF _Toc112320912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Control of dogs in certain public places</w:t>
      </w:r>
      <w:r>
        <w:tab/>
      </w:r>
      <w:r>
        <w:fldChar w:fldCharType="begin"/>
      </w:r>
      <w:r>
        <w:instrText xml:space="preserve"> PAGEREF _Toc112320913 \h </w:instrText>
      </w:r>
      <w:r>
        <w:fldChar w:fldCharType="separate"/>
      </w:r>
      <w:r>
        <w:t>51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Control of dogs in exercise areas and rural areas</w:t>
      </w:r>
      <w:r>
        <w:tab/>
      </w:r>
      <w:r>
        <w:fldChar w:fldCharType="begin"/>
      </w:r>
      <w:r>
        <w:instrText xml:space="preserve"> PAGEREF _Toc112320914 \h </w:instrText>
      </w:r>
      <w:r>
        <w:fldChar w:fldCharType="separate"/>
      </w:r>
      <w:r>
        <w:t>53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Special provision for greyhounds</w:t>
      </w:r>
      <w:r>
        <w:tab/>
      </w:r>
      <w:r>
        <w:fldChar w:fldCharType="begin"/>
      </w:r>
      <w:r>
        <w:instrText xml:space="preserve"> PAGEREF _Toc112320915 \h </w:instrText>
      </w:r>
      <w:r>
        <w:fldChar w:fldCharType="separate"/>
      </w:r>
      <w:r>
        <w:t>54</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Control of dogs in places that are not public</w:t>
      </w:r>
      <w:r>
        <w:tab/>
      </w:r>
      <w:r>
        <w:fldChar w:fldCharType="begin"/>
      </w:r>
      <w:r>
        <w:instrText xml:space="preserve"> PAGEREF _Toc112320916 \h </w:instrText>
      </w:r>
      <w:r>
        <w:fldChar w:fldCharType="separate"/>
      </w:r>
      <w:r>
        <w:t>55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Defences applicable to offences under this Division</w:t>
      </w:r>
      <w:r>
        <w:tab/>
      </w:r>
      <w:r>
        <w:fldChar w:fldCharType="begin"/>
      </w:r>
      <w:r>
        <w:instrText xml:space="preserve"> PAGEREF _Toc112320917 \h </w:instrText>
      </w:r>
      <w:r>
        <w:fldChar w:fldCharType="separate"/>
      </w:r>
      <w:r>
        <w:t>56</w:t>
      </w:r>
      <w:r>
        <w:fldChar w:fldCharType="end"/>
      </w:r>
    </w:p>
    <w:p>
      <w:pPr>
        <w:pStyle w:val="TOC8"/>
        <w:rPr>
          <w:rFonts w:asciiTheme="minorHAnsi" w:eastAsiaTheme="minorEastAsia" w:hAnsiTheme="minorHAnsi" w:cstheme="minorBidi"/>
          <w:szCs w:val="22"/>
        </w:rPr>
      </w:pPr>
      <w:r>
        <w:t>33C</w:t>
      </w:r>
      <w:r>
        <w:rPr>
          <w:snapToGrid w:val="0"/>
        </w:rPr>
        <w:t>.</w:t>
      </w:r>
      <w:r>
        <w:rPr>
          <w:snapToGrid w:val="0"/>
        </w:rPr>
        <w:tab/>
        <w:t>Saving</w:t>
      </w:r>
      <w:r>
        <w:tab/>
      </w:r>
      <w:r>
        <w:fldChar w:fldCharType="begin"/>
      </w:r>
      <w:r>
        <w:instrText xml:space="preserve"> PAGEREF _Toc112320918 \h </w:instrText>
      </w:r>
      <w:r>
        <w:fldChar w:fldCharType="separate"/>
      </w:r>
      <w:r>
        <w:t>57</w:t>
      </w:r>
      <w:r>
        <w:fldChar w:fldCharType="end"/>
      </w:r>
    </w:p>
    <w:p>
      <w:pPr>
        <w:pStyle w:val="TOC8"/>
        <w:rPr>
          <w:rFonts w:asciiTheme="minorHAnsi" w:eastAsiaTheme="minorEastAsia" w:hAnsiTheme="minorHAnsi" w:cstheme="minorBidi"/>
          <w:szCs w:val="22"/>
        </w:rPr>
      </w:pPr>
      <w:r>
        <w:t>33D</w:t>
      </w:r>
      <w:r>
        <w:rPr>
          <w:snapToGrid w:val="0"/>
        </w:rPr>
        <w:t>.</w:t>
      </w:r>
      <w:r>
        <w:rPr>
          <w:snapToGrid w:val="0"/>
        </w:rPr>
        <w:tab/>
        <w:t>Dog attacks etc.</w:t>
      </w:r>
      <w:r>
        <w:tab/>
      </w:r>
      <w:r>
        <w:fldChar w:fldCharType="begin"/>
      </w:r>
      <w:r>
        <w:instrText xml:space="preserve"> PAGEREF _Toc112320919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Dangerous dogs</w:t>
      </w:r>
    </w:p>
    <w:p>
      <w:pPr>
        <w:pStyle w:val="TOC8"/>
        <w:rPr>
          <w:rFonts w:asciiTheme="minorHAnsi" w:eastAsiaTheme="minorEastAsia" w:hAnsiTheme="minorHAnsi" w:cstheme="minorBidi"/>
          <w:szCs w:val="22"/>
        </w:rPr>
      </w:pPr>
      <w:r>
        <w:t>33E</w:t>
      </w:r>
      <w:r>
        <w:rPr>
          <w:snapToGrid w:val="0"/>
        </w:rPr>
        <w:t>.</w:t>
      </w:r>
      <w:r>
        <w:rPr>
          <w:snapToGrid w:val="0"/>
        </w:rPr>
        <w:tab/>
        <w:t>Individual dog may be declared to be dangerous dog (declared)</w:t>
      </w:r>
      <w:r>
        <w:tab/>
      </w:r>
      <w:r>
        <w:fldChar w:fldCharType="begin"/>
      </w:r>
      <w:r>
        <w:instrText xml:space="preserve"> PAGEREF _Toc112320921 \h </w:instrText>
      </w:r>
      <w:r>
        <w:fldChar w:fldCharType="separate"/>
      </w:r>
      <w:r>
        <w:t>59</w:t>
      </w:r>
      <w:r>
        <w:fldChar w:fldCharType="end"/>
      </w:r>
    </w:p>
    <w:p>
      <w:pPr>
        <w:pStyle w:val="TOC8"/>
        <w:rPr>
          <w:rFonts w:asciiTheme="minorHAnsi" w:eastAsiaTheme="minorEastAsia" w:hAnsiTheme="minorHAnsi" w:cstheme="minorBidi"/>
          <w:szCs w:val="22"/>
        </w:rPr>
      </w:pPr>
      <w:r>
        <w:t>33F</w:t>
      </w:r>
      <w:r>
        <w:rPr>
          <w:snapToGrid w:val="0"/>
        </w:rPr>
        <w:t>.</w:t>
      </w:r>
      <w:r>
        <w:rPr>
          <w:snapToGrid w:val="0"/>
        </w:rPr>
        <w:tab/>
        <w:t>Owner to be notified of making of declaration</w:t>
      </w:r>
      <w:r>
        <w:tab/>
      </w:r>
      <w:r>
        <w:fldChar w:fldCharType="begin"/>
      </w:r>
      <w:r>
        <w:instrText xml:space="preserve"> PAGEREF _Toc112320922 \h </w:instrText>
      </w:r>
      <w:r>
        <w:fldChar w:fldCharType="separate"/>
      </w:r>
      <w:r>
        <w:t>60</w:t>
      </w:r>
      <w:r>
        <w:fldChar w:fldCharType="end"/>
      </w:r>
    </w:p>
    <w:p>
      <w:pPr>
        <w:pStyle w:val="TOC8"/>
        <w:rPr>
          <w:rFonts w:asciiTheme="minorHAnsi" w:eastAsiaTheme="minorEastAsia" w:hAnsiTheme="minorHAnsi" w:cstheme="minorBidi"/>
          <w:szCs w:val="22"/>
        </w:rPr>
      </w:pPr>
      <w:r>
        <w:t>33GA.</w:t>
      </w:r>
      <w:r>
        <w:tab/>
        <w:t>Offences relating to dangerous dogs</w:t>
      </w:r>
      <w:r>
        <w:tab/>
      </w:r>
      <w:r>
        <w:fldChar w:fldCharType="begin"/>
      </w:r>
      <w:r>
        <w:instrText xml:space="preserve"> PAGEREF _Toc112320923 \h </w:instrText>
      </w:r>
      <w:r>
        <w:fldChar w:fldCharType="separate"/>
      </w:r>
      <w:r>
        <w:t>61</w:t>
      </w:r>
      <w:r>
        <w:fldChar w:fldCharType="end"/>
      </w:r>
    </w:p>
    <w:p>
      <w:pPr>
        <w:pStyle w:val="TOC8"/>
        <w:rPr>
          <w:rFonts w:asciiTheme="minorHAnsi" w:eastAsiaTheme="minorEastAsia" w:hAnsiTheme="minorHAnsi" w:cstheme="minorBidi"/>
          <w:szCs w:val="22"/>
        </w:rPr>
      </w:pPr>
      <w:r>
        <w:t>33GB.</w:t>
      </w:r>
      <w:r>
        <w:tab/>
        <w:t>Dangerous dogs (restricted breed) to be sterilised</w:t>
      </w:r>
      <w:r>
        <w:tab/>
      </w:r>
      <w:r>
        <w:fldChar w:fldCharType="begin"/>
      </w:r>
      <w:r>
        <w:instrText xml:space="preserve"> PAGEREF _Toc112320924 \h </w:instrText>
      </w:r>
      <w:r>
        <w:fldChar w:fldCharType="separate"/>
      </w:r>
      <w:r>
        <w:t>66</w:t>
      </w:r>
      <w:r>
        <w:fldChar w:fldCharType="end"/>
      </w:r>
    </w:p>
    <w:p>
      <w:pPr>
        <w:pStyle w:val="TOC8"/>
        <w:rPr>
          <w:rFonts w:asciiTheme="minorHAnsi" w:eastAsiaTheme="minorEastAsia" w:hAnsiTheme="minorHAnsi" w:cstheme="minorBidi"/>
          <w:szCs w:val="22"/>
        </w:rPr>
      </w:pPr>
      <w:r>
        <w:t>33GC.</w:t>
      </w:r>
      <w:r>
        <w:tab/>
        <w:t>Restrictions on transferring ownership of dangerous dogs (restricted breed)</w:t>
      </w:r>
      <w:r>
        <w:tab/>
      </w:r>
      <w:r>
        <w:fldChar w:fldCharType="begin"/>
      </w:r>
      <w:r>
        <w:instrText xml:space="preserve"> PAGEREF _Toc112320925 \h </w:instrText>
      </w:r>
      <w:r>
        <w:fldChar w:fldCharType="separate"/>
      </w:r>
      <w:r>
        <w:t>66</w:t>
      </w:r>
      <w:r>
        <w:fldChar w:fldCharType="end"/>
      </w:r>
    </w:p>
    <w:p>
      <w:pPr>
        <w:pStyle w:val="TOC8"/>
        <w:rPr>
          <w:rFonts w:asciiTheme="minorHAnsi" w:eastAsiaTheme="minorEastAsia" w:hAnsiTheme="minorHAnsi" w:cstheme="minorBidi"/>
          <w:szCs w:val="22"/>
        </w:rPr>
      </w:pPr>
      <w:r>
        <w:t>33GD.</w:t>
      </w:r>
      <w:r>
        <w:tab/>
        <w:t>Dangerous dogs (restricted breed) not to be bred</w:t>
      </w:r>
      <w:r>
        <w:tab/>
      </w:r>
      <w:r>
        <w:fldChar w:fldCharType="begin"/>
      </w:r>
      <w:r>
        <w:instrText xml:space="preserve"> PAGEREF _Toc112320926 \h </w:instrText>
      </w:r>
      <w:r>
        <w:fldChar w:fldCharType="separate"/>
      </w:r>
      <w:r>
        <w:t>68</w:t>
      </w:r>
      <w:r>
        <w:fldChar w:fldCharType="end"/>
      </w:r>
    </w:p>
    <w:p>
      <w:pPr>
        <w:pStyle w:val="TOC8"/>
        <w:rPr>
          <w:rFonts w:asciiTheme="minorHAnsi" w:eastAsiaTheme="minorEastAsia" w:hAnsiTheme="minorHAnsi" w:cstheme="minorBidi"/>
          <w:szCs w:val="22"/>
        </w:rPr>
      </w:pPr>
      <w:r>
        <w:t>33GE.</w:t>
      </w:r>
      <w:r>
        <w:tab/>
        <w:t>Prohibition on transfer of ownership of dangerous dogs (declared) to persons under 18</w:t>
      </w:r>
      <w:r>
        <w:tab/>
      </w:r>
      <w:r>
        <w:fldChar w:fldCharType="begin"/>
      </w:r>
      <w:r>
        <w:instrText xml:space="preserve"> PAGEREF _Toc112320927 \h </w:instrText>
      </w:r>
      <w:r>
        <w:fldChar w:fldCharType="separate"/>
      </w:r>
      <w:r>
        <w:t>68</w:t>
      </w:r>
      <w:r>
        <w:fldChar w:fldCharType="end"/>
      </w:r>
    </w:p>
    <w:p>
      <w:pPr>
        <w:pStyle w:val="TOC8"/>
        <w:rPr>
          <w:rFonts w:asciiTheme="minorHAnsi" w:eastAsiaTheme="minorEastAsia" w:hAnsiTheme="minorHAnsi" w:cstheme="minorBidi"/>
          <w:szCs w:val="22"/>
        </w:rPr>
      </w:pPr>
      <w:r>
        <w:t>33G</w:t>
      </w:r>
      <w:r>
        <w:rPr>
          <w:snapToGrid w:val="0"/>
        </w:rPr>
        <w:t>.</w:t>
      </w:r>
      <w:r>
        <w:rPr>
          <w:snapToGrid w:val="0"/>
        </w:rPr>
        <w:tab/>
        <w:t>Seizure and destruction</w:t>
      </w:r>
      <w:r>
        <w:tab/>
      </w:r>
      <w:r>
        <w:fldChar w:fldCharType="begin"/>
      </w:r>
      <w:r>
        <w:instrText xml:space="preserve"> PAGEREF _Toc112320928 \h </w:instrText>
      </w:r>
      <w:r>
        <w:fldChar w:fldCharType="separate"/>
      </w:r>
      <w:r>
        <w:t>69</w:t>
      </w:r>
      <w:r>
        <w:fldChar w:fldCharType="end"/>
      </w:r>
    </w:p>
    <w:p>
      <w:pPr>
        <w:pStyle w:val="TOC8"/>
        <w:rPr>
          <w:rFonts w:asciiTheme="minorHAnsi" w:eastAsiaTheme="minorEastAsia" w:hAnsiTheme="minorHAnsi" w:cstheme="minorBidi"/>
          <w:szCs w:val="22"/>
        </w:rPr>
      </w:pPr>
      <w:r>
        <w:t>33H</w:t>
      </w:r>
      <w:r>
        <w:rPr>
          <w:snapToGrid w:val="0"/>
        </w:rPr>
        <w:t>.</w:t>
      </w:r>
      <w:r>
        <w:rPr>
          <w:snapToGrid w:val="0"/>
        </w:rPr>
        <w:tab/>
        <w:t>Local government may revoke declaration or proposal to destroy</w:t>
      </w:r>
      <w:r>
        <w:tab/>
      </w:r>
      <w:r>
        <w:fldChar w:fldCharType="begin"/>
      </w:r>
      <w:r>
        <w:instrText xml:space="preserve"> PAGEREF _Toc112320929 \h </w:instrText>
      </w:r>
      <w:r>
        <w:fldChar w:fldCharType="separate"/>
      </w:r>
      <w:r>
        <w:t>72</w:t>
      </w:r>
      <w:r>
        <w:fldChar w:fldCharType="end"/>
      </w:r>
    </w:p>
    <w:p>
      <w:pPr>
        <w:pStyle w:val="TOC8"/>
        <w:rPr>
          <w:rFonts w:asciiTheme="minorHAnsi" w:eastAsiaTheme="minorEastAsia" w:hAnsiTheme="minorHAnsi" w:cstheme="minorBidi"/>
          <w:szCs w:val="22"/>
        </w:rPr>
      </w:pPr>
      <w:r>
        <w:t>33I</w:t>
      </w:r>
      <w:r>
        <w:rPr>
          <w:snapToGrid w:val="0"/>
        </w:rPr>
        <w:t>.</w:t>
      </w:r>
      <w:r>
        <w:rPr>
          <w:snapToGrid w:val="0"/>
        </w:rPr>
        <w:tab/>
        <w:t>Jurisdiction of State Administrative Tribunal</w:t>
      </w:r>
      <w:r>
        <w:tab/>
      </w:r>
      <w:r>
        <w:fldChar w:fldCharType="begin"/>
      </w:r>
      <w:r>
        <w:instrText xml:space="preserve"> PAGEREF _Toc112320930 \h </w:instrText>
      </w:r>
      <w:r>
        <w:fldChar w:fldCharType="separate"/>
      </w:r>
      <w:r>
        <w:t>73</w:t>
      </w:r>
      <w:r>
        <w:fldChar w:fldCharType="end"/>
      </w:r>
    </w:p>
    <w:p>
      <w:pPr>
        <w:pStyle w:val="TOC8"/>
        <w:rPr>
          <w:rFonts w:asciiTheme="minorHAnsi" w:eastAsiaTheme="minorEastAsia" w:hAnsiTheme="minorHAnsi" w:cstheme="minorBidi"/>
          <w:szCs w:val="22"/>
        </w:rPr>
      </w:pPr>
      <w:r>
        <w:t>33J</w:t>
      </w:r>
      <w:r>
        <w:rPr>
          <w:snapToGrid w:val="0"/>
        </w:rPr>
        <w:t>.</w:t>
      </w:r>
      <w:r>
        <w:rPr>
          <w:snapToGrid w:val="0"/>
        </w:rPr>
        <w:tab/>
        <w:t>Duration of declaration</w:t>
      </w:r>
      <w:r>
        <w:tab/>
      </w:r>
      <w:r>
        <w:fldChar w:fldCharType="begin"/>
      </w:r>
      <w:r>
        <w:instrText xml:space="preserve"> PAGEREF _Toc112320931 \h </w:instrText>
      </w:r>
      <w:r>
        <w:fldChar w:fldCharType="separate"/>
      </w:r>
      <w:r>
        <w:t>74</w:t>
      </w:r>
      <w:r>
        <w:fldChar w:fldCharType="end"/>
      </w:r>
    </w:p>
    <w:p>
      <w:pPr>
        <w:pStyle w:val="TOC8"/>
        <w:rPr>
          <w:rFonts w:asciiTheme="minorHAnsi" w:eastAsiaTheme="minorEastAsia" w:hAnsiTheme="minorHAnsi" w:cstheme="minorBidi"/>
          <w:szCs w:val="22"/>
        </w:rPr>
      </w:pPr>
      <w:r>
        <w:t>33K</w:t>
      </w:r>
      <w:r>
        <w:rPr>
          <w:snapToGrid w:val="0"/>
        </w:rPr>
        <w:t>.</w:t>
      </w:r>
      <w:r>
        <w:rPr>
          <w:snapToGrid w:val="0"/>
        </w:rPr>
        <w:tab/>
        <w:t>Duty to notify persons</w:t>
      </w:r>
      <w:r>
        <w:tab/>
      </w:r>
      <w:r>
        <w:fldChar w:fldCharType="begin"/>
      </w:r>
      <w:r>
        <w:instrText xml:space="preserve"> PAGEREF _Toc112320932 \h </w:instrText>
      </w:r>
      <w:r>
        <w:fldChar w:fldCharType="separate"/>
      </w:r>
      <w:r>
        <w:t>75</w:t>
      </w:r>
      <w:r>
        <w:fldChar w:fldCharType="end"/>
      </w:r>
    </w:p>
    <w:p>
      <w:pPr>
        <w:pStyle w:val="TOC8"/>
        <w:rPr>
          <w:rFonts w:asciiTheme="minorHAnsi" w:eastAsiaTheme="minorEastAsia" w:hAnsiTheme="minorHAnsi" w:cstheme="minorBidi"/>
          <w:szCs w:val="22"/>
        </w:rPr>
      </w:pPr>
      <w:r>
        <w:t>33L.</w:t>
      </w:r>
      <w:r>
        <w:tab/>
        <w:t>Defences applicable to this Division</w:t>
      </w:r>
      <w:r>
        <w:tab/>
      </w:r>
      <w:r>
        <w:fldChar w:fldCharType="begin"/>
      </w:r>
      <w:r>
        <w:instrText xml:space="preserve"> PAGEREF _Toc112320933 \h </w:instrText>
      </w:r>
      <w:r>
        <w:fldChar w:fldCharType="separate"/>
      </w:r>
      <w:r>
        <w:t>77</w:t>
      </w:r>
      <w:r>
        <w:fldChar w:fldCharType="end"/>
      </w:r>
    </w:p>
    <w:p>
      <w:pPr>
        <w:pStyle w:val="TOC8"/>
        <w:rPr>
          <w:rFonts w:asciiTheme="minorHAnsi" w:eastAsiaTheme="minorEastAsia" w:hAnsiTheme="minorHAnsi" w:cstheme="minorBidi"/>
          <w:szCs w:val="22"/>
        </w:rPr>
      </w:pPr>
      <w:r>
        <w:t>33M</w:t>
      </w:r>
      <w:r>
        <w:rPr>
          <w:snapToGrid w:val="0"/>
        </w:rPr>
        <w:t>.</w:t>
      </w:r>
      <w:r>
        <w:rPr>
          <w:snapToGrid w:val="0"/>
        </w:rPr>
        <w:tab/>
        <w:t>Local government expenses to be recoverable</w:t>
      </w:r>
      <w:r>
        <w:tab/>
      </w:r>
      <w:r>
        <w:fldChar w:fldCharType="begin"/>
      </w:r>
      <w:r>
        <w:instrText xml:space="preserve"> PAGEREF _Toc112320934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Protection of stock; vermin disease and parasite control</w:t>
      </w:r>
    </w:p>
    <w:p>
      <w:pPr>
        <w:pStyle w:val="TOC8"/>
        <w:rPr>
          <w:rFonts w:asciiTheme="minorHAnsi" w:eastAsiaTheme="minorEastAsia" w:hAnsiTheme="minorHAnsi" w:cstheme="minorBidi"/>
          <w:szCs w:val="22"/>
        </w:rPr>
      </w:pPr>
      <w:r>
        <w:t>34</w:t>
      </w:r>
      <w:r>
        <w:rPr>
          <w:snapToGrid w:val="0"/>
        </w:rPr>
        <w:t>.</w:t>
      </w:r>
      <w:r>
        <w:rPr>
          <w:snapToGrid w:val="0"/>
        </w:rPr>
        <w:tab/>
        <w:t>Protection of livestock</w:t>
      </w:r>
      <w:r>
        <w:tab/>
      </w:r>
      <w:r>
        <w:fldChar w:fldCharType="begin"/>
      </w:r>
      <w:r>
        <w:instrText xml:space="preserve"> PAGEREF _Toc112320936 \h </w:instrText>
      </w:r>
      <w:r>
        <w:fldChar w:fldCharType="separate"/>
      </w:r>
      <w:r>
        <w:t>78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Destruction of vermin etc.</w:t>
      </w:r>
      <w:r>
        <w:tab/>
      </w:r>
      <w:r>
        <w:fldChar w:fldCharType="begin"/>
      </w:r>
      <w:r>
        <w:instrText xml:space="preserve"> PAGEREF _Toc112320937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nuisance</w:t>
      </w:r>
    </w:p>
    <w:p>
      <w:pPr>
        <w:pStyle w:val="TOC8"/>
        <w:rPr>
          <w:rFonts w:asciiTheme="minorHAnsi" w:eastAsiaTheme="minorEastAsia" w:hAnsiTheme="minorHAnsi" w:cstheme="minorBidi"/>
          <w:szCs w:val="22"/>
        </w:rPr>
      </w:pPr>
      <w:r>
        <w:t>38.</w:t>
      </w:r>
      <w:r>
        <w:tab/>
        <w:t>Nuisance dogs</w:t>
      </w:r>
      <w:r>
        <w:tab/>
      </w:r>
      <w:r>
        <w:fldChar w:fldCharType="begin"/>
      </w:r>
      <w:r>
        <w:instrText xml:space="preserve"> PAGEREF _Toc112320939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VII — Enforcement</w:t>
      </w:r>
    </w:p>
    <w:p>
      <w:pPr>
        <w:pStyle w:val="TOC8"/>
        <w:rPr>
          <w:rFonts w:asciiTheme="minorHAnsi" w:eastAsiaTheme="minorEastAsia" w:hAnsiTheme="minorHAnsi" w:cstheme="minorBidi"/>
          <w:szCs w:val="22"/>
        </w:rPr>
      </w:pPr>
      <w:r>
        <w:t>39</w:t>
      </w:r>
      <w:r>
        <w:rPr>
          <w:snapToGrid w:val="0"/>
        </w:rPr>
        <w:t>.</w:t>
      </w:r>
      <w:r>
        <w:rPr>
          <w:snapToGrid w:val="0"/>
        </w:rPr>
        <w:tab/>
        <w:t>Dogs causing injury or damage may be destroyed</w:t>
      </w:r>
      <w:r>
        <w:tab/>
      </w:r>
      <w:r>
        <w:fldChar w:fldCharType="begin"/>
      </w:r>
      <w:r>
        <w:instrText xml:space="preserve"> PAGEREF _Toc112320941 \h </w:instrText>
      </w:r>
      <w:r>
        <w:fldChar w:fldCharType="separate"/>
      </w:r>
      <w:r>
        <w:t>82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Destruction of dogs etc.</w:t>
      </w:r>
      <w:r>
        <w:tab/>
      </w:r>
      <w:r>
        <w:fldChar w:fldCharType="begin"/>
      </w:r>
      <w:r>
        <w:instrText xml:space="preserve"> PAGEREF _Toc112320942 \h </w:instrText>
      </w:r>
      <w:r>
        <w:fldChar w:fldCharType="separate"/>
      </w:r>
      <w:r>
        <w:t>83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Indemnity as to destruction of dogs</w:t>
      </w:r>
      <w:r>
        <w:tab/>
      </w:r>
      <w:r>
        <w:fldChar w:fldCharType="begin"/>
      </w:r>
      <w:r>
        <w:instrText xml:space="preserve"> PAGEREF _Toc112320943 \h </w:instrText>
      </w:r>
      <w:r>
        <w:fldChar w:fldCharType="separate"/>
      </w:r>
      <w:r>
        <w:t>84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Offences relating to enforcement etc.</w:t>
      </w:r>
      <w:r>
        <w:tab/>
      </w:r>
      <w:r>
        <w:fldChar w:fldCharType="begin"/>
      </w:r>
      <w:r>
        <w:instrText xml:space="preserve"> PAGEREF _Toc112320944 \h </w:instrText>
      </w:r>
      <w:r>
        <w:fldChar w:fldCharType="separate"/>
      </w:r>
      <w:r>
        <w:t>85</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Name and address to be supplied</w:t>
      </w:r>
      <w:r>
        <w:tab/>
      </w:r>
      <w:r>
        <w:fldChar w:fldCharType="begin"/>
      </w:r>
      <w:r>
        <w:instrText xml:space="preserve"> PAGEREF _Toc112320945 \h </w:instrText>
      </w:r>
      <w:r>
        <w:fldChar w:fldCharType="separate"/>
      </w:r>
      <w:r>
        <w:t>86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Enforcement proceedings</w:t>
      </w:r>
      <w:r>
        <w:tab/>
      </w:r>
      <w:r>
        <w:fldChar w:fldCharType="begin"/>
      </w:r>
      <w:r>
        <w:instrText xml:space="preserve"> PAGEREF _Toc112320946 \h </w:instrText>
      </w:r>
      <w:r>
        <w:fldChar w:fldCharType="separate"/>
      </w:r>
      <w:r>
        <w:t>87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Evidentiary provisions</w:t>
      </w:r>
      <w:r>
        <w:tab/>
      </w:r>
      <w:r>
        <w:fldChar w:fldCharType="begin"/>
      </w:r>
      <w:r>
        <w:instrText xml:space="preserve"> PAGEREF _Toc112320947 \h </w:instrText>
      </w:r>
      <w:r>
        <w:fldChar w:fldCharType="separate"/>
      </w:r>
      <w:r>
        <w:t>88</w:t>
      </w:r>
      <w:r>
        <w:fldChar w:fldCharType="end"/>
      </w:r>
    </w:p>
    <w:p>
      <w:pPr>
        <w:pStyle w:val="TOC8"/>
        <w:rPr>
          <w:rFonts w:asciiTheme="minorHAnsi" w:eastAsiaTheme="minorEastAsia" w:hAnsiTheme="minorHAnsi" w:cstheme="minorBidi"/>
          <w:szCs w:val="22"/>
        </w:rPr>
      </w:pPr>
      <w:r>
        <w:t>45A</w:t>
      </w:r>
      <w:r>
        <w:rPr>
          <w:snapToGrid w:val="0"/>
        </w:rPr>
        <w:t>.</w:t>
      </w:r>
      <w:r>
        <w:rPr>
          <w:snapToGrid w:val="0"/>
        </w:rPr>
        <w:tab/>
        <w:t>Modified penalties</w:t>
      </w:r>
      <w:r>
        <w:tab/>
      </w:r>
      <w:r>
        <w:fldChar w:fldCharType="begin"/>
      </w:r>
      <w:r>
        <w:instrText xml:space="preserve"> PAGEREF _Toc112320948 \h </w:instrText>
      </w:r>
      <w:r>
        <w:fldChar w:fldCharType="separate"/>
      </w:r>
      <w:r>
        <w:t>89</w:t>
      </w:r>
      <w:r>
        <w:fldChar w:fldCharType="end"/>
      </w:r>
    </w:p>
    <w:p>
      <w:pPr>
        <w:pStyle w:val="TOC8"/>
        <w:rPr>
          <w:rFonts w:asciiTheme="minorHAnsi" w:eastAsiaTheme="minorEastAsia" w:hAnsiTheme="minorHAnsi" w:cstheme="minorBidi"/>
          <w:szCs w:val="22"/>
        </w:rPr>
      </w:pPr>
      <w:r>
        <w:t>46A.</w:t>
      </w:r>
      <w:r>
        <w:tab/>
        <w:t>Order to attend dog training course, ban on owning or keeping dogs</w:t>
      </w:r>
      <w:r>
        <w:tab/>
      </w:r>
      <w:r>
        <w:fldChar w:fldCharType="begin"/>
      </w:r>
      <w:r>
        <w:instrText xml:space="preserve"> PAGEREF _Toc112320949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VIII — Civil remedies, etc.</w:t>
      </w:r>
    </w:p>
    <w:p>
      <w:pPr>
        <w:pStyle w:val="TOC8"/>
        <w:rPr>
          <w:rFonts w:asciiTheme="minorHAnsi" w:eastAsiaTheme="minorEastAsia" w:hAnsiTheme="minorHAnsi" w:cstheme="minorBidi"/>
          <w:szCs w:val="22"/>
        </w:rPr>
      </w:pPr>
      <w:r>
        <w:t>46</w:t>
      </w:r>
      <w:r>
        <w:rPr>
          <w:snapToGrid w:val="0"/>
        </w:rPr>
        <w:t>.</w:t>
      </w:r>
      <w:r>
        <w:rPr>
          <w:snapToGrid w:val="0"/>
        </w:rPr>
        <w:tab/>
        <w:t>Damages</w:t>
      </w:r>
      <w:r>
        <w:tab/>
      </w:r>
      <w:r>
        <w:fldChar w:fldCharType="begin"/>
      </w:r>
      <w:r>
        <w:instrText xml:space="preserve"> PAGEREF _Toc112320951 \h </w:instrText>
      </w:r>
      <w:r>
        <w:fldChar w:fldCharType="separate"/>
      </w:r>
      <w:r>
        <w:t>92</w:t>
      </w:r>
      <w:r>
        <w:fldChar w:fldCharType="end"/>
      </w:r>
    </w:p>
    <w:p>
      <w:pPr>
        <w:pStyle w:val="TOC8"/>
        <w:rPr>
          <w:rFonts w:asciiTheme="minorHAnsi" w:eastAsiaTheme="minorEastAsia" w:hAnsiTheme="minorHAnsi" w:cstheme="minorBidi"/>
          <w:szCs w:val="22"/>
        </w:rPr>
      </w:pPr>
      <w:r>
        <w:t>47.</w:t>
      </w:r>
      <w:r>
        <w:tab/>
        <w:t>Veterinary service expenses recoverable from local government</w:t>
      </w:r>
      <w:r>
        <w:tab/>
      </w:r>
      <w:r>
        <w:fldChar w:fldCharType="begin"/>
      </w:r>
      <w:r>
        <w:instrText xml:space="preserve"> PAGEREF _Toc112320952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IX — Local laws</w:t>
      </w:r>
    </w:p>
    <w:p>
      <w:pPr>
        <w:pStyle w:val="TOC8"/>
        <w:rPr>
          <w:rFonts w:asciiTheme="minorHAnsi" w:eastAsiaTheme="minorEastAsia" w:hAnsiTheme="minorHAnsi" w:cstheme="minorBidi"/>
          <w:szCs w:val="22"/>
        </w:rPr>
      </w:pPr>
      <w:r>
        <w:t>48</w:t>
      </w:r>
      <w:r>
        <w:rPr>
          <w:snapToGrid w:val="0"/>
        </w:rPr>
        <w:t>.</w:t>
      </w:r>
      <w:r>
        <w:rPr>
          <w:snapToGrid w:val="0"/>
        </w:rPr>
        <w:tab/>
        <w:t>Regulations to operate as local laws</w:t>
      </w:r>
      <w:r>
        <w:tab/>
      </w:r>
      <w:r>
        <w:fldChar w:fldCharType="begin"/>
      </w:r>
      <w:r>
        <w:instrText xml:space="preserve"> PAGEREF _Toc112320954 \h </w:instrText>
      </w:r>
      <w:r>
        <w:fldChar w:fldCharType="separate"/>
      </w:r>
      <w:r>
        <w:t>95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Local laws</w:t>
      </w:r>
      <w:r>
        <w:tab/>
      </w:r>
      <w:r>
        <w:fldChar w:fldCharType="begin"/>
      </w:r>
      <w:r>
        <w:instrText xml:space="preserve"> PAGEREF _Toc112320955 \h </w:instrText>
      </w:r>
      <w:r>
        <w:fldChar w:fldCharType="separate"/>
      </w:r>
      <w:r>
        <w:t>95</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Model local laws</w:t>
      </w:r>
      <w:r>
        <w:tab/>
      </w:r>
      <w:r>
        <w:fldChar w:fldCharType="begin"/>
      </w:r>
      <w:r>
        <w:instrText xml:space="preserve"> PAGEREF _Toc112320956 \h </w:instrText>
      </w:r>
      <w:r>
        <w:fldChar w:fldCharType="separate"/>
      </w:r>
      <w:r>
        <w:t>96</w:t>
      </w:r>
      <w:r>
        <w:fldChar w:fldCharType="end"/>
      </w:r>
    </w:p>
    <w:p>
      <w:pPr>
        <w:pStyle w:val="TOC8"/>
        <w:rPr>
          <w:rFonts w:asciiTheme="minorHAnsi" w:eastAsiaTheme="minorEastAsia" w:hAnsiTheme="minorHAnsi" w:cstheme="minorBidi"/>
          <w:szCs w:val="22"/>
        </w:rPr>
      </w:pPr>
      <w:r>
        <w:t>49B</w:t>
      </w:r>
      <w:r>
        <w:rPr>
          <w:snapToGrid w:val="0"/>
        </w:rPr>
        <w:t>.</w:t>
      </w:r>
      <w:r>
        <w:rPr>
          <w:snapToGrid w:val="0"/>
        </w:rPr>
        <w:tab/>
        <w:t>Governor may amend or repeal local laws</w:t>
      </w:r>
      <w:r>
        <w:tab/>
      </w:r>
      <w:r>
        <w:fldChar w:fldCharType="begin"/>
      </w:r>
      <w:r>
        <w:instrText xml:space="preserve"> PAGEREF _Toc112320957 \h </w:instrText>
      </w:r>
      <w:r>
        <w:fldChar w:fldCharType="separate"/>
      </w:r>
      <w:r>
        <w:t>96</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General provisions relating to regulations and local laws</w:t>
      </w:r>
      <w:r>
        <w:tab/>
      </w:r>
      <w:r>
        <w:fldChar w:fldCharType="begin"/>
      </w:r>
      <w:r>
        <w:instrText xml:space="preserve"> PAGEREF _Toc112320958 \h </w:instrText>
      </w:r>
      <w:r>
        <w:fldChar w:fldCharType="separate"/>
      </w:r>
      <w:r>
        <w:t>97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Local law making powers</w:t>
      </w:r>
      <w:r>
        <w:tab/>
      </w:r>
      <w:r>
        <w:fldChar w:fldCharType="begin"/>
      </w:r>
      <w:r>
        <w:instrText xml:space="preserve"> PAGEREF _Toc112320959 \h </w:instrText>
      </w:r>
      <w:r>
        <w:fldChar w:fldCharType="separate"/>
      </w:r>
      <w:r>
        <w:t>98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Revocation of local laws</w:t>
      </w:r>
      <w:r>
        <w:tab/>
      </w:r>
      <w:r>
        <w:fldChar w:fldCharType="begin"/>
      </w:r>
      <w:r>
        <w:instrText xml:space="preserve"> PAGEREF _Toc112320960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X — Regulations</w:t>
      </w:r>
    </w:p>
    <w:p>
      <w:pPr>
        <w:pStyle w:val="TOC8"/>
        <w:rPr>
          <w:rFonts w:asciiTheme="minorHAnsi" w:eastAsiaTheme="minorEastAsia" w:hAnsiTheme="minorHAnsi" w:cstheme="minorBidi"/>
          <w:szCs w:val="22"/>
        </w:rPr>
      </w:pPr>
      <w:r>
        <w:t>54</w:t>
      </w:r>
      <w:r>
        <w:rPr>
          <w:snapToGrid w:val="0"/>
        </w:rPr>
        <w:t>.</w:t>
      </w:r>
      <w:r>
        <w:rPr>
          <w:snapToGrid w:val="0"/>
        </w:rPr>
        <w:tab/>
        <w:t>Regulations generally</w:t>
      </w:r>
      <w:r>
        <w:tab/>
      </w:r>
      <w:r>
        <w:fldChar w:fldCharType="begin"/>
      </w:r>
      <w:r>
        <w:instrText xml:space="preserve"> PAGEREF _Toc112320962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for the </w:t>
      </w:r>
      <w:r>
        <w:rPr>
          <w:i/>
        </w:rPr>
        <w:t>Dog Amendment Act 2013</w:t>
      </w:r>
    </w:p>
    <w:p>
      <w:pPr>
        <w:pStyle w:val="TOC8"/>
        <w:rPr>
          <w:rFonts w:asciiTheme="minorHAnsi" w:eastAsiaTheme="minorEastAsia" w:hAnsiTheme="minorHAnsi" w:cstheme="minorBidi"/>
          <w:szCs w:val="22"/>
        </w:rPr>
      </w:pPr>
      <w:r>
        <w:t>55.</w:t>
      </w:r>
      <w:r>
        <w:tab/>
        <w:t xml:space="preserve">Application of </w:t>
      </w:r>
      <w:r>
        <w:rPr>
          <w:i/>
          <w:iCs/>
        </w:rPr>
        <w:t>Interpretation Act 1984</w:t>
      </w:r>
      <w:r>
        <w:tab/>
      </w:r>
      <w:r>
        <w:fldChar w:fldCharType="begin"/>
      </w:r>
      <w:r>
        <w:instrText xml:space="preserve"> PAGEREF _Toc112320965 \h </w:instrText>
      </w:r>
      <w:r>
        <w:fldChar w:fldCharType="separate"/>
      </w:r>
      <w:r>
        <w:t>101</w:t>
      </w:r>
      <w:r>
        <w:fldChar w:fldCharType="end"/>
      </w:r>
    </w:p>
    <w:p>
      <w:pPr>
        <w:pStyle w:val="TOC8"/>
        <w:rPr>
          <w:rFonts w:asciiTheme="minorHAnsi" w:eastAsiaTheme="minorEastAsia" w:hAnsiTheme="minorHAnsi" w:cstheme="minorBidi"/>
          <w:szCs w:val="22"/>
        </w:rPr>
      </w:pPr>
      <w:r>
        <w:t>56.</w:t>
      </w:r>
      <w:r>
        <w:tab/>
        <w:t>Authorisations in relation to assistance dogs</w:t>
      </w:r>
      <w:r>
        <w:tab/>
      </w:r>
      <w:r>
        <w:fldChar w:fldCharType="begin"/>
      </w:r>
      <w:r>
        <w:instrText xml:space="preserve"> PAGEREF _Toc112320966 \h </w:instrText>
      </w:r>
      <w:r>
        <w:fldChar w:fldCharType="separate"/>
      </w:r>
      <w:r>
        <w:t>101</w:t>
      </w:r>
      <w:r>
        <w:fldChar w:fldCharType="end"/>
      </w:r>
    </w:p>
    <w:p>
      <w:pPr>
        <w:pStyle w:val="TOC8"/>
        <w:rPr>
          <w:rFonts w:asciiTheme="minorHAnsi" w:eastAsiaTheme="minorEastAsia" w:hAnsiTheme="minorHAnsi" w:cstheme="minorBidi"/>
          <w:szCs w:val="22"/>
        </w:rPr>
      </w:pPr>
      <w:r>
        <w:t>57.</w:t>
      </w:r>
      <w:r>
        <w:tab/>
        <w:t>Registration procedure</w:t>
      </w:r>
      <w:r>
        <w:tab/>
      </w:r>
      <w:r>
        <w:fldChar w:fldCharType="begin"/>
      </w:r>
      <w:r>
        <w:instrText xml:space="preserve"> PAGEREF _Toc112320967 \h </w:instrText>
      </w:r>
      <w:r>
        <w:fldChar w:fldCharType="separate"/>
      </w:r>
      <w:r>
        <w:t>101</w:t>
      </w:r>
      <w:r>
        <w:fldChar w:fldCharType="end"/>
      </w:r>
    </w:p>
    <w:p>
      <w:pPr>
        <w:pStyle w:val="TOC8"/>
        <w:rPr>
          <w:rFonts w:asciiTheme="minorHAnsi" w:eastAsiaTheme="minorEastAsia" w:hAnsiTheme="minorHAnsi" w:cstheme="minorBidi"/>
          <w:szCs w:val="22"/>
        </w:rPr>
      </w:pPr>
      <w:r>
        <w:t>58.</w:t>
      </w:r>
      <w:r>
        <w:tab/>
        <w:t>Detained dogs</w:t>
      </w:r>
      <w:r>
        <w:tab/>
      </w:r>
      <w:r>
        <w:fldChar w:fldCharType="begin"/>
      </w:r>
      <w:r>
        <w:instrText xml:space="preserve"> PAGEREF _Toc112320968 \h </w:instrText>
      </w:r>
      <w:r>
        <w:fldChar w:fldCharType="separate"/>
      </w:r>
      <w:r>
        <w:t>102</w:t>
      </w:r>
      <w:r>
        <w:fldChar w:fldCharType="end"/>
      </w:r>
    </w:p>
    <w:p>
      <w:pPr>
        <w:pStyle w:val="TOC8"/>
        <w:rPr>
          <w:rFonts w:asciiTheme="minorHAnsi" w:eastAsiaTheme="minorEastAsia" w:hAnsiTheme="minorHAnsi" w:cstheme="minorBidi"/>
          <w:szCs w:val="22"/>
        </w:rPr>
      </w:pPr>
      <w:r>
        <w:t>59.</w:t>
      </w:r>
      <w:r>
        <w:tab/>
        <w:t>Dogs declared to be dangerous dogs</w:t>
      </w:r>
      <w:r>
        <w:tab/>
      </w:r>
      <w:r>
        <w:fldChar w:fldCharType="begin"/>
      </w:r>
      <w:r>
        <w:instrText xml:space="preserve"> PAGEREF _Toc112320969 \h </w:instrText>
      </w:r>
      <w:r>
        <w:fldChar w:fldCharType="separate"/>
      </w:r>
      <w:r>
        <w:t>102</w:t>
      </w:r>
      <w:r>
        <w:fldChar w:fldCharType="end"/>
      </w:r>
    </w:p>
    <w:p>
      <w:pPr>
        <w:pStyle w:val="TOC8"/>
        <w:rPr>
          <w:rFonts w:asciiTheme="minorHAnsi" w:eastAsiaTheme="minorEastAsia" w:hAnsiTheme="minorHAnsi" w:cstheme="minorBidi"/>
          <w:szCs w:val="22"/>
        </w:rPr>
      </w:pPr>
      <w:r>
        <w:t>60.</w:t>
      </w:r>
      <w:r>
        <w:tab/>
        <w:t>Transitional regulations</w:t>
      </w:r>
      <w:r>
        <w:tab/>
      </w:r>
      <w:r>
        <w:fldChar w:fldCharType="begin"/>
      </w:r>
      <w:r>
        <w:instrText xml:space="preserve"> PAGEREF _Toc112320970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 for the </w:t>
      </w:r>
      <w:r>
        <w:rPr>
          <w:i/>
        </w:rPr>
        <w:t>Local Government Legislation Amendment Act 2019</w:t>
      </w:r>
    </w:p>
    <w:p>
      <w:pPr>
        <w:pStyle w:val="TOC8"/>
        <w:rPr>
          <w:rFonts w:asciiTheme="minorHAnsi" w:eastAsiaTheme="minorEastAsia" w:hAnsiTheme="minorHAnsi" w:cstheme="minorBidi"/>
          <w:szCs w:val="22"/>
        </w:rPr>
      </w:pPr>
      <w:r>
        <w:t>61.</w:t>
      </w:r>
      <w:r>
        <w:tab/>
        <w:t>Authorised persons</w:t>
      </w:r>
      <w:r>
        <w:tab/>
      </w:r>
      <w:r>
        <w:fldChar w:fldCharType="begin"/>
      </w:r>
      <w:r>
        <w:instrText xml:space="preserve"> PAGEREF _Toc112320972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the </w:t>
      </w:r>
      <w:r>
        <w:rPr>
          <w:i/>
        </w:rPr>
        <w:t>Dog Amendment (Stop Puppy Farming) Act 2021</w:t>
      </w:r>
    </w:p>
    <w:p>
      <w:pPr>
        <w:pStyle w:val="TOC8"/>
        <w:rPr>
          <w:rFonts w:asciiTheme="minorHAnsi" w:eastAsiaTheme="minorEastAsia" w:hAnsiTheme="minorHAnsi" w:cstheme="minorBidi"/>
          <w:szCs w:val="22"/>
        </w:rPr>
      </w:pPr>
      <w:r>
        <w:t>62.</w:t>
      </w:r>
      <w:r>
        <w:tab/>
        <w:t>Transitional provision for centralised registration system</w:t>
      </w:r>
      <w:r>
        <w:tab/>
      </w:r>
      <w:r>
        <w:fldChar w:fldCharType="begin"/>
      </w:r>
      <w:r>
        <w:instrText xml:space="preserve"> PAGEREF _Toc112320974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_Toc112320976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_Toc112320977 \h </w:instrText>
      </w:r>
      <w:r>
        <w:fldChar w:fldCharType="separate"/>
      </w:r>
      <w:r>
        <w:t>108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_Toc112320978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3" w:name="_Toc112242841"/>
      <w:bookmarkStart w:id="4" w:name="_Toc112243748"/>
      <w:bookmarkStart w:id="5" w:name="_Toc112320863"/>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spacing w:before="240"/>
        <w:rPr>
          <w:snapToGrid w:val="0"/>
        </w:rPr>
      </w:pPr>
      <w:bookmarkStart w:id="6" w:name="_Toc112320864"/>
      <w:r>
        <w:rPr>
          <w:rStyle w:val="CharSectno"/>
        </w:rPr>
        <w:t>1</w:t>
      </w:r>
      <w:r>
        <w:rPr>
          <w:snapToGrid w:val="0"/>
        </w:rPr>
        <w:t>.</w:t>
      </w:r>
      <w:r>
        <w:rPr>
          <w:snapToGrid w:val="0"/>
        </w:rPr>
        <w:tab/>
        <w:t>Short title</w:t>
      </w:r>
      <w:bookmarkEnd w:id="6"/>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w:t>
      </w:r>
    </w:p>
    <w:p>
      <w:pPr>
        <w:pStyle w:val="Heading5"/>
        <w:spacing w:before="240"/>
        <w:rPr>
          <w:snapToGrid w:val="0"/>
        </w:rPr>
      </w:pPr>
      <w:bookmarkStart w:id="7" w:name="_Toc112320865"/>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p>
    <w:p>
      <w:pPr>
        <w:pStyle w:val="Heading5"/>
        <w:spacing w:before="240"/>
        <w:rPr>
          <w:snapToGrid w:val="0"/>
        </w:rPr>
      </w:pPr>
      <w:bookmarkStart w:id="8" w:name="_Toc112320866"/>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keepNext/>
      </w:pPr>
      <w:r>
        <w:lastRenderedPageBreak/>
        <w:tab/>
      </w:r>
      <w:r>
        <w:rPr>
          <w:rStyle w:val="CharDefText"/>
        </w:rPr>
        <w:t>authorised person</w:t>
      </w:r>
      <w:r>
        <w:t xml:space="preserve"> means — </w:t>
      </w:r>
    </w:p>
    <w:p>
      <w:pPr>
        <w:pStyle w:val="Defpara"/>
      </w:pPr>
      <w:r>
        <w:tab/>
        <w:t>(a)</w:t>
      </w:r>
      <w:r>
        <w:tab/>
        <w:t xml:space="preserve">a person appointed under the </w:t>
      </w:r>
      <w:r>
        <w:rPr>
          <w:i/>
        </w:rPr>
        <w:t>Local Government Act 1995</w:t>
      </w:r>
      <w:r>
        <w:t xml:space="preserve"> section 9.10(2) to be an authorised person for the purposes of this Act; or</w:t>
      </w:r>
    </w:p>
    <w:p>
      <w:pPr>
        <w:pStyle w:val="Defpara"/>
      </w:pPr>
      <w:r>
        <w:tab/>
        <w:t>(b)</w:t>
      </w:r>
      <w:r>
        <w:tab/>
        <w:t xml:space="preserve">a person designated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lastRenderedPageBreak/>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keepNext/>
      </w:pPr>
      <w:r>
        <w:tab/>
      </w:r>
      <w:r>
        <w:rPr>
          <w:rStyle w:val="CharDefText"/>
        </w:rPr>
        <w:t>microchip database company</w:t>
      </w:r>
      <w:r>
        <w:t xml:space="preserve"> means — </w:t>
      </w:r>
    </w:p>
    <w:p>
      <w:pPr>
        <w:pStyle w:val="Defpara"/>
        <w:keepNext/>
      </w:pPr>
      <w:r>
        <w:tab/>
        <w:t>(a)</w:t>
      </w:r>
      <w:r>
        <w:tab/>
        <w:t xml:space="preserve">a person or body — </w:t>
      </w:r>
    </w:p>
    <w:p>
      <w:pPr>
        <w:pStyle w:val="Defsubpara"/>
        <w:keepLines w:val="0"/>
        <w:widowControl w:val="0"/>
      </w:pPr>
      <w:r>
        <w:tab/>
        <w:t>(i)</w:t>
      </w:r>
      <w:r>
        <w:tab/>
        <w:t>that keeps a microchip database; and</w:t>
      </w:r>
    </w:p>
    <w:p>
      <w:pPr>
        <w:pStyle w:val="Defsubpara"/>
        <w:keepNext/>
      </w:pPr>
      <w:r>
        <w:lastRenderedPageBreak/>
        <w:tab/>
        <w:t>(ii)</w:t>
      </w:r>
      <w:r>
        <w:tab/>
        <w:t>that is prescribed as a microchip database company for the purposes of this definition;</w:t>
      </w:r>
    </w:p>
    <w:p>
      <w:pPr>
        <w:pStyle w:val="Defpara"/>
        <w:keepNext/>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Next/>
        <w:keepLines/>
        <w:spacing w:before="60"/>
      </w:pPr>
      <w:r>
        <w:lastRenderedPageBreak/>
        <w:tab/>
        <w:t>(d)</w:t>
      </w:r>
      <w:r>
        <w:tab/>
        <w:t>a person who has the dog in his possession or under his control,</w:t>
      </w:r>
    </w:p>
    <w:p>
      <w:pPr>
        <w:pStyle w:val="Defstart"/>
        <w:keepNext/>
        <w:keepLines/>
        <w:spacing w:before="60"/>
      </w:pPr>
      <w:r>
        <w:tab/>
        <w:t>but does not include — </w:t>
      </w:r>
    </w:p>
    <w:p>
      <w:pPr>
        <w:pStyle w:val="Defpara"/>
      </w:pPr>
      <w:r>
        <w:tab/>
        <w:t>(e)</w:t>
      </w:r>
      <w:r>
        <w:tab/>
        <w:t>a veterinarian, or a person acting on a veterinarian’s behalf, in the course of the veterinarian’s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lastRenderedPageBreak/>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keepNex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w:t>
      </w:r>
      <w:r>
        <w:lastRenderedPageBreak/>
        <w:t xml:space="preserve">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keepNext/>
      </w:pPr>
      <w:r>
        <w:lastRenderedPageBreak/>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[Section 3 amended: No. 23 of 1987 s. 4; No. 14 of 1996 s. 4; No. 24 of 1996 s. 4; No. 81 of 1996 s. 153(1); No. 31 of 1997 s. 141; No. 10 of 1998 s. 29(1); No. 38 of 2005 s. 15; No. 60 of 2006 s. 132; No. 18 of 2013 s. 4; No. 19 of 2016 s. 130; No. 16 of 2019 s. 106; No. 19 of 2021 s. 230(2)</w:t>
      </w:r>
      <w:r>
        <w:noBreakHyphen/>
        <w:t xml:space="preserve">(4).] </w:t>
      </w:r>
    </w:p>
    <w:p>
      <w:pPr>
        <w:pStyle w:val="Ednotesection"/>
      </w:pPr>
      <w:r>
        <w:t>[</w:t>
      </w:r>
      <w:r>
        <w:rPr>
          <w:b/>
        </w:rPr>
        <w:t>4.</w:t>
      </w:r>
      <w:r>
        <w:tab/>
        <w:t xml:space="preserve">Deleted: No. 23 of 1987 s. 5.] </w:t>
      </w:r>
    </w:p>
    <w:p>
      <w:pPr>
        <w:pStyle w:val="Ednotesection"/>
      </w:pPr>
      <w:r>
        <w:t>[</w:t>
      </w:r>
      <w:r>
        <w:rPr>
          <w:b/>
        </w:rPr>
        <w:t>5.</w:t>
      </w:r>
      <w:r>
        <w:tab/>
        <w:t>Omitted under the Reprints Act 1984 s. 7(4)(f) and (g).]</w:t>
      </w:r>
    </w:p>
    <w:p>
      <w:pPr>
        <w:pStyle w:val="Heading5"/>
        <w:rPr>
          <w:snapToGrid w:val="0"/>
        </w:rPr>
      </w:pPr>
      <w:bookmarkStart w:id="9" w:name="_Toc112320867"/>
      <w:r>
        <w:rPr>
          <w:rStyle w:val="CharSectno"/>
        </w:rPr>
        <w:t>6</w:t>
      </w:r>
      <w:r>
        <w:rPr>
          <w:snapToGrid w:val="0"/>
        </w:rPr>
        <w:t>.</w:t>
      </w:r>
      <w:r>
        <w:rPr>
          <w:snapToGrid w:val="0"/>
        </w:rPr>
        <w:tab/>
        <w:t>Application</w:t>
      </w:r>
      <w:bookmarkEnd w:id="9"/>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keepNext/>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keepNext/>
      </w:pPr>
      <w:r>
        <w:tab/>
        <w:t>(b)</w:t>
      </w:r>
      <w:r>
        <w:tab/>
        <w:t>a person deemed under section 46(5) to be the owner,</w:t>
      </w:r>
    </w:p>
    <w:p>
      <w:pPr>
        <w:pStyle w:val="Subsection"/>
        <w:keepNext/>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keepLines/>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lastRenderedPageBreak/>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keepNext/>
      </w:pPr>
      <w:r>
        <w:tab/>
        <w:t>(6)</w:t>
      </w:r>
      <w:r>
        <w:tab/>
        <w:t xml:space="preserve">In subsection (5) — </w:t>
      </w:r>
    </w:p>
    <w:p>
      <w:pPr>
        <w:pStyle w:val="Defstart"/>
        <w:keepNex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keepNext/>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keepNext/>
      </w:pPr>
      <w:r>
        <w:tab/>
        <w:t>(e)</w:t>
      </w:r>
      <w:r>
        <w:tab/>
        <w:t>a person of a prescribed class.</w:t>
      </w:r>
    </w:p>
    <w:p>
      <w:pPr>
        <w:pStyle w:val="Footnotesection"/>
        <w:spacing w:before="100"/>
        <w:ind w:left="890" w:hanging="890"/>
      </w:pPr>
      <w:r>
        <w:tab/>
        <w:t>[Section 6 amended: No. 64 of 1983 s. 3; No. 23 of 1987 s. 6; No. 24 of 1996 s. 5; No. 10 of 1998 s. 29(2); No. 18 of 2013 s. 5.]</w:t>
      </w:r>
    </w:p>
    <w:p>
      <w:pPr>
        <w:pStyle w:val="Heading5"/>
        <w:spacing w:before="200"/>
        <w:rPr>
          <w:snapToGrid w:val="0"/>
        </w:rPr>
      </w:pPr>
      <w:bookmarkStart w:id="10" w:name="_Toc112320868"/>
      <w:r>
        <w:rPr>
          <w:rStyle w:val="CharSectno"/>
        </w:rPr>
        <w:t>7</w:t>
      </w:r>
      <w:r>
        <w:rPr>
          <w:snapToGrid w:val="0"/>
        </w:rPr>
        <w:t>.</w:t>
      </w:r>
      <w:r>
        <w:rPr>
          <w:snapToGrid w:val="0"/>
        </w:rPr>
        <w:tab/>
        <w:t>Dogs to be registered</w:t>
      </w:r>
      <w:bookmarkEnd w:id="10"/>
      <w:r>
        <w:rPr>
          <w:snapToGrid w:val="0"/>
        </w:rPr>
        <w:t xml:space="preserve"> </w:t>
      </w:r>
    </w:p>
    <w:p>
      <w:pPr>
        <w:pStyle w:val="Subsection"/>
        <w:keepNext/>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keepNext/>
      </w:pPr>
      <w:r>
        <w:lastRenderedPageBreak/>
        <w:tab/>
        <w:t>(b)</w:t>
      </w:r>
      <w:r>
        <w:tab/>
        <w:t>if the dog is ordinarily kept or permitted to live in or at premises in Western Australia,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keepNext/>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keepNext/>
      </w:pPr>
      <w:r>
        <w:tab/>
        <w:t>(b)</w:t>
      </w:r>
      <w:r>
        <w:tab/>
        <w:t>a dog held in the custody of — </w:t>
      </w:r>
    </w:p>
    <w:p>
      <w:pPr>
        <w:pStyle w:val="Indenti"/>
        <w:rPr>
          <w:snapToGrid w:val="0"/>
        </w:rPr>
      </w:pPr>
      <w:r>
        <w:rPr>
          <w:snapToGrid w:val="0"/>
        </w:rPr>
        <w:tab/>
        <w:t>(i)</w:t>
      </w:r>
      <w:r>
        <w:rPr>
          <w:snapToGrid w:val="0"/>
        </w:rPr>
        <w:tab/>
        <w:t>the Royal Society for the Prevention of Cruelty to Animals (Inc.) of Western Australia;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lastRenderedPageBreak/>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pPr>
      <w:r>
        <w:tab/>
        <w:t>(i)</w:t>
      </w:r>
      <w:r>
        <w:tab/>
        <w:t>a veterinarian, or a person acting on a veterinarian’s behalf, in the course of the veterinarian’s professional practice; or</w:t>
      </w:r>
    </w:p>
    <w:p>
      <w:pPr>
        <w:pStyle w:val="Indenti"/>
      </w:pPr>
      <w:r>
        <w:tab/>
        <w:t>(ii)</w:t>
      </w:r>
      <w:r>
        <w:tab/>
        <w:t>a police officer in the performance of the officer’s functions; or</w:t>
      </w:r>
    </w:p>
    <w:p>
      <w:pPr>
        <w:pStyle w:val="Indenti"/>
        <w:keepNext/>
      </w:pPr>
      <w:r>
        <w:tab/>
        <w:t>(iii)</w:t>
      </w:r>
      <w:r>
        <w:tab/>
        <w:t>any other person in the performance of a function under this Act or any other written law;</w:t>
      </w:r>
    </w:p>
    <w:p>
      <w:pPr>
        <w:pStyle w:val="Indenta"/>
      </w:pPr>
      <w:r>
        <w:tab/>
      </w:r>
      <w:r>
        <w:tab/>
        <w:t>or</w:t>
      </w:r>
    </w:p>
    <w:p>
      <w:pPr>
        <w:pStyle w:val="Indenta"/>
        <w:keepNext/>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 xml:space="preserve">[Section 7 amended: No. 57 of 1977 s. 2; No. 23 of 1987 s. 7; No. 24 of 1996 s. 16; No. 55 of 2004 s. 252 and 268; No. 18 of 2013 s. 6; No. 19 of 2021 s. 230(5).] </w:t>
      </w:r>
    </w:p>
    <w:p>
      <w:pPr>
        <w:pStyle w:val="Heading5"/>
      </w:pPr>
      <w:bookmarkStart w:id="11" w:name="_Toc112320869"/>
      <w:r>
        <w:rPr>
          <w:rStyle w:val="CharSectno"/>
        </w:rPr>
        <w:t>8</w:t>
      </w:r>
      <w:r>
        <w:t>.</w:t>
      </w:r>
      <w:r>
        <w:tab/>
        <w:t>Assistance dogs</w:t>
      </w:r>
      <w:bookmarkEnd w:id="11"/>
    </w:p>
    <w:p>
      <w:pPr>
        <w:pStyle w:val="Subsection"/>
        <w:keepNext/>
      </w:pPr>
      <w:r>
        <w:tab/>
        <w:t>(1)</w:t>
      </w:r>
      <w:r>
        <w:tab/>
        <w:t xml:space="preserve">In this section — </w:t>
      </w:r>
    </w:p>
    <w:p>
      <w:pPr>
        <w:pStyle w:val="Defstart"/>
        <w:keepNex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lastRenderedPageBreak/>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keepNext/>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keepNext/>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lastRenderedPageBreak/>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keepNext/>
      </w:pPr>
      <w:r>
        <w:tab/>
        <w:t>(7)</w:t>
      </w:r>
      <w:r>
        <w:tab/>
        <w:t>This section applies despite any other provision of this Act or other written law.</w:t>
      </w:r>
    </w:p>
    <w:p>
      <w:pPr>
        <w:pStyle w:val="Footnotesection"/>
      </w:pPr>
      <w:r>
        <w:tab/>
        <w:t xml:space="preserve">[Section 8 inserted: No. 18 of 2013 s. 7.] </w:t>
      </w:r>
    </w:p>
    <w:p>
      <w:pPr>
        <w:pStyle w:val="Heading2"/>
      </w:pPr>
      <w:bookmarkStart w:id="12" w:name="_Toc112242848"/>
      <w:bookmarkStart w:id="13" w:name="_Toc112243755"/>
      <w:bookmarkStart w:id="14" w:name="_Toc112320870"/>
      <w:r>
        <w:rPr>
          <w:rStyle w:val="CharPartNo"/>
        </w:rPr>
        <w:lastRenderedPageBreak/>
        <w:t>Part II</w:t>
      </w:r>
      <w:r>
        <w:rPr>
          <w:rStyle w:val="CharDivNo"/>
        </w:rPr>
        <w:t> </w:t>
      </w:r>
      <w:r>
        <w:t>—</w:t>
      </w:r>
      <w:r>
        <w:rPr>
          <w:rStyle w:val="CharDivText"/>
        </w:rPr>
        <w:t> </w:t>
      </w:r>
      <w:r>
        <w:rPr>
          <w:rStyle w:val="CharPartText"/>
        </w:rPr>
        <w:t>Administration</w:t>
      </w:r>
      <w:bookmarkEnd w:id="12"/>
      <w:bookmarkEnd w:id="13"/>
      <w:bookmarkEnd w:id="14"/>
      <w:r>
        <w:rPr>
          <w:rStyle w:val="CharPartText"/>
        </w:rPr>
        <w:t xml:space="preserve"> </w:t>
      </w:r>
    </w:p>
    <w:p>
      <w:pPr>
        <w:pStyle w:val="Heading5"/>
        <w:spacing w:before="240"/>
        <w:rPr>
          <w:snapToGrid w:val="0"/>
        </w:rPr>
      </w:pPr>
      <w:bookmarkStart w:id="15" w:name="_Toc112320871"/>
      <w:r>
        <w:rPr>
          <w:rStyle w:val="CharSectno"/>
        </w:rPr>
        <w:t>9</w:t>
      </w:r>
      <w:r>
        <w:rPr>
          <w:snapToGrid w:val="0"/>
        </w:rPr>
        <w:t>.</w:t>
      </w:r>
      <w:r>
        <w:rPr>
          <w:snapToGrid w:val="0"/>
        </w:rPr>
        <w:tab/>
        <w:t>Administrative responsibility</w:t>
      </w:r>
      <w:bookmarkEnd w:id="15"/>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No. 14 of 1996 s. 4.] </w:t>
      </w:r>
    </w:p>
    <w:p>
      <w:pPr>
        <w:pStyle w:val="Heading5"/>
        <w:spacing w:before="240"/>
        <w:rPr>
          <w:snapToGrid w:val="0"/>
        </w:rPr>
      </w:pPr>
      <w:bookmarkStart w:id="16" w:name="_Toc112320872"/>
      <w:r>
        <w:rPr>
          <w:rStyle w:val="CharSectno"/>
        </w:rPr>
        <w:t>10</w:t>
      </w:r>
      <w:r>
        <w:rPr>
          <w:snapToGrid w:val="0"/>
        </w:rPr>
        <w:t>.</w:t>
      </w:r>
      <w:r>
        <w:rPr>
          <w:snapToGrid w:val="0"/>
        </w:rPr>
        <w:tab/>
        <w:t>Dogs not kept in district</w:t>
      </w:r>
      <w:bookmarkEnd w:id="1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No. 23 of 1987 s. 9; No. 14 of 1996 s. 4.] </w:t>
      </w:r>
    </w:p>
    <w:p>
      <w:pPr>
        <w:pStyle w:val="Heading5"/>
        <w:spacing w:before="240"/>
      </w:pPr>
      <w:bookmarkStart w:id="17" w:name="_Toc112320873"/>
      <w:r>
        <w:rPr>
          <w:rStyle w:val="CharSectno"/>
        </w:rPr>
        <w:t>10AA</w:t>
      </w:r>
      <w:r>
        <w:t>.</w:t>
      </w:r>
      <w:r>
        <w:tab/>
        <w:t xml:space="preserve">Delegation of </w:t>
      </w:r>
      <w:r>
        <w:rPr>
          <w:snapToGrid w:val="0"/>
        </w:rPr>
        <w:t>local</w:t>
      </w:r>
      <w:r>
        <w:t xml:space="preserve"> government powers and duties</w:t>
      </w:r>
      <w:bookmarkEnd w:id="17"/>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 xml:space="preserve">A local government’s chief executive officer who is exercising or performing a power or duty that has been delegated as </w:t>
      </w:r>
      <w:r>
        <w:lastRenderedPageBreak/>
        <w:t>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No. 18 of 2013 s. 8.] </w:t>
      </w:r>
    </w:p>
    <w:p>
      <w:pPr>
        <w:pStyle w:val="Heading5"/>
        <w:spacing w:before="180"/>
      </w:pPr>
      <w:bookmarkStart w:id="18" w:name="_Toc112320874"/>
      <w:r>
        <w:rPr>
          <w:rStyle w:val="CharSectno"/>
        </w:rPr>
        <w:t>10AB</w:t>
      </w:r>
      <w:r>
        <w:t>.</w:t>
      </w:r>
      <w:r>
        <w:tab/>
        <w:t>Register of, and review of, delegations</w:t>
      </w:r>
      <w:bookmarkEnd w:id="18"/>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No. 18 of 2013 s. 8.] </w:t>
      </w:r>
    </w:p>
    <w:p>
      <w:pPr>
        <w:pStyle w:val="Heading5"/>
        <w:spacing w:before="180"/>
        <w:rPr>
          <w:snapToGrid w:val="0"/>
        </w:rPr>
      </w:pPr>
      <w:bookmarkStart w:id="19" w:name="_Toc112320875"/>
      <w:r>
        <w:rPr>
          <w:rStyle w:val="CharSectno"/>
        </w:rPr>
        <w:t>10A</w:t>
      </w:r>
      <w:r>
        <w:rPr>
          <w:snapToGrid w:val="0"/>
        </w:rPr>
        <w:t>.</w:t>
      </w:r>
      <w:r>
        <w:rPr>
          <w:snapToGrid w:val="0"/>
        </w:rPr>
        <w:tab/>
        <w:t>Payments to veterinarians towards cost of sterilisation</w:t>
      </w:r>
      <w:bookmarkEnd w:id="19"/>
    </w:p>
    <w:p>
      <w:pPr>
        <w:pStyle w:val="Subsection"/>
        <w:rPr>
          <w:snapToGrid w:val="0"/>
        </w:rPr>
      </w:pPr>
      <w:r>
        <w:rPr>
          <w:snapToGrid w:val="0"/>
        </w:rPr>
        <w:tab/>
        <w:t>(1)</w:t>
      </w:r>
      <w:r>
        <w:rPr>
          <w:snapToGrid w:val="0"/>
        </w:rPr>
        <w:tab/>
        <w:t>A local government may — </w:t>
      </w:r>
    </w:p>
    <w:p>
      <w:pPr>
        <w:pStyle w:val="Indenta"/>
      </w:pPr>
      <w:r>
        <w:tab/>
        <w:t>(a)</w:t>
      </w:r>
      <w:r>
        <w:tab/>
        <w:t>make payments to veterinarians towards the cost of sterilisation of a dog owned by an eligible person;</w:t>
      </w:r>
    </w:p>
    <w:p>
      <w:pPr>
        <w:pStyle w:val="Indenta"/>
      </w:pPr>
      <w:r>
        <w:tab/>
        <w:t>(b)</w:t>
      </w:r>
      <w:r>
        <w:tab/>
        <w:t>from time to time issue directions in writing to such veterinarians to be complied with as a condition of the receipt of a payment under paragraph (a).</w:t>
      </w:r>
    </w:p>
    <w:p>
      <w:pPr>
        <w:pStyle w:val="Subsection"/>
        <w:rPr>
          <w:snapToGrid w:val="0"/>
        </w:rPr>
      </w:pPr>
      <w:r>
        <w:rPr>
          <w:snapToGrid w:val="0"/>
        </w:rPr>
        <w:tab/>
        <w:t>(2)</w:t>
      </w:r>
      <w:r>
        <w:rPr>
          <w:snapToGrid w:val="0"/>
        </w:rPr>
        <w:tab/>
        <w:t xml:space="preserve">No payment shall be made under subsection (1)(a) to a </w:t>
      </w:r>
      <w:r>
        <w:t>veterinarian</w:t>
      </w:r>
      <w:r>
        <w:rPr>
          <w:snapToGrid w:val="0"/>
        </w:rPr>
        <w:t xml:space="preserve"> for the sterilisation of a dog unless the local government is satisfied that the </w:t>
      </w:r>
      <w:r>
        <w:t>veterinarian</w:t>
      </w:r>
      <w:r>
        <w:rPr>
          <w:snapToGrid w:val="0"/>
        </w:rPr>
        <w:t xml:space="preserve"> has complied with any direction issued under subsection (1)(b).</w:t>
      </w:r>
    </w:p>
    <w:p>
      <w:pPr>
        <w:pStyle w:val="Subsection"/>
        <w:keepNext/>
        <w:spacing w:before="180"/>
        <w:rPr>
          <w:snapToGrid w:val="0"/>
        </w:rPr>
      </w:pPr>
      <w:r>
        <w:rPr>
          <w:snapToGrid w:val="0"/>
        </w:rPr>
        <w:lastRenderedPageBreak/>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keepNext/>
        <w:spacing w:before="100"/>
      </w:pPr>
      <w:r>
        <w:tab/>
        <w:t>(c)</w:t>
      </w:r>
      <w:r>
        <w:tab/>
        <w:t>in the opinion of that local government, would suffer hardship in paying the whole of the cost of sterilisation of the dog.</w:t>
      </w:r>
    </w:p>
    <w:p>
      <w:pPr>
        <w:pStyle w:val="Footnotesection"/>
      </w:pPr>
      <w:r>
        <w:tab/>
        <w:t>[Section 10A inserted: No. 23 of 1987 s. 10; amended: No. 14 of 1996 s. 4; No. 19 of 2021 s. 230(6) and (7).]</w:t>
      </w:r>
    </w:p>
    <w:p>
      <w:pPr>
        <w:pStyle w:val="Heading5"/>
        <w:spacing w:before="240"/>
        <w:rPr>
          <w:snapToGrid w:val="0"/>
        </w:rPr>
      </w:pPr>
      <w:bookmarkStart w:id="20" w:name="_Toc112320876"/>
      <w:r>
        <w:rPr>
          <w:rStyle w:val="CharSectno"/>
        </w:rPr>
        <w:t>11</w:t>
      </w:r>
      <w:r>
        <w:rPr>
          <w:snapToGrid w:val="0"/>
        </w:rPr>
        <w:t>.</w:t>
      </w:r>
      <w:r>
        <w:rPr>
          <w:snapToGrid w:val="0"/>
        </w:rPr>
        <w:tab/>
        <w:t>Staff and services</w:t>
      </w:r>
      <w:bookmarkEnd w:id="20"/>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Subsection"/>
        <w:rPr>
          <w:snapToGrid w:val="0"/>
        </w:rPr>
      </w:pPr>
      <w:r>
        <w:tab/>
        <w:t>(4)</w:t>
      </w:r>
      <w:r>
        <w:tab/>
        <w:t xml:space="preserve">Subsection (3) is subject to the </w:t>
      </w:r>
      <w:r>
        <w:rPr>
          <w:i/>
        </w:rPr>
        <w:t>Public Health Act 2016</w:t>
      </w:r>
      <w:r>
        <w:t xml:space="preserve"> section 31.</w:t>
      </w:r>
    </w:p>
    <w:p>
      <w:pPr>
        <w:pStyle w:val="Subsection"/>
        <w:keepNext/>
      </w:pPr>
      <w:r>
        <w:lastRenderedPageBreak/>
        <w:tab/>
        <w:t>(5)</w:t>
      </w:r>
      <w:r>
        <w:tab/>
        <w:t xml:space="preserve">Subsection (3) does not apply to a person appointed under the </w:t>
      </w:r>
      <w:r>
        <w:rPr>
          <w:i/>
        </w:rPr>
        <w:t>Local Government Act 1995</w:t>
      </w:r>
      <w:r>
        <w:t xml:space="preserve"> section 9.10(2) to be an authorised person for the purposes of this Act.</w:t>
      </w:r>
    </w:p>
    <w:p>
      <w:pPr>
        <w:pStyle w:val="Footnotesection"/>
      </w:pPr>
      <w:r>
        <w:tab/>
        <w:t xml:space="preserve">[Section 11 amended: No. 14 of 1996 s. 4; No. 18 of 2013 s. 9; No. 19 of 2016 s. 131; No. 16 of 2019 s. 107.] </w:t>
      </w:r>
    </w:p>
    <w:p>
      <w:pPr>
        <w:pStyle w:val="Heading5"/>
      </w:pPr>
      <w:bookmarkStart w:id="21" w:name="_Toc112320877"/>
      <w:r>
        <w:rPr>
          <w:rStyle w:val="CharSectno"/>
        </w:rPr>
        <w:t>11A</w:t>
      </w:r>
      <w:r>
        <w:t>.</w:t>
      </w:r>
      <w:r>
        <w:tab/>
        <w:t>Authorised persons</w:t>
      </w:r>
      <w:bookmarkEnd w:id="21"/>
    </w:p>
    <w:p>
      <w:pPr>
        <w:pStyle w:val="Subsection"/>
        <w:keepNext/>
      </w:pPr>
      <w:r>
        <w:tab/>
      </w:r>
      <w:r>
        <w:tab/>
        <w:t xml:space="preserve">The chief executive officer of a local government must, under the </w:t>
      </w:r>
      <w:r>
        <w:rPr>
          <w:i/>
        </w:rPr>
        <w:t>Local Government Act 1995</w:t>
      </w:r>
      <w:r>
        <w:t xml:space="preserve"> section 9.10(2), appoint persons to be authorised persons for the purposes of this Act.</w:t>
      </w:r>
    </w:p>
    <w:p>
      <w:pPr>
        <w:pStyle w:val="Footnotesection"/>
      </w:pPr>
      <w:r>
        <w:tab/>
        <w:t>[Section 11A inserted: No. 16 of 2019 s. 108.]</w:t>
      </w:r>
    </w:p>
    <w:p>
      <w:pPr>
        <w:pStyle w:val="Heading5"/>
        <w:spacing w:before="240"/>
        <w:rPr>
          <w:snapToGrid w:val="0"/>
        </w:rPr>
      </w:pPr>
      <w:bookmarkStart w:id="22" w:name="_Toc112320878"/>
      <w:r>
        <w:rPr>
          <w:rStyle w:val="CharSectno"/>
        </w:rPr>
        <w:t>12</w:t>
      </w:r>
      <w:r>
        <w:rPr>
          <w:snapToGrid w:val="0"/>
        </w:rPr>
        <w:t>.</w:t>
      </w:r>
      <w:r>
        <w:rPr>
          <w:snapToGrid w:val="0"/>
        </w:rPr>
        <w:tab/>
        <w:t>Joint jurisdiction</w:t>
      </w:r>
      <w:bookmarkEnd w:id="22"/>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keepNext/>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No. 14 of 1996 s. 4.] </w:t>
      </w:r>
    </w:p>
    <w:p>
      <w:pPr>
        <w:pStyle w:val="Heading5"/>
        <w:spacing w:before="240"/>
        <w:rPr>
          <w:snapToGrid w:val="0"/>
        </w:rPr>
      </w:pPr>
      <w:bookmarkStart w:id="23" w:name="_Toc112320879"/>
      <w:r>
        <w:rPr>
          <w:rStyle w:val="CharSectno"/>
        </w:rPr>
        <w:t>12A</w:t>
      </w:r>
      <w:r>
        <w:rPr>
          <w:snapToGrid w:val="0"/>
        </w:rPr>
        <w:t>.</w:t>
      </w:r>
      <w:r>
        <w:rPr>
          <w:snapToGrid w:val="0"/>
        </w:rPr>
        <w:tab/>
        <w:t>Entry of premises</w:t>
      </w:r>
      <w:bookmarkEnd w:id="23"/>
      <w:r>
        <w:rPr>
          <w:snapToGrid w:val="0"/>
        </w:rPr>
        <w:t xml:space="preserve"> </w:t>
      </w:r>
    </w:p>
    <w:p>
      <w:pPr>
        <w:pStyle w:val="Subsection"/>
        <w:keepNext/>
        <w:spacing w:before="180"/>
        <w:rPr>
          <w:snapToGrid w:val="0"/>
        </w:rPr>
      </w:pPr>
      <w:r>
        <w:rPr>
          <w:snapToGrid w:val="0"/>
        </w:rPr>
        <w:tab/>
        <w:t>(1)</w:t>
      </w:r>
      <w:r>
        <w:rPr>
          <w:snapToGrid w:val="0"/>
        </w:rPr>
        <w:tab/>
        <w:t>A registration officer may, with the consent of the occupier, enter and inspect — </w:t>
      </w:r>
    </w:p>
    <w:p>
      <w:pPr>
        <w:pStyle w:val="Indenta"/>
        <w:keepNext/>
      </w:pPr>
      <w:r>
        <w:tab/>
        <w:t>(a)</w:t>
      </w:r>
      <w:r>
        <w:tab/>
        <w:t xml:space="preserve">any premises — </w:t>
      </w:r>
    </w:p>
    <w:p>
      <w:pPr>
        <w:pStyle w:val="Indenti"/>
      </w:pPr>
      <w:r>
        <w:tab/>
        <w:t>(i)</w:t>
      </w:r>
      <w:r>
        <w:tab/>
        <w:t>where a dog is registered to be ordinarily kept; or</w:t>
      </w:r>
    </w:p>
    <w:p>
      <w:pPr>
        <w:pStyle w:val="Indenti"/>
        <w:keepNext/>
      </w:pPr>
      <w:r>
        <w:lastRenderedPageBreak/>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keepNext/>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keepNext/>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No. 23 of 1987 s. 11; amended: No. 18 of 2013 s. 10.] </w:t>
      </w:r>
    </w:p>
    <w:p>
      <w:pPr>
        <w:pStyle w:val="Heading5"/>
        <w:rPr>
          <w:snapToGrid w:val="0"/>
        </w:rPr>
      </w:pPr>
      <w:bookmarkStart w:id="24" w:name="_Toc112320880"/>
      <w:r>
        <w:rPr>
          <w:rStyle w:val="CharSectno"/>
        </w:rPr>
        <w:t>13</w:t>
      </w:r>
      <w:r>
        <w:rPr>
          <w:snapToGrid w:val="0"/>
        </w:rPr>
        <w:t>.</w:t>
      </w:r>
      <w:r>
        <w:rPr>
          <w:snapToGrid w:val="0"/>
        </w:rPr>
        <w:tab/>
        <w:t>Immunity of persons acting in good faith</w:t>
      </w:r>
      <w:bookmarkEnd w:id="24"/>
      <w:r>
        <w:rPr>
          <w:snapToGrid w:val="0"/>
        </w:rPr>
        <w:t xml:space="preserve"> </w:t>
      </w:r>
    </w:p>
    <w:p>
      <w:pPr>
        <w:pStyle w:val="Subsection"/>
        <w:keepNext/>
        <w:rPr>
          <w:snapToGrid w:val="0"/>
        </w:rPr>
      </w:pPr>
      <w:r>
        <w:rPr>
          <w:snapToGrid w:val="0"/>
        </w:rPr>
        <w:tab/>
      </w:r>
      <w:r>
        <w:rPr>
          <w:snapToGrid w:val="0"/>
        </w:rPr>
        <w:tab/>
        <w:t xml:space="preserve">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w:t>
      </w:r>
      <w:r>
        <w:rPr>
          <w:snapToGrid w:val="0"/>
        </w:rPr>
        <w:lastRenderedPageBreak/>
        <w:t>done, or omitted to be done, maliciously or without reasonable and probable cause.</w:t>
      </w:r>
    </w:p>
    <w:p>
      <w:pPr>
        <w:pStyle w:val="Footnotesection"/>
      </w:pPr>
      <w:r>
        <w:tab/>
        <w:t xml:space="preserve">[Section 13 amended: No. 14 of 1996 s. 4.] </w:t>
      </w:r>
    </w:p>
    <w:p>
      <w:pPr>
        <w:pStyle w:val="Heading2"/>
      </w:pPr>
      <w:bookmarkStart w:id="25" w:name="_Toc112242859"/>
      <w:bookmarkStart w:id="26" w:name="_Toc112243766"/>
      <w:bookmarkStart w:id="27" w:name="_Toc112320881"/>
      <w:r>
        <w:rPr>
          <w:rStyle w:val="CharPartNo"/>
        </w:rPr>
        <w:lastRenderedPageBreak/>
        <w:t>Part III</w:t>
      </w:r>
      <w:r>
        <w:rPr>
          <w:b w:val="0"/>
        </w:rPr>
        <w:t> </w:t>
      </w:r>
      <w:r>
        <w:t>—</w:t>
      </w:r>
      <w:r>
        <w:rPr>
          <w:b w:val="0"/>
        </w:rPr>
        <w:t> </w:t>
      </w:r>
      <w:r>
        <w:rPr>
          <w:rStyle w:val="CharPartText"/>
        </w:rPr>
        <w:t>Registration and identification</w:t>
      </w:r>
      <w:bookmarkEnd w:id="25"/>
      <w:bookmarkEnd w:id="26"/>
      <w:bookmarkEnd w:id="27"/>
    </w:p>
    <w:p>
      <w:pPr>
        <w:pStyle w:val="Footnoteheading"/>
      </w:pPr>
      <w:r>
        <w:tab/>
        <w:t xml:space="preserve">[Heading inserted: No. 18 of 2013 s. 11.] </w:t>
      </w:r>
    </w:p>
    <w:p>
      <w:pPr>
        <w:pStyle w:val="Heading3"/>
      </w:pPr>
      <w:bookmarkStart w:id="28" w:name="_Toc112242860"/>
      <w:bookmarkStart w:id="29" w:name="_Toc112243767"/>
      <w:bookmarkStart w:id="30" w:name="_Toc112320882"/>
      <w:r>
        <w:rPr>
          <w:rStyle w:val="CharDivNo"/>
        </w:rPr>
        <w:t>Division 1</w:t>
      </w:r>
      <w:r>
        <w:t> — </w:t>
      </w:r>
      <w:r>
        <w:rPr>
          <w:rStyle w:val="CharDivText"/>
        </w:rPr>
        <w:t>Registration</w:t>
      </w:r>
      <w:bookmarkEnd w:id="28"/>
      <w:bookmarkEnd w:id="29"/>
      <w:bookmarkEnd w:id="30"/>
    </w:p>
    <w:p>
      <w:pPr>
        <w:pStyle w:val="Footnoteheading"/>
      </w:pPr>
      <w:r>
        <w:tab/>
        <w:t xml:space="preserve">[Heading inserted: No. 18 of 2013 s. 11.] </w:t>
      </w:r>
    </w:p>
    <w:p>
      <w:pPr>
        <w:pStyle w:val="Heading5"/>
      </w:pPr>
      <w:bookmarkStart w:id="31" w:name="_Toc112320883"/>
      <w:r>
        <w:rPr>
          <w:rStyle w:val="CharSectno"/>
        </w:rPr>
        <w:t>14</w:t>
      </w:r>
      <w:r>
        <w:t>.</w:t>
      </w:r>
      <w:r>
        <w:tab/>
        <w:t>Register of dogs</w:t>
      </w:r>
      <w:bookmarkEnd w:id="31"/>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No. 18 of 2013 s. 12.]</w:t>
      </w:r>
    </w:p>
    <w:p>
      <w:pPr>
        <w:pStyle w:val="Heading5"/>
        <w:rPr>
          <w:snapToGrid w:val="0"/>
        </w:rPr>
      </w:pPr>
      <w:bookmarkStart w:id="32" w:name="_Toc112320884"/>
      <w:r>
        <w:rPr>
          <w:rStyle w:val="CharSectno"/>
        </w:rPr>
        <w:t>15</w:t>
      </w:r>
      <w:r>
        <w:rPr>
          <w:snapToGrid w:val="0"/>
        </w:rPr>
        <w:t>.</w:t>
      </w:r>
      <w:r>
        <w:rPr>
          <w:snapToGrid w:val="0"/>
        </w:rPr>
        <w:tab/>
        <w:t>Registration periods and fees</w:t>
      </w:r>
      <w:bookmarkEnd w:id="32"/>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lastRenderedPageBreak/>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lastRenderedPageBreak/>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No. 57 of 1977 s. 3; No. 23 of 1987 s. 13; No. 18 of 2013 s. 13.] </w:t>
      </w:r>
    </w:p>
    <w:p>
      <w:pPr>
        <w:pStyle w:val="Heading5"/>
        <w:rPr>
          <w:snapToGrid w:val="0"/>
        </w:rPr>
      </w:pPr>
      <w:bookmarkStart w:id="33" w:name="_Toc112320885"/>
      <w:r>
        <w:rPr>
          <w:rStyle w:val="CharSectno"/>
        </w:rPr>
        <w:t>16</w:t>
      </w:r>
      <w:r>
        <w:rPr>
          <w:snapToGrid w:val="0"/>
        </w:rPr>
        <w:t>.</w:t>
      </w:r>
      <w:r>
        <w:rPr>
          <w:snapToGrid w:val="0"/>
        </w:rPr>
        <w:tab/>
        <w:t>Registration procedure</w:t>
      </w:r>
      <w:bookmarkEnd w:id="33"/>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lastRenderedPageBreak/>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lastRenderedPageBreak/>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lastRenderedPageBreak/>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No. 23 of 1987 s. 14 and 44; No. 14 of 1996 s. 4; No. 24 of 1996 s. 6; No. 10 of 1998 s. 29(1); No. 18 of 2013 s. 14.] </w:t>
      </w:r>
    </w:p>
    <w:p>
      <w:pPr>
        <w:pStyle w:val="Heading5"/>
      </w:pPr>
      <w:bookmarkStart w:id="34" w:name="_Toc112320886"/>
      <w:r>
        <w:rPr>
          <w:rStyle w:val="CharSectno"/>
        </w:rPr>
        <w:t>16AA</w:t>
      </w:r>
      <w:r>
        <w:rPr>
          <w:snapToGrid w:val="0"/>
        </w:rPr>
        <w:t>.</w:t>
      </w:r>
      <w:r>
        <w:rPr>
          <w:snapToGrid w:val="0"/>
        </w:rPr>
        <w:tab/>
        <w:t>Owner’s delegate</w:t>
      </w:r>
      <w:bookmarkEnd w:id="34"/>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No. 18 of 2013 s. 15.]</w:t>
      </w:r>
    </w:p>
    <w:p>
      <w:pPr>
        <w:pStyle w:val="Heading5"/>
        <w:rPr>
          <w:snapToGrid w:val="0"/>
        </w:rPr>
      </w:pPr>
      <w:bookmarkStart w:id="35" w:name="_Toc112320887"/>
      <w:r>
        <w:rPr>
          <w:rStyle w:val="CharSectno"/>
        </w:rPr>
        <w:t>16A</w:t>
      </w:r>
      <w:r>
        <w:rPr>
          <w:snapToGrid w:val="0"/>
        </w:rPr>
        <w:t>.</w:t>
      </w:r>
      <w:r>
        <w:rPr>
          <w:snapToGrid w:val="0"/>
        </w:rPr>
        <w:tab/>
        <w:t>Change of ownership</w:t>
      </w:r>
      <w:bookmarkEnd w:id="35"/>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 xml:space="preserve">is transferred to another person, the registered owner shall within 28 days thereafter cause the local government in whose register </w:t>
      </w:r>
      <w:r>
        <w:rPr>
          <w:snapToGrid w:val="0"/>
        </w:rPr>
        <w:lastRenderedPageBreak/>
        <w:t>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No. 23 of 1987 s. 15; amended: No. 14 of 1996 s. 4; No. 24 of 1996 s. 16; No. 55 of 2004 s. 254; No. 18 of 2013 s. 16.] </w:t>
      </w:r>
    </w:p>
    <w:p>
      <w:pPr>
        <w:pStyle w:val="Heading5"/>
      </w:pPr>
      <w:bookmarkStart w:id="36" w:name="_Toc112320888"/>
      <w:r>
        <w:rPr>
          <w:rStyle w:val="CharSectno"/>
        </w:rPr>
        <w:t>17A</w:t>
      </w:r>
      <w:r>
        <w:t>.</w:t>
      </w:r>
      <w:r>
        <w:tab/>
        <w:t>If no application for registration made</w:t>
      </w:r>
      <w:bookmarkEnd w:id="36"/>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w:t>
      </w:r>
      <w:r>
        <w:lastRenderedPageBreak/>
        <w:t xml:space="preserve">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No. 18 of 2013 s. 17.] </w:t>
      </w:r>
    </w:p>
    <w:p>
      <w:pPr>
        <w:pStyle w:val="Heading5"/>
        <w:rPr>
          <w:snapToGrid w:val="0"/>
        </w:rPr>
      </w:pPr>
      <w:bookmarkStart w:id="37" w:name="_Toc112320889"/>
      <w:r>
        <w:rPr>
          <w:rStyle w:val="CharSectno"/>
        </w:rPr>
        <w:t>17</w:t>
      </w:r>
      <w:r>
        <w:rPr>
          <w:snapToGrid w:val="0"/>
        </w:rPr>
        <w:t>.</w:t>
      </w:r>
      <w:r>
        <w:rPr>
          <w:snapToGrid w:val="0"/>
        </w:rPr>
        <w:tab/>
        <w:t>Refusal or cancellation of registration</w:t>
      </w:r>
      <w:bookmarkEnd w:id="37"/>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lastRenderedPageBreak/>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No. 23 of 1987 s. 16; No. 14 of 1996 s. 4; No. 55 of 2004 s. 255; No. 18 of 2013 s. 18.] </w:t>
      </w:r>
    </w:p>
    <w:p>
      <w:pPr>
        <w:pStyle w:val="Heading5"/>
        <w:spacing w:before="240"/>
        <w:rPr>
          <w:snapToGrid w:val="0"/>
        </w:rPr>
      </w:pPr>
      <w:bookmarkStart w:id="38" w:name="_Toc112320890"/>
      <w:r>
        <w:rPr>
          <w:rStyle w:val="CharSectno"/>
        </w:rPr>
        <w:t>18</w:t>
      </w:r>
      <w:r>
        <w:rPr>
          <w:snapToGrid w:val="0"/>
        </w:rPr>
        <w:t>.</w:t>
      </w:r>
      <w:r>
        <w:rPr>
          <w:snapToGrid w:val="0"/>
        </w:rPr>
        <w:tab/>
        <w:t>Registration tags</w:t>
      </w:r>
      <w:bookmarkEnd w:id="38"/>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w:t>
      </w:r>
      <w:r>
        <w:lastRenderedPageBreak/>
        <w:t xml:space="preserve">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No. 23 of 1987 s. 17; amended: No. 18 of 2013 s. 19.] </w:t>
      </w:r>
    </w:p>
    <w:p>
      <w:pPr>
        <w:pStyle w:val="Heading5"/>
        <w:rPr>
          <w:snapToGrid w:val="0"/>
        </w:rPr>
      </w:pPr>
      <w:bookmarkStart w:id="39" w:name="_Toc112320891"/>
      <w:r>
        <w:rPr>
          <w:rStyle w:val="CharSectno"/>
        </w:rPr>
        <w:t>19</w:t>
      </w:r>
      <w:r>
        <w:rPr>
          <w:snapToGrid w:val="0"/>
        </w:rPr>
        <w:t>.</w:t>
      </w:r>
      <w:r>
        <w:rPr>
          <w:snapToGrid w:val="0"/>
        </w:rPr>
        <w:tab/>
        <w:t>Refund of fee on cancellation</w:t>
      </w:r>
      <w:bookmarkEnd w:id="39"/>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No. 23 of 1987 s. 18; amended: No. 14 of 1996 s. 4.] </w:t>
      </w:r>
    </w:p>
    <w:p>
      <w:pPr>
        <w:pStyle w:val="Heading5"/>
        <w:keepNext w:val="0"/>
        <w:rPr>
          <w:snapToGrid w:val="0"/>
        </w:rPr>
      </w:pPr>
      <w:bookmarkStart w:id="40" w:name="_Toc112320892"/>
      <w:r>
        <w:rPr>
          <w:rStyle w:val="CharSectno"/>
        </w:rPr>
        <w:t>20</w:t>
      </w:r>
      <w:r>
        <w:rPr>
          <w:snapToGrid w:val="0"/>
        </w:rPr>
        <w:t>.</w:t>
      </w:r>
      <w:r>
        <w:rPr>
          <w:snapToGrid w:val="0"/>
        </w:rPr>
        <w:tab/>
        <w:t>Offences relating to registration etc.</w:t>
      </w:r>
      <w:bookmarkEnd w:id="40"/>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lastRenderedPageBreak/>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No. 23 of 1987 s. 19 and 44; No. 14 of 1996 s. 4; No. 24 of 1996 s. 16; No. 18 of 2013 s. 20.] </w:t>
      </w:r>
    </w:p>
    <w:p>
      <w:pPr>
        <w:pStyle w:val="Heading3"/>
        <w:spacing w:before="260"/>
      </w:pPr>
      <w:bookmarkStart w:id="41" w:name="_Toc112242871"/>
      <w:bookmarkStart w:id="42" w:name="_Toc112243778"/>
      <w:bookmarkStart w:id="43" w:name="_Toc112320893"/>
      <w:r>
        <w:rPr>
          <w:rStyle w:val="CharDivNo"/>
        </w:rPr>
        <w:t>Division 2</w:t>
      </w:r>
      <w:r>
        <w:t> — </w:t>
      </w:r>
      <w:r>
        <w:rPr>
          <w:rStyle w:val="CharDivText"/>
        </w:rPr>
        <w:t>Microchipping</w:t>
      </w:r>
      <w:bookmarkEnd w:id="41"/>
      <w:bookmarkEnd w:id="42"/>
      <w:bookmarkEnd w:id="43"/>
    </w:p>
    <w:p>
      <w:pPr>
        <w:pStyle w:val="Footnoteheading"/>
        <w:keepNext/>
      </w:pPr>
      <w:r>
        <w:tab/>
        <w:t xml:space="preserve">[Heading inserted: No. 18 of 2013 s. 21.] </w:t>
      </w:r>
    </w:p>
    <w:p>
      <w:pPr>
        <w:pStyle w:val="Heading5"/>
        <w:spacing w:before="240"/>
      </w:pPr>
      <w:bookmarkStart w:id="44" w:name="_Toc112320894"/>
      <w:r>
        <w:rPr>
          <w:rStyle w:val="CharSectno"/>
        </w:rPr>
        <w:t>21</w:t>
      </w:r>
      <w:r>
        <w:t>.</w:t>
      </w:r>
      <w:r>
        <w:tab/>
        <w:t>Microchipping of dogs other than dangerous dogs</w:t>
      </w:r>
      <w:bookmarkEnd w:id="44"/>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keepNext/>
      </w:pPr>
      <w:r>
        <w:lastRenderedPageBreak/>
        <w:tab/>
        <w:t>(b)</w:t>
      </w:r>
      <w:r>
        <w:tab/>
        <w:t>the dog was not registered under this Act or the law of another State or a Territory so that its registration was in effect on 31 October 2013.</w:t>
      </w:r>
    </w:p>
    <w:p>
      <w:pPr>
        <w:pStyle w:val="Penstart"/>
        <w:keepNex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No. 18 of 2013 s. 21.] </w:t>
      </w:r>
    </w:p>
    <w:p>
      <w:pPr>
        <w:pStyle w:val="Ednotepart"/>
      </w:pPr>
      <w:r>
        <w:t>[Part IV heading deleted: No. 23 of 1987 s. 21.]</w:t>
      </w:r>
    </w:p>
    <w:p>
      <w:pPr>
        <w:pStyle w:val="Heading5"/>
        <w:spacing w:before="240"/>
      </w:pPr>
      <w:bookmarkStart w:id="45" w:name="_Toc112320895"/>
      <w:r>
        <w:rPr>
          <w:rStyle w:val="CharSectno"/>
        </w:rPr>
        <w:t>22</w:t>
      </w:r>
      <w:r>
        <w:t>.</w:t>
      </w:r>
      <w:r>
        <w:tab/>
        <w:t>Microchipping of dangerous dogs</w:t>
      </w:r>
      <w:bookmarkEnd w:id="45"/>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lastRenderedPageBreak/>
        <w:tab/>
        <w:t>(b)</w:t>
      </w:r>
      <w:r>
        <w:tab/>
        <w:t xml:space="preserve">for each separate and further offence committed by the person under the </w:t>
      </w:r>
      <w:r>
        <w:rPr>
          <w:i/>
        </w:rPr>
        <w:t>Interpretation Act 1984</w:t>
      </w:r>
      <w:r>
        <w:t xml:space="preserve"> section 71, a fine of $500.</w:t>
      </w:r>
    </w:p>
    <w:p>
      <w:pPr>
        <w:pStyle w:val="Subsection"/>
        <w:keepNext/>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No. 18 of 2013 s. 21.] </w:t>
      </w:r>
    </w:p>
    <w:p>
      <w:pPr>
        <w:pStyle w:val="Heading5"/>
        <w:keepLines w:val="0"/>
        <w:widowControl w:val="0"/>
      </w:pPr>
      <w:bookmarkStart w:id="46" w:name="_Toc112320896"/>
      <w:r>
        <w:rPr>
          <w:rStyle w:val="CharSectno"/>
        </w:rPr>
        <w:lastRenderedPageBreak/>
        <w:t>23</w:t>
      </w:r>
      <w:r>
        <w:t>.</w:t>
      </w:r>
      <w:r>
        <w:tab/>
        <w:t>Notice to be given of microchip information</w:t>
      </w:r>
      <w:bookmarkEnd w:id="46"/>
    </w:p>
    <w:p>
      <w:pPr>
        <w:pStyle w:val="Subsection"/>
        <w:keepNext/>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keepNext/>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No. 18 of 2013 s. 21.] </w:t>
      </w:r>
    </w:p>
    <w:p>
      <w:pPr>
        <w:pStyle w:val="Heading5"/>
      </w:pPr>
      <w:bookmarkStart w:id="47" w:name="_Toc112320897"/>
      <w:r>
        <w:rPr>
          <w:rStyle w:val="CharSectno"/>
        </w:rPr>
        <w:t>24</w:t>
      </w:r>
      <w:r>
        <w:t>.</w:t>
      </w:r>
      <w:r>
        <w:tab/>
        <w:t>Microchip implanter to give information to microchip database company</w:t>
      </w:r>
      <w:bookmarkEnd w:id="47"/>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No. 18 of 2013 s. 21.] </w:t>
      </w:r>
    </w:p>
    <w:p>
      <w:pPr>
        <w:pStyle w:val="Heading5"/>
      </w:pPr>
      <w:bookmarkStart w:id="48" w:name="_Toc112320898"/>
      <w:r>
        <w:rPr>
          <w:rStyle w:val="CharSectno"/>
        </w:rPr>
        <w:t>25</w:t>
      </w:r>
      <w:r>
        <w:t>.</w:t>
      </w:r>
      <w:r>
        <w:tab/>
        <w:t>Microchip database company’s obligations</w:t>
      </w:r>
      <w:bookmarkEnd w:id="48"/>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No. 18 of 2013 s. 21.] </w:t>
      </w:r>
    </w:p>
    <w:p>
      <w:pPr>
        <w:pStyle w:val="Heading5"/>
      </w:pPr>
      <w:bookmarkStart w:id="49" w:name="_Toc112320899"/>
      <w:r>
        <w:rPr>
          <w:rStyle w:val="CharSectno"/>
        </w:rPr>
        <w:lastRenderedPageBreak/>
        <w:t>26A</w:t>
      </w:r>
      <w:r>
        <w:t>.</w:t>
      </w:r>
      <w:r>
        <w:tab/>
        <w:t>Interference with microchips</w:t>
      </w:r>
      <w:bookmarkEnd w:id="49"/>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No. 18 of 2013 s. 21.] </w:t>
      </w:r>
    </w:p>
    <w:p>
      <w:pPr>
        <w:pStyle w:val="Heading5"/>
      </w:pPr>
      <w:bookmarkStart w:id="50" w:name="_Toc112320900"/>
      <w:r>
        <w:rPr>
          <w:rStyle w:val="CharSectno"/>
        </w:rPr>
        <w:t>26B</w:t>
      </w:r>
      <w:r>
        <w:t>.</w:t>
      </w:r>
      <w:r>
        <w:tab/>
        <w:t>Transfer of ownership of unmicrochipped dogs</w:t>
      </w:r>
      <w:bookmarkEnd w:id="50"/>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No. 18 of 2013 s. 21.] </w:t>
      </w:r>
    </w:p>
    <w:p>
      <w:pPr>
        <w:pStyle w:val="Heading5"/>
      </w:pPr>
      <w:bookmarkStart w:id="51" w:name="_Toc112320901"/>
      <w:r>
        <w:rPr>
          <w:rStyle w:val="CharSectno"/>
        </w:rPr>
        <w:t>26C</w:t>
      </w:r>
      <w:r>
        <w:t>.</w:t>
      </w:r>
      <w:r>
        <w:tab/>
        <w:t>Transfer of ownership of microchipped dogs</w:t>
      </w:r>
      <w:bookmarkEnd w:id="51"/>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No. 18 of 2013 s. 21.] </w:t>
      </w:r>
    </w:p>
    <w:p>
      <w:pPr>
        <w:pStyle w:val="Heading3"/>
        <w:keepNext w:val="0"/>
        <w:pageBreakBefore/>
        <w:widowControl w:val="0"/>
        <w:spacing w:before="0"/>
      </w:pPr>
      <w:bookmarkStart w:id="52" w:name="_Toc112242880"/>
      <w:bookmarkStart w:id="53" w:name="_Toc112243787"/>
      <w:bookmarkStart w:id="54" w:name="_Toc112320902"/>
      <w:r>
        <w:rPr>
          <w:rStyle w:val="CharDivNo"/>
        </w:rPr>
        <w:lastRenderedPageBreak/>
        <w:t>Division 3</w:t>
      </w:r>
      <w:r>
        <w:t> — </w:t>
      </w:r>
      <w:r>
        <w:rPr>
          <w:rStyle w:val="CharDivText"/>
        </w:rPr>
        <w:t>Changes to recorded information</w:t>
      </w:r>
      <w:bookmarkEnd w:id="52"/>
      <w:bookmarkEnd w:id="53"/>
      <w:bookmarkEnd w:id="54"/>
    </w:p>
    <w:p>
      <w:pPr>
        <w:pStyle w:val="Footnoteheading"/>
      </w:pPr>
      <w:r>
        <w:tab/>
        <w:t xml:space="preserve">[Heading inserted: No. 18 of 2013 s. 21.] </w:t>
      </w:r>
    </w:p>
    <w:p>
      <w:pPr>
        <w:pStyle w:val="Heading5"/>
      </w:pPr>
      <w:bookmarkStart w:id="55" w:name="_Toc112320903"/>
      <w:r>
        <w:rPr>
          <w:rStyle w:val="CharSectno"/>
        </w:rPr>
        <w:t>26D</w:t>
      </w:r>
      <w:r>
        <w:t>.</w:t>
      </w:r>
      <w:r>
        <w:tab/>
        <w:t>Notice to be given of changes to recorded information</w:t>
      </w:r>
      <w:bookmarkEnd w:id="55"/>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No. 18 of 2013 s. 21.] </w:t>
      </w:r>
    </w:p>
    <w:p>
      <w:pPr>
        <w:pStyle w:val="Heading2"/>
      </w:pPr>
      <w:bookmarkStart w:id="56" w:name="_Toc112242882"/>
      <w:bookmarkStart w:id="57" w:name="_Toc112243789"/>
      <w:bookmarkStart w:id="58" w:name="_Toc112320904"/>
      <w:r>
        <w:rPr>
          <w:rStyle w:val="CharPartNo"/>
        </w:rPr>
        <w:lastRenderedPageBreak/>
        <w:t>Part V</w:t>
      </w:r>
      <w:r>
        <w:rPr>
          <w:rStyle w:val="CharDivNo"/>
        </w:rPr>
        <w:t> </w:t>
      </w:r>
      <w:r>
        <w:t>—</w:t>
      </w:r>
      <w:r>
        <w:rPr>
          <w:rStyle w:val="CharDivText"/>
        </w:rPr>
        <w:t> </w:t>
      </w:r>
      <w:r>
        <w:rPr>
          <w:rStyle w:val="CharPartText"/>
        </w:rPr>
        <w:t>The keeping of dogs</w:t>
      </w:r>
      <w:bookmarkEnd w:id="56"/>
      <w:bookmarkEnd w:id="57"/>
      <w:bookmarkEnd w:id="58"/>
      <w:r>
        <w:rPr>
          <w:rStyle w:val="CharPartText"/>
        </w:rPr>
        <w:t xml:space="preserve"> </w:t>
      </w:r>
    </w:p>
    <w:p>
      <w:pPr>
        <w:pStyle w:val="Heading5"/>
        <w:spacing w:before="240"/>
        <w:rPr>
          <w:snapToGrid w:val="0"/>
        </w:rPr>
      </w:pPr>
      <w:bookmarkStart w:id="59" w:name="_Toc112320905"/>
      <w:r>
        <w:rPr>
          <w:rStyle w:val="CharSectno"/>
        </w:rPr>
        <w:t>26</w:t>
      </w:r>
      <w:r>
        <w:rPr>
          <w:snapToGrid w:val="0"/>
        </w:rPr>
        <w:t>.</w:t>
      </w:r>
      <w:r>
        <w:rPr>
          <w:snapToGrid w:val="0"/>
        </w:rPr>
        <w:tab/>
        <w:t>Limitation as to numbers</w:t>
      </w:r>
      <w:bookmarkEnd w:id="59"/>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keepNext/>
      </w:pPr>
      <w:r>
        <w:lastRenderedPageBreak/>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lastRenderedPageBreak/>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No. 23 of 1987 s. 22; No. 14 of 1996 s. 4; No. 24 of 1996 s. 16; No. 55 of 2004 s. 256 and 268; No. 18 of 2013 s. 22.] </w:t>
      </w:r>
    </w:p>
    <w:p>
      <w:pPr>
        <w:pStyle w:val="Heading5"/>
        <w:rPr>
          <w:snapToGrid w:val="0"/>
        </w:rPr>
      </w:pPr>
      <w:bookmarkStart w:id="60" w:name="_Toc112320906"/>
      <w:r>
        <w:rPr>
          <w:rStyle w:val="CharSectno"/>
        </w:rPr>
        <w:t>27</w:t>
      </w:r>
      <w:r>
        <w:rPr>
          <w:snapToGrid w:val="0"/>
        </w:rPr>
        <w:t>.</w:t>
      </w:r>
      <w:r>
        <w:rPr>
          <w:snapToGrid w:val="0"/>
        </w:rPr>
        <w:tab/>
        <w:t>Licensing of approved kennel establishments</w:t>
      </w:r>
      <w:bookmarkEnd w:id="60"/>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lastRenderedPageBreak/>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lastRenderedPageBreak/>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No. 23 of 1987 s. 23; No. 14 of 1996 s. 4; No. 24 of 1996 s. 16; No. 55 of 2004 s. 257; No. 18 of 2013 s. 23.] </w:t>
      </w:r>
    </w:p>
    <w:p>
      <w:pPr>
        <w:pStyle w:val="Heading2"/>
      </w:pPr>
      <w:bookmarkStart w:id="61" w:name="_Toc112242885"/>
      <w:bookmarkStart w:id="62" w:name="_Toc112243792"/>
      <w:bookmarkStart w:id="63" w:name="_Toc112320907"/>
      <w:r>
        <w:rPr>
          <w:rStyle w:val="CharPartNo"/>
        </w:rPr>
        <w:lastRenderedPageBreak/>
        <w:t>Part VI</w:t>
      </w:r>
      <w:r>
        <w:t> — </w:t>
      </w:r>
      <w:r>
        <w:rPr>
          <w:rStyle w:val="CharPartText"/>
        </w:rPr>
        <w:t>Control of dogs</w:t>
      </w:r>
      <w:bookmarkEnd w:id="61"/>
      <w:bookmarkEnd w:id="62"/>
      <w:bookmarkEnd w:id="63"/>
      <w:r>
        <w:rPr>
          <w:rStyle w:val="CharPartText"/>
        </w:rPr>
        <w:t xml:space="preserve"> </w:t>
      </w:r>
    </w:p>
    <w:p>
      <w:pPr>
        <w:pStyle w:val="Footnoteheading"/>
        <w:spacing w:before="100"/>
        <w:ind w:left="890"/>
        <w:rPr>
          <w:snapToGrid w:val="0"/>
        </w:rPr>
      </w:pPr>
      <w:r>
        <w:rPr>
          <w:snapToGrid w:val="0"/>
        </w:rPr>
        <w:tab/>
        <w:t>[Heading inserted: No. 23 of 1987 s. 24.]</w:t>
      </w:r>
    </w:p>
    <w:p>
      <w:pPr>
        <w:pStyle w:val="Heading3"/>
        <w:rPr>
          <w:snapToGrid w:val="0"/>
        </w:rPr>
      </w:pPr>
      <w:bookmarkStart w:id="64" w:name="_Toc112242886"/>
      <w:bookmarkStart w:id="65" w:name="_Toc112243793"/>
      <w:bookmarkStart w:id="66" w:name="_Toc112320908"/>
      <w:r>
        <w:rPr>
          <w:rStyle w:val="CharDivNo"/>
        </w:rPr>
        <w:t>Division 1</w:t>
      </w:r>
      <w:r>
        <w:rPr>
          <w:snapToGrid w:val="0"/>
        </w:rPr>
        <w:t> — </w:t>
      </w:r>
      <w:r>
        <w:rPr>
          <w:rStyle w:val="CharDivText"/>
        </w:rPr>
        <w:t>Dogs generally</w:t>
      </w:r>
      <w:bookmarkEnd w:id="64"/>
      <w:bookmarkEnd w:id="65"/>
      <w:bookmarkEnd w:id="66"/>
      <w:r>
        <w:rPr>
          <w:rStyle w:val="CharDivText"/>
        </w:rPr>
        <w:t xml:space="preserve"> </w:t>
      </w:r>
    </w:p>
    <w:p>
      <w:pPr>
        <w:pStyle w:val="Footnoteheading"/>
        <w:spacing w:before="100"/>
        <w:ind w:left="890"/>
        <w:rPr>
          <w:snapToGrid w:val="0"/>
        </w:rPr>
      </w:pPr>
      <w:r>
        <w:rPr>
          <w:snapToGrid w:val="0"/>
        </w:rPr>
        <w:tab/>
        <w:t xml:space="preserve">[Heading inserted: No. 24 of 1996 s. 7.] </w:t>
      </w:r>
    </w:p>
    <w:p>
      <w:pPr>
        <w:pStyle w:val="Heading5"/>
      </w:pPr>
      <w:bookmarkStart w:id="67" w:name="_Toc112320909"/>
      <w:r>
        <w:rPr>
          <w:rStyle w:val="CharSectno"/>
        </w:rPr>
        <w:t>28</w:t>
      </w:r>
      <w:r>
        <w:t>.</w:t>
      </w:r>
      <w:r>
        <w:tab/>
        <w:t>Obligation to identify dog’s owner</w:t>
      </w:r>
      <w:bookmarkEnd w:id="67"/>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No. 18 of 2013 s. 24.] </w:t>
      </w:r>
    </w:p>
    <w:p>
      <w:pPr>
        <w:pStyle w:val="Heading5"/>
        <w:rPr>
          <w:snapToGrid w:val="0"/>
        </w:rPr>
      </w:pPr>
      <w:bookmarkStart w:id="68" w:name="_Toc112320910"/>
      <w:r>
        <w:rPr>
          <w:rStyle w:val="CharSectno"/>
        </w:rPr>
        <w:t>29</w:t>
      </w:r>
      <w:r>
        <w:rPr>
          <w:snapToGrid w:val="0"/>
        </w:rPr>
        <w:t>.</w:t>
      </w:r>
      <w:r>
        <w:rPr>
          <w:snapToGrid w:val="0"/>
        </w:rPr>
        <w:tab/>
        <w:t>Power to seize dogs</w:t>
      </w:r>
      <w:bookmarkEnd w:id="68"/>
    </w:p>
    <w:p>
      <w:pPr>
        <w:pStyle w:val="Ednotesubsection"/>
      </w:pPr>
      <w:r>
        <w:tab/>
        <w:t>[(1)</w:t>
      </w:r>
      <w:r>
        <w:tab/>
        <w:t>deleted]</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keepNext/>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lastRenderedPageBreak/>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lastRenderedPageBreak/>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t>
      </w:r>
      <w:r>
        <w:rPr>
          <w:snapToGrid w:val="0"/>
        </w:rPr>
        <w:lastRenderedPageBreak/>
        <w:t xml:space="preserve">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lastRenderedPageBreak/>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lastRenderedPageBreak/>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lastRenderedPageBreak/>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 xml:space="preserve">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w:t>
      </w:r>
      <w:r>
        <w:t>veterinarian</w:t>
      </w:r>
      <w:r>
        <w:rPr>
          <w:snapToGrid w:val="0"/>
        </w:rPr>
        <w:t xml:space="preserve"> </w:t>
      </w:r>
      <w:r>
        <w:t>or a medical practitioner.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lastRenderedPageBreak/>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No. 23 of 1987 s. 26; No. 14 of 1996 s. 4; No. 24 of 1996 s. 8; No. 57 of 1997 s. 49; No. 10 of 1998 s. 29(1); No. 55 of 2004 s. 258; No. 18 of 2013 s. 25; No. 19 of 2016 s. 132; No. 16 of 2019 s. 109; No. 19 of 2021 s. 230(8).] </w:t>
      </w:r>
    </w:p>
    <w:p>
      <w:pPr>
        <w:pStyle w:val="Heading5"/>
        <w:spacing w:before="180"/>
      </w:pPr>
      <w:bookmarkStart w:id="69" w:name="_Toc112320911"/>
      <w:r>
        <w:rPr>
          <w:rStyle w:val="CharSectno"/>
        </w:rPr>
        <w:t>30A</w:t>
      </w:r>
      <w:r>
        <w:t>.</w:t>
      </w:r>
      <w:r>
        <w:tab/>
        <w:t>Operator of dog management facility may have dog microchipped at owner’s expense</w:t>
      </w:r>
      <w:bookmarkEnd w:id="69"/>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No. 18 of 2013 s. 26.]</w:t>
      </w:r>
    </w:p>
    <w:p>
      <w:pPr>
        <w:pStyle w:val="Heading5"/>
        <w:rPr>
          <w:snapToGrid w:val="0"/>
        </w:rPr>
      </w:pPr>
      <w:bookmarkStart w:id="70" w:name="_Toc112320912"/>
      <w:r>
        <w:rPr>
          <w:rStyle w:val="CharSectno"/>
        </w:rPr>
        <w:lastRenderedPageBreak/>
        <w:t>30</w:t>
      </w:r>
      <w:r>
        <w:rPr>
          <w:snapToGrid w:val="0"/>
        </w:rPr>
        <w:t>.</w:t>
      </w:r>
      <w:r>
        <w:rPr>
          <w:snapToGrid w:val="0"/>
        </w:rPr>
        <w:tab/>
        <w:t>Dogs to wear collars, registration tags etc.</w:t>
      </w:r>
      <w:bookmarkEnd w:id="70"/>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No. 23 of 1987 s. 27; amended: No. 14 of 1996 s. 4; No. 24 of 1996 s. 16; No. 23 of 1998 s. 20; No. 35 of 2003 s. 220(2); No. 18 of 2013 s. 27.] </w:t>
      </w:r>
    </w:p>
    <w:p>
      <w:pPr>
        <w:pStyle w:val="Heading5"/>
        <w:keepNext w:val="0"/>
        <w:keepLines w:val="0"/>
        <w:pageBreakBefore/>
        <w:widowControl w:val="0"/>
        <w:spacing w:before="0"/>
        <w:rPr>
          <w:snapToGrid w:val="0"/>
        </w:rPr>
      </w:pPr>
      <w:bookmarkStart w:id="71" w:name="_Toc112320913"/>
      <w:r>
        <w:rPr>
          <w:rStyle w:val="CharSectno"/>
        </w:rPr>
        <w:lastRenderedPageBreak/>
        <w:t>31</w:t>
      </w:r>
      <w:r>
        <w:rPr>
          <w:snapToGrid w:val="0"/>
        </w:rPr>
        <w:t>.</w:t>
      </w:r>
      <w:r>
        <w:rPr>
          <w:snapToGrid w:val="0"/>
        </w:rPr>
        <w:tab/>
        <w:t>Control of dogs in certain public places</w:t>
      </w:r>
      <w:bookmarkEnd w:id="71"/>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lastRenderedPageBreak/>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 xml:space="preserve">or (2A), every person liable for the control of the </w:t>
      </w:r>
      <w:r>
        <w:lastRenderedPageBreak/>
        <w:t>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No. 23 of 1987 s. 27; amended: No. 14 of 1996 s. 4; No. 24 of 1996 s. 16; No. 18 of 2013 s. 28.] </w:t>
      </w:r>
    </w:p>
    <w:p>
      <w:pPr>
        <w:pStyle w:val="Heading5"/>
        <w:rPr>
          <w:snapToGrid w:val="0"/>
        </w:rPr>
      </w:pPr>
      <w:bookmarkStart w:id="72" w:name="_Toc112320914"/>
      <w:r>
        <w:rPr>
          <w:rStyle w:val="CharSectno"/>
        </w:rPr>
        <w:t>32</w:t>
      </w:r>
      <w:r>
        <w:rPr>
          <w:snapToGrid w:val="0"/>
        </w:rPr>
        <w:t>.</w:t>
      </w:r>
      <w:r>
        <w:rPr>
          <w:snapToGrid w:val="0"/>
        </w:rPr>
        <w:tab/>
        <w:t>Control of dogs in exercise areas and rural areas</w:t>
      </w:r>
      <w:bookmarkEnd w:id="72"/>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lastRenderedPageBreak/>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No. 23 of 1987 s. 27; amended: No. 14 of 1996 s. 4; No. 24 of 1996 s. 16; No. 18 of 2013 s. 29.] </w:t>
      </w:r>
    </w:p>
    <w:p>
      <w:pPr>
        <w:pStyle w:val="Heading5"/>
        <w:spacing w:before="260"/>
        <w:rPr>
          <w:snapToGrid w:val="0"/>
        </w:rPr>
      </w:pPr>
      <w:bookmarkStart w:id="73" w:name="_Toc112320915"/>
      <w:r>
        <w:rPr>
          <w:rStyle w:val="CharSectno"/>
        </w:rPr>
        <w:t>33</w:t>
      </w:r>
      <w:r>
        <w:rPr>
          <w:snapToGrid w:val="0"/>
        </w:rPr>
        <w:t>.</w:t>
      </w:r>
      <w:r>
        <w:rPr>
          <w:snapToGrid w:val="0"/>
        </w:rPr>
        <w:tab/>
        <w:t>Special provision for greyhounds</w:t>
      </w:r>
      <w:bookmarkEnd w:id="7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Ednotesubsection"/>
      </w:pPr>
      <w:r>
        <w:tab/>
        <w:t>[(3)</w:t>
      </w:r>
      <w:r>
        <w:tab/>
        <w:t>deleted]</w:t>
      </w:r>
    </w:p>
    <w:p>
      <w:pPr>
        <w:pStyle w:val="Subsection"/>
      </w:pPr>
      <w:r>
        <w:tab/>
        <w:t>(4)</w:t>
      </w:r>
      <w:r>
        <w:tab/>
        <w:t>This section does not apply to a dangerous dog.</w:t>
      </w:r>
    </w:p>
    <w:p>
      <w:pPr>
        <w:pStyle w:val="Footnotesection"/>
        <w:ind w:left="890" w:hanging="890"/>
      </w:pPr>
      <w:r>
        <w:lastRenderedPageBreak/>
        <w:tab/>
        <w:t xml:space="preserve">[Section 33 inserted: No. 23 of 1987 s. 27; amended: No. 24 of 1996 s. 16; No. 23 of 1998 s. 20; No. 35 of 2003 s. 220(3); No. 18 of 2013 s. 30; No. 29 of 2021 s. 4.] </w:t>
      </w:r>
    </w:p>
    <w:p>
      <w:pPr>
        <w:pStyle w:val="Heading5"/>
        <w:spacing w:before="260"/>
        <w:rPr>
          <w:snapToGrid w:val="0"/>
        </w:rPr>
      </w:pPr>
      <w:bookmarkStart w:id="74" w:name="_Toc112320916"/>
      <w:r>
        <w:rPr>
          <w:rStyle w:val="CharSectno"/>
        </w:rPr>
        <w:t>33A</w:t>
      </w:r>
      <w:r>
        <w:rPr>
          <w:snapToGrid w:val="0"/>
        </w:rPr>
        <w:t>.</w:t>
      </w:r>
      <w:r>
        <w:rPr>
          <w:snapToGrid w:val="0"/>
        </w:rPr>
        <w:tab/>
        <w:t>Control of dogs in places that are not public</w:t>
      </w:r>
      <w:bookmarkEnd w:id="74"/>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keepNext/>
        <w:spacing w:before="200"/>
        <w:rPr>
          <w:snapToGrid w:val="0"/>
        </w:rPr>
      </w:pPr>
      <w:r>
        <w:rPr>
          <w:snapToGrid w:val="0"/>
        </w:rPr>
        <w:tab/>
        <w:t>(2)</w:t>
      </w:r>
      <w:r>
        <w:rPr>
          <w:snapToGrid w:val="0"/>
        </w:rPr>
        <w:tab/>
        <w:t>A dog is exempt from the requirements of subsection (1) if it is —</w:t>
      </w:r>
    </w:p>
    <w:p>
      <w:pPr>
        <w:pStyle w:val="Indenta"/>
      </w:pPr>
      <w:r>
        <w:tab/>
        <w:t>(a)</w:t>
      </w:r>
      <w:r>
        <w:tab/>
        <w:t xml:space="preserve">in a pet shop or veterinary premises as defined in the </w:t>
      </w:r>
      <w:r>
        <w:rPr>
          <w:i/>
        </w:rPr>
        <w:t>Veterinary Practice Act 2021</w:t>
      </w:r>
      <w:r>
        <w:t xml:space="preserve"> section 3; or</w:t>
      </w:r>
    </w:p>
    <w:p>
      <w:pPr>
        <w:pStyle w:val="Indenta"/>
      </w:pPr>
      <w:r>
        <w:tab/>
        <w:t>(b)</w:t>
      </w:r>
      <w:r>
        <w:tab/>
        <w:t>in or on a vehicle.</w:t>
      </w:r>
    </w:p>
    <w:p>
      <w:pPr>
        <w:pStyle w:val="Subsection"/>
        <w:keepNext/>
        <w:rPr>
          <w:snapToGrid w:val="0"/>
        </w:rPr>
      </w:pPr>
      <w:r>
        <w:rPr>
          <w:snapToGrid w:val="0"/>
        </w:rPr>
        <w:tab/>
        <w:t>(3)</w:t>
      </w:r>
      <w:r>
        <w:rPr>
          <w:snapToGrid w:val="0"/>
        </w:rPr>
        <w:tab/>
        <w:t xml:space="preserve">If a dog is at any time in any place in contravention of subsection (1) every person liable for the control of the dog at </w:t>
      </w:r>
      <w:r>
        <w:rPr>
          <w:snapToGrid w:val="0"/>
        </w:rPr>
        <w:lastRenderedPageBreak/>
        <w:t xml:space="preserve">that time commits an offence </w:t>
      </w:r>
      <w:r>
        <w:t>unless the person</w:t>
      </w:r>
      <w:r>
        <w:rPr>
          <w:snapToGrid w:val="0"/>
        </w:rPr>
        <w:t xml:space="preserve"> establishes a defence under section 33B.</w:t>
      </w:r>
    </w:p>
    <w:p>
      <w:pPr>
        <w:pStyle w:val="Penstart"/>
        <w:keepNex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No. 23 of 1987 s. 27; amended: No. 24 of 1996 s. 16; No. 18 of 2013 s. 31; No. 19 of 2021 s. 230(9).] </w:t>
      </w:r>
    </w:p>
    <w:p>
      <w:pPr>
        <w:pStyle w:val="Heading5"/>
        <w:rPr>
          <w:snapToGrid w:val="0"/>
        </w:rPr>
      </w:pPr>
      <w:bookmarkStart w:id="75" w:name="_Toc112320917"/>
      <w:r>
        <w:rPr>
          <w:rStyle w:val="CharSectno"/>
        </w:rPr>
        <w:t>33B</w:t>
      </w:r>
      <w:r>
        <w:rPr>
          <w:snapToGrid w:val="0"/>
        </w:rPr>
        <w:t>.</w:t>
      </w:r>
      <w:r>
        <w:rPr>
          <w:snapToGrid w:val="0"/>
        </w:rPr>
        <w:tab/>
        <w:t>Defences applicable to offences under this Division</w:t>
      </w:r>
      <w:bookmarkEnd w:id="75"/>
    </w:p>
    <w:p>
      <w:pPr>
        <w:pStyle w:val="Subsection"/>
        <w:rPr>
          <w:snapToGrid w:val="0"/>
        </w:rPr>
      </w:pPr>
      <w:r>
        <w:rPr>
          <w:snapToGrid w:val="0"/>
        </w:rPr>
        <w:tab/>
      </w:r>
      <w:r>
        <w:rPr>
          <w:snapToGrid w:val="0"/>
        </w:rPr>
        <w:tab/>
        <w:t xml:space="preserve">It is a defence to a charge of an offence under section 30(2), 31(3), </w:t>
      </w:r>
      <w:r>
        <w:t xml:space="preserve">32(4) </w:t>
      </w:r>
      <w:r>
        <w:rPr>
          <w:snapToGrid w:val="0"/>
        </w:rPr>
        <w:t>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No. 23 of 1987 s. 27; amended: No. 18 of 2013 s. 32; No. 29 of 2021 s. 5.] </w:t>
      </w:r>
    </w:p>
    <w:p>
      <w:pPr>
        <w:pStyle w:val="Heading5"/>
        <w:keepLines w:val="0"/>
        <w:rPr>
          <w:snapToGrid w:val="0"/>
        </w:rPr>
      </w:pPr>
      <w:bookmarkStart w:id="76" w:name="_Toc112320918"/>
      <w:r>
        <w:rPr>
          <w:rStyle w:val="CharSectno"/>
        </w:rPr>
        <w:lastRenderedPageBreak/>
        <w:t>33C</w:t>
      </w:r>
      <w:r>
        <w:rPr>
          <w:snapToGrid w:val="0"/>
        </w:rPr>
        <w:t>.</w:t>
      </w:r>
      <w:r>
        <w:rPr>
          <w:snapToGrid w:val="0"/>
        </w:rPr>
        <w:tab/>
        <w:t>Saving</w:t>
      </w:r>
      <w:bookmarkEnd w:id="76"/>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No. 23 of 1987 s. 27.] </w:t>
      </w:r>
    </w:p>
    <w:p>
      <w:pPr>
        <w:pStyle w:val="Heading5"/>
        <w:rPr>
          <w:snapToGrid w:val="0"/>
        </w:rPr>
      </w:pPr>
      <w:bookmarkStart w:id="77" w:name="_Toc112320919"/>
      <w:r>
        <w:rPr>
          <w:rStyle w:val="CharSectno"/>
        </w:rPr>
        <w:t>33D</w:t>
      </w:r>
      <w:r>
        <w:rPr>
          <w:snapToGrid w:val="0"/>
        </w:rPr>
        <w:t>.</w:t>
      </w:r>
      <w:r>
        <w:rPr>
          <w:snapToGrid w:val="0"/>
        </w:rPr>
        <w:tab/>
        <w:t>Dog attacks etc.</w:t>
      </w:r>
      <w:bookmarkEnd w:id="77"/>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lastRenderedPageBreak/>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No. 23 of 1987 s. 27; amended: No. 24 of 1996 s. 9 and 16; No. 18 of 2013 s. 33.] </w:t>
      </w:r>
    </w:p>
    <w:p>
      <w:pPr>
        <w:pStyle w:val="Heading3"/>
        <w:rPr>
          <w:snapToGrid w:val="0"/>
        </w:rPr>
      </w:pPr>
      <w:bookmarkStart w:id="78" w:name="_Toc112242898"/>
      <w:bookmarkStart w:id="79" w:name="_Toc112243805"/>
      <w:bookmarkStart w:id="80" w:name="_Toc112320920"/>
      <w:r>
        <w:rPr>
          <w:rStyle w:val="CharDivNo"/>
        </w:rPr>
        <w:lastRenderedPageBreak/>
        <w:t>Division 2</w:t>
      </w:r>
      <w:r>
        <w:rPr>
          <w:snapToGrid w:val="0"/>
        </w:rPr>
        <w:t> — </w:t>
      </w:r>
      <w:r>
        <w:rPr>
          <w:rStyle w:val="CharDivText"/>
        </w:rPr>
        <w:t>Dangerous dogs</w:t>
      </w:r>
      <w:bookmarkEnd w:id="78"/>
      <w:bookmarkEnd w:id="79"/>
      <w:bookmarkEnd w:id="80"/>
      <w:r>
        <w:rPr>
          <w:rStyle w:val="CharDivText"/>
        </w:rPr>
        <w:t xml:space="preserve"> </w:t>
      </w:r>
    </w:p>
    <w:p>
      <w:pPr>
        <w:pStyle w:val="Footnoteheading"/>
        <w:ind w:left="890"/>
        <w:rPr>
          <w:snapToGrid w:val="0"/>
        </w:rPr>
      </w:pPr>
      <w:r>
        <w:rPr>
          <w:snapToGrid w:val="0"/>
        </w:rPr>
        <w:tab/>
        <w:t xml:space="preserve">[Heading inserted: No. 24 of 1996 s. 10.] </w:t>
      </w:r>
    </w:p>
    <w:p>
      <w:pPr>
        <w:pStyle w:val="Heading5"/>
        <w:spacing w:before="240"/>
        <w:rPr>
          <w:snapToGrid w:val="0"/>
        </w:rPr>
      </w:pPr>
      <w:bookmarkStart w:id="81" w:name="_Toc112320921"/>
      <w:r>
        <w:rPr>
          <w:rStyle w:val="CharSectno"/>
        </w:rPr>
        <w:t>33E</w:t>
      </w:r>
      <w:r>
        <w:rPr>
          <w:snapToGrid w:val="0"/>
        </w:rPr>
        <w:t>.</w:t>
      </w:r>
      <w:r>
        <w:rPr>
          <w:snapToGrid w:val="0"/>
        </w:rPr>
        <w:tab/>
        <w:t>Individual dog may be declared to be dangerous dog (declared)</w:t>
      </w:r>
      <w:bookmarkEnd w:id="81"/>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No. 24 of 1996 s. 10; amended: No. 10 of 1998 s. 29(1); No. 55 of 2004 s. 259; No. 18 of 2013 s. 34.] </w:t>
      </w:r>
    </w:p>
    <w:p>
      <w:pPr>
        <w:pStyle w:val="Heading5"/>
        <w:rPr>
          <w:snapToGrid w:val="0"/>
        </w:rPr>
      </w:pPr>
      <w:bookmarkStart w:id="82" w:name="_Toc112320922"/>
      <w:r>
        <w:rPr>
          <w:rStyle w:val="CharSectno"/>
        </w:rPr>
        <w:lastRenderedPageBreak/>
        <w:t>33F</w:t>
      </w:r>
      <w:r>
        <w:rPr>
          <w:snapToGrid w:val="0"/>
        </w:rPr>
        <w:t>.</w:t>
      </w:r>
      <w:r>
        <w:rPr>
          <w:snapToGrid w:val="0"/>
        </w:rPr>
        <w:tab/>
        <w:t>Owner to be notified of making of declaration</w:t>
      </w:r>
      <w:bookmarkEnd w:id="82"/>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lastRenderedPageBreak/>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No. 24 of 1996 s. 10; amended: No. 10 of 1998 s. 29(1); No. 55 of 2004 s. 260 and 268; No. 18 of 2013 s. 35.] </w:t>
      </w:r>
    </w:p>
    <w:p>
      <w:pPr>
        <w:pStyle w:val="Heading5"/>
        <w:spacing w:before="180"/>
      </w:pPr>
      <w:bookmarkStart w:id="83" w:name="_Toc112320923"/>
      <w:r>
        <w:rPr>
          <w:rStyle w:val="CharSectno"/>
        </w:rPr>
        <w:t>33GA</w:t>
      </w:r>
      <w:r>
        <w:t>.</w:t>
      </w:r>
      <w:r>
        <w:tab/>
        <w:t>Offences relating to dangerous dogs</w:t>
      </w:r>
      <w:bookmarkEnd w:id="83"/>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lastRenderedPageBreak/>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lastRenderedPageBreak/>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lastRenderedPageBreak/>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keepNext/>
      </w:pPr>
      <w:r>
        <w:lastRenderedPageBreak/>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lastRenderedPageBreak/>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No. 18 of 2013 s. 36.] </w:t>
      </w:r>
    </w:p>
    <w:p>
      <w:pPr>
        <w:pStyle w:val="Heading5"/>
      </w:pPr>
      <w:bookmarkStart w:id="84" w:name="_Toc112320924"/>
      <w:r>
        <w:rPr>
          <w:rStyle w:val="CharSectno"/>
        </w:rPr>
        <w:t>33GB</w:t>
      </w:r>
      <w:r>
        <w:t>.</w:t>
      </w:r>
      <w:r>
        <w:tab/>
        <w:t>Dangerous dogs (restricted breed) to be sterilised</w:t>
      </w:r>
      <w:bookmarkEnd w:id="84"/>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No. 18 of 2013 s. 36.] </w:t>
      </w:r>
    </w:p>
    <w:p>
      <w:pPr>
        <w:pStyle w:val="Heading5"/>
      </w:pPr>
      <w:bookmarkStart w:id="85" w:name="_Toc112320925"/>
      <w:r>
        <w:rPr>
          <w:rStyle w:val="CharSectno"/>
        </w:rPr>
        <w:t>33GC</w:t>
      </w:r>
      <w:r>
        <w:t>.</w:t>
      </w:r>
      <w:r>
        <w:tab/>
        <w:t>Restrictions on transferring ownership of dangerous dogs (restricted breed)</w:t>
      </w:r>
      <w:bookmarkEnd w:id="85"/>
    </w:p>
    <w:p>
      <w:pPr>
        <w:pStyle w:val="Subsection"/>
        <w:keepNext/>
      </w:pPr>
      <w:r>
        <w:tab/>
        <w:t>(1)</w:t>
      </w:r>
      <w:r>
        <w:tab/>
        <w:t xml:space="preserve">In this section — </w:t>
      </w:r>
    </w:p>
    <w:p>
      <w:pPr>
        <w:pStyle w:val="Defstart"/>
        <w:keepNex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lastRenderedPageBreak/>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lastRenderedPageBreak/>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No. 18 of 2013 s. 36.] </w:t>
      </w:r>
    </w:p>
    <w:p>
      <w:pPr>
        <w:pStyle w:val="Heading5"/>
        <w:spacing w:before="240"/>
      </w:pPr>
      <w:bookmarkStart w:id="86" w:name="_Toc112320926"/>
      <w:r>
        <w:rPr>
          <w:rStyle w:val="CharSectno"/>
        </w:rPr>
        <w:t>33GD</w:t>
      </w:r>
      <w:r>
        <w:t>.</w:t>
      </w:r>
      <w:r>
        <w:tab/>
        <w:t>Dangerous dogs (restricted breed) not to be bred</w:t>
      </w:r>
      <w:bookmarkEnd w:id="86"/>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No. 18 of 2013 s. 36.] </w:t>
      </w:r>
    </w:p>
    <w:p>
      <w:pPr>
        <w:pStyle w:val="Heading5"/>
      </w:pPr>
      <w:bookmarkStart w:id="87" w:name="_Toc112320927"/>
      <w:r>
        <w:rPr>
          <w:rStyle w:val="CharSectno"/>
        </w:rPr>
        <w:t>33GE</w:t>
      </w:r>
      <w:r>
        <w:t>.</w:t>
      </w:r>
      <w:r>
        <w:tab/>
        <w:t>Prohibition on transfer of ownership of dangerous dogs (declared) to persons under 18</w:t>
      </w:r>
      <w:bookmarkEnd w:id="87"/>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keepNext/>
      </w:pPr>
      <w:r>
        <w:lastRenderedPageBreak/>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No. 18 of 2013 s. 36.] </w:t>
      </w:r>
    </w:p>
    <w:p>
      <w:pPr>
        <w:pStyle w:val="Heading5"/>
        <w:spacing w:before="120"/>
        <w:rPr>
          <w:snapToGrid w:val="0"/>
        </w:rPr>
      </w:pPr>
      <w:bookmarkStart w:id="88" w:name="_Toc112320928"/>
      <w:r>
        <w:rPr>
          <w:rStyle w:val="CharSectno"/>
        </w:rPr>
        <w:t>33G</w:t>
      </w:r>
      <w:r>
        <w:rPr>
          <w:snapToGrid w:val="0"/>
        </w:rPr>
        <w:t>.</w:t>
      </w:r>
      <w:r>
        <w:rPr>
          <w:snapToGrid w:val="0"/>
        </w:rPr>
        <w:tab/>
        <w:t>Seizure and destruction</w:t>
      </w:r>
      <w:bookmarkEnd w:id="88"/>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lastRenderedPageBreak/>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keepLines/>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keepLines/>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lastRenderedPageBreak/>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keepNext/>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keepNext/>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lastRenderedPageBreak/>
        <w:tab/>
        <w:t xml:space="preserve">[Section 33G inserted: No. 24 of 1996 s. 10; amended: No. 10 of 1998 s. 29(1); No. 55 of 2004 s. 261 and 268; No. 8 of 2009 s. 47(2); No. 18 of 2013 s. 37.] </w:t>
      </w:r>
    </w:p>
    <w:p>
      <w:pPr>
        <w:pStyle w:val="Heading5"/>
        <w:rPr>
          <w:snapToGrid w:val="0"/>
        </w:rPr>
      </w:pPr>
      <w:bookmarkStart w:id="89" w:name="_Toc112320929"/>
      <w:r>
        <w:rPr>
          <w:rStyle w:val="CharSectno"/>
        </w:rPr>
        <w:t>33H</w:t>
      </w:r>
      <w:r>
        <w:rPr>
          <w:snapToGrid w:val="0"/>
        </w:rPr>
        <w:t>.</w:t>
      </w:r>
      <w:r>
        <w:rPr>
          <w:snapToGrid w:val="0"/>
        </w:rPr>
        <w:tab/>
        <w:t>Local government may revoke declaration or proposal to destroy</w:t>
      </w:r>
      <w:bookmarkEnd w:id="89"/>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keepNext/>
        <w:spacing w:before="180"/>
        <w:rPr>
          <w:snapToGrid w:val="0"/>
        </w:rPr>
      </w:pPr>
      <w:r>
        <w:rPr>
          <w:snapToGrid w:val="0"/>
        </w:rPr>
        <w:lastRenderedPageBreak/>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No. 24 of 1996 s. 10; amended: No. 10 of 1998 s. 29(1); No. 55 of 2004 s. 262; No. 18 of 2013 s. 38.] </w:t>
      </w:r>
    </w:p>
    <w:p>
      <w:pPr>
        <w:pStyle w:val="Heading5"/>
        <w:keepNext w:val="0"/>
        <w:keepLines w:val="0"/>
        <w:spacing w:before="240"/>
        <w:rPr>
          <w:snapToGrid w:val="0"/>
        </w:rPr>
      </w:pPr>
      <w:bookmarkStart w:id="90" w:name="_Toc112320930"/>
      <w:r>
        <w:rPr>
          <w:rStyle w:val="CharSectno"/>
        </w:rPr>
        <w:t>33I</w:t>
      </w:r>
      <w:r>
        <w:rPr>
          <w:snapToGrid w:val="0"/>
        </w:rPr>
        <w:t>.</w:t>
      </w:r>
      <w:r>
        <w:rPr>
          <w:snapToGrid w:val="0"/>
        </w:rPr>
        <w:tab/>
        <w:t>Jurisdiction of State Administrative Tribunal</w:t>
      </w:r>
      <w:bookmarkEnd w:id="90"/>
    </w:p>
    <w:p>
      <w:pPr>
        <w:pStyle w:val="Subsection"/>
        <w:keepNext/>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w:t>
      </w:r>
      <w:r>
        <w:rPr>
          <w:snapToGrid w:val="0"/>
        </w:rPr>
        <w:lastRenderedPageBreak/>
        <w:t>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No. 24 of 1996 s. 10; amended: No. 10 of 1998 s. 29(1); No. 55 of 2004 s. 263; No. 18 of 2013 s. 39.] </w:t>
      </w:r>
    </w:p>
    <w:p>
      <w:pPr>
        <w:pStyle w:val="Heading5"/>
        <w:rPr>
          <w:snapToGrid w:val="0"/>
        </w:rPr>
      </w:pPr>
      <w:bookmarkStart w:id="91" w:name="_Toc112320931"/>
      <w:r>
        <w:rPr>
          <w:rStyle w:val="CharSectno"/>
        </w:rPr>
        <w:t>33J</w:t>
      </w:r>
      <w:r>
        <w:rPr>
          <w:snapToGrid w:val="0"/>
        </w:rPr>
        <w:t>.</w:t>
      </w:r>
      <w:r>
        <w:rPr>
          <w:snapToGrid w:val="0"/>
        </w:rPr>
        <w:tab/>
        <w:t>Duration of declaration</w:t>
      </w:r>
      <w:bookmarkEnd w:id="91"/>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lastRenderedPageBreak/>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No. 24 of 1996 s. 10; amended: No. 10 of 1998 s. 29(1); No. 55 of 2004 s. 264; No. 8 of 2009 s. 47(3); No. 18 of 2013 s. 40.] </w:t>
      </w:r>
    </w:p>
    <w:p>
      <w:pPr>
        <w:pStyle w:val="Heading5"/>
        <w:rPr>
          <w:snapToGrid w:val="0"/>
        </w:rPr>
      </w:pPr>
      <w:bookmarkStart w:id="92" w:name="_Toc112320932"/>
      <w:r>
        <w:rPr>
          <w:rStyle w:val="CharSectno"/>
        </w:rPr>
        <w:t>33K</w:t>
      </w:r>
      <w:r>
        <w:rPr>
          <w:snapToGrid w:val="0"/>
        </w:rPr>
        <w:t>.</w:t>
      </w:r>
      <w:r>
        <w:rPr>
          <w:snapToGrid w:val="0"/>
        </w:rPr>
        <w:tab/>
        <w:t>Duty to notify persons</w:t>
      </w:r>
      <w:bookmarkEnd w:id="92"/>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lastRenderedPageBreak/>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keepNext/>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No. 24 of 1996 s. 10; amended: No. 10 of 1998 s. 29(1); No. 18 of 2013 s. 41.] </w:t>
      </w:r>
    </w:p>
    <w:p>
      <w:pPr>
        <w:pStyle w:val="Heading5"/>
        <w:spacing w:before="240"/>
      </w:pPr>
      <w:bookmarkStart w:id="93" w:name="_Toc112320933"/>
      <w:r>
        <w:rPr>
          <w:rStyle w:val="CharSectno"/>
        </w:rPr>
        <w:lastRenderedPageBreak/>
        <w:t>33L</w:t>
      </w:r>
      <w:r>
        <w:t>.</w:t>
      </w:r>
      <w:r>
        <w:tab/>
        <w:t>Defences applicable to this Division</w:t>
      </w:r>
      <w:bookmarkEnd w:id="93"/>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No. 18 of 2013 s. 42.] </w:t>
      </w:r>
    </w:p>
    <w:p>
      <w:pPr>
        <w:pStyle w:val="Heading5"/>
        <w:spacing w:before="240"/>
        <w:rPr>
          <w:snapToGrid w:val="0"/>
        </w:rPr>
      </w:pPr>
      <w:bookmarkStart w:id="94" w:name="_Toc112320934"/>
      <w:r>
        <w:rPr>
          <w:rStyle w:val="CharSectno"/>
        </w:rPr>
        <w:t>33M</w:t>
      </w:r>
      <w:r>
        <w:rPr>
          <w:snapToGrid w:val="0"/>
        </w:rPr>
        <w:t>.</w:t>
      </w:r>
      <w:r>
        <w:rPr>
          <w:snapToGrid w:val="0"/>
        </w:rPr>
        <w:tab/>
        <w:t>Local government expenses to be recoverable</w:t>
      </w:r>
      <w:bookmarkEnd w:id="94"/>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 xml:space="preserve">a reasonable charge, up to such maximum amount as may be prescribed, as determined by the local government having regard to the expense incurred by the local government in making inquiries, investigations and inspections concerning the behaviour of that </w:t>
      </w:r>
      <w:r>
        <w:lastRenderedPageBreak/>
        <w:t>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No. 24 of 1996 s. 10; amended: No. 10 of 1998 s. 29(1); No. 18 of 2013 s. 43.] </w:t>
      </w:r>
    </w:p>
    <w:p>
      <w:pPr>
        <w:pStyle w:val="Heading3"/>
        <w:widowControl w:val="0"/>
        <w:rPr>
          <w:snapToGrid w:val="0"/>
          <w:sz w:val="24"/>
        </w:rPr>
      </w:pPr>
      <w:bookmarkStart w:id="95" w:name="_Toc112242913"/>
      <w:bookmarkStart w:id="96" w:name="_Toc112243820"/>
      <w:bookmarkStart w:id="97" w:name="_Toc112320935"/>
      <w:r>
        <w:rPr>
          <w:rStyle w:val="CharDivNo"/>
        </w:rPr>
        <w:t>Division 3</w:t>
      </w:r>
      <w:r>
        <w:rPr>
          <w:snapToGrid w:val="0"/>
        </w:rPr>
        <w:t> — </w:t>
      </w:r>
      <w:r>
        <w:rPr>
          <w:rStyle w:val="CharDivText"/>
        </w:rPr>
        <w:t>Protection of stock; vermin disease and parasite control</w:t>
      </w:r>
      <w:bookmarkEnd w:id="95"/>
      <w:bookmarkEnd w:id="96"/>
      <w:bookmarkEnd w:id="97"/>
      <w:r>
        <w:rPr>
          <w:rStyle w:val="CharDivText"/>
        </w:rPr>
        <w:t xml:space="preserve"> </w:t>
      </w:r>
    </w:p>
    <w:p>
      <w:pPr>
        <w:pStyle w:val="Footnoteheading"/>
        <w:keepNext/>
        <w:ind w:left="890"/>
        <w:rPr>
          <w:snapToGrid w:val="0"/>
        </w:rPr>
      </w:pPr>
      <w:r>
        <w:rPr>
          <w:snapToGrid w:val="0"/>
        </w:rPr>
        <w:tab/>
        <w:t xml:space="preserve">[Heading inserted: No. 24 of 1996 s. 11.] </w:t>
      </w:r>
    </w:p>
    <w:p>
      <w:pPr>
        <w:pStyle w:val="Heading5"/>
        <w:spacing w:before="240"/>
        <w:rPr>
          <w:snapToGrid w:val="0"/>
        </w:rPr>
      </w:pPr>
      <w:bookmarkStart w:id="98" w:name="_Toc112320936"/>
      <w:r>
        <w:rPr>
          <w:rStyle w:val="CharSectno"/>
        </w:rPr>
        <w:t>34</w:t>
      </w:r>
      <w:r>
        <w:rPr>
          <w:snapToGrid w:val="0"/>
        </w:rPr>
        <w:t>.</w:t>
      </w:r>
      <w:r>
        <w:rPr>
          <w:snapToGrid w:val="0"/>
        </w:rPr>
        <w:tab/>
        <w:t>Protection of livestock</w:t>
      </w:r>
      <w:bookmarkEnd w:id="98"/>
      <w:r>
        <w:rPr>
          <w:snapToGrid w:val="0"/>
        </w:rPr>
        <w:t xml:space="preserve"> </w:t>
      </w:r>
    </w:p>
    <w:p>
      <w:pPr>
        <w:pStyle w:val="Subsection"/>
        <w:keepNext/>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xml:space="preserve">) are confined, or </w:t>
      </w:r>
      <w:r>
        <w:rPr>
          <w:snapToGrid w:val="0"/>
        </w:rPr>
        <w:lastRenderedPageBreak/>
        <w:t>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No. 23 of 1987 s. 28; No. 24 of 1996 s. 16; No. 18 of 2013 s. 44.] </w:t>
      </w:r>
    </w:p>
    <w:p>
      <w:pPr>
        <w:pStyle w:val="Heading5"/>
        <w:spacing w:before="240"/>
        <w:rPr>
          <w:snapToGrid w:val="0"/>
        </w:rPr>
      </w:pPr>
      <w:bookmarkStart w:id="99" w:name="_Toc112320937"/>
      <w:r>
        <w:rPr>
          <w:rStyle w:val="CharSectno"/>
        </w:rPr>
        <w:lastRenderedPageBreak/>
        <w:t>35</w:t>
      </w:r>
      <w:r>
        <w:rPr>
          <w:snapToGrid w:val="0"/>
        </w:rPr>
        <w:t>.</w:t>
      </w:r>
      <w:r>
        <w:rPr>
          <w:snapToGrid w:val="0"/>
        </w:rPr>
        <w:tab/>
        <w:t>Destruction of vermin etc.</w:t>
      </w:r>
      <w:bookmarkEnd w:id="99"/>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spacing w:before="120"/>
        <w:ind w:left="890" w:hanging="890"/>
      </w:pPr>
      <w:r>
        <w:t>[</w:t>
      </w:r>
      <w:r>
        <w:rPr>
          <w:b/>
        </w:rPr>
        <w:t>36.</w:t>
      </w:r>
      <w:r>
        <w:tab/>
        <w:t>Deleted: No. 18 of 2013 s. 45.]</w:t>
      </w:r>
    </w:p>
    <w:p>
      <w:pPr>
        <w:pStyle w:val="Ednotesection"/>
        <w:spacing w:before="240"/>
        <w:ind w:left="890" w:hanging="890"/>
      </w:pPr>
      <w:r>
        <w:t>[</w:t>
      </w:r>
      <w:r>
        <w:rPr>
          <w:b/>
        </w:rPr>
        <w:t>37.</w:t>
      </w:r>
      <w:r>
        <w:rPr>
          <w:b/>
        </w:rPr>
        <w:tab/>
      </w:r>
      <w:r>
        <w:t xml:space="preserve">Deleted: No. 23 of 1987 s. 30.] </w:t>
      </w:r>
    </w:p>
    <w:p>
      <w:pPr>
        <w:pStyle w:val="Heading3"/>
        <w:keepLines/>
        <w:rPr>
          <w:snapToGrid w:val="0"/>
        </w:rPr>
      </w:pPr>
      <w:bookmarkStart w:id="100" w:name="_Toc112242916"/>
      <w:bookmarkStart w:id="101" w:name="_Toc112243823"/>
      <w:bookmarkStart w:id="102" w:name="_Toc112320938"/>
      <w:r>
        <w:rPr>
          <w:rStyle w:val="CharDivNo"/>
        </w:rPr>
        <w:t>Division 4</w:t>
      </w:r>
      <w:r>
        <w:rPr>
          <w:snapToGrid w:val="0"/>
        </w:rPr>
        <w:t> — </w:t>
      </w:r>
      <w:r>
        <w:rPr>
          <w:rStyle w:val="CharDivText"/>
        </w:rPr>
        <w:t>Control of nuisance</w:t>
      </w:r>
      <w:bookmarkEnd w:id="100"/>
      <w:bookmarkEnd w:id="101"/>
      <w:bookmarkEnd w:id="102"/>
      <w:r>
        <w:rPr>
          <w:rStyle w:val="CharDivText"/>
        </w:rPr>
        <w:t xml:space="preserve"> </w:t>
      </w:r>
    </w:p>
    <w:p>
      <w:pPr>
        <w:pStyle w:val="Footnoteheading"/>
        <w:keepNext/>
        <w:keepLines/>
        <w:ind w:left="890"/>
        <w:rPr>
          <w:snapToGrid w:val="0"/>
        </w:rPr>
      </w:pPr>
      <w:r>
        <w:rPr>
          <w:snapToGrid w:val="0"/>
        </w:rPr>
        <w:tab/>
        <w:t xml:space="preserve">[Heading inserted: No. 24 of 1996 s. 11.] </w:t>
      </w:r>
    </w:p>
    <w:p>
      <w:pPr>
        <w:pStyle w:val="Heading5"/>
      </w:pPr>
      <w:bookmarkStart w:id="103" w:name="_Toc112320939"/>
      <w:r>
        <w:rPr>
          <w:rStyle w:val="CharSectno"/>
        </w:rPr>
        <w:t>38</w:t>
      </w:r>
      <w:r>
        <w:t>.</w:t>
      </w:r>
      <w:r>
        <w:tab/>
        <w:t>Nuisance dogs</w:t>
      </w:r>
      <w:bookmarkEnd w:id="103"/>
    </w:p>
    <w:p>
      <w:pPr>
        <w:pStyle w:val="Subsection"/>
        <w:keepNext/>
        <w:keepLines/>
      </w:pPr>
      <w:r>
        <w:tab/>
        <w:t>(1)</w:t>
      </w:r>
      <w:r>
        <w:tab/>
        <w:t xml:space="preserve">For the purposes of this section, a dog is a nuisance if the dog — </w:t>
      </w:r>
    </w:p>
    <w:p>
      <w:pPr>
        <w:pStyle w:val="Indenta"/>
        <w:keepNext/>
        <w:keepLines/>
      </w:pPr>
      <w:r>
        <w:tab/>
        <w:t>(a)</w:t>
      </w:r>
      <w:r>
        <w:tab/>
        <w:t>makes a noise, by barking or otherwise, that persistently occurs or continues to such a degree or extent that it unreasonably interferes with the peace, comfort or convenience of any person in any place; or</w:t>
      </w:r>
    </w:p>
    <w:p>
      <w:pPr>
        <w:pStyle w:val="Indenta"/>
        <w:keepNext/>
        <w:keepLines/>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lastRenderedPageBreak/>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keepNext/>
      </w:pPr>
      <w:r>
        <w:tab/>
        <w:t>(5)</w:t>
      </w:r>
      <w:r>
        <w:tab/>
        <w:t>A person to whom an order is issued must comply with the order during the period in which it has effect.</w:t>
      </w:r>
    </w:p>
    <w:p>
      <w:pPr>
        <w:pStyle w:val="Penstart"/>
        <w:keepNext/>
      </w:pPr>
      <w:r>
        <w:tab/>
        <w:t>Penalty:</w:t>
      </w:r>
    </w:p>
    <w:p>
      <w:pPr>
        <w:pStyle w:val="Penpara"/>
        <w:keepNext/>
      </w:pPr>
      <w:r>
        <w:tab/>
        <w:t>(a)</w:t>
      </w:r>
      <w:r>
        <w:tab/>
        <w:t xml:space="preserve">for an offence relating to a dangerous dog — </w:t>
      </w:r>
    </w:p>
    <w:p>
      <w:pPr>
        <w:pStyle w:val="Pensubpara"/>
        <w:keepNext/>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No. 18 of 2013 s. 46.] </w:t>
      </w:r>
    </w:p>
    <w:p>
      <w:pPr>
        <w:pStyle w:val="Heading2"/>
      </w:pPr>
      <w:bookmarkStart w:id="104" w:name="_Toc112242918"/>
      <w:bookmarkStart w:id="105" w:name="_Toc112243825"/>
      <w:bookmarkStart w:id="106" w:name="_Toc112320940"/>
      <w:r>
        <w:rPr>
          <w:rStyle w:val="CharPartNo"/>
        </w:rPr>
        <w:lastRenderedPageBreak/>
        <w:t>Part VII</w:t>
      </w:r>
      <w:r>
        <w:rPr>
          <w:rStyle w:val="CharDivNo"/>
        </w:rPr>
        <w:t> </w:t>
      </w:r>
      <w:r>
        <w:t>—</w:t>
      </w:r>
      <w:r>
        <w:rPr>
          <w:rStyle w:val="CharDivText"/>
        </w:rPr>
        <w:t> </w:t>
      </w:r>
      <w:r>
        <w:rPr>
          <w:rStyle w:val="CharPartText"/>
        </w:rPr>
        <w:t>Enforcement</w:t>
      </w:r>
      <w:bookmarkEnd w:id="104"/>
      <w:bookmarkEnd w:id="105"/>
      <w:bookmarkEnd w:id="106"/>
      <w:r>
        <w:rPr>
          <w:rStyle w:val="CharPartText"/>
        </w:rPr>
        <w:t xml:space="preserve"> </w:t>
      </w:r>
    </w:p>
    <w:p>
      <w:pPr>
        <w:pStyle w:val="Heading5"/>
        <w:rPr>
          <w:snapToGrid w:val="0"/>
        </w:rPr>
      </w:pPr>
      <w:bookmarkStart w:id="107" w:name="_Toc112320941"/>
      <w:r>
        <w:rPr>
          <w:rStyle w:val="CharSectno"/>
        </w:rPr>
        <w:t>39</w:t>
      </w:r>
      <w:r>
        <w:rPr>
          <w:snapToGrid w:val="0"/>
        </w:rPr>
        <w:t>.</w:t>
      </w:r>
      <w:r>
        <w:rPr>
          <w:snapToGrid w:val="0"/>
        </w:rPr>
        <w:tab/>
        <w:t>Dogs causing injury or damage may be destroyed</w:t>
      </w:r>
      <w:bookmarkEnd w:id="107"/>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lastRenderedPageBreak/>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No. 24 of 1996 s. 12; amended: No. 10 of 1998 s. 29(1); No. 59 of 2004 s. 141; No. 18 of 2013 s. 47.] </w:t>
      </w:r>
    </w:p>
    <w:p>
      <w:pPr>
        <w:pStyle w:val="Heading5"/>
        <w:rPr>
          <w:snapToGrid w:val="0"/>
        </w:rPr>
      </w:pPr>
      <w:bookmarkStart w:id="108" w:name="_Toc112320942"/>
      <w:r>
        <w:rPr>
          <w:rStyle w:val="CharSectno"/>
        </w:rPr>
        <w:t>40</w:t>
      </w:r>
      <w:r>
        <w:rPr>
          <w:snapToGrid w:val="0"/>
        </w:rPr>
        <w:t>.</w:t>
      </w:r>
      <w:r>
        <w:rPr>
          <w:snapToGrid w:val="0"/>
        </w:rPr>
        <w:tab/>
        <w:t>Destruction of dogs etc.</w:t>
      </w:r>
      <w:bookmarkEnd w:id="108"/>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lastRenderedPageBreak/>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No. 23 of 1987 s. 32; No. 14 of 1996 s. 4; No. 55 of 2004 s. 267.] </w:t>
      </w:r>
    </w:p>
    <w:p>
      <w:pPr>
        <w:pStyle w:val="Heading5"/>
        <w:spacing w:before="120"/>
        <w:rPr>
          <w:snapToGrid w:val="0"/>
        </w:rPr>
      </w:pPr>
      <w:bookmarkStart w:id="109" w:name="_Toc112320943"/>
      <w:r>
        <w:rPr>
          <w:rStyle w:val="CharSectno"/>
        </w:rPr>
        <w:t>41</w:t>
      </w:r>
      <w:r>
        <w:rPr>
          <w:snapToGrid w:val="0"/>
        </w:rPr>
        <w:t>.</w:t>
      </w:r>
      <w:r>
        <w:rPr>
          <w:snapToGrid w:val="0"/>
        </w:rPr>
        <w:tab/>
        <w:t>Indemnity as to destruction of dogs</w:t>
      </w:r>
      <w:bookmarkEnd w:id="109"/>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No. 23 of 1987 s. 33.] </w:t>
      </w:r>
    </w:p>
    <w:p>
      <w:pPr>
        <w:pStyle w:val="Heading5"/>
        <w:spacing w:before="240"/>
        <w:rPr>
          <w:snapToGrid w:val="0"/>
        </w:rPr>
      </w:pPr>
      <w:bookmarkStart w:id="110" w:name="_Toc112320944"/>
      <w:r>
        <w:rPr>
          <w:rStyle w:val="CharSectno"/>
        </w:rPr>
        <w:lastRenderedPageBreak/>
        <w:t>43</w:t>
      </w:r>
      <w:r>
        <w:rPr>
          <w:snapToGrid w:val="0"/>
        </w:rPr>
        <w:t>.</w:t>
      </w:r>
      <w:r>
        <w:rPr>
          <w:snapToGrid w:val="0"/>
        </w:rPr>
        <w:tab/>
        <w:t>Offences relating to enforcement etc.</w:t>
      </w:r>
      <w:bookmarkEnd w:id="110"/>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keepLines/>
        <w:rPr>
          <w:snapToGrid w:val="0"/>
        </w:rPr>
      </w:pPr>
      <w:r>
        <w:rPr>
          <w:snapToGrid w:val="0"/>
        </w:rPr>
        <w:lastRenderedPageBreak/>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keepLines/>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No. 23 of 1987 s. 34; No. 24 of 1996 s. 13 and 16; No. 18 of 2013 s. 48.] </w:t>
      </w:r>
    </w:p>
    <w:p>
      <w:pPr>
        <w:pStyle w:val="Heading5"/>
        <w:rPr>
          <w:snapToGrid w:val="0"/>
        </w:rPr>
      </w:pPr>
      <w:bookmarkStart w:id="111" w:name="_Toc112320945"/>
      <w:r>
        <w:rPr>
          <w:rStyle w:val="CharSectno"/>
        </w:rPr>
        <w:t>43A</w:t>
      </w:r>
      <w:r>
        <w:rPr>
          <w:snapToGrid w:val="0"/>
        </w:rPr>
        <w:t>.</w:t>
      </w:r>
      <w:r>
        <w:rPr>
          <w:snapToGrid w:val="0"/>
        </w:rPr>
        <w:tab/>
        <w:t>Name and address to be supplied</w:t>
      </w:r>
      <w:bookmarkEnd w:id="111"/>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keepNext/>
      </w:pPr>
      <w:r>
        <w:lastRenderedPageBreak/>
        <w:tab/>
        <w:t>(b)</w:t>
      </w:r>
      <w:r>
        <w:tab/>
        <w:t>for an offence relating to a dog other than a dangerous dog, a fine of $5 000.</w:t>
      </w:r>
    </w:p>
    <w:p>
      <w:pPr>
        <w:pStyle w:val="Footnotesection"/>
        <w:keepNext/>
        <w:spacing w:before="100"/>
        <w:ind w:left="890" w:hanging="890"/>
      </w:pPr>
      <w:r>
        <w:tab/>
        <w:t xml:space="preserve">[Section 43A inserted: No. 23 of 1987 s. 35; amended: No. 24 of 1996 s. 16; No. 18 of 2013 s. 49.] </w:t>
      </w:r>
    </w:p>
    <w:p>
      <w:pPr>
        <w:pStyle w:val="Heading5"/>
        <w:spacing w:before="200"/>
        <w:rPr>
          <w:snapToGrid w:val="0"/>
        </w:rPr>
      </w:pPr>
      <w:bookmarkStart w:id="112" w:name="_Toc112320946"/>
      <w:r>
        <w:rPr>
          <w:rStyle w:val="CharSectno"/>
        </w:rPr>
        <w:t>44</w:t>
      </w:r>
      <w:r>
        <w:rPr>
          <w:snapToGrid w:val="0"/>
        </w:rPr>
        <w:t>.</w:t>
      </w:r>
      <w:r>
        <w:rPr>
          <w:snapToGrid w:val="0"/>
        </w:rPr>
        <w:tab/>
        <w:t>Enforcement proceedings</w:t>
      </w:r>
      <w:bookmarkEnd w:id="112"/>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No. 14 of 1996 s. 4; No. 59 of 2004 s. 141; No. 18 of 2013 s. 50.] </w:t>
      </w:r>
    </w:p>
    <w:p>
      <w:pPr>
        <w:pStyle w:val="Heading5"/>
        <w:keepLines w:val="0"/>
        <w:widowControl w:val="0"/>
        <w:rPr>
          <w:snapToGrid w:val="0"/>
        </w:rPr>
      </w:pPr>
      <w:bookmarkStart w:id="113" w:name="_Toc112320947"/>
      <w:r>
        <w:rPr>
          <w:rStyle w:val="CharSectno"/>
        </w:rPr>
        <w:lastRenderedPageBreak/>
        <w:t>45</w:t>
      </w:r>
      <w:r>
        <w:rPr>
          <w:snapToGrid w:val="0"/>
        </w:rPr>
        <w:t>.</w:t>
      </w:r>
      <w:r>
        <w:rPr>
          <w:snapToGrid w:val="0"/>
        </w:rPr>
        <w:tab/>
        <w:t>Evidentiary provisions</w:t>
      </w:r>
      <w:bookmarkEnd w:id="113"/>
      <w:r>
        <w:rPr>
          <w:snapToGrid w:val="0"/>
        </w:rPr>
        <w:t xml:space="preserve"> </w:t>
      </w:r>
    </w:p>
    <w:p>
      <w:pPr>
        <w:pStyle w:val="Subsection"/>
        <w:keepNext/>
      </w:pPr>
      <w:r>
        <w:tab/>
        <w:t>(1)</w:t>
      </w:r>
      <w:r>
        <w:tab/>
        <w:t xml:space="preserve">In any proceeding for an offence against this Act in relation to a specified dog — </w:t>
      </w:r>
    </w:p>
    <w:p>
      <w:pPr>
        <w:pStyle w:val="Indenta"/>
        <w:keepNext/>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lastRenderedPageBreak/>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No. 23 of 1987 s. 36; amended: No. 18 of 2013 s. 51.] </w:t>
      </w:r>
    </w:p>
    <w:p>
      <w:pPr>
        <w:pStyle w:val="Heading5"/>
        <w:rPr>
          <w:snapToGrid w:val="0"/>
        </w:rPr>
      </w:pPr>
      <w:bookmarkStart w:id="114" w:name="_Toc112320948"/>
      <w:r>
        <w:rPr>
          <w:rStyle w:val="CharSectno"/>
        </w:rPr>
        <w:t>45A</w:t>
      </w:r>
      <w:r>
        <w:rPr>
          <w:snapToGrid w:val="0"/>
        </w:rPr>
        <w:t>.</w:t>
      </w:r>
      <w:r>
        <w:rPr>
          <w:snapToGrid w:val="0"/>
        </w:rPr>
        <w:tab/>
        <w:t>Modified penalties</w:t>
      </w:r>
      <w:bookmarkEnd w:id="114"/>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 xml:space="preserve">The payment of a modified penalty shall not be regarded as an admission of liability for the purpose of, nor in any way affect </w:t>
      </w:r>
      <w:r>
        <w:rPr>
          <w:snapToGrid w:val="0"/>
        </w:rPr>
        <w:lastRenderedPageBreak/>
        <w:t>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No. 23 of 1987 s. 37; amended: No. 14 of 1996 s. 4; No. 24 of 1996 s. 14 and 16; No. 18 of 2013 s. 52.] </w:t>
      </w:r>
    </w:p>
    <w:p>
      <w:pPr>
        <w:pStyle w:val="Heading5"/>
      </w:pPr>
      <w:bookmarkStart w:id="115" w:name="_Toc112320949"/>
      <w:r>
        <w:rPr>
          <w:rStyle w:val="CharSectno"/>
        </w:rPr>
        <w:t>46A</w:t>
      </w:r>
      <w:r>
        <w:t>.</w:t>
      </w:r>
      <w:r>
        <w:tab/>
        <w:t>Order to attend dog training course, ban on owning or keeping dogs</w:t>
      </w:r>
      <w:bookmarkEnd w:id="115"/>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keepNext/>
      </w:pPr>
      <w:r>
        <w:lastRenderedPageBreak/>
        <w:tab/>
        <w:t>(3)</w:t>
      </w:r>
      <w:r>
        <w:tab/>
        <w:t xml:space="preserve">A court that makes an order made under subsection (1) or (2) is to provide a copy of the order to — </w:t>
      </w:r>
    </w:p>
    <w:p>
      <w:pPr>
        <w:pStyle w:val="Indenta"/>
        <w:keepNext/>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No. 18 of 2013 s. 53.] </w:t>
      </w:r>
    </w:p>
    <w:p>
      <w:pPr>
        <w:pStyle w:val="Heading2"/>
      </w:pPr>
      <w:bookmarkStart w:id="116" w:name="_Toc112242928"/>
      <w:bookmarkStart w:id="117" w:name="_Toc112243835"/>
      <w:bookmarkStart w:id="118" w:name="_Toc112320950"/>
      <w:r>
        <w:rPr>
          <w:rStyle w:val="CharPartNo"/>
        </w:rPr>
        <w:lastRenderedPageBreak/>
        <w:t>Part VIII</w:t>
      </w:r>
      <w:r>
        <w:rPr>
          <w:rStyle w:val="CharDivNo"/>
        </w:rPr>
        <w:t> </w:t>
      </w:r>
      <w:r>
        <w:t>—</w:t>
      </w:r>
      <w:r>
        <w:rPr>
          <w:rStyle w:val="CharDivText"/>
        </w:rPr>
        <w:t> </w:t>
      </w:r>
      <w:r>
        <w:rPr>
          <w:rStyle w:val="CharPartText"/>
        </w:rPr>
        <w:t>Civil remedies, etc.</w:t>
      </w:r>
      <w:bookmarkEnd w:id="116"/>
      <w:bookmarkEnd w:id="117"/>
      <w:bookmarkEnd w:id="118"/>
      <w:r>
        <w:rPr>
          <w:rStyle w:val="CharPartText"/>
        </w:rPr>
        <w:t xml:space="preserve"> </w:t>
      </w:r>
    </w:p>
    <w:p>
      <w:pPr>
        <w:pStyle w:val="Heading5"/>
        <w:spacing w:before="260"/>
        <w:rPr>
          <w:snapToGrid w:val="0"/>
        </w:rPr>
      </w:pPr>
      <w:bookmarkStart w:id="119" w:name="_Toc112320951"/>
      <w:r>
        <w:rPr>
          <w:rStyle w:val="CharSectno"/>
        </w:rPr>
        <w:t>46</w:t>
      </w:r>
      <w:r>
        <w:rPr>
          <w:snapToGrid w:val="0"/>
        </w:rPr>
        <w:t>.</w:t>
      </w:r>
      <w:r>
        <w:rPr>
          <w:snapToGrid w:val="0"/>
        </w:rPr>
        <w:tab/>
        <w:t>Damages</w:t>
      </w:r>
      <w:bookmarkEnd w:id="119"/>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lastRenderedPageBreak/>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No. 23 of 1987 s. 38; No. 24 of 1996 s. 15.] </w:t>
      </w:r>
    </w:p>
    <w:p>
      <w:pPr>
        <w:pStyle w:val="Heading5"/>
      </w:pPr>
      <w:bookmarkStart w:id="120" w:name="_Toc112320952"/>
      <w:r>
        <w:rPr>
          <w:rStyle w:val="CharSectno"/>
        </w:rPr>
        <w:t>47</w:t>
      </w:r>
      <w:r>
        <w:t>.</w:t>
      </w:r>
      <w:r>
        <w:tab/>
        <w:t>Veterinary service expenses recoverable from local government</w:t>
      </w:r>
      <w:bookmarkEnd w:id="120"/>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 person who is an authorised person by virtue of an appointment or designation made by that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lastRenderedPageBreak/>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No. 18 of 2013 s. 54; amended: No. 19 of 2016 s. 133.] </w:t>
      </w:r>
    </w:p>
    <w:p>
      <w:pPr>
        <w:pStyle w:val="Heading2"/>
      </w:pPr>
      <w:bookmarkStart w:id="121" w:name="_Toc112242931"/>
      <w:bookmarkStart w:id="122" w:name="_Toc112243838"/>
      <w:bookmarkStart w:id="123" w:name="_Toc112320953"/>
      <w:r>
        <w:rPr>
          <w:rStyle w:val="CharPartNo"/>
        </w:rPr>
        <w:lastRenderedPageBreak/>
        <w:t>Part IX</w:t>
      </w:r>
      <w:r>
        <w:rPr>
          <w:rStyle w:val="CharDivNo"/>
        </w:rPr>
        <w:t> </w:t>
      </w:r>
      <w:r>
        <w:t>—</w:t>
      </w:r>
      <w:r>
        <w:rPr>
          <w:rStyle w:val="CharDivText"/>
        </w:rPr>
        <w:t> </w:t>
      </w:r>
      <w:r>
        <w:rPr>
          <w:rStyle w:val="CharPartText"/>
        </w:rPr>
        <w:t>Local laws</w:t>
      </w:r>
      <w:bookmarkEnd w:id="121"/>
      <w:bookmarkEnd w:id="122"/>
      <w:bookmarkEnd w:id="123"/>
      <w:r>
        <w:rPr>
          <w:rStyle w:val="CharPartText"/>
        </w:rPr>
        <w:t xml:space="preserve"> </w:t>
      </w:r>
    </w:p>
    <w:p>
      <w:pPr>
        <w:pStyle w:val="Footnoteheading"/>
        <w:ind w:left="890"/>
        <w:rPr>
          <w:snapToGrid w:val="0"/>
        </w:rPr>
      </w:pPr>
      <w:r>
        <w:rPr>
          <w:snapToGrid w:val="0"/>
        </w:rPr>
        <w:tab/>
        <w:t xml:space="preserve">[Heading amended: No. 14 of 1996 s. 4.] </w:t>
      </w:r>
    </w:p>
    <w:p>
      <w:pPr>
        <w:pStyle w:val="Heading5"/>
        <w:rPr>
          <w:snapToGrid w:val="0"/>
        </w:rPr>
      </w:pPr>
      <w:bookmarkStart w:id="124" w:name="_Toc112320954"/>
      <w:r>
        <w:rPr>
          <w:rStyle w:val="CharSectno"/>
        </w:rPr>
        <w:t>48</w:t>
      </w:r>
      <w:r>
        <w:rPr>
          <w:snapToGrid w:val="0"/>
        </w:rPr>
        <w:t>.</w:t>
      </w:r>
      <w:r>
        <w:rPr>
          <w:snapToGrid w:val="0"/>
        </w:rPr>
        <w:tab/>
        <w:t>Regulations to operate as local laws</w:t>
      </w:r>
      <w:bookmarkEnd w:id="124"/>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No. 14 of 1996 s. 4.] </w:t>
      </w:r>
    </w:p>
    <w:p>
      <w:pPr>
        <w:pStyle w:val="Heading5"/>
        <w:rPr>
          <w:snapToGrid w:val="0"/>
        </w:rPr>
      </w:pPr>
      <w:bookmarkStart w:id="125" w:name="_Toc112320955"/>
      <w:r>
        <w:rPr>
          <w:rStyle w:val="CharSectno"/>
        </w:rPr>
        <w:t>49</w:t>
      </w:r>
      <w:r>
        <w:rPr>
          <w:snapToGrid w:val="0"/>
        </w:rPr>
        <w:t>.</w:t>
      </w:r>
      <w:r>
        <w:rPr>
          <w:snapToGrid w:val="0"/>
        </w:rPr>
        <w:tab/>
        <w:t>Local laws</w:t>
      </w:r>
      <w:bookmarkEnd w:id="125"/>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lastRenderedPageBreak/>
        <w:tab/>
        <w:t>(c)</w:t>
      </w:r>
      <w:r>
        <w:tab/>
        <w:t>for the purposes permitted by section 51.</w:t>
      </w:r>
    </w:p>
    <w:p>
      <w:pPr>
        <w:pStyle w:val="Footnotesection"/>
        <w:ind w:left="890" w:hanging="890"/>
      </w:pPr>
      <w:r>
        <w:tab/>
        <w:t xml:space="preserve">[Section 49 inserted: No. 14 of 1996 s. 4.] </w:t>
      </w:r>
    </w:p>
    <w:p>
      <w:pPr>
        <w:pStyle w:val="Heading5"/>
        <w:rPr>
          <w:snapToGrid w:val="0"/>
        </w:rPr>
      </w:pPr>
      <w:bookmarkStart w:id="126" w:name="_Toc112320956"/>
      <w:r>
        <w:rPr>
          <w:rStyle w:val="CharSectno"/>
        </w:rPr>
        <w:t>49A</w:t>
      </w:r>
      <w:r>
        <w:rPr>
          <w:snapToGrid w:val="0"/>
        </w:rPr>
        <w:t>.</w:t>
      </w:r>
      <w:r>
        <w:rPr>
          <w:snapToGrid w:val="0"/>
        </w:rPr>
        <w:tab/>
        <w:t>Model local laws</w:t>
      </w:r>
      <w:bookmarkEnd w:id="126"/>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No. 14 of 1996 s. 4.] </w:t>
      </w:r>
    </w:p>
    <w:p>
      <w:pPr>
        <w:pStyle w:val="Heading5"/>
        <w:rPr>
          <w:snapToGrid w:val="0"/>
        </w:rPr>
      </w:pPr>
      <w:bookmarkStart w:id="127" w:name="_Toc112320957"/>
      <w:r>
        <w:rPr>
          <w:rStyle w:val="CharSectno"/>
        </w:rPr>
        <w:t>49B</w:t>
      </w:r>
      <w:r>
        <w:rPr>
          <w:snapToGrid w:val="0"/>
        </w:rPr>
        <w:t>.</w:t>
      </w:r>
      <w:r>
        <w:rPr>
          <w:snapToGrid w:val="0"/>
        </w:rPr>
        <w:tab/>
        <w:t>Governor may amend or repeal local laws</w:t>
      </w:r>
      <w:bookmarkEnd w:id="127"/>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lastRenderedPageBreak/>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No. 14 of 1996 s. 4.] </w:t>
      </w:r>
    </w:p>
    <w:p>
      <w:pPr>
        <w:pStyle w:val="Heading5"/>
        <w:rPr>
          <w:snapToGrid w:val="0"/>
        </w:rPr>
      </w:pPr>
      <w:bookmarkStart w:id="128" w:name="_Toc112320958"/>
      <w:r>
        <w:rPr>
          <w:rStyle w:val="CharSectno"/>
        </w:rPr>
        <w:t>50</w:t>
      </w:r>
      <w:r>
        <w:rPr>
          <w:snapToGrid w:val="0"/>
        </w:rPr>
        <w:t>.</w:t>
      </w:r>
      <w:r>
        <w:rPr>
          <w:snapToGrid w:val="0"/>
        </w:rPr>
        <w:tab/>
        <w:t>General provisions relating to regulations and local laws</w:t>
      </w:r>
      <w:bookmarkEnd w:id="128"/>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lastRenderedPageBreak/>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No. 23 of 1987 s. 41; No. 14 of 1996 s. 4; No. 24 of 1996 s. 16; No. 18 of 2013 s. 55.] </w:t>
      </w:r>
    </w:p>
    <w:p>
      <w:pPr>
        <w:pStyle w:val="Heading5"/>
        <w:rPr>
          <w:snapToGrid w:val="0"/>
        </w:rPr>
      </w:pPr>
      <w:bookmarkStart w:id="129" w:name="_Toc112320959"/>
      <w:r>
        <w:rPr>
          <w:rStyle w:val="CharSectno"/>
        </w:rPr>
        <w:t>51</w:t>
      </w:r>
      <w:r>
        <w:rPr>
          <w:snapToGrid w:val="0"/>
        </w:rPr>
        <w:t>.</w:t>
      </w:r>
      <w:r>
        <w:rPr>
          <w:snapToGrid w:val="0"/>
        </w:rPr>
        <w:tab/>
        <w:t>Local law making powers</w:t>
      </w:r>
      <w:bookmarkEnd w:id="129"/>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No. 23 of 1987 s. 42; No. 14 of 1996 s. 4; No. 18 of 2013 s. 56.] </w:t>
      </w:r>
    </w:p>
    <w:p>
      <w:pPr>
        <w:pStyle w:val="Heading5"/>
        <w:rPr>
          <w:snapToGrid w:val="0"/>
        </w:rPr>
      </w:pPr>
      <w:bookmarkStart w:id="130" w:name="_Toc112320960"/>
      <w:r>
        <w:rPr>
          <w:rStyle w:val="CharSectno"/>
        </w:rPr>
        <w:lastRenderedPageBreak/>
        <w:t>52</w:t>
      </w:r>
      <w:r>
        <w:rPr>
          <w:snapToGrid w:val="0"/>
        </w:rPr>
        <w:t>.</w:t>
      </w:r>
      <w:r>
        <w:rPr>
          <w:snapToGrid w:val="0"/>
        </w:rPr>
        <w:tab/>
        <w:t>Revocation of local laws</w:t>
      </w:r>
      <w:bookmarkEnd w:id="130"/>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rPr>
        <w:t>Health (Miscellaneous Provisions) Act 1911</w:t>
      </w:r>
      <w:r>
        <w:t>,</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No. 14 of 1996 s. 4; No. 38 of 2005 s. 15; No. 19 of 2016 s. 134.] </w:t>
      </w:r>
    </w:p>
    <w:p>
      <w:pPr>
        <w:pStyle w:val="Heading2"/>
      </w:pPr>
      <w:bookmarkStart w:id="131" w:name="_Toc112242939"/>
      <w:bookmarkStart w:id="132" w:name="_Toc112243846"/>
      <w:bookmarkStart w:id="133" w:name="_Toc112320961"/>
      <w:r>
        <w:rPr>
          <w:rStyle w:val="CharPartNo"/>
        </w:rPr>
        <w:lastRenderedPageBreak/>
        <w:t>Part X</w:t>
      </w:r>
      <w:r>
        <w:rPr>
          <w:rStyle w:val="CharDivNo"/>
        </w:rPr>
        <w:t> </w:t>
      </w:r>
      <w:r>
        <w:t>—</w:t>
      </w:r>
      <w:r>
        <w:rPr>
          <w:rStyle w:val="CharDivText"/>
        </w:rPr>
        <w:t> </w:t>
      </w:r>
      <w:r>
        <w:rPr>
          <w:rStyle w:val="CharPartText"/>
        </w:rPr>
        <w:t>Regulations</w:t>
      </w:r>
      <w:bookmarkEnd w:id="131"/>
      <w:bookmarkEnd w:id="132"/>
      <w:bookmarkEnd w:id="133"/>
      <w:r>
        <w:rPr>
          <w:rStyle w:val="CharPartText"/>
        </w:rPr>
        <w:t xml:space="preserve"> </w:t>
      </w:r>
    </w:p>
    <w:p>
      <w:pPr>
        <w:pStyle w:val="Ednotesection"/>
      </w:pPr>
      <w:r>
        <w:t>[</w:t>
      </w:r>
      <w:r>
        <w:rPr>
          <w:b/>
        </w:rPr>
        <w:t>53.</w:t>
      </w:r>
      <w:r>
        <w:tab/>
        <w:t>Deleted: No. 18 of 2013 s. 57.]</w:t>
      </w:r>
    </w:p>
    <w:p>
      <w:pPr>
        <w:pStyle w:val="Heading5"/>
        <w:rPr>
          <w:snapToGrid w:val="0"/>
        </w:rPr>
      </w:pPr>
      <w:bookmarkStart w:id="134" w:name="_Toc112320962"/>
      <w:r>
        <w:rPr>
          <w:rStyle w:val="CharSectno"/>
        </w:rPr>
        <w:t>54</w:t>
      </w:r>
      <w:r>
        <w:rPr>
          <w:snapToGrid w:val="0"/>
        </w:rPr>
        <w:t>.</w:t>
      </w:r>
      <w:r>
        <w:rPr>
          <w:snapToGrid w:val="0"/>
        </w:rPr>
        <w:tab/>
        <w:t>Regulations generally</w:t>
      </w:r>
      <w:bookmarkEnd w:id="134"/>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No. 14 of 1996 s. 4; No. 18 of 2013 s. 58.] </w:t>
      </w:r>
    </w:p>
    <w:p>
      <w:pPr>
        <w:pStyle w:val="Heading2"/>
      </w:pPr>
      <w:bookmarkStart w:id="135" w:name="_Toc112242941"/>
      <w:bookmarkStart w:id="136" w:name="_Toc112243848"/>
      <w:bookmarkStart w:id="137" w:name="_Toc112320963"/>
      <w:r>
        <w:rPr>
          <w:rStyle w:val="CharPartNo"/>
        </w:rPr>
        <w:lastRenderedPageBreak/>
        <w:t>Part XI</w:t>
      </w:r>
      <w:r>
        <w:rPr>
          <w:b w:val="0"/>
        </w:rPr>
        <w:t> </w:t>
      </w:r>
      <w:r>
        <w:t>—</w:t>
      </w:r>
      <w:r>
        <w:rPr>
          <w:b w:val="0"/>
        </w:rPr>
        <w:t> </w:t>
      </w:r>
      <w:r>
        <w:rPr>
          <w:rStyle w:val="CharPartText"/>
        </w:rPr>
        <w:t>Transitional provisions</w:t>
      </w:r>
      <w:bookmarkEnd w:id="135"/>
      <w:bookmarkEnd w:id="136"/>
      <w:bookmarkEnd w:id="137"/>
    </w:p>
    <w:p>
      <w:pPr>
        <w:pStyle w:val="Footnoteheading"/>
      </w:pPr>
      <w:r>
        <w:tab/>
        <w:t xml:space="preserve">[Heading inserted: No. 18 of 2013 s. 59.] </w:t>
      </w:r>
    </w:p>
    <w:p>
      <w:pPr>
        <w:pStyle w:val="Heading3"/>
      </w:pPr>
      <w:bookmarkStart w:id="138" w:name="_Toc112242942"/>
      <w:bookmarkStart w:id="139" w:name="_Toc112243849"/>
      <w:bookmarkStart w:id="140" w:name="_Toc112320964"/>
      <w:r>
        <w:rPr>
          <w:rStyle w:val="CharDivNo"/>
        </w:rPr>
        <w:t>Division 1</w:t>
      </w:r>
      <w:r>
        <w:t> — </w:t>
      </w:r>
      <w:r>
        <w:rPr>
          <w:rStyle w:val="CharDivText"/>
        </w:rPr>
        <w:t xml:space="preserve">Transitional provisions for the </w:t>
      </w:r>
      <w:r>
        <w:rPr>
          <w:rStyle w:val="CharDivText"/>
          <w:i/>
        </w:rPr>
        <w:t>Dog Amendment Act 2013</w:t>
      </w:r>
      <w:bookmarkEnd w:id="138"/>
      <w:bookmarkEnd w:id="139"/>
      <w:bookmarkEnd w:id="140"/>
    </w:p>
    <w:p>
      <w:pPr>
        <w:pStyle w:val="Footnoteheading"/>
      </w:pPr>
      <w:r>
        <w:tab/>
        <w:t xml:space="preserve">[Heading inserted: No. 18 of 2013 s. 59; amended: No. 16 of 2019 s. 110.] </w:t>
      </w:r>
    </w:p>
    <w:p>
      <w:pPr>
        <w:pStyle w:val="Heading5"/>
      </w:pPr>
      <w:bookmarkStart w:id="141" w:name="_Toc112320965"/>
      <w:r>
        <w:rPr>
          <w:rStyle w:val="CharSectno"/>
        </w:rPr>
        <w:t>55</w:t>
      </w:r>
      <w:r>
        <w:t>.</w:t>
      </w:r>
      <w:r>
        <w:tab/>
        <w:t xml:space="preserve">Application of </w:t>
      </w:r>
      <w:r>
        <w:rPr>
          <w:i/>
          <w:iCs/>
        </w:rPr>
        <w:t>Interpretation Act 1984</w:t>
      </w:r>
      <w:bookmarkEnd w:id="141"/>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No. 18 of 2013 s. 59.] </w:t>
      </w:r>
    </w:p>
    <w:p>
      <w:pPr>
        <w:pStyle w:val="Heading5"/>
      </w:pPr>
      <w:bookmarkStart w:id="142" w:name="_Toc112320966"/>
      <w:r>
        <w:rPr>
          <w:rStyle w:val="CharSectno"/>
        </w:rPr>
        <w:t>56</w:t>
      </w:r>
      <w:r>
        <w:t>.</w:t>
      </w:r>
      <w:r>
        <w:tab/>
        <w:t>Authorisations in relation to assistance dogs</w:t>
      </w:r>
      <w:bookmarkEnd w:id="142"/>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No. 18 of 2013 s. 59.] </w:t>
      </w:r>
    </w:p>
    <w:p>
      <w:pPr>
        <w:pStyle w:val="Heading5"/>
      </w:pPr>
      <w:bookmarkStart w:id="143" w:name="_Toc112320967"/>
      <w:r>
        <w:rPr>
          <w:rStyle w:val="CharSectno"/>
        </w:rPr>
        <w:t>57</w:t>
      </w:r>
      <w:r>
        <w:t>.</w:t>
      </w:r>
      <w:r>
        <w:tab/>
        <w:t>Registration procedure</w:t>
      </w:r>
      <w:bookmarkEnd w:id="143"/>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 is, on and from that day, to be dealt with as if the </w:t>
      </w:r>
      <w:r>
        <w:rPr>
          <w:i/>
          <w:iCs/>
        </w:rPr>
        <w:t>Dog Amendment Act 2013</w:t>
      </w:r>
      <w:r>
        <w:t xml:space="preserve"> section 14 had not been enacted.</w:t>
      </w:r>
    </w:p>
    <w:p>
      <w:pPr>
        <w:pStyle w:val="Footnotesection"/>
      </w:pPr>
      <w:r>
        <w:tab/>
        <w:t xml:space="preserve">[Section 57 inserted: No. 18 of 2013 s. 59.] </w:t>
      </w:r>
    </w:p>
    <w:p>
      <w:pPr>
        <w:pStyle w:val="Heading5"/>
      </w:pPr>
      <w:bookmarkStart w:id="144" w:name="_Toc112320968"/>
      <w:r>
        <w:rPr>
          <w:rStyle w:val="CharSectno"/>
        </w:rPr>
        <w:lastRenderedPageBreak/>
        <w:t>58</w:t>
      </w:r>
      <w:r>
        <w:t>.</w:t>
      </w:r>
      <w:r>
        <w:tab/>
        <w:t>Detained dogs</w:t>
      </w:r>
      <w:bookmarkEnd w:id="144"/>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No. 18 of 2013 s. 59.] </w:t>
      </w:r>
    </w:p>
    <w:p>
      <w:pPr>
        <w:pStyle w:val="Heading5"/>
      </w:pPr>
      <w:bookmarkStart w:id="145" w:name="_Toc112320969"/>
      <w:r>
        <w:rPr>
          <w:rStyle w:val="CharSectno"/>
        </w:rPr>
        <w:t>59</w:t>
      </w:r>
      <w:r>
        <w:t>.</w:t>
      </w:r>
      <w:r>
        <w:tab/>
        <w:t>Dogs declared to be dangerous dogs</w:t>
      </w:r>
      <w:bookmarkEnd w:id="145"/>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No. 18 of 2013 s. 59.] </w:t>
      </w:r>
    </w:p>
    <w:p>
      <w:pPr>
        <w:pStyle w:val="Heading5"/>
      </w:pPr>
      <w:bookmarkStart w:id="146" w:name="_Toc112320970"/>
      <w:r>
        <w:rPr>
          <w:rStyle w:val="CharSectno"/>
        </w:rPr>
        <w:t>60</w:t>
      </w:r>
      <w:r>
        <w:t>.</w:t>
      </w:r>
      <w:r>
        <w:tab/>
        <w:t>Transitional regulations</w:t>
      </w:r>
      <w:bookmarkEnd w:id="146"/>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lastRenderedPageBreak/>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No. 18 of 2013 s. 59.] </w:t>
      </w:r>
    </w:p>
    <w:p>
      <w:pPr>
        <w:pStyle w:val="Heading3"/>
      </w:pPr>
      <w:bookmarkStart w:id="147" w:name="_Toc112242949"/>
      <w:bookmarkStart w:id="148" w:name="_Toc112243856"/>
      <w:bookmarkStart w:id="149" w:name="_Toc112320971"/>
      <w:r>
        <w:rPr>
          <w:rStyle w:val="CharDivNo"/>
        </w:rPr>
        <w:t>Division 2</w:t>
      </w:r>
      <w:r>
        <w:t> — </w:t>
      </w:r>
      <w:r>
        <w:rPr>
          <w:rStyle w:val="CharDivText"/>
        </w:rPr>
        <w:t xml:space="preserve">Transitional provision for the </w:t>
      </w:r>
      <w:r>
        <w:rPr>
          <w:rStyle w:val="CharDivText"/>
          <w:i/>
        </w:rPr>
        <w:t>Local Government Legislation Amendment Act 2019</w:t>
      </w:r>
      <w:bookmarkEnd w:id="147"/>
      <w:bookmarkEnd w:id="148"/>
      <w:bookmarkEnd w:id="149"/>
    </w:p>
    <w:p>
      <w:pPr>
        <w:pStyle w:val="Footnoteheading"/>
      </w:pPr>
      <w:r>
        <w:tab/>
        <w:t>[Heading inserted: No. 16 of 2019 s. 111.]</w:t>
      </w:r>
    </w:p>
    <w:p>
      <w:pPr>
        <w:pStyle w:val="Heading5"/>
      </w:pPr>
      <w:bookmarkStart w:id="150" w:name="_Toc112320972"/>
      <w:r>
        <w:rPr>
          <w:rStyle w:val="CharSectno"/>
        </w:rPr>
        <w:t>61</w:t>
      </w:r>
      <w:r>
        <w:t>.</w:t>
      </w:r>
      <w:r>
        <w:tab/>
        <w:t>Authorised persons</w:t>
      </w:r>
      <w:bookmarkEnd w:id="150"/>
    </w:p>
    <w:p>
      <w:pPr>
        <w:pStyle w:val="Subsection"/>
      </w:pPr>
      <w:r>
        <w:tab/>
        <w:t>(1)</w:t>
      </w:r>
      <w:r>
        <w:tab/>
        <w:t xml:space="preserve">This section applies to a person who, immediately before the day on which the </w:t>
      </w:r>
      <w:r>
        <w:rPr>
          <w:i/>
        </w:rPr>
        <w:t>Local Government Legislation Amendment Act 2019</w:t>
      </w:r>
      <w:r>
        <w:t xml:space="preserve"> section 109 comes into operation, was a person appointed under section 29(1).</w:t>
      </w:r>
    </w:p>
    <w:p>
      <w:pPr>
        <w:pStyle w:val="Subsection"/>
      </w:pPr>
      <w:r>
        <w:lastRenderedPageBreak/>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29(1) immediately before the day referred to in subsection (1).</w:t>
      </w:r>
    </w:p>
    <w:p>
      <w:pPr>
        <w:pStyle w:val="Footnotesection"/>
      </w:pPr>
      <w:r>
        <w:tab/>
        <w:t>[Section 61 inserted: No. 16 of 2019 s. 111.]</w:t>
      </w:r>
    </w:p>
    <w:p>
      <w:pPr>
        <w:pStyle w:val="Heading3"/>
        <w:rPr>
          <w:i/>
        </w:rPr>
      </w:pPr>
      <w:bookmarkStart w:id="151" w:name="_Toc73256431"/>
      <w:bookmarkStart w:id="152" w:name="_Toc90544750"/>
      <w:bookmarkStart w:id="153" w:name="_Toc90545066"/>
      <w:bookmarkStart w:id="154" w:name="_Toc90545461"/>
      <w:bookmarkStart w:id="155" w:name="_Toc90556333"/>
      <w:bookmarkStart w:id="156" w:name="_Toc90567487"/>
      <w:bookmarkStart w:id="157" w:name="_Toc90979206"/>
      <w:bookmarkStart w:id="158" w:name="_Toc90979354"/>
      <w:bookmarkStart w:id="159" w:name="_Toc112243858"/>
      <w:bookmarkStart w:id="160" w:name="_Toc112320973"/>
      <w:r>
        <w:rPr>
          <w:rStyle w:val="CharDivNo"/>
        </w:rPr>
        <w:t>Division 3</w:t>
      </w:r>
      <w:r>
        <w:t> — </w:t>
      </w:r>
      <w:r>
        <w:rPr>
          <w:rStyle w:val="CharDivText"/>
        </w:rPr>
        <w:t xml:space="preserve">Transitional provisions for the </w:t>
      </w:r>
      <w:r>
        <w:rPr>
          <w:rStyle w:val="CharDivText"/>
          <w:i/>
        </w:rPr>
        <w:t>Dog Amendment (Stop Puppy Farming) Act 2021</w:t>
      </w:r>
      <w:bookmarkEnd w:id="151"/>
      <w:bookmarkEnd w:id="152"/>
      <w:bookmarkEnd w:id="153"/>
      <w:bookmarkEnd w:id="154"/>
      <w:bookmarkEnd w:id="155"/>
      <w:bookmarkEnd w:id="156"/>
      <w:bookmarkEnd w:id="157"/>
      <w:bookmarkEnd w:id="158"/>
      <w:bookmarkEnd w:id="159"/>
      <w:bookmarkEnd w:id="160"/>
    </w:p>
    <w:p>
      <w:pPr>
        <w:pStyle w:val="Footnoteheading"/>
      </w:pPr>
      <w:r>
        <w:tab/>
        <w:t>[Heading inserted: No. 29 of 2021 s. 44.]</w:t>
      </w:r>
    </w:p>
    <w:p>
      <w:pPr>
        <w:pStyle w:val="Heading5"/>
      </w:pPr>
      <w:bookmarkStart w:id="161" w:name="_Toc90567488"/>
      <w:bookmarkStart w:id="162" w:name="_Toc90979355"/>
      <w:bookmarkStart w:id="163" w:name="_Toc112320974"/>
      <w:r>
        <w:rPr>
          <w:rStyle w:val="CharSectno"/>
        </w:rPr>
        <w:t>62</w:t>
      </w:r>
      <w:r>
        <w:t>.</w:t>
      </w:r>
      <w:r>
        <w:tab/>
        <w:t>Transitional provision for centralised registration system</w:t>
      </w:r>
      <w:bookmarkEnd w:id="161"/>
      <w:bookmarkEnd w:id="162"/>
      <w:bookmarkEnd w:id="163"/>
    </w:p>
    <w:p>
      <w:pPr>
        <w:pStyle w:val="Subsection"/>
      </w:pPr>
      <w:r>
        <w:tab/>
        <w:t>(1)</w:t>
      </w:r>
      <w:r>
        <w:tab/>
        <w:t xml:space="preserve">In this section — </w:t>
      </w:r>
    </w:p>
    <w:p>
      <w:pPr>
        <w:pStyle w:val="Defstart"/>
      </w:pPr>
      <w:r>
        <w:tab/>
      </w:r>
      <w:r>
        <w:rPr>
          <w:rStyle w:val="CharDefText"/>
        </w:rPr>
        <w:t>centralised registration system</w:t>
      </w:r>
      <w:r>
        <w:t xml:space="preserve"> means the electronic database or system the CEO will be required to establish and maintain when the </w:t>
      </w:r>
      <w:r>
        <w:rPr>
          <w:i/>
        </w:rPr>
        <w:t>Dog Amendment (Stop Puppy Farming) Act 2021</w:t>
      </w:r>
      <w:r>
        <w:t xml:space="preserve"> section 14 comes into operation;</w:t>
      </w:r>
    </w:p>
    <w:p>
      <w:pPr>
        <w:pStyle w:val="Defstart"/>
      </w:pPr>
      <w:r>
        <w:tab/>
      </w:r>
      <w:r>
        <w:rPr>
          <w:rStyle w:val="CharDefText"/>
        </w:rPr>
        <w:t>commencement day</w:t>
      </w:r>
      <w:r>
        <w:t xml:space="preserve"> means the day on which the </w:t>
      </w:r>
      <w:r>
        <w:rPr>
          <w:i/>
        </w:rPr>
        <w:t>Dog Amendment (Stop Puppy Farming) Act 2021</w:t>
      </w:r>
      <w:r>
        <w:t xml:space="preserve"> section 14 comes into operation.</w:t>
      </w:r>
    </w:p>
    <w:p>
      <w:pPr>
        <w:pStyle w:val="Subsection"/>
      </w:pPr>
      <w:r>
        <w:tab/>
        <w:t>(2)</w:t>
      </w:r>
      <w:r>
        <w:tab/>
        <w:t xml:space="preserve">The CEO may establish and maintain the centralised registration system before the commencement day and may — </w:t>
      </w:r>
    </w:p>
    <w:p>
      <w:pPr>
        <w:pStyle w:val="Indenta"/>
      </w:pPr>
      <w:r>
        <w:tab/>
        <w:t>(a)</w:t>
      </w:r>
      <w:r>
        <w:tab/>
        <w:t>permit a local government to record in the centralised registration system any information that the local government is required under this Act to record in a register maintained by it; and</w:t>
      </w:r>
    </w:p>
    <w:p>
      <w:pPr>
        <w:pStyle w:val="Indenta"/>
      </w:pPr>
      <w:r>
        <w:tab/>
        <w:t>(b)</w:t>
      </w:r>
      <w:r>
        <w:tab/>
        <w:t>cause or permit information to be transferred from a register maintained by a local government to the centralised registration system.</w:t>
      </w:r>
    </w:p>
    <w:p>
      <w:pPr>
        <w:pStyle w:val="Subsection"/>
      </w:pPr>
      <w:r>
        <w:tab/>
        <w:t>(3)</w:t>
      </w:r>
      <w:r>
        <w:tab/>
        <w:t xml:space="preserve">If a local government records information in the centralised registration system under subsection (2)(a), or information from a register maintained by the local government is transferred to the centralised registration system under subsection (2)(b), </w:t>
      </w:r>
      <w:r>
        <w:lastRenderedPageBreak/>
        <w:t>before the commencement day the information is taken, for the purposes of this Act, to be information recorded by the local government on a register maintained by the local government.</w:t>
      </w:r>
    </w:p>
    <w:p>
      <w:pPr>
        <w:pStyle w:val="Footnotesection"/>
      </w:pPr>
      <w:r>
        <w:tab/>
        <w:t>[Section 62 inserted: No. 29 of 2021 s. 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410" w:right="2410" w:bottom="1134" w:left="2410" w:header="1134" w:footer="3380" w:gutter="0"/>
          <w:pgNumType w:start="1"/>
          <w:cols w:space="720"/>
          <w:noEndnote/>
          <w:titlePg/>
          <w:docGrid w:linePitch="326"/>
        </w:sectPr>
      </w:pPr>
    </w:p>
    <w:p>
      <w:pPr>
        <w:pStyle w:val="nHeading2"/>
      </w:pPr>
      <w:bookmarkStart w:id="164" w:name="_Toc112242951"/>
      <w:bookmarkStart w:id="165" w:name="_Toc112243860"/>
      <w:bookmarkStart w:id="166" w:name="_Toc112320975"/>
      <w:r>
        <w:lastRenderedPageBreak/>
        <w:t>Notes</w:t>
      </w:r>
      <w:bookmarkEnd w:id="164"/>
      <w:bookmarkEnd w:id="165"/>
      <w:bookmarkEnd w:id="166"/>
    </w:p>
    <w:p>
      <w:pPr>
        <w:pStyle w:val="nStatement"/>
      </w:pPr>
      <w:r>
        <w:t xml:space="preserve">This is a compilation of the </w:t>
      </w:r>
      <w:r>
        <w:rPr>
          <w:i/>
          <w:noProof/>
        </w:rPr>
        <w:t>Dog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67" w:name="_Toc112320976"/>
      <w:r>
        <w:t>Compilation table</w:t>
      </w:r>
      <w:bookmarkEnd w:id="167"/>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Dog Act 1976</w:t>
            </w:r>
          </w:p>
        </w:tc>
        <w:tc>
          <w:tcPr>
            <w:tcW w:w="1134" w:type="dxa"/>
            <w:tcBorders>
              <w:top w:val="single" w:sz="8" w:space="0" w:color="auto"/>
            </w:tcBorders>
          </w:tcPr>
          <w:p>
            <w:pPr>
              <w:pStyle w:val="nTable"/>
              <w:spacing w:after="40"/>
            </w:pPr>
            <w:r>
              <w:t>58 of 1976</w:t>
            </w:r>
          </w:p>
        </w:tc>
        <w:tc>
          <w:tcPr>
            <w:tcW w:w="1134" w:type="dxa"/>
            <w:tcBorders>
              <w:top w:val="single" w:sz="8" w:space="0" w:color="auto"/>
            </w:tcBorders>
          </w:tcPr>
          <w:p>
            <w:pPr>
              <w:pStyle w:val="nTable"/>
              <w:spacing w:after="40"/>
            </w:pPr>
            <w:r>
              <w:t>16 Sep 1976</w:t>
            </w:r>
          </w:p>
        </w:tc>
        <w:tc>
          <w:tcPr>
            <w:tcW w:w="2561" w:type="dxa"/>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Act Amendment Act 1977</w:t>
            </w:r>
          </w:p>
        </w:tc>
        <w:tc>
          <w:tcPr>
            <w:tcW w:w="1134" w:type="dxa"/>
          </w:tcPr>
          <w:p>
            <w:pPr>
              <w:pStyle w:val="nTable"/>
              <w:spacing w:after="40"/>
            </w:pPr>
            <w:r>
              <w:t>57 of 1977</w:t>
            </w:r>
          </w:p>
        </w:tc>
        <w:tc>
          <w:tcPr>
            <w:tcW w:w="1134" w:type="dxa"/>
          </w:tcPr>
          <w:p>
            <w:pPr>
              <w:pStyle w:val="nTable"/>
              <w:spacing w:after="40"/>
            </w:pPr>
            <w:r>
              <w:t>23 Nov 1977</w:t>
            </w:r>
          </w:p>
        </w:tc>
        <w:tc>
          <w:tcPr>
            <w:tcW w:w="2561" w:type="dxa"/>
          </w:tcPr>
          <w:p>
            <w:pPr>
              <w:pStyle w:val="nTable"/>
              <w:spacing w:after="40"/>
            </w:pPr>
            <w:r>
              <w:t>23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1983</w:t>
            </w:r>
          </w:p>
        </w:tc>
        <w:tc>
          <w:tcPr>
            <w:tcW w:w="1134" w:type="dxa"/>
          </w:tcPr>
          <w:p>
            <w:pPr>
              <w:pStyle w:val="nTable"/>
              <w:spacing w:after="40"/>
            </w:pPr>
            <w:r>
              <w:t>64 of 1983</w:t>
            </w:r>
          </w:p>
        </w:tc>
        <w:tc>
          <w:tcPr>
            <w:tcW w:w="1134" w:type="dxa"/>
          </w:tcPr>
          <w:p>
            <w:pPr>
              <w:pStyle w:val="nTable"/>
              <w:spacing w:after="40"/>
            </w:pPr>
            <w:r>
              <w:t>13 Dec 1983</w:t>
            </w:r>
          </w:p>
        </w:tc>
        <w:tc>
          <w:tcPr>
            <w:tcW w:w="2561" w:type="dxa"/>
          </w:tcPr>
          <w:p>
            <w:pPr>
              <w:pStyle w:val="nTable"/>
              <w:spacing w:after="40"/>
            </w:pPr>
            <w:r>
              <w:t>17 Nov 1983 (see s. 2)</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1987</w:t>
            </w:r>
          </w:p>
        </w:tc>
        <w:tc>
          <w:tcPr>
            <w:tcW w:w="1134" w:type="dxa"/>
          </w:tcPr>
          <w:p>
            <w:pPr>
              <w:pStyle w:val="nTable"/>
              <w:spacing w:after="40"/>
            </w:pPr>
            <w:r>
              <w:t>23 of 1987</w:t>
            </w:r>
          </w:p>
        </w:tc>
        <w:tc>
          <w:tcPr>
            <w:tcW w:w="1134" w:type="dxa"/>
          </w:tcPr>
          <w:p>
            <w:pPr>
              <w:pStyle w:val="nTable"/>
              <w:spacing w:after="40"/>
            </w:pPr>
            <w:r>
              <w:t>25 Jun 1987</w:t>
            </w:r>
          </w:p>
        </w:tc>
        <w:tc>
          <w:tcPr>
            <w:tcW w:w="2561" w:type="dxa"/>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1996</w:t>
            </w:r>
          </w:p>
        </w:tc>
        <w:tc>
          <w:tcPr>
            <w:tcW w:w="1134" w:type="dxa"/>
          </w:tcPr>
          <w:p>
            <w:pPr>
              <w:pStyle w:val="nTable"/>
              <w:spacing w:after="40"/>
            </w:pPr>
            <w:r>
              <w:t>24 of 1996</w:t>
            </w:r>
          </w:p>
        </w:tc>
        <w:tc>
          <w:tcPr>
            <w:tcW w:w="1134" w:type="dxa"/>
          </w:tcPr>
          <w:p>
            <w:pPr>
              <w:pStyle w:val="nTable"/>
              <w:spacing w:after="40"/>
            </w:pPr>
            <w:r>
              <w:t>27 Aug 1996</w:t>
            </w:r>
          </w:p>
        </w:tc>
        <w:tc>
          <w:tcPr>
            <w:tcW w:w="2561" w:type="dxa"/>
          </w:tcPr>
          <w:p>
            <w:pPr>
              <w:pStyle w:val="nTable"/>
              <w:spacing w:after="40"/>
            </w:pPr>
            <w:r>
              <w:t>s. 1 and 2: 27 Aug 1996;</w:t>
            </w:r>
            <w:r>
              <w:br/>
              <w:t xml:space="preserve">Act other than s. 1 and 2: 14 Sep 1996 (see s. 2 and </w:t>
            </w:r>
            <w:r>
              <w:rPr>
                <w:i/>
              </w:rPr>
              <w:t>Gazette</w:t>
            </w:r>
            <w:r>
              <w:t xml:space="preserve"> 13 Sep 1996 p. 4675)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61"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20 Nov 1996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s. 141</w:t>
            </w:r>
          </w:p>
        </w:tc>
        <w:tc>
          <w:tcPr>
            <w:tcW w:w="1134" w:type="dxa"/>
          </w:tcPr>
          <w:p>
            <w:pPr>
              <w:pStyle w:val="nTable"/>
              <w:spacing w:after="40"/>
            </w:pPr>
            <w:r>
              <w:t>31 of 1997</w:t>
            </w:r>
          </w:p>
        </w:tc>
        <w:tc>
          <w:tcPr>
            <w:tcW w:w="1134" w:type="dxa"/>
          </w:tcPr>
          <w:p>
            <w:pPr>
              <w:pStyle w:val="nTable"/>
              <w:spacing w:after="40"/>
            </w:pPr>
            <w:r>
              <w:t>3 Oct 1997</w:t>
            </w:r>
          </w:p>
        </w:tc>
        <w:tc>
          <w:tcPr>
            <w:tcW w:w="256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Statutes (Repeals and Minor Amendments) Act 1997 </w:t>
            </w:r>
            <w:r>
              <w:t>s. 49</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(No. 2) 1998 </w:t>
            </w:r>
            <w:r>
              <w:t>s. 29</w:t>
            </w:r>
          </w:p>
        </w:tc>
        <w:tc>
          <w:tcPr>
            <w:tcW w:w="1134" w:type="dxa"/>
          </w:tcPr>
          <w:p>
            <w:pPr>
              <w:pStyle w:val="nTable"/>
              <w:spacing w:after="40"/>
            </w:pPr>
            <w:r>
              <w:t>10 of 1998</w:t>
            </w:r>
          </w:p>
        </w:tc>
        <w:tc>
          <w:tcPr>
            <w:tcW w:w="1134" w:type="dxa"/>
          </w:tcPr>
          <w:p>
            <w:pPr>
              <w:pStyle w:val="nTable"/>
              <w:spacing w:after="40"/>
            </w:pPr>
            <w:r>
              <w:t>30 Apr 1998</w:t>
            </w:r>
          </w:p>
        </w:tc>
        <w:tc>
          <w:tcPr>
            <w:tcW w:w="2561"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61"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1</w:t>
            </w:r>
          </w:p>
        </w:tc>
        <w:tc>
          <w:tcPr>
            <w:tcW w:w="1134" w:type="dxa"/>
          </w:tcPr>
          <w:p>
            <w:pPr>
              <w:pStyle w:val="nTable"/>
              <w:spacing w:after="40"/>
            </w:pPr>
            <w:r>
              <w:t>35 of 2003</w:t>
            </w:r>
          </w:p>
        </w:tc>
        <w:tc>
          <w:tcPr>
            <w:tcW w:w="1134" w:type="dxa"/>
          </w:tcPr>
          <w:p>
            <w:pPr>
              <w:pStyle w:val="nTable"/>
              <w:spacing w:after="40"/>
            </w:pPr>
            <w:r>
              <w:t>26 Jun 2003</w:t>
            </w:r>
          </w:p>
        </w:tc>
        <w:tc>
          <w:tcPr>
            <w:tcW w:w="2561" w:type="dxa"/>
          </w:tcPr>
          <w:p>
            <w:pPr>
              <w:pStyle w:val="nTable"/>
              <w:spacing w:after="40"/>
            </w:pPr>
            <w:r>
              <w:t xml:space="preserve">1 Aug 2003 (see s. 2 and </w:t>
            </w:r>
            <w:r>
              <w:rPr>
                <w:i/>
              </w:rPr>
              <w:t>Gazette</w:t>
            </w:r>
            <w:r>
              <w:t xml:space="preserve"> 29 Jul 2003 p. 3259)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w:t>
            </w:r>
            <w:r>
              <w:rPr>
                <w:snapToGrid w:val="0"/>
                <w:vertAlign w:val="superscript"/>
              </w:rPr>
              <w:t> 2</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6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61"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6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6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lastRenderedPageBreak/>
              <w:t>Statutes (Repeals and Miscellaneous Amendments) Act 2009</w:t>
            </w:r>
            <w:r>
              <w:rPr>
                <w:iCs/>
              </w:rPr>
              <w:t xml:space="preserve"> s. 47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5</w:t>
            </w:r>
          </w:p>
        </w:tc>
        <w:tc>
          <w:tcPr>
            <w:tcW w:w="1134" w:type="dxa"/>
          </w:tcPr>
          <w:p>
            <w:pPr>
              <w:pStyle w:val="nTable"/>
              <w:spacing w:after="40"/>
            </w:pPr>
            <w:r>
              <w:t>18 of 2013</w:t>
            </w:r>
          </w:p>
        </w:tc>
        <w:tc>
          <w:tcPr>
            <w:tcW w:w="1134" w:type="dxa"/>
          </w:tcPr>
          <w:p>
            <w:pPr>
              <w:pStyle w:val="nTable"/>
              <w:spacing w:after="40"/>
            </w:pPr>
            <w:r>
              <w:t>29 Oct 2013</w:t>
            </w:r>
          </w:p>
        </w:tc>
        <w:tc>
          <w:tcPr>
            <w:tcW w:w="2561" w:type="dxa"/>
          </w:tcPr>
          <w:p>
            <w:pPr>
              <w:pStyle w:val="nTable"/>
              <w:spacing w:after="40"/>
            </w:pPr>
            <w:r>
              <w:t xml:space="preserve">1 Nov 2013 (see s. 2(b) and </w:t>
            </w:r>
            <w:r>
              <w:rPr>
                <w:i/>
              </w:rPr>
              <w:t>Gazette</w:t>
            </w:r>
            <w:r>
              <w:t xml:space="preserve"> 31 Oct 2013 p. 4829)</w:t>
            </w:r>
          </w:p>
        </w:tc>
      </w:tr>
      <w:tr>
        <w:tblPrEx>
          <w:tblBorders>
            <w:top w:val="none" w:sz="0" w:space="0" w:color="auto"/>
            <w:bottom w:val="none" w:sz="0" w:space="0" w:color="auto"/>
            <w:insideH w:val="none" w:sz="0" w:space="0" w:color="auto"/>
          </w:tblBorders>
        </w:tblPrEx>
        <w:trPr>
          <w:cantSplit/>
        </w:trPr>
        <w:tc>
          <w:tcPr>
            <w:tcW w:w="7097" w:type="dxa"/>
            <w:gridSpan w:val="4"/>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r>
        <w:trPr>
          <w:cantSplit/>
        </w:trPr>
        <w:tc>
          <w:tcPr>
            <w:tcW w:w="2268" w:type="dxa"/>
            <w:tcBorders>
              <w:top w:val="nil"/>
              <w:bottom w:val="nil"/>
            </w:tcBorders>
          </w:tcPr>
          <w:p>
            <w:pPr>
              <w:pStyle w:val="nTable"/>
              <w:spacing w:after="40"/>
              <w:rPr>
                <w:b/>
              </w:rPr>
            </w:pPr>
            <w:r>
              <w:rPr>
                <w:i/>
              </w:rPr>
              <w:t>Public Health (Consequential Provisions) Act 2016</w:t>
            </w:r>
            <w:r>
              <w:t xml:space="preserve"> Pt. 3 Div. 11</w:t>
            </w:r>
          </w:p>
        </w:tc>
        <w:tc>
          <w:tcPr>
            <w:tcW w:w="1134" w:type="dxa"/>
            <w:tcBorders>
              <w:top w:val="nil"/>
              <w:bottom w:val="nil"/>
            </w:tcBorders>
          </w:tcPr>
          <w:p>
            <w:pPr>
              <w:pStyle w:val="nTable"/>
              <w:spacing w:after="40"/>
              <w:rPr>
                <w:b/>
              </w:rPr>
            </w:pPr>
            <w:r>
              <w:t>19 of 2016</w:t>
            </w:r>
          </w:p>
        </w:tc>
        <w:tc>
          <w:tcPr>
            <w:tcW w:w="1134" w:type="dxa"/>
            <w:tcBorders>
              <w:top w:val="nil"/>
              <w:bottom w:val="nil"/>
            </w:tcBorders>
          </w:tcPr>
          <w:p>
            <w:pPr>
              <w:pStyle w:val="nTable"/>
              <w:spacing w:after="40"/>
              <w:rPr>
                <w:b/>
              </w:rPr>
            </w:pPr>
            <w:r>
              <w:t>25 Jul 2016</w:t>
            </w:r>
          </w:p>
        </w:tc>
        <w:tc>
          <w:tcPr>
            <w:tcW w:w="2561" w:type="dxa"/>
            <w:tcBorders>
              <w:top w:val="nil"/>
              <w:bottom w:val="nil"/>
            </w:tcBorders>
          </w:tcPr>
          <w:p>
            <w:pPr>
              <w:pStyle w:val="nTable"/>
              <w:spacing w:after="40"/>
              <w:rPr>
                <w:b/>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tcPr>
          <w:p>
            <w:pPr>
              <w:pStyle w:val="nTable"/>
              <w:spacing w:after="40"/>
              <w:rPr>
                <w:i/>
              </w:rPr>
            </w:pPr>
            <w:r>
              <w:rPr>
                <w:i/>
              </w:rPr>
              <w:t>Local Government Legislation Amendment Act 2019</w:t>
            </w:r>
            <w:r>
              <w:t xml:space="preserve"> Pt. 4 Div. 5</w:t>
            </w:r>
          </w:p>
        </w:tc>
        <w:tc>
          <w:tcPr>
            <w:tcW w:w="1134" w:type="dxa"/>
            <w:tcBorders>
              <w:top w:val="nil"/>
              <w:bottom w:val="nil"/>
            </w:tcBorders>
          </w:tcPr>
          <w:p>
            <w:pPr>
              <w:pStyle w:val="nTable"/>
              <w:spacing w:after="40"/>
            </w:pPr>
            <w:r>
              <w:t>16 of 2019</w:t>
            </w:r>
          </w:p>
        </w:tc>
        <w:tc>
          <w:tcPr>
            <w:tcW w:w="1134" w:type="dxa"/>
            <w:tcBorders>
              <w:top w:val="nil"/>
              <w:bottom w:val="nil"/>
            </w:tcBorders>
          </w:tcPr>
          <w:p>
            <w:pPr>
              <w:pStyle w:val="nTable"/>
              <w:spacing w:after="40"/>
            </w:pPr>
            <w:r>
              <w:t>5 Jul 2019</w:t>
            </w:r>
          </w:p>
        </w:tc>
        <w:tc>
          <w:tcPr>
            <w:tcW w:w="2561" w:type="dxa"/>
            <w:tcBorders>
              <w:top w:val="nil"/>
              <w:bottom w:val="nil"/>
            </w:tcBorders>
          </w:tcPr>
          <w:p>
            <w:pPr>
              <w:pStyle w:val="nTable"/>
              <w:spacing w:after="40"/>
              <w:rPr>
                <w:snapToGrid w:val="0"/>
              </w:rPr>
            </w:pPr>
            <w:r>
              <w:rPr>
                <w:snapToGrid w:val="0"/>
              </w:rPr>
              <w:t>7 Nov 2020 (see s. 2(b) and SL 2020/212 cl. 2)</w:t>
            </w:r>
          </w:p>
        </w:tc>
      </w:tr>
      <w:tr>
        <w:trPr>
          <w:cantSplit/>
        </w:trPr>
        <w:tc>
          <w:tcPr>
            <w:tcW w:w="2268" w:type="dxa"/>
            <w:tcBorders>
              <w:top w:val="nil"/>
              <w:bottom w:val="nil"/>
            </w:tcBorders>
          </w:tcPr>
          <w:p>
            <w:pPr>
              <w:pStyle w:val="nTable"/>
              <w:spacing w:after="40"/>
              <w:rPr>
                <w:i/>
              </w:rPr>
            </w:pPr>
            <w:r>
              <w:rPr>
                <w:i/>
              </w:rPr>
              <w:t>Veterinary Practice Act 2021</w:t>
            </w:r>
            <w:r>
              <w:t xml:space="preserve"> s. 230</w:t>
            </w:r>
          </w:p>
        </w:tc>
        <w:tc>
          <w:tcPr>
            <w:tcW w:w="1134" w:type="dxa"/>
            <w:tcBorders>
              <w:top w:val="nil"/>
              <w:bottom w:val="nil"/>
            </w:tcBorders>
          </w:tcPr>
          <w:p>
            <w:pPr>
              <w:pStyle w:val="nTable"/>
              <w:spacing w:after="40"/>
            </w:pPr>
            <w:r>
              <w:t>19 of 2021</w:t>
            </w:r>
          </w:p>
        </w:tc>
        <w:tc>
          <w:tcPr>
            <w:tcW w:w="1134" w:type="dxa"/>
            <w:tcBorders>
              <w:top w:val="nil"/>
              <w:bottom w:val="nil"/>
            </w:tcBorders>
          </w:tcPr>
          <w:p>
            <w:pPr>
              <w:pStyle w:val="nTable"/>
              <w:spacing w:after="40"/>
            </w:pPr>
            <w:r>
              <w:t>27 Oct 2021</w:t>
            </w:r>
          </w:p>
        </w:tc>
        <w:tc>
          <w:tcPr>
            <w:tcW w:w="2561" w:type="dxa"/>
            <w:tcBorders>
              <w:top w:val="nil"/>
              <w:bottom w:val="nil"/>
            </w:tcBorders>
          </w:tcPr>
          <w:p>
            <w:pPr>
              <w:pStyle w:val="nTable"/>
              <w:spacing w:after="40"/>
              <w:rPr>
                <w:snapToGrid w:val="0"/>
              </w:rPr>
            </w:pPr>
            <w:r>
              <w:rPr>
                <w:snapToGrid w:val="0"/>
              </w:rPr>
              <w:t>18 Jun 2022 (see s. 2(b) and SL 2022/81 cl. 2)</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pPr>
            <w:r>
              <w:rPr>
                <w:i/>
              </w:rPr>
              <w:t>Dog Amendment (Stop Puppy Farming) Act 2021</w:t>
            </w:r>
            <w:r>
              <w:t xml:space="preserve"> Pt. 2 Div. 1 and 2 and s. 44</w:t>
            </w:r>
          </w:p>
        </w:tc>
        <w:tc>
          <w:tcPr>
            <w:tcW w:w="1134" w:type="dxa"/>
            <w:tcBorders>
              <w:bottom w:val="single" w:sz="4" w:space="0" w:color="auto"/>
            </w:tcBorders>
          </w:tcPr>
          <w:p>
            <w:pPr>
              <w:pStyle w:val="nTable"/>
              <w:spacing w:after="40"/>
            </w:pPr>
            <w:r>
              <w:t>29 of 2021</w:t>
            </w:r>
          </w:p>
        </w:tc>
        <w:tc>
          <w:tcPr>
            <w:tcW w:w="1134" w:type="dxa"/>
            <w:tcBorders>
              <w:bottom w:val="single" w:sz="4" w:space="0" w:color="auto"/>
            </w:tcBorders>
          </w:tcPr>
          <w:p>
            <w:pPr>
              <w:pStyle w:val="nTable"/>
              <w:spacing w:after="40"/>
            </w:pPr>
            <w:r>
              <w:t>22 Dec 2021</w:t>
            </w:r>
          </w:p>
        </w:tc>
        <w:tc>
          <w:tcPr>
            <w:tcW w:w="2561" w:type="dxa"/>
            <w:tcBorders>
              <w:bottom w:val="single" w:sz="4" w:space="0" w:color="auto"/>
            </w:tcBorders>
          </w:tcPr>
          <w:p>
            <w:pPr>
              <w:pStyle w:val="nTable"/>
              <w:spacing w:after="40"/>
              <w:rPr>
                <w:snapToGrid w:val="0"/>
              </w:rPr>
            </w:pPr>
            <w:r>
              <w:rPr>
                <w:snapToGrid w:val="0"/>
              </w:rPr>
              <w:t>Pt. 2 Div. 1 and 2: 23 Dec 2021 (see s. 2(b));</w:t>
            </w:r>
            <w:r>
              <w:rPr>
                <w:snapToGrid w:val="0"/>
              </w:rPr>
              <w:br/>
              <w:t>s. 44: 27 Aug 2022 (see s. 2(e) and SL 2022/150 cl. 2)</w:t>
            </w:r>
          </w:p>
        </w:tc>
      </w:tr>
    </w:tbl>
    <w:p>
      <w:pPr>
        <w:pStyle w:val="nHeading3"/>
      </w:pPr>
      <w:bookmarkStart w:id="168" w:name="_Toc112320977"/>
      <w:r>
        <w:t>Uncommenced provisions table</w:t>
      </w:r>
      <w:bookmarkEnd w:id="168"/>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6"/>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5</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6" w:type="dxa"/>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73" w:type="dxa"/>
            <w:tcBorders>
              <w:top w:val="nil"/>
              <w:bottom w:val="nil"/>
              <w:right w:val="nil"/>
            </w:tcBorders>
          </w:tcPr>
          <w:p>
            <w:pPr>
              <w:pStyle w:val="nTable"/>
              <w:spacing w:after="40"/>
              <w:rPr>
                <w:i/>
              </w:rPr>
            </w:pPr>
            <w:r>
              <w:rPr>
                <w:i/>
              </w:rPr>
              <w:t>TAB (Disposal) Act 2019</w:t>
            </w:r>
            <w:r>
              <w:t xml:space="preserve"> s. 148</w:t>
            </w:r>
          </w:p>
        </w:tc>
        <w:tc>
          <w:tcPr>
            <w:tcW w:w="1134" w:type="dxa"/>
            <w:tcBorders>
              <w:top w:val="nil"/>
              <w:left w:val="nil"/>
              <w:bottom w:val="nil"/>
              <w:right w:val="nil"/>
            </w:tcBorders>
          </w:tcPr>
          <w:p>
            <w:pPr>
              <w:pStyle w:val="nTable"/>
              <w:spacing w:after="40"/>
            </w:pPr>
            <w:r>
              <w:t>21 of 2019</w:t>
            </w:r>
          </w:p>
        </w:tc>
        <w:tc>
          <w:tcPr>
            <w:tcW w:w="1134" w:type="dxa"/>
            <w:tcBorders>
              <w:top w:val="nil"/>
              <w:left w:val="nil"/>
              <w:bottom w:val="nil"/>
              <w:right w:val="nil"/>
            </w:tcBorders>
          </w:tcPr>
          <w:p>
            <w:pPr>
              <w:pStyle w:val="nTable"/>
              <w:spacing w:after="40"/>
            </w:pPr>
            <w:r>
              <w:t>18 Sep 2019</w:t>
            </w:r>
          </w:p>
        </w:tc>
        <w:tc>
          <w:tcPr>
            <w:tcW w:w="2556" w:type="dxa"/>
            <w:tcBorders>
              <w:top w:val="nil"/>
              <w:left w:val="nil"/>
              <w:bottom w:val="nil"/>
            </w:tcBorders>
          </w:tcPr>
          <w:p>
            <w:pPr>
              <w:pStyle w:val="nTable"/>
              <w:spacing w:after="40"/>
              <w:rPr>
                <w:snapToGrid w:val="0"/>
              </w:rPr>
            </w:pPr>
            <w:r>
              <w:t>To be proclaimed (see s. 2(1)(b)(xiii))</w:t>
            </w:r>
          </w:p>
        </w:tc>
      </w:tr>
      <w:tr>
        <w:tblPrEx>
          <w:tblCellMar>
            <w:left w:w="57" w:type="dxa"/>
            <w:right w:w="57" w:type="dxa"/>
          </w:tblCellMar>
        </w:tblPrEx>
        <w:tc>
          <w:tcPr>
            <w:tcW w:w="2273" w:type="dxa"/>
            <w:tcBorders>
              <w:top w:val="nil"/>
              <w:bottom w:val="single" w:sz="8" w:space="0" w:color="auto"/>
              <w:right w:val="nil"/>
            </w:tcBorders>
          </w:tcPr>
          <w:p>
            <w:pPr>
              <w:pStyle w:val="nTable"/>
              <w:spacing w:after="40"/>
              <w:rPr>
                <w:i/>
              </w:rPr>
            </w:pPr>
            <w:bookmarkStart w:id="169" w:name="_Hlk112319805"/>
            <w:r>
              <w:rPr>
                <w:i/>
              </w:rPr>
              <w:t>Dog Amendment (Stop Puppy Farming) Act 2021</w:t>
            </w:r>
            <w:r>
              <w:t xml:space="preserve"> s. 6</w:t>
            </w:r>
            <w:r>
              <w:noBreakHyphen/>
              <w:t>43 and 45 and Pt. 2 Div. 4 and 5</w:t>
            </w:r>
          </w:p>
        </w:tc>
        <w:tc>
          <w:tcPr>
            <w:tcW w:w="1134" w:type="dxa"/>
            <w:tcBorders>
              <w:top w:val="nil"/>
              <w:left w:val="nil"/>
              <w:bottom w:val="single" w:sz="8" w:space="0" w:color="auto"/>
              <w:right w:val="nil"/>
            </w:tcBorders>
          </w:tcPr>
          <w:p>
            <w:pPr>
              <w:pStyle w:val="nTable"/>
              <w:spacing w:after="40"/>
            </w:pPr>
            <w:r>
              <w:t>29 of 2021</w:t>
            </w:r>
          </w:p>
        </w:tc>
        <w:tc>
          <w:tcPr>
            <w:tcW w:w="1134" w:type="dxa"/>
            <w:tcBorders>
              <w:top w:val="nil"/>
              <w:left w:val="nil"/>
              <w:bottom w:val="single" w:sz="8" w:space="0" w:color="auto"/>
              <w:right w:val="nil"/>
            </w:tcBorders>
          </w:tcPr>
          <w:p>
            <w:pPr>
              <w:pStyle w:val="nTable"/>
              <w:spacing w:after="40"/>
              <w:rPr>
                <w:highlight w:val="yellow"/>
              </w:rPr>
            </w:pPr>
            <w:r>
              <w:t>22 Dec 2021</w:t>
            </w:r>
          </w:p>
        </w:tc>
        <w:tc>
          <w:tcPr>
            <w:tcW w:w="2556" w:type="dxa"/>
            <w:tcBorders>
              <w:top w:val="nil"/>
              <w:left w:val="nil"/>
              <w:bottom w:val="single" w:sz="8" w:space="0" w:color="auto"/>
            </w:tcBorders>
          </w:tcPr>
          <w:p>
            <w:pPr>
              <w:pStyle w:val="nTable"/>
              <w:spacing w:after="40"/>
              <w:rPr>
                <w:snapToGrid w:val="0"/>
              </w:rPr>
            </w:pPr>
            <w:r>
              <w:rPr>
                <w:snapToGrid w:val="0"/>
              </w:rPr>
              <w:t>To be proclaimed (see s. 2(c), (d) and (e))</w:t>
            </w:r>
          </w:p>
        </w:tc>
      </w:tr>
    </w:tbl>
    <w:p>
      <w:pPr>
        <w:pStyle w:val="nHeading3"/>
      </w:pPr>
      <w:bookmarkStart w:id="170" w:name="_Toc112320978"/>
      <w:bookmarkEnd w:id="169"/>
      <w:r>
        <w:lastRenderedPageBreak/>
        <w:t>Other notes</w:t>
      </w:r>
      <w:bookmarkEnd w:id="170"/>
    </w:p>
    <w:p>
      <w:pPr>
        <w:pStyle w:val="nNote"/>
        <w:spacing w:before="160"/>
      </w:pPr>
      <w:r>
        <w:rPr>
          <w:vertAlign w:val="superscript"/>
        </w:rPr>
        <w:t>1</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Note"/>
        <w:tabs>
          <w:tab w:val="left" w:pos="2520"/>
        </w:tabs>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Note"/>
        <w:rPr>
          <w:iCs/>
        </w:rPr>
      </w:pPr>
      <w:r>
        <w:rPr>
          <w:vertAlign w:val="superscript"/>
        </w:rPr>
        <w:t>3</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47 reads as follows:</w:t>
      </w:r>
    </w:p>
    <w:p>
      <w:pPr>
        <w:pStyle w:val="BlankOpen"/>
      </w:pPr>
    </w:p>
    <w:p>
      <w:pPr>
        <w:pStyle w:val="nzHeading5"/>
        <w:spacing w:before="0"/>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Note"/>
        <w:spacing w:before="60"/>
        <w:rPr>
          <w:iCs/>
        </w:rPr>
      </w:pPr>
      <w:r>
        <w:rPr>
          <w:iCs/>
          <w:vertAlign w:val="superscript"/>
        </w:rPr>
        <w:t>5</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spacing w:before="0"/>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lastRenderedPageBreak/>
        <w:tab/>
        <w:t>(2)</w:t>
      </w:r>
      <w:r>
        <w:rPr>
          <w:snapToGrid w:val="0"/>
        </w:rPr>
        <w:tab/>
        <w:t>The Minister must prepare a report based on the review and, as soon as is practicable after the report is prepared, cause it to be laid before each House of Parliament.</w:t>
      </w:r>
    </w:p>
    <w:p>
      <w:pPr>
        <w:pStyle w:val="BlankClose"/>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172" w:name="_Toc112320979"/>
      <w:r>
        <w:rPr>
          <w:sz w:val="28"/>
        </w:rPr>
        <w:lastRenderedPageBreak/>
        <w:t>Defined terms</w:t>
      </w:r>
      <w:bookmarkEnd w:id="1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provision</w:t>
      </w:r>
      <w:r>
        <w:tab/>
        <w:t>60(2)</w:t>
      </w:r>
    </w:p>
    <w:p>
      <w:pPr>
        <w:pStyle w:val="DefinedTerms"/>
      </w:pPr>
      <w:r>
        <w:t>assistance dog</w:t>
      </w:r>
      <w:r>
        <w:tab/>
        <w:t>8(1)</w:t>
      </w:r>
    </w:p>
    <w:p>
      <w:pPr>
        <w:pStyle w:val="DefinedTerms"/>
      </w:pPr>
      <w:r>
        <w:t>attack</w:t>
      </w:r>
      <w:r>
        <w:tab/>
        <w:t>3(1)</w:t>
      </w:r>
    </w:p>
    <w:p>
      <w:pPr>
        <w:pStyle w:val="DefinedTerms"/>
      </w:pPr>
      <w:r>
        <w:t>attack dog</w:t>
      </w:r>
      <w:r>
        <w:tab/>
        <w:t>29(5a)</w:t>
      </w:r>
    </w:p>
    <w:p>
      <w:pPr>
        <w:pStyle w:val="DefinedTerms"/>
      </w:pPr>
      <w:r>
        <w:t>authorised person</w:t>
      </w:r>
      <w:r>
        <w:tab/>
        <w:t>3(1)</w:t>
      </w:r>
    </w:p>
    <w:p>
      <w:pPr>
        <w:pStyle w:val="DefinedTerms"/>
      </w:pPr>
      <w:r>
        <w:t>centralised registration system</w:t>
      </w:r>
      <w:r>
        <w:tab/>
        <w:t>62(1)</w:t>
      </w:r>
    </w:p>
    <w:p>
      <w:pPr>
        <w:pStyle w:val="DefinedTerms"/>
      </w:pPr>
      <w:r>
        <w:t>CEO</w:t>
      </w:r>
      <w:r>
        <w:tab/>
        <w:t>3(1)</w:t>
      </w:r>
    </w:p>
    <w:p>
      <w:pPr>
        <w:pStyle w:val="DefinedTerms"/>
      </w:pPr>
      <w:r>
        <w:t>commencement day</w:t>
      </w:r>
      <w:r>
        <w:tab/>
        <w:t>60(1), 62(1)</w:t>
      </w:r>
    </w:p>
    <w:p>
      <w:pPr>
        <w:pStyle w:val="DefinedTerms"/>
      </w:pPr>
      <w:r>
        <w:t>commercial security dog</w:t>
      </w:r>
      <w:r>
        <w:tab/>
        <w:t>3(1)</w:t>
      </w:r>
    </w:p>
    <w:p>
      <w:pPr>
        <w:pStyle w:val="DefinedTerms"/>
      </w:pPr>
      <w:r>
        <w:t>dangerous dog</w:t>
      </w:r>
      <w:r>
        <w:tab/>
        <w:t>3(1)</w:t>
      </w:r>
    </w:p>
    <w:p>
      <w:pPr>
        <w:pStyle w:val="DefinedTerms"/>
      </w:pPr>
      <w:r>
        <w:t>dangerous dog (declared)</w:t>
      </w:r>
      <w:r>
        <w:tab/>
        <w:t>3(1)</w:t>
      </w:r>
    </w:p>
    <w:p>
      <w:pPr>
        <w:pStyle w:val="DefinedTerms"/>
      </w:pPr>
      <w:r>
        <w:t>dangerous dog (restricted breed)</w:t>
      </w:r>
      <w:r>
        <w:tab/>
        <w:t>3(1)</w:t>
      </w:r>
    </w:p>
    <w:p>
      <w:pPr>
        <w:pStyle w:val="DefinedTerms"/>
      </w:pPr>
      <w:r>
        <w:t>detention period</w:t>
      </w:r>
      <w:r>
        <w:tab/>
        <w:t>29(8A)</w:t>
      </w:r>
    </w:p>
    <w:p>
      <w:pPr>
        <w:pStyle w:val="DefinedTerms"/>
      </w:pPr>
      <w:r>
        <w:t>district</w:t>
      </w:r>
      <w:r>
        <w:tab/>
        <w:t>3(1)</w:t>
      </w:r>
    </w:p>
    <w:p>
      <w:pPr>
        <w:pStyle w:val="DefinedTerms"/>
      </w:pPr>
      <w:r>
        <w:t>dog</w:t>
      </w:r>
      <w:r>
        <w:tab/>
        <w:t>17A(1)</w:t>
      </w:r>
    </w:p>
    <w:p>
      <w:pPr>
        <w:pStyle w:val="DefinedTerms"/>
      </w:pPr>
      <w:r>
        <w:t>dog management facility</w:t>
      </w:r>
      <w:r>
        <w:tab/>
        <w:t>3(1)</w:t>
      </w:r>
    </w:p>
    <w:p>
      <w:pPr>
        <w:pStyle w:val="DefinedTerms"/>
      </w:pPr>
      <w:r>
        <w:t>dwelling</w:t>
      </w:r>
      <w:r>
        <w:tab/>
        <w:t>3(1)</w:t>
      </w:r>
    </w:p>
    <w:p>
      <w:pPr>
        <w:pStyle w:val="DefinedTerms"/>
      </w:pPr>
      <w:r>
        <w:t>effectively confined</w:t>
      </w:r>
      <w:r>
        <w:tab/>
        <w:t>3(1)</w:t>
      </w:r>
    </w:p>
    <w:p>
      <w:pPr>
        <w:pStyle w:val="DefinedTerms"/>
      </w:pPr>
      <w:r>
        <w:t>Gazettal day</w:t>
      </w:r>
      <w:r>
        <w:tab/>
        <w:t>60(1)</w:t>
      </w:r>
    </w:p>
    <w:p>
      <w:pPr>
        <w:pStyle w:val="DefinedTerms"/>
      </w:pPr>
      <w:r>
        <w:t>livestock</w:t>
      </w:r>
      <w:r>
        <w:tab/>
        <w:t>34(2)</w:t>
      </w:r>
    </w:p>
    <w:p>
      <w:pPr>
        <w:pStyle w:val="DefinedTerms"/>
      </w:pPr>
      <w:r>
        <w:t>metropolitan region</w:t>
      </w:r>
      <w:r>
        <w:tab/>
        <w:t>3(1)</w:t>
      </w:r>
    </w:p>
    <w:p>
      <w:pPr>
        <w:pStyle w:val="DefinedTerms"/>
      </w:pPr>
      <w:r>
        <w:t>microchip</w:t>
      </w:r>
      <w:r>
        <w:tab/>
        <w:t>3(1)</w:t>
      </w:r>
    </w:p>
    <w:p>
      <w:pPr>
        <w:pStyle w:val="DefinedTerms"/>
      </w:pPr>
      <w:r>
        <w:t>microchip database</w:t>
      </w:r>
      <w:r>
        <w:tab/>
        <w:t>3(1)</w:t>
      </w:r>
    </w:p>
    <w:p>
      <w:pPr>
        <w:pStyle w:val="DefinedTerms"/>
      </w:pPr>
      <w:r>
        <w:t>microchip database company</w:t>
      </w:r>
      <w:r>
        <w:tab/>
        <w:t>3(1)</w:t>
      </w:r>
    </w:p>
    <w:p>
      <w:pPr>
        <w:pStyle w:val="DefinedTerms"/>
      </w:pPr>
      <w:r>
        <w:t>microchip implanter</w:t>
      </w:r>
      <w:r>
        <w:tab/>
        <w:t>3(1)</w:t>
      </w:r>
    </w:p>
    <w:p>
      <w:pPr>
        <w:pStyle w:val="DefinedTerms"/>
      </w:pPr>
      <w:r>
        <w:t>microchipped</w:t>
      </w:r>
      <w:r>
        <w:tab/>
        <w:t>3(1)</w:t>
      </w:r>
    </w:p>
    <w:p>
      <w:pPr>
        <w:pStyle w:val="DefinedTerms"/>
      </w:pPr>
      <w:r>
        <w:t>mobile home</w:t>
      </w:r>
      <w:r>
        <w:tab/>
        <w:t>3(1)</w:t>
      </w:r>
    </w:p>
    <w:p>
      <w:pPr>
        <w:pStyle w:val="DefinedTerms"/>
      </w:pPr>
      <w:r>
        <w:t>operative day</w:t>
      </w:r>
      <w:r>
        <w:tab/>
        <w:t>60(4)</w:t>
      </w:r>
    </w:p>
    <w:p>
      <w:pPr>
        <w:pStyle w:val="DefinedTerms"/>
      </w:pPr>
      <w:r>
        <w:t>owner</w:t>
      </w:r>
      <w:r>
        <w:tab/>
        <w:t>3(1), 33L</w:t>
      </w:r>
    </w:p>
    <w:p>
      <w:pPr>
        <w:pStyle w:val="DefinedTerms"/>
      </w:pPr>
      <w:r>
        <w:t>owner’s delegate</w:t>
      </w:r>
      <w:r>
        <w:tab/>
        <w:t>3(1)</w:t>
      </w:r>
    </w:p>
    <w:p>
      <w:pPr>
        <w:pStyle w:val="DefinedTerms"/>
      </w:pPr>
      <w:r>
        <w:t>person liable for the control of the dog</w:t>
      </w:r>
      <w:r>
        <w:tab/>
        <w:t>3(1)</w:t>
      </w:r>
    </w:p>
    <w:p>
      <w:pPr>
        <w:pStyle w:val="DefinedTerms"/>
      </w:pPr>
      <w:r>
        <w:t>police officer</w:t>
      </w:r>
      <w:r>
        <w:tab/>
        <w:t>3(1)</w:t>
      </w:r>
    </w:p>
    <w:p>
      <w:pPr>
        <w:pStyle w:val="DefinedTerms"/>
      </w:pPr>
      <w:r>
        <w:t>premises</w:t>
      </w:r>
      <w:r>
        <w:tab/>
        <w:t>3(1)</w:t>
      </w:r>
    </w:p>
    <w:p>
      <w:pPr>
        <w:pStyle w:val="DefinedTerms"/>
      </w:pPr>
      <w:r>
        <w:t>prescribed</w:t>
      </w:r>
      <w:r>
        <w:tab/>
        <w:t>3(1)</w:t>
      </w:r>
    </w:p>
    <w:p>
      <w:pPr>
        <w:pStyle w:val="DefinedTerms"/>
      </w:pPr>
      <w:r>
        <w:t>provocation</w:t>
      </w:r>
      <w:r>
        <w:tab/>
        <w:t>3(1)</w:t>
      </w:r>
    </w:p>
    <w:p>
      <w:pPr>
        <w:pStyle w:val="DefinedTerms"/>
      </w:pPr>
      <w:r>
        <w:t>public officer</w:t>
      </w:r>
      <w:r>
        <w:tab/>
        <w:t>6(6)</w:t>
      </w:r>
    </w:p>
    <w:p>
      <w:pPr>
        <w:pStyle w:val="DefinedTerms"/>
      </w:pPr>
      <w:r>
        <w:t>public place</w:t>
      </w:r>
      <w:r>
        <w:tab/>
        <w:t>3(1)</w:t>
      </w:r>
    </w:p>
    <w:p>
      <w:pPr>
        <w:pStyle w:val="DefinedTerms"/>
      </w:pPr>
      <w:r>
        <w:t>receiver</w:t>
      </w:r>
      <w:r>
        <w:tab/>
        <w:t>33GE(1)</w:t>
      </w:r>
    </w:p>
    <w:p>
      <w:pPr>
        <w:pStyle w:val="DefinedTerms"/>
      </w:pPr>
      <w:r>
        <w:t>registered owner</w:t>
      </w:r>
      <w:r>
        <w:tab/>
        <w:t>3(1)</w:t>
      </w:r>
    </w:p>
    <w:p>
      <w:pPr>
        <w:pStyle w:val="DefinedTerms"/>
      </w:pPr>
      <w:r>
        <w:t>registration officer</w:t>
      </w:r>
      <w:r>
        <w:tab/>
        <w:t>3(1)</w:t>
      </w:r>
    </w:p>
    <w:p>
      <w:pPr>
        <w:pStyle w:val="DefinedTerms"/>
      </w:pPr>
      <w:r>
        <w:lastRenderedPageBreak/>
        <w:t xml:space="preserve">relevant day </w:t>
      </w:r>
      <w:r>
        <w:tab/>
        <w:t>22(1)</w:t>
      </w:r>
    </w:p>
    <w:p>
      <w:pPr>
        <w:pStyle w:val="DefinedTerms"/>
      </w:pPr>
      <w:r>
        <w:t>relevant time</w:t>
      </w:r>
      <w:r>
        <w:tab/>
        <w:t>33GE(1)</w:t>
      </w:r>
    </w:p>
    <w:p>
      <w:pPr>
        <w:pStyle w:val="DefinedTerms"/>
      </w:pPr>
      <w:r>
        <w:t>representative</w:t>
      </w:r>
      <w:r>
        <w:tab/>
        <w:t>47(1)</w:t>
      </w:r>
    </w:p>
    <w:p>
      <w:pPr>
        <w:pStyle w:val="DefinedTerms"/>
      </w:pPr>
      <w:r>
        <w:t>restricted breed pup</w:t>
      </w:r>
      <w:r>
        <w:tab/>
        <w:t>33GC(1)</w:t>
      </w:r>
    </w:p>
    <w:p>
      <w:pPr>
        <w:pStyle w:val="DefinedTerms"/>
      </w:pPr>
      <w:r>
        <w:t>scan</w:t>
      </w:r>
      <w:r>
        <w:tab/>
        <w:t>3(1)</w:t>
      </w:r>
    </w:p>
    <w:p>
      <w:pPr>
        <w:pStyle w:val="DefinedTerms"/>
      </w:pPr>
      <w:r>
        <w:t>specified</w:t>
      </w:r>
      <w:r>
        <w:tab/>
        <w:t>50(3)</w:t>
      </w:r>
    </w:p>
    <w:p>
      <w:pPr>
        <w:pStyle w:val="DefinedTerms"/>
      </w:pPr>
      <w:r>
        <w:t>sterilised</w:t>
      </w:r>
      <w:r>
        <w:tab/>
        <w:t>3(1)</w:t>
      </w:r>
    </w:p>
    <w:p>
      <w:pPr>
        <w:pStyle w:val="DefinedTerms"/>
      </w:pPr>
      <w:r>
        <w:t>townsite</w:t>
      </w:r>
      <w:r>
        <w:tab/>
        <w:t>3(1)</w:t>
      </w:r>
    </w:p>
    <w:p>
      <w:pPr>
        <w:pStyle w:val="DefinedTerms"/>
      </w:pPr>
      <w:r>
        <w:t>transfer</w:t>
      </w:r>
      <w:r>
        <w:tab/>
        <w:t>3(1)</w:t>
      </w:r>
    </w:p>
    <w:p>
      <w:pPr>
        <w:pStyle w:val="DefinedTerms"/>
      </w:pPr>
      <w:r>
        <w:t>transitional matter</w:t>
      </w:r>
      <w:r>
        <w:tab/>
        <w:t>60(1)</w:t>
      </w:r>
    </w:p>
    <w:p>
      <w:pPr>
        <w:pStyle w:val="DefinedTerms"/>
      </w:pPr>
      <w:r>
        <w:t>transitional regulations</w:t>
      </w:r>
      <w:r>
        <w:tab/>
        <w:t>60(1)</w:t>
      </w:r>
    </w:p>
    <w:p>
      <w:pPr>
        <w:pStyle w:val="DefinedTerms"/>
      </w:pPr>
      <w:r>
        <w:t>vehicle</w:t>
      </w:r>
      <w:r>
        <w:tab/>
        <w:t>3(1)</w:t>
      </w:r>
    </w:p>
    <w:p>
      <w:pPr>
        <w:pStyle w:val="DefinedTerms"/>
      </w:pPr>
      <w:r>
        <w:t>veterinarian</w:t>
      </w:r>
      <w:r>
        <w:tab/>
        <w:t>3(1)</w:t>
      </w:r>
    </w:p>
    <w:p>
      <w:pPr>
        <w:pStyle w:val="DefinedTerms"/>
      </w:pPr>
      <w:r>
        <w:t>working</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1134"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Aug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1" w:name="Compilation"/>
    <w:bookmarkEnd w:id="17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3" w:name="DefinedTerms"/>
    <w:bookmarkEnd w:id="17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4" w:name="Coversheet"/>
    <w:bookmarkEnd w:id="1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24141252"/>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 w:name="WAFER_20190919171008" w:val="RemoveTocBookmarks,RemoveUnusedBookmarks,RemoveLanguageTags,ResetPageSize,RunningHeaders,UpdateStyles,UsedStyles"/>
    <w:docVar w:name="WAFER_20190919171008_GUID" w:val="45f69d7f-603f-4ad7-814e-90f458299a91"/>
    <w:docVar w:name="WAFER_20200213110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131_GUID" w:val="98df0f63-49cb-4bde-b9ce-cbde83c759c0"/>
    <w:docVar w:name="WAFER_20201015163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930_GUID" w:val="0cb48ada-7e8b-485d-955e-35e7c8b13e51"/>
    <w:docVar w:name="WAFER_2020111615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155427_GUID" w:val="fd8c3b31-9e64-42de-b35d-230120093b7d"/>
    <w:docVar w:name="WAFER_202110281151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06_GUID" w:val="f1ff8f19-b608-4474-97ed-8bdc86042be9"/>
    <w:docVar w:name="WAFER_20211028115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27_GUID" w:val="1f01b1a5-460c-4daf-b6ce-b373d8d2e0f2"/>
    <w:docVar w:name="WAFER_202112211115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525_GUID" w:val="81d1593a-8be3-4752-95d2-25f7d2bde80d"/>
    <w:docVar w:name="WAFER_2022060915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38_GUID" w:val="708a4674-680e-4dfb-a1cc-a04509f1fb71"/>
    <w:docVar w:name="WAFER_202208241412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41252_GUID" w:val="882f621c-e00d-40ef-8ffe-7edd7cb318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5:docId w15:val="{EAE508EC-E44B-455B-8272-AB2EADD89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dnotepart">
    <w:name w:val="Ednote(part)"/>
    <w:basedOn w:val="Normal"/>
    <w:pPr>
      <w:spacing w:before="220" w:line="260" w:lineRule="atLeast"/>
      <w:outlineLvl w:val="4"/>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D5764-4573-4FD9-8877-8C52BE3C4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29280</Words>
  <Characters>132058</Characters>
  <Application>Microsoft Office Word</Application>
  <DocSecurity>0</DocSecurity>
  <Lines>3668</Lines>
  <Paragraphs>2016</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159322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1976 - 06-j0-00</dc:title>
  <dc:subject/>
  <dc:creator/>
  <cp:keywords/>
  <dc:description/>
  <cp:lastModifiedBy>Master Repository Process</cp:lastModifiedBy>
  <cp:revision>4</cp:revision>
  <cp:lastPrinted>2020-11-16T07:53:00Z</cp:lastPrinted>
  <dcterms:created xsi:type="dcterms:W3CDTF">2022-08-25T07:55:00Z</dcterms:created>
  <dcterms:modified xsi:type="dcterms:W3CDTF">2022-08-25T07:55:00Z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ReprintNo">
    <vt:lpwstr>6</vt:lpwstr>
  </property>
  <property fmtid="{D5CDD505-2E9C-101B-9397-08002B2CF9AE}" pid="6" name="ReprintedAsAt">
    <vt:filetime>2014-07-03T16:00:00Z</vt:filetime>
  </property>
  <property fmtid="{D5CDD505-2E9C-101B-9397-08002B2CF9AE}" pid="7" name="AsAtDate">
    <vt:lpwstr>27 Aug 2022</vt:lpwstr>
  </property>
  <property fmtid="{D5CDD505-2E9C-101B-9397-08002B2CF9AE}" pid="8" name="Suffix">
    <vt:lpwstr>06-j0-00</vt:lpwstr>
  </property>
  <property fmtid="{D5CDD505-2E9C-101B-9397-08002B2CF9AE}" pid="9" name="CommencementDate">
    <vt:lpwstr>20220827</vt:lpwstr>
  </property>
</Properties>
</file>