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_Toc209714845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_Toc209714846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_Toc209714847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_Toc209714848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_Toc209714850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_Toc209714851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_Toc209714852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_Toc209714853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_Toc209714854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_Toc209714855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_Toc209714856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_Toc209714857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_Toc209714860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_Toc209714862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_Toc209714863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_Toc209714865 \h </w:instrText>
      </w:r>
      <w:r>
        <w:fldChar w:fldCharType="separate"/>
      </w:r>
      <w:r>
        <w:t>22</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_Toc209714866 \h </w:instrText>
      </w:r>
      <w:r>
        <w:fldChar w:fldCharType="separate"/>
      </w:r>
      <w:r>
        <w:t>22</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_Toc209714867 \h </w:instrText>
      </w:r>
      <w:r>
        <w:fldChar w:fldCharType="separate"/>
      </w:r>
      <w:r>
        <w:t>23</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_Toc209714868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_Toc209714870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_Toc209714871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_Toc209714872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_Toc209714873 \h </w:instrText>
      </w:r>
      <w:r>
        <w:fldChar w:fldCharType="separate"/>
      </w:r>
      <w:r>
        <w:t>30</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_Toc209714874 \h </w:instrText>
      </w:r>
      <w:r>
        <w:fldChar w:fldCharType="separate"/>
      </w:r>
      <w:r>
        <w:t>31</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_Toc209714875 \h </w:instrText>
      </w:r>
      <w:r>
        <w:fldChar w:fldCharType="separate"/>
      </w:r>
      <w:r>
        <w:t>32</w:t>
      </w:r>
      <w:r>
        <w:fldChar w:fldCharType="end"/>
      </w:r>
    </w:p>
    <w:p>
      <w:pPr>
        <w:pStyle w:val="TOC8"/>
        <w:rPr>
          <w:rFonts w:asciiTheme="minorHAnsi" w:eastAsiaTheme="minorEastAsia" w:hAnsiTheme="minorHAnsi" w:cstheme="minorBidi"/>
          <w:szCs w:val="22"/>
        </w:rPr>
      </w:pPr>
      <w:r>
        <w:t>24D.</w:t>
      </w:r>
      <w:r>
        <w:tab/>
        <w:t>Burning garden refuse prohibited if fire danger high to catastrophic</w:t>
      </w:r>
      <w:r>
        <w:tab/>
      </w:r>
      <w:r>
        <w:fldChar w:fldCharType="begin"/>
      </w:r>
      <w:r>
        <w:instrText xml:space="preserve"> PAGEREF _Toc209714876 \h </w:instrText>
      </w:r>
      <w:r>
        <w:fldChar w:fldCharType="separate"/>
      </w:r>
      <w:r>
        <w:t>32</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_Toc209714877 \h </w:instrText>
      </w:r>
      <w:r>
        <w:fldChar w:fldCharType="separate"/>
      </w:r>
      <w:r>
        <w:t>33</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_Toc209714878 \h </w:instrText>
      </w:r>
      <w:r>
        <w:fldChar w:fldCharType="separate"/>
      </w:r>
      <w:r>
        <w:t>33</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_Toc209714879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_Toc209714880 \h </w:instrText>
      </w:r>
      <w:r>
        <w:fldChar w:fldCharType="separate"/>
      </w:r>
      <w:r>
        <w:t>36</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_Toc209714881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_Toc209714882 \h </w:instrText>
      </w:r>
      <w:r>
        <w:fldChar w:fldCharType="separate"/>
      </w:r>
      <w:r>
        <w:t>42</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_Toc209714883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_Toc209714885 \h </w:instrText>
      </w:r>
      <w:r>
        <w:fldChar w:fldCharType="separate"/>
      </w:r>
      <w:r>
        <w:t>43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_Toc209714886 \h </w:instrText>
      </w:r>
      <w:r>
        <w:fldChar w:fldCharType="separate"/>
      </w:r>
      <w:r>
        <w:t>46</w:t>
      </w:r>
      <w:r>
        <w:fldChar w:fldCharType="end"/>
      </w:r>
    </w:p>
    <w:p>
      <w:pPr>
        <w:pStyle w:val="TOC8"/>
        <w:rPr>
          <w:rFonts w:asciiTheme="minorHAnsi" w:eastAsiaTheme="minorEastAsia" w:hAnsiTheme="minorHAnsi" w:cstheme="minorBidi"/>
          <w:szCs w:val="22"/>
        </w:rPr>
      </w:pPr>
      <w:r>
        <w:lastRenderedPageBreak/>
        <w:t>27B</w:t>
      </w:r>
      <w:r>
        <w:rPr>
          <w:snapToGrid w:val="0"/>
        </w:rPr>
        <w:t>.</w:t>
      </w:r>
      <w:r>
        <w:rPr>
          <w:snapToGrid w:val="0"/>
        </w:rPr>
        <w:tab/>
        <w:t>False alarms</w:t>
      </w:r>
      <w:r>
        <w:tab/>
      </w:r>
      <w:r>
        <w:fldChar w:fldCharType="begin"/>
      </w:r>
      <w:r>
        <w:instrText xml:space="preserve"> PAGEREF _Toc209714887 \h </w:instrText>
      </w:r>
      <w:r>
        <w:fldChar w:fldCharType="separate"/>
      </w:r>
      <w:r>
        <w:t>46</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_Toc209714888 \h </w:instrText>
      </w:r>
      <w:r>
        <w:fldChar w:fldCharType="separate"/>
      </w:r>
      <w:r>
        <w:t>47</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_Toc209714889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_Toc209714890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_Toc209714891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_Toc209714892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_Toc209714893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_Toc209714894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_Toc209714895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7 — Bush fire risk treatment standards</w:t>
      </w:r>
    </w:p>
    <w:p>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_Toc209714897 \h </w:instrText>
      </w:r>
      <w:r>
        <w:fldChar w:fldCharType="separate"/>
      </w:r>
      <w:r>
        <w:t>59</w:t>
      </w:r>
      <w:r>
        <w:fldChar w:fldCharType="end"/>
      </w:r>
    </w:p>
    <w:p>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_Toc209714898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_Toc209714901 \h </w:instrText>
      </w:r>
      <w:r>
        <w:fldChar w:fldCharType="separate"/>
      </w:r>
      <w:r>
        <w:t>62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_Toc209714902 \h </w:instrText>
      </w:r>
      <w:r>
        <w:fldChar w:fldCharType="separate"/>
      </w:r>
      <w:r>
        <w:t>63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_Toc209714903 \h </w:instrText>
      </w:r>
      <w:r>
        <w:fldChar w:fldCharType="separate"/>
      </w:r>
      <w:r>
        <w:t>64</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_Toc209714904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_Toc209714905 \h </w:instrText>
      </w:r>
      <w:r>
        <w:fldChar w:fldCharType="separate"/>
      </w:r>
      <w:r>
        <w:t>69</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_Toc209714906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_Toc209714907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_Toc209714909 \h </w:instrText>
      </w:r>
      <w:r>
        <w:fldChar w:fldCharType="separate"/>
      </w:r>
      <w:r>
        <w:t>72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_Toc209714910 \h </w:instrText>
      </w:r>
      <w:r>
        <w:fldChar w:fldCharType="separate"/>
      </w:r>
      <w:r>
        <w:t>73</w:t>
      </w:r>
      <w:r>
        <w:fldChar w:fldCharType="end"/>
      </w:r>
    </w:p>
    <w:p>
      <w:pPr>
        <w:pStyle w:val="TOC8"/>
        <w:rPr>
          <w:rFonts w:asciiTheme="minorHAnsi" w:eastAsiaTheme="minorEastAsia" w:hAnsiTheme="minorHAnsi" w:cstheme="minorBidi"/>
          <w:szCs w:val="22"/>
        </w:rPr>
      </w:pPr>
      <w:r>
        <w:lastRenderedPageBreak/>
        <w:t>42A.</w:t>
      </w:r>
      <w:r>
        <w:tab/>
        <w:t>Constitution of bush fire brigade</w:t>
      </w:r>
      <w:r>
        <w:tab/>
      </w:r>
      <w:r>
        <w:fldChar w:fldCharType="begin"/>
      </w:r>
      <w:r>
        <w:instrText xml:space="preserve"> PAGEREF _Toc209714911 \h </w:instrText>
      </w:r>
      <w:r>
        <w:fldChar w:fldCharType="separate"/>
      </w:r>
      <w:r>
        <w:t>73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_Toc209714912 \h </w:instrText>
      </w:r>
      <w:r>
        <w:fldChar w:fldCharType="separate"/>
      </w:r>
      <w:r>
        <w:t>73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_Toc209714913 \h </w:instrText>
      </w:r>
      <w:r>
        <w:fldChar w:fldCharType="separate"/>
      </w:r>
      <w:r>
        <w:t>73</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_Toc209714914 \h </w:instrText>
      </w:r>
      <w:r>
        <w:fldChar w:fldCharType="separate"/>
      </w:r>
      <w:r>
        <w:t>76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_Toc209714915 \h </w:instrText>
      </w:r>
      <w:r>
        <w:fldChar w:fldCharType="separate"/>
      </w:r>
      <w:r>
        <w:t>76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_Toc209714916 \h </w:instrText>
      </w:r>
      <w:r>
        <w:fldChar w:fldCharType="separate"/>
      </w:r>
      <w:r>
        <w:t>78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_Toc209714917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_Toc209714919 \h </w:instrText>
      </w:r>
      <w:r>
        <w:fldChar w:fldCharType="separate"/>
      </w:r>
      <w:r>
        <w:t>81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_Toc209714920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_Toc209714921 \h </w:instrText>
      </w:r>
      <w:r>
        <w:fldChar w:fldCharType="separate"/>
      </w:r>
      <w:r>
        <w:t>82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_Toc209714922 \h </w:instrText>
      </w:r>
      <w:r>
        <w:fldChar w:fldCharType="separate"/>
      </w:r>
      <w:r>
        <w:t>83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_Toc209714923 \h </w:instrText>
      </w:r>
      <w:r>
        <w:fldChar w:fldCharType="separate"/>
      </w:r>
      <w:r>
        <w:t>83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_Toc209714924 \h </w:instrText>
      </w:r>
      <w:r>
        <w:fldChar w:fldCharType="separate"/>
      </w:r>
      <w:r>
        <w:t>84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_Toc209714925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_Toc209714926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_Toc209714927 \h </w:instrText>
      </w:r>
      <w:r>
        <w:fldChar w:fldCharType="separate"/>
      </w:r>
      <w:r>
        <w:t>86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_Toc209714928 \h </w:instrText>
      </w:r>
      <w:r>
        <w:fldChar w:fldCharType="separate"/>
      </w:r>
      <w:r>
        <w:t>88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_Toc209714929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_Toc209714930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_Toc209714931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_Toc209714932 \h </w:instrText>
      </w:r>
      <w:r>
        <w:fldChar w:fldCharType="separate"/>
      </w:r>
      <w:r>
        <w:t>91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_Toc209714933 \h </w:instrText>
      </w:r>
      <w:r>
        <w:fldChar w:fldCharType="separate"/>
      </w:r>
      <w:r>
        <w:t>92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_Toc209714934 \h </w:instrText>
      </w:r>
      <w:r>
        <w:fldChar w:fldCharType="separate"/>
      </w:r>
      <w:r>
        <w:t>92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_Toc209714935 \h </w:instrText>
      </w:r>
      <w:r>
        <w:fldChar w:fldCharType="separate"/>
      </w:r>
      <w:r>
        <w:t>92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_Toc209714936 \h </w:instrText>
      </w:r>
      <w:r>
        <w:fldChar w:fldCharType="separate"/>
      </w:r>
      <w:r>
        <w:t>94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_Toc209714937 \h </w:instrText>
      </w:r>
      <w:r>
        <w:fldChar w:fldCharType="separate"/>
      </w:r>
      <w:r>
        <w:t>96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_Toc209714938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_Toc209714940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_Toc209714941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snapToGrid w:val="0"/>
          <w:vertAlign w:val="superscript"/>
        </w:rPr>
        <w:t>1</w:t>
      </w:r>
      <w:r>
        <w:rPr>
          <w:snapToGrid w:val="0"/>
        </w:rPr>
        <w:t xml:space="preserve"> and for other purposes.</w:t>
      </w:r>
    </w:p>
    <w:p>
      <w:pPr>
        <w:pStyle w:val="Heading2"/>
      </w:pPr>
      <w:bookmarkStart w:id="2" w:name="_Toc209714844"/>
      <w:r>
        <w:rPr>
          <w:rStyle w:val="CharPartNo"/>
        </w:rPr>
        <w:lastRenderedPageBreak/>
        <w:t>Part I</w:t>
      </w:r>
      <w:r>
        <w:rPr>
          <w:rStyle w:val="CharDivNo"/>
        </w:rPr>
        <w:t> </w:t>
      </w:r>
      <w:r>
        <w:t>—</w:t>
      </w:r>
      <w:r>
        <w:rPr>
          <w:rStyle w:val="CharDivText"/>
        </w:rPr>
        <w:t> </w:t>
      </w:r>
      <w:r>
        <w:rPr>
          <w:rStyle w:val="CharPartText"/>
        </w:rPr>
        <w:t>Preliminary</w:t>
      </w:r>
      <w:bookmarkEnd w:id="2"/>
    </w:p>
    <w:p>
      <w:pPr>
        <w:pStyle w:val="Footnoteheading"/>
      </w:pPr>
      <w:r>
        <w:tab/>
        <w:t>[Heading inserted: No. 19 of 2010 s. 43(3)(a).]</w:t>
      </w:r>
    </w:p>
    <w:p>
      <w:pPr>
        <w:pStyle w:val="Heading5"/>
        <w:rPr>
          <w:snapToGrid w:val="0"/>
        </w:rPr>
      </w:pPr>
      <w:bookmarkStart w:id="3" w:name="_Toc20971484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4" w:name="_Toc209714846"/>
      <w:r>
        <w:rPr>
          <w:rStyle w:val="CharSectno"/>
        </w:rPr>
        <w:t>3</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Heading5"/>
        <w:spacing w:before="180"/>
        <w:rPr>
          <w:snapToGrid w:val="0"/>
        </w:rPr>
      </w:pPr>
      <w:bookmarkStart w:id="5" w:name="_Toc209714847"/>
      <w:r>
        <w:rPr>
          <w:rStyle w:val="CharSectno"/>
        </w:rPr>
        <w:t>4</w:t>
      </w:r>
      <w:r>
        <w:rPr>
          <w:snapToGrid w:val="0"/>
        </w:rPr>
        <w:t>.</w:t>
      </w:r>
      <w:r>
        <w:rPr>
          <w:snapToGrid w:val="0"/>
        </w:rPr>
        <w:tab/>
        <w:t>Saving provisions</w:t>
      </w:r>
      <w:bookmarkEnd w:id="5"/>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6" w:name="_Toc209714848"/>
      <w:r>
        <w:rPr>
          <w:rStyle w:val="CharSectno"/>
        </w:rPr>
        <w:t>7</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keepNext/>
      </w:pPr>
      <w:r>
        <w:lastRenderedPageBreak/>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lastRenderedPageBreak/>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lastRenderedPageBreak/>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7" w:name="_Toc209714849"/>
      <w:r>
        <w:rPr>
          <w:rStyle w:val="CharPartNo"/>
        </w:rPr>
        <w:lastRenderedPageBreak/>
        <w:t>Part II</w:t>
      </w:r>
      <w:r>
        <w:rPr>
          <w:rStyle w:val="CharDivNo"/>
        </w:rPr>
        <w:t> </w:t>
      </w:r>
      <w:r>
        <w:t>—</w:t>
      </w:r>
      <w:r>
        <w:rPr>
          <w:rStyle w:val="CharDivText"/>
        </w:rPr>
        <w:t> </w:t>
      </w:r>
      <w:r>
        <w:rPr>
          <w:rStyle w:val="CharPartText"/>
        </w:rPr>
        <w:t>Administration</w:t>
      </w:r>
      <w:bookmarkEnd w:id="7"/>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8" w:name="_Toc209714850"/>
      <w:r>
        <w:rPr>
          <w:rStyle w:val="CharSectno"/>
        </w:rPr>
        <w:t>9</w:t>
      </w:r>
      <w:r>
        <w:t>.</w:t>
      </w:r>
      <w:r>
        <w:tab/>
        <w:t>Terms used</w:t>
      </w:r>
      <w:bookmarkEnd w:id="8"/>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9" w:name="_Toc209714851"/>
      <w:r>
        <w:rPr>
          <w:rStyle w:val="CharSectno"/>
        </w:rPr>
        <w:t>10</w:t>
      </w:r>
      <w:r>
        <w:rPr>
          <w:snapToGrid w:val="0"/>
        </w:rPr>
        <w:t>.</w:t>
      </w:r>
      <w:r>
        <w:rPr>
          <w:snapToGrid w:val="0"/>
        </w:rPr>
        <w:tab/>
        <w:t>Powers of FES Commissioner</w:t>
      </w:r>
      <w:bookmarkEnd w:id="9"/>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lastRenderedPageBreak/>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10" w:name="_Toc209714852"/>
      <w:r>
        <w:rPr>
          <w:rStyle w:val="CharSectno"/>
        </w:rPr>
        <w:t>12</w:t>
      </w:r>
      <w:r>
        <w:t>.</w:t>
      </w:r>
      <w:r>
        <w:tab/>
        <w:t>Bush fire liaison officers</w:t>
      </w:r>
      <w:bookmarkEnd w:id="10"/>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11" w:name="_Toc209714853"/>
      <w:r>
        <w:rPr>
          <w:rStyle w:val="CharSectno"/>
        </w:rPr>
        <w:t>13</w:t>
      </w:r>
      <w:r>
        <w:rPr>
          <w:snapToGrid w:val="0"/>
        </w:rPr>
        <w:t>.</w:t>
      </w:r>
      <w:r>
        <w:rPr>
          <w:snapToGrid w:val="0"/>
        </w:rPr>
        <w:tab/>
        <w:t>Duties and powers of bush fire liaison officers</w:t>
      </w:r>
      <w:bookmarkEnd w:id="11"/>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lastRenderedPageBreak/>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12" w:name="_Toc209714854"/>
      <w:r>
        <w:rPr>
          <w:rStyle w:val="CharSectno"/>
        </w:rPr>
        <w:t>14A</w:t>
      </w:r>
      <w:r>
        <w:t>.</w:t>
      </w:r>
      <w:r>
        <w:tab/>
        <w:t xml:space="preserve">Powers and duties under section 13 not affected by certain powers under </w:t>
      </w:r>
      <w:r>
        <w:rPr>
          <w:i/>
          <w:iCs/>
        </w:rPr>
        <w:t>Emergency Management Act 2005</w:t>
      </w:r>
      <w:bookmarkEnd w:id="12"/>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 xml:space="preserve">The exercise of powers and the performance of duties by a bush fire liaison officer or another person on being authorised to take </w:t>
      </w:r>
      <w:r>
        <w:lastRenderedPageBreak/>
        <w:t>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13" w:name="_Toc209714855"/>
      <w:r>
        <w:rPr>
          <w:rStyle w:val="CharSectno"/>
        </w:rPr>
        <w:t>14B</w:t>
      </w:r>
      <w:r>
        <w:t>.</w:t>
      </w:r>
      <w:r>
        <w:tab/>
        <w:t>Powers of authorised persons and police officers during authorised periods</w:t>
      </w:r>
      <w:bookmarkEnd w:id="13"/>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lastRenderedPageBreak/>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14" w:name="_Toc209714856"/>
      <w:r>
        <w:rPr>
          <w:rStyle w:val="CharSectno"/>
        </w:rPr>
        <w:t>14C</w:t>
      </w:r>
      <w:r>
        <w:t>.</w:t>
      </w:r>
      <w:r>
        <w:tab/>
        <w:t>Failure to comply with directions</w:t>
      </w:r>
      <w:bookmarkEnd w:id="14"/>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15" w:name="_Toc209714857"/>
      <w:r>
        <w:rPr>
          <w:rStyle w:val="CharSectno"/>
        </w:rPr>
        <w:lastRenderedPageBreak/>
        <w:t>14</w:t>
      </w:r>
      <w:r>
        <w:rPr>
          <w:snapToGrid w:val="0"/>
        </w:rPr>
        <w:t>.</w:t>
      </w:r>
      <w:r>
        <w:rPr>
          <w:snapToGrid w:val="0"/>
        </w:rPr>
        <w:tab/>
        <w:t>Certain persons may enter land or building for purposes of Act</w:t>
      </w:r>
      <w:bookmarkEnd w:id="15"/>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lastRenderedPageBreak/>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16" w:name="_Toc209714858"/>
      <w:r>
        <w:rPr>
          <w:rStyle w:val="CharPartNo"/>
        </w:rPr>
        <w:lastRenderedPageBreak/>
        <w:t>Part III</w:t>
      </w:r>
      <w:r>
        <w:t> — </w:t>
      </w:r>
      <w:r>
        <w:rPr>
          <w:rStyle w:val="CharPartText"/>
        </w:rPr>
        <w:t>Prevention of bush fires</w:t>
      </w:r>
      <w:bookmarkEnd w:id="16"/>
    </w:p>
    <w:p>
      <w:pPr>
        <w:pStyle w:val="Ednotedivision"/>
        <w:rPr>
          <w:highlight w:val="cyan"/>
        </w:rPr>
      </w:pPr>
      <w:r>
        <w:t>[Division 1 deleted: No. 65 of 1977 s. 12.]</w:t>
      </w:r>
    </w:p>
    <w:p>
      <w:pPr>
        <w:pStyle w:val="Heading3"/>
      </w:pPr>
      <w:bookmarkStart w:id="17" w:name="_Toc209714859"/>
      <w:r>
        <w:rPr>
          <w:rStyle w:val="CharDivNo"/>
        </w:rPr>
        <w:t>Division 2</w:t>
      </w:r>
      <w:r>
        <w:rPr>
          <w:snapToGrid w:val="0"/>
        </w:rPr>
        <w:t> — </w:t>
      </w:r>
      <w:r>
        <w:rPr>
          <w:rStyle w:val="CharDivText"/>
        </w:rPr>
        <w:t>Prohibited burning times</w:t>
      </w:r>
      <w:bookmarkEnd w:id="17"/>
    </w:p>
    <w:p>
      <w:pPr>
        <w:pStyle w:val="Heading5"/>
        <w:rPr>
          <w:snapToGrid w:val="0"/>
        </w:rPr>
      </w:pPr>
      <w:bookmarkStart w:id="18" w:name="_Toc209714860"/>
      <w:r>
        <w:rPr>
          <w:rStyle w:val="CharSectno"/>
        </w:rPr>
        <w:t>17</w:t>
      </w:r>
      <w:r>
        <w:rPr>
          <w:snapToGrid w:val="0"/>
        </w:rPr>
        <w:t>.</w:t>
      </w:r>
      <w:r>
        <w:rPr>
          <w:snapToGrid w:val="0"/>
        </w:rPr>
        <w:tab/>
        <w:t>Prohibited burning times may be declared by Minister</w:t>
      </w:r>
      <w:bookmarkEnd w:id="18"/>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w:t>
      </w:r>
      <w:r>
        <w:rPr>
          <w:snapToGrid w:val="0"/>
        </w:rPr>
        <w:lastRenderedPageBreak/>
        <w:t>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 xml:space="preserve">shall, by the quickest means available to it and not later than 2 days before the first day affected by the variation, give notice of the variation to </w:t>
      </w:r>
      <w:r>
        <w:rPr>
          <w:snapToGrid w:val="0"/>
        </w:rPr>
        <w:lastRenderedPageBreak/>
        <w:t>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lastRenderedPageBreak/>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19" w:name="_Toc209714861"/>
      <w:r>
        <w:rPr>
          <w:rStyle w:val="CharDivNo"/>
        </w:rPr>
        <w:t>Division 3</w:t>
      </w:r>
      <w:r>
        <w:rPr>
          <w:snapToGrid w:val="0"/>
        </w:rPr>
        <w:t> — </w:t>
      </w:r>
      <w:r>
        <w:rPr>
          <w:rStyle w:val="CharDivText"/>
        </w:rPr>
        <w:t>Restricted burning times</w:t>
      </w:r>
      <w:bookmarkEnd w:id="19"/>
    </w:p>
    <w:p>
      <w:pPr>
        <w:pStyle w:val="Heading5"/>
        <w:rPr>
          <w:snapToGrid w:val="0"/>
        </w:rPr>
      </w:pPr>
      <w:bookmarkStart w:id="20" w:name="_Toc209714862"/>
      <w:r>
        <w:rPr>
          <w:rStyle w:val="CharSectno"/>
        </w:rPr>
        <w:t>18</w:t>
      </w:r>
      <w:r>
        <w:rPr>
          <w:snapToGrid w:val="0"/>
        </w:rPr>
        <w:t>.</w:t>
      </w:r>
      <w:r>
        <w:rPr>
          <w:snapToGrid w:val="0"/>
        </w:rPr>
        <w:tab/>
        <w:t>Restricted burning times may be declared by FES Commissioner</w:t>
      </w:r>
      <w:bookmarkEnd w:id="20"/>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 xml:space="preserve">Where by declaration made under subsection (2) restricted burning times have been declared in respect of a zone of the </w:t>
      </w:r>
      <w:r>
        <w:rPr>
          <w:snapToGrid w:val="0"/>
        </w:rPr>
        <w:lastRenderedPageBreak/>
        <w:t>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lastRenderedPageBreak/>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lastRenderedPageBreak/>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lastRenderedPageBreak/>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21" w:name="_Toc209714863"/>
      <w:r>
        <w:rPr>
          <w:rStyle w:val="CharSectno"/>
        </w:rPr>
        <w:t>20</w:t>
      </w:r>
      <w:r>
        <w:rPr>
          <w:snapToGrid w:val="0"/>
        </w:rPr>
        <w:t>.</w:t>
      </w:r>
      <w:r>
        <w:rPr>
          <w:snapToGrid w:val="0"/>
        </w:rPr>
        <w:tab/>
        <w:t>Regulations as to restricted burning times</w:t>
      </w:r>
      <w:bookmarkEnd w:id="21"/>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lastRenderedPageBreak/>
        <w:tab/>
        <w:t>(c)</w:t>
      </w:r>
      <w:r>
        <w:rPr>
          <w:snapToGrid w:val="0"/>
        </w:rPr>
        <w:tab/>
        <w:t>prescribing, by reference to fire danger forecasts issued by the Bureau of Meteorology in Perth,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22" w:name="_Toc209714864"/>
      <w:r>
        <w:rPr>
          <w:rStyle w:val="CharDivNo"/>
        </w:rPr>
        <w:t>Division 4</w:t>
      </w:r>
      <w:r>
        <w:t> — </w:t>
      </w:r>
      <w:r>
        <w:rPr>
          <w:rStyle w:val="CharDivText"/>
        </w:rPr>
        <w:t>Total fire ban</w:t>
      </w:r>
      <w:bookmarkEnd w:id="22"/>
    </w:p>
    <w:p>
      <w:pPr>
        <w:pStyle w:val="Footnoteheading"/>
        <w:spacing w:before="100"/>
      </w:pPr>
      <w:r>
        <w:tab/>
        <w:t>[Heading inserted: No. 25 of 2009 s. 7.]</w:t>
      </w:r>
    </w:p>
    <w:p>
      <w:pPr>
        <w:pStyle w:val="Heading5"/>
      </w:pPr>
      <w:bookmarkStart w:id="23" w:name="_Toc209714865"/>
      <w:r>
        <w:rPr>
          <w:rStyle w:val="CharSectno"/>
        </w:rPr>
        <w:t>21</w:t>
      </w:r>
      <w:r>
        <w:t>.</w:t>
      </w:r>
      <w:r>
        <w:tab/>
        <w:t>Terms used</w:t>
      </w:r>
      <w:bookmarkEnd w:id="23"/>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24" w:name="_Toc209714866"/>
      <w:r>
        <w:rPr>
          <w:rStyle w:val="CharSectno"/>
        </w:rPr>
        <w:t>22A</w:t>
      </w:r>
      <w:r>
        <w:t>.</w:t>
      </w:r>
      <w:r>
        <w:tab/>
        <w:t>Minister may declare total fire ban</w:t>
      </w:r>
      <w:bookmarkEnd w:id="24"/>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lastRenderedPageBreak/>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25" w:name="_Toc209714867"/>
      <w:r>
        <w:rPr>
          <w:rStyle w:val="CharSectno"/>
        </w:rPr>
        <w:t>22B</w:t>
      </w:r>
      <w:r>
        <w:t>.</w:t>
      </w:r>
      <w:r>
        <w:tab/>
        <w:t>Lighting of fires prohibited during total fire ban</w:t>
      </w:r>
      <w:bookmarkEnd w:id="25"/>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lastRenderedPageBreak/>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26" w:name="_Toc209714868"/>
      <w:r>
        <w:rPr>
          <w:rStyle w:val="CharSectno"/>
        </w:rPr>
        <w:t>22C</w:t>
      </w:r>
      <w:r>
        <w:t>.</w:t>
      </w:r>
      <w:r>
        <w:tab/>
        <w:t>Power of Minister to exempt from provisions of section 22B</w:t>
      </w:r>
      <w:bookmarkEnd w:id="26"/>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lastRenderedPageBreak/>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lastRenderedPageBreak/>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27" w:name="_Toc209714869"/>
      <w:r>
        <w:rPr>
          <w:rStyle w:val="CharDivNo"/>
        </w:rPr>
        <w:t>Division 5</w:t>
      </w:r>
      <w:r>
        <w:rPr>
          <w:snapToGrid w:val="0"/>
        </w:rPr>
        <w:t> — </w:t>
      </w:r>
      <w:r>
        <w:rPr>
          <w:rStyle w:val="CharDivText"/>
        </w:rPr>
        <w:t>Burning during prohibited times and restricted times</w:t>
      </w:r>
      <w:bookmarkEnd w:id="27"/>
    </w:p>
    <w:p>
      <w:pPr>
        <w:pStyle w:val="Heading5"/>
        <w:spacing w:before="160"/>
        <w:rPr>
          <w:snapToGrid w:val="0"/>
        </w:rPr>
      </w:pPr>
      <w:bookmarkStart w:id="28" w:name="_Toc209714870"/>
      <w:r>
        <w:rPr>
          <w:rStyle w:val="CharSectno"/>
        </w:rPr>
        <w:t>22</w:t>
      </w:r>
      <w:r>
        <w:rPr>
          <w:snapToGrid w:val="0"/>
        </w:rPr>
        <w:t>.</w:t>
      </w:r>
      <w:r>
        <w:rPr>
          <w:snapToGrid w:val="0"/>
        </w:rPr>
        <w:tab/>
        <w:t>Burning on exempt land and land adjoining exempt land</w:t>
      </w:r>
      <w:bookmarkEnd w:id="28"/>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 xml:space="preserve">break having a width of at least 3 m and the boundary of which nearer to and parallel or </w:t>
      </w:r>
      <w:r>
        <w:rPr>
          <w:snapToGrid w:val="0"/>
        </w:rPr>
        <w:lastRenderedPageBreak/>
        <w:t>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29" w:name="_Toc209714871"/>
      <w:r>
        <w:rPr>
          <w:rStyle w:val="CharSectno"/>
        </w:rPr>
        <w:lastRenderedPageBreak/>
        <w:t>23</w:t>
      </w:r>
      <w:r>
        <w:rPr>
          <w:snapToGrid w:val="0"/>
        </w:rPr>
        <w:t>.</w:t>
      </w:r>
      <w:r>
        <w:rPr>
          <w:snapToGrid w:val="0"/>
        </w:rPr>
        <w:tab/>
        <w:t>Burning during prohibited burning times</w:t>
      </w:r>
      <w:bookmarkEnd w:id="29"/>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 xml:space="preserve">in the case of burning carried out pursuant to subsection (1)(a), the bush shall be burnt between 2 plough or spade breaks of which the outer </w:t>
      </w:r>
      <w:r>
        <w:rPr>
          <w:snapToGrid w:val="0"/>
        </w:rPr>
        <w:lastRenderedPageBreak/>
        <w:t>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30" w:name="_Toc209714872"/>
      <w:r>
        <w:rPr>
          <w:rStyle w:val="CharSectno"/>
        </w:rPr>
        <w:t>24</w:t>
      </w:r>
      <w:r>
        <w:rPr>
          <w:snapToGrid w:val="0"/>
        </w:rPr>
        <w:t>.</w:t>
      </w:r>
      <w:r>
        <w:rPr>
          <w:snapToGrid w:val="0"/>
        </w:rPr>
        <w:tab/>
        <w:t>Bush on land growing subterranean clover may be burnt during prohibited burning times</w:t>
      </w:r>
      <w:bookmarkEnd w:id="30"/>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lastRenderedPageBreak/>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31" w:name="_Toc209714873"/>
      <w:r>
        <w:rPr>
          <w:rStyle w:val="CharSectno"/>
        </w:rPr>
        <w:t>24A</w:t>
      </w:r>
      <w:r>
        <w:rPr>
          <w:snapToGrid w:val="0"/>
        </w:rPr>
        <w:t>.</w:t>
      </w:r>
      <w:r>
        <w:rPr>
          <w:snapToGrid w:val="0"/>
        </w:rPr>
        <w:tab/>
        <w:t>Bush on land in prescribed irrigation areas may be burnt during prohibited times for purpose of germinating clover</w:t>
      </w:r>
      <w:bookmarkEnd w:id="31"/>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lastRenderedPageBreak/>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32" w:name="_Toc209714874"/>
      <w:r>
        <w:rPr>
          <w:rStyle w:val="CharSectno"/>
        </w:rPr>
        <w:t>24B</w:t>
      </w:r>
      <w:r>
        <w:rPr>
          <w:snapToGrid w:val="0"/>
        </w:rPr>
        <w:t>.</w:t>
      </w:r>
      <w:r>
        <w:rPr>
          <w:snapToGrid w:val="0"/>
        </w:rPr>
        <w:tab/>
        <w:t>Production of permit to burn may be required</w:t>
      </w:r>
      <w:bookmarkEnd w:id="32"/>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lastRenderedPageBreak/>
        <w:tab/>
        <w:t>[Section 24B inserted: No. 11 of 1963 s. 11; amended: No. 113 of 1965 s. 8(1); No. 65 of 1977 s. 20 and 47; No. 51 of 1979 s. 5; No. 8 of 1987 s. 8; No. 14 of 1996 s. 4; No. 42 of 1998 s. 16; No. 22 of 2012 s. 53.]</w:t>
      </w:r>
    </w:p>
    <w:p>
      <w:pPr>
        <w:pStyle w:val="Heading5"/>
        <w:spacing w:before="180"/>
      </w:pPr>
      <w:bookmarkStart w:id="33" w:name="_Toc209714875"/>
      <w:r>
        <w:rPr>
          <w:rStyle w:val="CharSectno"/>
        </w:rPr>
        <w:t>24C</w:t>
      </w:r>
      <w:r>
        <w:t>.</w:t>
      </w:r>
      <w:r>
        <w:tab/>
        <w:t>Terms used</w:t>
      </w:r>
      <w:bookmarkEnd w:id="33"/>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xml:space="preserve">, in respect of a place — </w:t>
      </w:r>
    </w:p>
    <w:p>
      <w:pPr>
        <w:pStyle w:val="Defpara"/>
      </w:pPr>
      <w:r>
        <w:tab/>
        <w:t>(a)</w:t>
      </w:r>
      <w:r>
        <w:tab/>
        <w:t xml:space="preserve">means — </w:t>
      </w:r>
    </w:p>
    <w:p>
      <w:pPr>
        <w:pStyle w:val="Defsubpara"/>
      </w:pPr>
      <w:r>
        <w:tab/>
        <w:t>(i)</w:t>
      </w:r>
      <w:r>
        <w:tab/>
        <w:t>the restricted burning times for that place; and</w:t>
      </w:r>
    </w:p>
    <w:p>
      <w:pPr>
        <w:pStyle w:val="Defsubpara"/>
      </w:pPr>
      <w:r>
        <w:tab/>
        <w:t>(ii)</w:t>
      </w:r>
      <w:r>
        <w:tab/>
        <w:t xml:space="preserve">the prohibited burning times for that place; </w:t>
      </w:r>
    </w:p>
    <w:p>
      <w:pPr>
        <w:pStyle w:val="Defpara"/>
      </w:pPr>
      <w:r>
        <w:tab/>
      </w:r>
      <w:r>
        <w:tab/>
        <w:t>but</w:t>
      </w:r>
    </w:p>
    <w:p>
      <w:pPr>
        <w:pStyle w:val="Defpara"/>
      </w:pPr>
      <w:r>
        <w:tab/>
        <w:t>(b)</w:t>
      </w:r>
      <w:r>
        <w:tab/>
        <w:t>does not include any time when there is in force a fire danger forecast issued for that place by the Bureau of Meteorology in Perth of “catastrophic”, “extreme” or “high”;</w:t>
      </w:r>
    </w:p>
    <w:p>
      <w:pPr>
        <w:pStyle w:val="Defstart"/>
      </w:pPr>
      <w:r>
        <w:tab/>
      </w:r>
      <w:r>
        <w:rPr>
          <w:rStyle w:val="CharDefText"/>
        </w:rPr>
        <w:t>rubbish tip</w:t>
      </w:r>
      <w:r>
        <w:t xml:space="preserve"> means disposal premises as defined in the </w:t>
      </w:r>
      <w:r>
        <w:rPr>
          <w:i/>
        </w:rPr>
        <w:t>Waste Avoidance and Resource Recovery Levy Act 2007</w:t>
      </w:r>
      <w:r>
        <w:t xml:space="preserve"> section 3;</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8; No. 40 of 2020 s. 114(2); No. 26 of 2022 s. 4.]</w:t>
      </w:r>
    </w:p>
    <w:p>
      <w:pPr>
        <w:pStyle w:val="Heading5"/>
        <w:spacing w:before="180"/>
      </w:pPr>
      <w:bookmarkStart w:id="34" w:name="_Toc209714876"/>
      <w:r>
        <w:rPr>
          <w:rStyle w:val="CharSectno"/>
        </w:rPr>
        <w:t>24D</w:t>
      </w:r>
      <w:r>
        <w:t>.</w:t>
      </w:r>
      <w:r>
        <w:tab/>
        <w:t>Burning garden refuse prohibited if fire danger high to catastrophic</w:t>
      </w:r>
      <w:bookmarkEnd w:id="34"/>
    </w:p>
    <w:p>
      <w:pPr>
        <w:pStyle w:val="Subsection"/>
      </w:pPr>
      <w:r>
        <w:tab/>
      </w:r>
      <w:r>
        <w:tab/>
        <w:t>A person must not burn garden refuse at any place at any time when there is in force a fire danger forecast issued for that place by the Bureau of Meteorology in Perth of “catastrophic”, “extreme” or “high”.</w:t>
      </w:r>
    </w:p>
    <w:p>
      <w:pPr>
        <w:pStyle w:val="Penstart"/>
      </w:pPr>
      <w:r>
        <w:tab/>
        <w:t>Penalty: $3 000.</w:t>
      </w:r>
    </w:p>
    <w:p>
      <w:pPr>
        <w:pStyle w:val="Footnotesection"/>
      </w:pPr>
      <w:r>
        <w:lastRenderedPageBreak/>
        <w:tab/>
        <w:t>[Section 24D inserted: No. 38 of 2002 s. 24; amended: No. 25 of 2009 s. 9; No. 26 of 2022 s. 5.]</w:t>
      </w:r>
    </w:p>
    <w:p>
      <w:pPr>
        <w:pStyle w:val="Heading5"/>
        <w:spacing w:before="180"/>
      </w:pPr>
      <w:bookmarkStart w:id="35" w:name="_Toc209714877"/>
      <w:r>
        <w:rPr>
          <w:rStyle w:val="CharSectno"/>
        </w:rPr>
        <w:t>24E</w:t>
      </w:r>
      <w:r>
        <w:t>.</w:t>
      </w:r>
      <w:r>
        <w:tab/>
        <w:t>Burning of garden refuse at rubbish tips</w:t>
      </w:r>
      <w:bookmarkEnd w:id="35"/>
    </w:p>
    <w:p>
      <w:pPr>
        <w:pStyle w:val="Subsection"/>
        <w:keepNext/>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keepNext/>
      </w:pPr>
      <w:r>
        <w:tab/>
        <w:t>(3)</w:t>
      </w:r>
      <w:r>
        <w:tab/>
        <w:t>In a notice under subsection (2) the Minister —</w:t>
      </w:r>
    </w:p>
    <w:p>
      <w:pPr>
        <w:pStyle w:val="Indenta"/>
        <w:keepNext/>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keepNext/>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keepNext/>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36" w:name="_Toc209714878"/>
      <w:r>
        <w:rPr>
          <w:rStyle w:val="CharSectno"/>
        </w:rPr>
        <w:t>24F</w:t>
      </w:r>
      <w:r>
        <w:t>.</w:t>
      </w:r>
      <w:r>
        <w:tab/>
        <w:t>Burning garden refuse during limited burning times</w:t>
      </w:r>
      <w:bookmarkEnd w:id="36"/>
    </w:p>
    <w:p>
      <w:pPr>
        <w:pStyle w:val="Subsection"/>
        <w:keepNext/>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keepNext/>
      </w:pPr>
      <w:r>
        <w:lastRenderedPageBreak/>
        <w:tab/>
        <w:t>(b)</w:t>
      </w:r>
      <w:r>
        <w:tab/>
        <w:t>on the ground in accordance with subsection (3).</w:t>
      </w:r>
    </w:p>
    <w:p>
      <w:pPr>
        <w:pStyle w:val="Penstart"/>
      </w:pPr>
      <w:r>
        <w:tab/>
        <w:t>Penalty: $3 000.</w:t>
      </w:r>
    </w:p>
    <w:p>
      <w:pPr>
        <w:pStyle w:val="Subsection"/>
        <w:keepNext/>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Lines/>
      </w:pPr>
      <w:r>
        <w:tab/>
        <w:t>(i)</w:t>
      </w:r>
      <w:r>
        <w:tab/>
        <w:t>the incinerator is situated 2 m or more away from any building or fence; or</w:t>
      </w:r>
    </w:p>
    <w:p>
      <w:pPr>
        <w:pStyle w:val="Indenti"/>
        <w:keepNext/>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keepNext/>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lastRenderedPageBreak/>
        <w:tab/>
        <w:t>(d)</w:t>
      </w:r>
      <w:r>
        <w:tab/>
        <w:t>when the fire is no longer required, the person ensures that the fire is completely extinguished by the application of water or earth.</w:t>
      </w:r>
    </w:p>
    <w:p>
      <w:pPr>
        <w:pStyle w:val="Subsection"/>
        <w:keepNext/>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37" w:name="_Toc209714879"/>
      <w:r>
        <w:rPr>
          <w:rStyle w:val="CharSectno"/>
        </w:rPr>
        <w:t>24G</w:t>
      </w:r>
      <w:r>
        <w:t>.</w:t>
      </w:r>
      <w:r>
        <w:tab/>
        <w:t>Minister or local government may further restrict burning of garden refuse</w:t>
      </w:r>
      <w:bookmarkEnd w:id="37"/>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keepNext/>
        <w:spacing w:before="180"/>
      </w:pPr>
      <w:r>
        <w:tab/>
        <w:t>(3)</w:t>
      </w:r>
      <w:r>
        <w:tab/>
        <w:t>A person must not burn garden refuse contrary to a prohibition or restriction imposed under this section.</w:t>
      </w:r>
    </w:p>
    <w:p>
      <w:pPr>
        <w:pStyle w:val="Penstart"/>
      </w:pPr>
      <w:r>
        <w:tab/>
        <w:t>Penalty: $3 000.</w:t>
      </w:r>
    </w:p>
    <w:p>
      <w:pPr>
        <w:pStyle w:val="Subsection"/>
        <w:keepNext/>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keepNext/>
      </w:pPr>
      <w:r>
        <w:tab/>
        <w:t>(c)</w:t>
      </w:r>
      <w:r>
        <w:tab/>
        <w:t>the period during which,</w:t>
      </w:r>
    </w:p>
    <w:p>
      <w:pPr>
        <w:pStyle w:val="Subsection"/>
        <w:spacing w:before="180"/>
      </w:pPr>
      <w:r>
        <w:tab/>
      </w:r>
      <w:r>
        <w:tab/>
        <w:t>the notice applies.</w:t>
      </w:r>
    </w:p>
    <w:p>
      <w:pPr>
        <w:pStyle w:val="Subsection"/>
        <w:keepNext/>
        <w:spacing w:before="180"/>
      </w:pPr>
      <w:r>
        <w:lastRenderedPageBreak/>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38" w:name="_Toc209714880"/>
      <w:r>
        <w:rPr>
          <w:rStyle w:val="CharSectno"/>
        </w:rPr>
        <w:t>25</w:t>
      </w:r>
      <w:r>
        <w:rPr>
          <w:snapToGrid w:val="0"/>
        </w:rPr>
        <w:t>.</w:t>
      </w:r>
      <w:r>
        <w:rPr>
          <w:snapToGrid w:val="0"/>
        </w:rPr>
        <w:tab/>
        <w:t>No fire to be lit in open air unless certain precautions taken</w:t>
      </w:r>
      <w:bookmarkEnd w:id="38"/>
    </w:p>
    <w:p>
      <w:pPr>
        <w:pStyle w:val="Subsection"/>
        <w:keepNext/>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or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 xml:space="preserve">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w:t>
      </w:r>
      <w:r>
        <w:rPr>
          <w:snapToGrid w:val="0"/>
        </w:rPr>
        <w:lastRenderedPageBreak/>
        <w:t>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keepNext/>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w:t>
      </w:r>
      <w:r>
        <w:rPr>
          <w:snapToGrid w:val="0"/>
        </w:rPr>
        <w:lastRenderedPageBreak/>
        <w:t xml:space="preserve">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keepNext/>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keepNext/>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keepNext/>
        <w:rPr>
          <w:snapToGrid w:val="0"/>
        </w:rPr>
      </w:pPr>
      <w:r>
        <w:rPr>
          <w:snapToGrid w:val="0"/>
        </w:rPr>
        <w:lastRenderedPageBreak/>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keepNext/>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keepNext/>
        <w:rPr>
          <w:snapToGrid w:val="0"/>
        </w:rPr>
      </w:pPr>
      <w:r>
        <w:rPr>
          <w:snapToGrid w:val="0"/>
        </w:rPr>
        <w:lastRenderedPageBreak/>
        <w:tab/>
        <w:t>(2)</w:t>
      </w:r>
      <w:r>
        <w:rPr>
          <w:snapToGrid w:val="0"/>
        </w:rPr>
        <w:tab/>
        <w:t>A person who contravenes a provision of this section is guilty of an offence.</w:t>
      </w:r>
    </w:p>
    <w:p>
      <w:pPr>
        <w:pStyle w:val="Penstart"/>
        <w:keepNex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 No. 26 of 2022 s. 6.]</w:t>
      </w:r>
    </w:p>
    <w:p>
      <w:pPr>
        <w:pStyle w:val="Heading5"/>
        <w:rPr>
          <w:snapToGrid w:val="0"/>
        </w:rPr>
      </w:pPr>
      <w:bookmarkStart w:id="39" w:name="_Toc209714881"/>
      <w:r>
        <w:rPr>
          <w:rStyle w:val="CharSectno"/>
        </w:rPr>
        <w:t>25A</w:t>
      </w:r>
      <w:r>
        <w:rPr>
          <w:snapToGrid w:val="0"/>
        </w:rPr>
        <w:t>.</w:t>
      </w:r>
      <w:r>
        <w:rPr>
          <w:snapToGrid w:val="0"/>
        </w:rPr>
        <w:tab/>
        <w:t>Power of Minister to exempt from provisions of section 25</w:t>
      </w:r>
      <w:bookmarkEnd w:id="39"/>
    </w:p>
    <w:p>
      <w:pPr>
        <w:pStyle w:val="Subsection"/>
        <w:keepNext/>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keepNext/>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keepNext/>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lastRenderedPageBreak/>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keepNext/>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keepNex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40" w:name="_Toc209714882"/>
      <w:r>
        <w:rPr>
          <w:rStyle w:val="CharSectno"/>
        </w:rPr>
        <w:lastRenderedPageBreak/>
        <w:t>26</w:t>
      </w:r>
      <w:r>
        <w:rPr>
          <w:snapToGrid w:val="0"/>
        </w:rPr>
        <w:t>.</w:t>
      </w:r>
      <w:r>
        <w:rPr>
          <w:snapToGrid w:val="0"/>
        </w:rPr>
        <w:tab/>
        <w:t>Burning of plants to eradicate disease during prohibited burning times</w:t>
      </w:r>
      <w:bookmarkEnd w:id="40"/>
    </w:p>
    <w:p>
      <w:pPr>
        <w:pStyle w:val="Subsection"/>
        <w:keepNext/>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keepNext/>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keepNext/>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41" w:name="_Toc209714883"/>
      <w:r>
        <w:rPr>
          <w:rStyle w:val="CharSectno"/>
        </w:rPr>
        <w:lastRenderedPageBreak/>
        <w:t>26A</w:t>
      </w:r>
      <w:r>
        <w:rPr>
          <w:snapToGrid w:val="0"/>
        </w:rPr>
        <w:t>.</w:t>
      </w:r>
      <w:r>
        <w:rPr>
          <w:snapToGrid w:val="0"/>
        </w:rPr>
        <w:tab/>
        <w:t>Burning of declared plants during prohibited burning times</w:t>
      </w:r>
      <w:bookmarkEnd w:id="41"/>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keepNext/>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keepNex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42" w:name="_Toc209714884"/>
      <w:r>
        <w:rPr>
          <w:rStyle w:val="CharDivNo"/>
        </w:rPr>
        <w:t>Division 6</w:t>
      </w:r>
      <w:r>
        <w:rPr>
          <w:snapToGrid w:val="0"/>
        </w:rPr>
        <w:t> — </w:t>
      </w:r>
      <w:r>
        <w:rPr>
          <w:rStyle w:val="CharDivText"/>
        </w:rPr>
        <w:t>General restrictions, prohibitions and offences</w:t>
      </w:r>
      <w:bookmarkEnd w:id="42"/>
    </w:p>
    <w:p>
      <w:pPr>
        <w:pStyle w:val="Heading5"/>
        <w:spacing w:before="180"/>
        <w:rPr>
          <w:snapToGrid w:val="0"/>
        </w:rPr>
      </w:pPr>
      <w:bookmarkStart w:id="43" w:name="_Toc209714885"/>
      <w:r>
        <w:rPr>
          <w:rStyle w:val="CharSectno"/>
        </w:rPr>
        <w:t>27</w:t>
      </w:r>
      <w:r>
        <w:rPr>
          <w:snapToGrid w:val="0"/>
        </w:rPr>
        <w:t>.</w:t>
      </w:r>
      <w:r>
        <w:rPr>
          <w:snapToGrid w:val="0"/>
        </w:rPr>
        <w:tab/>
        <w:t>Prohibition on use of tractors or engines except under certain conditions</w:t>
      </w:r>
      <w:bookmarkEnd w:id="43"/>
    </w:p>
    <w:p>
      <w:pPr>
        <w:pStyle w:val="Subsection"/>
        <w:keepNext/>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keepNext/>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keepNext/>
        <w:rPr>
          <w:snapToGrid w:val="0"/>
        </w:rPr>
      </w:pPr>
      <w:r>
        <w:rPr>
          <w:snapToGrid w:val="0"/>
        </w:rPr>
        <w:lastRenderedPageBreak/>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keepNext/>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keepNext/>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Next/>
        <w:keepLines/>
        <w:rPr>
          <w:snapToGrid w:val="0"/>
        </w:rPr>
      </w:pPr>
      <w:r>
        <w:rPr>
          <w:snapToGrid w:val="0"/>
        </w:rPr>
        <w:lastRenderedPageBreak/>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keepNext/>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keepNext/>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44" w:name="_Toc209714886"/>
      <w:r>
        <w:rPr>
          <w:rStyle w:val="CharSectno"/>
        </w:rPr>
        <w:lastRenderedPageBreak/>
        <w:t>27A</w:t>
      </w:r>
      <w:r>
        <w:rPr>
          <w:snapToGrid w:val="0"/>
        </w:rPr>
        <w:t>.</w:t>
      </w:r>
      <w:r>
        <w:rPr>
          <w:snapToGrid w:val="0"/>
        </w:rPr>
        <w:tab/>
        <w:t>Regulation of blasting and matters likely to create bush fire danger</w:t>
      </w:r>
      <w:bookmarkEnd w:id="44"/>
    </w:p>
    <w:p>
      <w:pPr>
        <w:pStyle w:val="Subsection"/>
        <w:keepNext/>
        <w:rPr>
          <w:snapToGrid w:val="0"/>
        </w:rPr>
      </w:pPr>
      <w:r>
        <w:rPr>
          <w:snapToGrid w:val="0"/>
        </w:rPr>
        <w:tab/>
        <w:t>(1)</w:t>
      </w:r>
      <w:r>
        <w:rPr>
          <w:snapToGrid w:val="0"/>
        </w:rPr>
        <w:tab/>
        <w:t>The Governor may make regulations —</w:t>
      </w:r>
    </w:p>
    <w:p>
      <w:pPr>
        <w:pStyle w:val="Indenta"/>
        <w:keepNext/>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keepNext/>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keepNext/>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45" w:name="_Toc209714887"/>
      <w:r>
        <w:rPr>
          <w:rStyle w:val="CharSectno"/>
        </w:rPr>
        <w:t>27B</w:t>
      </w:r>
      <w:r>
        <w:rPr>
          <w:snapToGrid w:val="0"/>
        </w:rPr>
        <w:t>.</w:t>
      </w:r>
      <w:r>
        <w:rPr>
          <w:snapToGrid w:val="0"/>
        </w:rPr>
        <w:tab/>
        <w:t>False alarms</w:t>
      </w:r>
      <w:bookmarkEnd w:id="45"/>
    </w:p>
    <w:p>
      <w:pPr>
        <w:pStyle w:val="Subsection"/>
        <w:keepNext/>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 xml:space="preserve">authorised </w:t>
      </w:r>
      <w:r>
        <w:lastRenderedPageBreak/>
        <w:t>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46" w:name="_Toc209714888"/>
      <w:r>
        <w:rPr>
          <w:rStyle w:val="CharSectno"/>
        </w:rPr>
        <w:t>27C</w:t>
      </w:r>
      <w:r>
        <w:rPr>
          <w:snapToGrid w:val="0"/>
        </w:rPr>
        <w:t>.</w:t>
      </w:r>
      <w:r>
        <w:rPr>
          <w:snapToGrid w:val="0"/>
        </w:rPr>
        <w:tab/>
        <w:t>Vandalism</w:t>
      </w:r>
      <w:bookmarkEnd w:id="46"/>
    </w:p>
    <w:p>
      <w:pPr>
        <w:pStyle w:val="Subsection"/>
        <w:keepNext/>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47" w:name="_Toc209714889"/>
      <w:r>
        <w:rPr>
          <w:rStyle w:val="CharSectno"/>
        </w:rPr>
        <w:lastRenderedPageBreak/>
        <w:t>27D</w:t>
      </w:r>
      <w:r>
        <w:rPr>
          <w:snapToGrid w:val="0"/>
        </w:rPr>
        <w:t>.</w:t>
      </w:r>
      <w:r>
        <w:rPr>
          <w:snapToGrid w:val="0"/>
        </w:rPr>
        <w:tab/>
        <w:t>Requirements for carriage and deposit of incendiary material</w:t>
      </w:r>
      <w:bookmarkEnd w:id="47"/>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keepNext/>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keepNext/>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keepNext/>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48" w:name="_Toc209714890"/>
      <w:r>
        <w:rPr>
          <w:rStyle w:val="CharSectno"/>
        </w:rPr>
        <w:lastRenderedPageBreak/>
        <w:t>28</w:t>
      </w:r>
      <w:r>
        <w:rPr>
          <w:snapToGrid w:val="0"/>
        </w:rPr>
        <w:t>.</w:t>
      </w:r>
      <w:r>
        <w:rPr>
          <w:snapToGrid w:val="0"/>
        </w:rPr>
        <w:tab/>
        <w:t>Occupier of land to extinguish bush fire occurring on own land</w:t>
      </w:r>
      <w:bookmarkEnd w:id="48"/>
    </w:p>
    <w:p>
      <w:pPr>
        <w:pStyle w:val="Subsection"/>
        <w:keepNext/>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keepNext/>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keepNext/>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lastRenderedPageBreak/>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keepNext/>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49" w:name="_Toc209714891"/>
      <w:r>
        <w:rPr>
          <w:rStyle w:val="CharSectno"/>
        </w:rPr>
        <w:t>30</w:t>
      </w:r>
      <w:r>
        <w:rPr>
          <w:snapToGrid w:val="0"/>
        </w:rPr>
        <w:t>.</w:t>
      </w:r>
      <w:r>
        <w:rPr>
          <w:snapToGrid w:val="0"/>
        </w:rPr>
        <w:tab/>
        <w:t>Disposal of burning cigarettes etc.</w:t>
      </w:r>
      <w:bookmarkEnd w:id="49"/>
    </w:p>
    <w:p>
      <w:pPr>
        <w:pStyle w:val="Subsection"/>
        <w:keepNext/>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keepNex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50" w:name="_Toc209714892"/>
      <w:r>
        <w:rPr>
          <w:rStyle w:val="CharSectno"/>
        </w:rPr>
        <w:lastRenderedPageBreak/>
        <w:t>32</w:t>
      </w:r>
      <w:r>
        <w:rPr>
          <w:snapToGrid w:val="0"/>
        </w:rPr>
        <w:t>.</w:t>
      </w:r>
      <w:r>
        <w:rPr>
          <w:snapToGrid w:val="0"/>
        </w:rPr>
        <w:tab/>
        <w:t>Offences of lighting or attempting to light fire likely to injure</w:t>
      </w:r>
      <w:bookmarkEnd w:id="50"/>
    </w:p>
    <w:p>
      <w:pPr>
        <w:pStyle w:val="Subsection"/>
        <w:keepNext/>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keepNext/>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keepNext/>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keepNext/>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keepNex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51" w:name="_Toc209714893"/>
      <w:r>
        <w:rPr>
          <w:rStyle w:val="CharSectno"/>
        </w:rPr>
        <w:t>33</w:t>
      </w:r>
      <w:r>
        <w:rPr>
          <w:snapToGrid w:val="0"/>
        </w:rPr>
        <w:t>.</w:t>
      </w:r>
      <w:r>
        <w:rPr>
          <w:snapToGrid w:val="0"/>
        </w:rPr>
        <w:tab/>
        <w:t>Local government may require occupier of land to plough or clear fire</w:t>
      </w:r>
      <w:r>
        <w:rPr>
          <w:snapToGrid w:val="0"/>
        </w:rPr>
        <w:noBreakHyphen/>
        <w:t>break</w:t>
      </w:r>
      <w:bookmarkEnd w:id="51"/>
    </w:p>
    <w:p>
      <w:pPr>
        <w:pStyle w:val="Subsection"/>
        <w:keepNext/>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w:t>
      </w:r>
      <w:r>
        <w:rPr>
          <w:snapToGrid w:val="0"/>
        </w:rPr>
        <w:lastRenderedPageBreak/>
        <w:t>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keepNext/>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keepNext/>
        <w:rPr>
          <w:snapToGrid w:val="0"/>
        </w:rPr>
      </w:pPr>
      <w:r>
        <w:rPr>
          <w:snapToGrid w:val="0"/>
        </w:rPr>
        <w:lastRenderedPageBreak/>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keepNext/>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keepNext/>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lastRenderedPageBreak/>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lastRenderedPageBreak/>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keepNext/>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keepNex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52" w:name="_Toc209714894"/>
      <w:r>
        <w:rPr>
          <w:rStyle w:val="CharSectno"/>
        </w:rPr>
        <w:t>34</w:t>
      </w:r>
      <w:r>
        <w:rPr>
          <w:snapToGrid w:val="0"/>
        </w:rPr>
        <w:t>.</w:t>
      </w:r>
      <w:r>
        <w:rPr>
          <w:snapToGrid w:val="0"/>
        </w:rPr>
        <w:tab/>
        <w:t>Burning on Crown lands</w:t>
      </w:r>
      <w:bookmarkEnd w:id="52"/>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 xml:space="preserve">breaks not </w:t>
      </w:r>
      <w:r>
        <w:rPr>
          <w:snapToGrid w:val="0"/>
        </w:rPr>
        <w:lastRenderedPageBreak/>
        <w:t>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keepNext/>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keepNext/>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w:t>
      </w:r>
      <w:r>
        <w:rPr>
          <w:snapToGrid w:val="0"/>
        </w:rPr>
        <w:lastRenderedPageBreak/>
        <w:t xml:space="preserve">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keepNext/>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keepNext/>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53" w:name="_Toc209714895"/>
      <w:r>
        <w:rPr>
          <w:rStyle w:val="CharSectno"/>
        </w:rPr>
        <w:lastRenderedPageBreak/>
        <w:t>35</w:t>
      </w:r>
      <w:r>
        <w:rPr>
          <w:snapToGrid w:val="0"/>
        </w:rPr>
        <w:t>.</w:t>
      </w:r>
      <w:r>
        <w:rPr>
          <w:snapToGrid w:val="0"/>
        </w:rPr>
        <w:tab/>
        <w:t>Powers of FES Commissioner on default by local government</w:t>
      </w:r>
      <w:bookmarkEnd w:id="53"/>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lastRenderedPageBreak/>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pPr>
      <w:bookmarkStart w:id="54" w:name="_Toc209714896"/>
      <w:r>
        <w:rPr>
          <w:rStyle w:val="CharDivNo"/>
        </w:rPr>
        <w:t>Division 7</w:t>
      </w:r>
      <w:r>
        <w:t> — </w:t>
      </w:r>
      <w:r>
        <w:rPr>
          <w:rStyle w:val="CharDivText"/>
        </w:rPr>
        <w:t>Bush fire risk treatment standards</w:t>
      </w:r>
      <w:bookmarkEnd w:id="54"/>
    </w:p>
    <w:p>
      <w:pPr>
        <w:pStyle w:val="Footnoteheading"/>
        <w:keepNext/>
      </w:pPr>
      <w:r>
        <w:tab/>
        <w:t>[Heading inserted: No. 27 of 2016 s. 4.]</w:t>
      </w:r>
    </w:p>
    <w:p>
      <w:pPr>
        <w:pStyle w:val="Heading5"/>
      </w:pPr>
      <w:bookmarkStart w:id="55" w:name="_Toc209714897"/>
      <w:r>
        <w:rPr>
          <w:rStyle w:val="CharSectno"/>
        </w:rPr>
        <w:t>35AA</w:t>
      </w:r>
      <w:r>
        <w:t>.</w:t>
      </w:r>
      <w:r>
        <w:tab/>
        <w:t>FES Commissioner may make bush fire risk treatment standards</w:t>
      </w:r>
      <w:bookmarkEnd w:id="55"/>
    </w:p>
    <w:p>
      <w:pPr>
        <w:pStyle w:val="Subsection"/>
        <w:keepNext/>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keepNext/>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keepNext/>
      </w:pPr>
      <w:r>
        <w:lastRenderedPageBreak/>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keepNext/>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keepNext/>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56" w:name="_Toc209714898"/>
      <w:r>
        <w:rPr>
          <w:rStyle w:val="CharSectno"/>
        </w:rPr>
        <w:t>35AB</w:t>
      </w:r>
      <w:r>
        <w:t>.</w:t>
      </w:r>
      <w:r>
        <w:tab/>
        <w:t>Compliance with bush fire risk treatment standards</w:t>
      </w:r>
      <w:bookmarkEnd w:id="56"/>
    </w:p>
    <w:p>
      <w:pPr>
        <w:pStyle w:val="Subsection"/>
        <w:keepNext/>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lastRenderedPageBreak/>
        <w:tab/>
        <w:t>(2)</w:t>
      </w:r>
      <w:r>
        <w:tab/>
        <w:t>An owner or occupier of land may comply with bush fire risk treatment standards that apply to the land, but is not required to do so.</w:t>
      </w:r>
    </w:p>
    <w:p>
      <w:pPr>
        <w:pStyle w:val="Subsection"/>
        <w:keepNext/>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keepNext/>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57" w:name="_Toc209714899"/>
      <w:r>
        <w:rPr>
          <w:rStyle w:val="CharPartNo"/>
        </w:rPr>
        <w:lastRenderedPageBreak/>
        <w:t>Part IV</w:t>
      </w:r>
      <w:r>
        <w:t> — </w:t>
      </w:r>
      <w:r>
        <w:rPr>
          <w:rStyle w:val="CharPartText"/>
        </w:rPr>
        <w:t>Control and extinguishment of bush fires</w:t>
      </w:r>
      <w:bookmarkEnd w:id="57"/>
    </w:p>
    <w:p>
      <w:pPr>
        <w:pStyle w:val="Heading3"/>
      </w:pPr>
      <w:bookmarkStart w:id="58" w:name="_Toc209714900"/>
      <w:r>
        <w:rPr>
          <w:rStyle w:val="CharDivNo"/>
        </w:rPr>
        <w:t>Division 1</w:t>
      </w:r>
      <w:r>
        <w:rPr>
          <w:snapToGrid w:val="0"/>
        </w:rPr>
        <w:t> — </w:t>
      </w:r>
      <w:r>
        <w:rPr>
          <w:rStyle w:val="CharDivText"/>
        </w:rPr>
        <w:t>Local governments</w:t>
      </w:r>
      <w:bookmarkEnd w:id="58"/>
    </w:p>
    <w:p>
      <w:pPr>
        <w:pStyle w:val="Footnoteheading"/>
        <w:ind w:left="890"/>
        <w:rPr>
          <w:snapToGrid w:val="0"/>
        </w:rPr>
      </w:pPr>
      <w:r>
        <w:rPr>
          <w:snapToGrid w:val="0"/>
        </w:rPr>
        <w:tab/>
        <w:t>[Heading amended: No. 14 of 1996 s. 4.]</w:t>
      </w:r>
    </w:p>
    <w:p>
      <w:pPr>
        <w:pStyle w:val="Heading5"/>
        <w:rPr>
          <w:snapToGrid w:val="0"/>
        </w:rPr>
      </w:pPr>
      <w:bookmarkStart w:id="59" w:name="_Toc209714901"/>
      <w:r>
        <w:rPr>
          <w:rStyle w:val="CharSectno"/>
        </w:rPr>
        <w:t>35A</w:t>
      </w:r>
      <w:r>
        <w:rPr>
          <w:snapToGrid w:val="0"/>
        </w:rPr>
        <w:t>.</w:t>
      </w:r>
      <w:r>
        <w:rPr>
          <w:snapToGrid w:val="0"/>
        </w:rPr>
        <w:tab/>
        <w:t>Terms used</w:t>
      </w:r>
      <w:bookmarkEnd w:id="59"/>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lastRenderedPageBreak/>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60" w:name="_Toc209714902"/>
      <w:r>
        <w:rPr>
          <w:rStyle w:val="CharSectno"/>
        </w:rPr>
        <w:t>36</w:t>
      </w:r>
      <w:r>
        <w:rPr>
          <w:snapToGrid w:val="0"/>
        </w:rPr>
        <w:t>.</w:t>
      </w:r>
      <w:r>
        <w:rPr>
          <w:snapToGrid w:val="0"/>
        </w:rPr>
        <w:tab/>
        <w:t>Local government may expend moneys in connection with control and extinguishment of bush fires</w:t>
      </w:r>
      <w:bookmarkEnd w:id="60"/>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lastRenderedPageBreak/>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61" w:name="_Toc209714903"/>
      <w:r>
        <w:rPr>
          <w:rStyle w:val="CharSectno"/>
        </w:rPr>
        <w:t>38</w:t>
      </w:r>
      <w:r>
        <w:rPr>
          <w:snapToGrid w:val="0"/>
        </w:rPr>
        <w:t>.</w:t>
      </w:r>
      <w:r>
        <w:rPr>
          <w:snapToGrid w:val="0"/>
        </w:rPr>
        <w:tab/>
        <w:t>Local government may appoint bush fire control officer</w:t>
      </w:r>
      <w:bookmarkEnd w:id="61"/>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lastRenderedPageBreak/>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r>
        <w:t>FES Commissioner</w:t>
      </w:r>
      <w:r>
        <w:rPr>
          <w:snapToGrid w:val="0"/>
        </w:rPr>
        <w:t xml:space="preserve">, by the </w:t>
      </w:r>
      <w:r>
        <w:t>FES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keepNext/>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lastRenderedPageBreak/>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 by the FES Commissioner.</w:t>
      </w:r>
    </w:p>
    <w:p>
      <w:pPr>
        <w:pStyle w:val="Subsection"/>
        <w:keepNext/>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 xml:space="preserve">Where more than one fire weather officer is appointed by a local government the local government shall define a part of its district in which each fire weather officer shall have the </w:t>
      </w:r>
      <w:r>
        <w:rPr>
          <w:snapToGrid w:val="0"/>
        </w:rPr>
        <w:lastRenderedPageBreak/>
        <w:t>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lastRenderedPageBreak/>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or “high”, </w:t>
      </w:r>
      <w:r>
        <w:rPr>
          <w:snapToGrid w:val="0"/>
        </w:rPr>
        <w:t xml:space="preserve">and upon the authority being given the person, if </w:t>
      </w:r>
      <w:r>
        <w:t xml:space="preserve">the person </w:t>
      </w:r>
      <w:r>
        <w:rPr>
          <w:snapToGrid w:val="0"/>
        </w:rPr>
        <w:t>has otherwise complied with the conditions prescribed for the purposes of section 18, may burn the bush.</w:t>
      </w:r>
    </w:p>
    <w:p>
      <w:pPr>
        <w:pStyle w:val="Subsection"/>
        <w:keepNext/>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 No. 26 of 2022 s. 7.]</w:t>
      </w:r>
    </w:p>
    <w:p>
      <w:pPr>
        <w:pStyle w:val="Heading5"/>
        <w:spacing w:before="180"/>
      </w:pPr>
      <w:bookmarkStart w:id="62" w:name="_Toc209714904"/>
      <w:r>
        <w:rPr>
          <w:rStyle w:val="CharSectno"/>
        </w:rPr>
        <w:t>38A</w:t>
      </w:r>
      <w:r>
        <w:t>.</w:t>
      </w:r>
      <w:r>
        <w:tab/>
        <w:t>FES Commissioner may designate person employed in Department as Chief Bush Fire Control Officer</w:t>
      </w:r>
      <w:bookmarkEnd w:id="62"/>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lastRenderedPageBreak/>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keepNext/>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63" w:name="_Toc209714905"/>
      <w:r>
        <w:rPr>
          <w:rStyle w:val="CharSectno"/>
        </w:rPr>
        <w:t>39</w:t>
      </w:r>
      <w:r>
        <w:rPr>
          <w:snapToGrid w:val="0"/>
        </w:rPr>
        <w:t>.</w:t>
      </w:r>
      <w:r>
        <w:rPr>
          <w:snapToGrid w:val="0"/>
        </w:rPr>
        <w:tab/>
        <w:t>Special powers of bush fire control officers</w:t>
      </w:r>
      <w:bookmarkEnd w:id="63"/>
    </w:p>
    <w:p>
      <w:pPr>
        <w:pStyle w:val="Subsection"/>
        <w:keepNext/>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 xml:space="preserve">pull down, cut, and remove fences on land, whether private property or not, if in his opinion it is necessary or expedient so to do for the purpose of taking effective </w:t>
      </w:r>
      <w:r>
        <w:rPr>
          <w:snapToGrid w:val="0"/>
        </w:rPr>
        <w:lastRenderedPageBreak/>
        <w:t>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keepNext/>
        <w:spacing w:before="120"/>
      </w:pPr>
      <w:r>
        <w:lastRenderedPageBreak/>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64" w:name="_Toc209714906"/>
      <w:r>
        <w:rPr>
          <w:rStyle w:val="CharSectno"/>
        </w:rPr>
        <w:t>39A</w:t>
      </w:r>
      <w:r>
        <w:rPr>
          <w:snapToGrid w:val="0"/>
        </w:rPr>
        <w:t>.</w:t>
      </w:r>
      <w:r>
        <w:rPr>
          <w:snapToGrid w:val="0"/>
        </w:rPr>
        <w:tab/>
        <w:t>Duties of bush fire authorities on outbreak of fire</w:t>
      </w:r>
      <w:bookmarkEnd w:id="64"/>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keepNext/>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keepNext/>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65" w:name="_Toc209714907"/>
      <w:r>
        <w:rPr>
          <w:rStyle w:val="CharSectno"/>
        </w:rPr>
        <w:lastRenderedPageBreak/>
        <w:t>40</w:t>
      </w:r>
      <w:r>
        <w:rPr>
          <w:snapToGrid w:val="0"/>
        </w:rPr>
        <w:t>.</w:t>
      </w:r>
      <w:r>
        <w:rPr>
          <w:snapToGrid w:val="0"/>
        </w:rPr>
        <w:tab/>
        <w:t>Local governments may join in appointing and employing bush fire control officers</w:t>
      </w:r>
      <w:bookmarkEnd w:id="65"/>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keepNext/>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pPr>
      <w:bookmarkStart w:id="66" w:name="_Toc209714908"/>
      <w:r>
        <w:rPr>
          <w:rStyle w:val="CharDivNo"/>
        </w:rPr>
        <w:t>Division 2</w:t>
      </w:r>
      <w:r>
        <w:rPr>
          <w:snapToGrid w:val="0"/>
        </w:rPr>
        <w:t> — </w:t>
      </w:r>
      <w:r>
        <w:rPr>
          <w:rStyle w:val="CharDivText"/>
        </w:rPr>
        <w:t>Bush fire brigades</w:t>
      </w:r>
      <w:bookmarkEnd w:id="66"/>
    </w:p>
    <w:p>
      <w:pPr>
        <w:pStyle w:val="Heading5"/>
        <w:spacing w:before="280"/>
        <w:rPr>
          <w:snapToGrid w:val="0"/>
        </w:rPr>
      </w:pPr>
      <w:bookmarkStart w:id="67" w:name="_Toc209714909"/>
      <w:r>
        <w:rPr>
          <w:rStyle w:val="CharSectno"/>
        </w:rPr>
        <w:t>41</w:t>
      </w:r>
      <w:r>
        <w:rPr>
          <w:snapToGrid w:val="0"/>
        </w:rPr>
        <w:t>.</w:t>
      </w:r>
      <w:r>
        <w:rPr>
          <w:snapToGrid w:val="0"/>
        </w:rPr>
        <w:tab/>
        <w:t>Bush fire brigades</w:t>
      </w:r>
      <w:bookmarkEnd w:id="67"/>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keepNext/>
        <w:keepLines/>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68" w:name="_Toc209714910"/>
      <w:r>
        <w:rPr>
          <w:rStyle w:val="CharSectno"/>
        </w:rPr>
        <w:lastRenderedPageBreak/>
        <w:t>42</w:t>
      </w:r>
      <w:r>
        <w:rPr>
          <w:snapToGrid w:val="0"/>
        </w:rPr>
        <w:t>.</w:t>
      </w:r>
      <w:r>
        <w:rPr>
          <w:snapToGrid w:val="0"/>
        </w:rPr>
        <w:tab/>
        <w:t>Local governments may join in establishing bush fire brigade</w:t>
      </w:r>
      <w:bookmarkEnd w:id="68"/>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keepNext/>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69" w:name="_Toc209714911"/>
      <w:r>
        <w:rPr>
          <w:rStyle w:val="CharSectno"/>
        </w:rPr>
        <w:t>42A</w:t>
      </w:r>
      <w:r>
        <w:t>.</w:t>
      </w:r>
      <w:r>
        <w:tab/>
        <w:t>Constitution of bush fire brigade</w:t>
      </w:r>
      <w:bookmarkEnd w:id="69"/>
    </w:p>
    <w:p>
      <w:pPr>
        <w:pStyle w:val="Subsection"/>
        <w:keepNext/>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70" w:name="_Toc209714912"/>
      <w:r>
        <w:rPr>
          <w:rStyle w:val="CharSectno"/>
        </w:rPr>
        <w:t>43</w:t>
      </w:r>
      <w:r>
        <w:rPr>
          <w:snapToGrid w:val="0"/>
        </w:rPr>
        <w:t>.</w:t>
      </w:r>
      <w:r>
        <w:rPr>
          <w:snapToGrid w:val="0"/>
        </w:rPr>
        <w:tab/>
        <w:t>Election and duties of officers of bush fire brigades</w:t>
      </w:r>
      <w:bookmarkEnd w:id="70"/>
    </w:p>
    <w:p>
      <w:pPr>
        <w:pStyle w:val="Subsection"/>
        <w:keepNext/>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71" w:name="_Toc209714913"/>
      <w:r>
        <w:rPr>
          <w:rStyle w:val="CharSectno"/>
        </w:rPr>
        <w:t>44</w:t>
      </w:r>
      <w:r>
        <w:rPr>
          <w:snapToGrid w:val="0"/>
        </w:rPr>
        <w:t>.</w:t>
      </w:r>
      <w:r>
        <w:rPr>
          <w:snapToGrid w:val="0"/>
        </w:rPr>
        <w:tab/>
        <w:t>Powers and authorities of officers of bush fire brigade</w:t>
      </w:r>
      <w:bookmarkEnd w:id="71"/>
    </w:p>
    <w:p>
      <w:pPr>
        <w:pStyle w:val="Subsection"/>
        <w:keepNext/>
        <w:rPr>
          <w:snapToGrid w:val="0"/>
        </w:rPr>
      </w:pPr>
      <w:r>
        <w:rPr>
          <w:snapToGrid w:val="0"/>
        </w:rPr>
        <w:tab/>
        <w:t>(1)</w:t>
      </w:r>
      <w:r>
        <w:rPr>
          <w:snapToGrid w:val="0"/>
        </w:rPr>
        <w:tab/>
        <w:t xml:space="preserve">Subject to this Act, and except as provided in section 45 for the purpose of controlling and extinguishing or preventing the occurrence or spread or extension of a bush fire, or for any other </w:t>
      </w:r>
      <w:r>
        <w:rPr>
          <w:snapToGrid w:val="0"/>
        </w:rPr>
        <w:lastRenderedPageBreak/>
        <w:t>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lastRenderedPageBreak/>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keepNext/>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keepNext/>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72" w:name="_Toc209714914"/>
      <w:r>
        <w:rPr>
          <w:rStyle w:val="CharSectno"/>
        </w:rPr>
        <w:lastRenderedPageBreak/>
        <w:t>45A</w:t>
      </w:r>
      <w:r>
        <w:t>.</w:t>
      </w:r>
      <w:r>
        <w:tab/>
        <w:t>Requests to authorised CALM Act officers to take control of bush fires</w:t>
      </w:r>
      <w:bookmarkEnd w:id="72"/>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keepNext/>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keepNext/>
        <w:rPr>
          <w:snapToGrid w:val="0"/>
        </w:rPr>
      </w:pPr>
      <w:r>
        <w:tab/>
        <w:t>(2)</w:t>
      </w:r>
      <w:r>
        <w:tab/>
        <w:t xml:space="preserve">If the authorised CALM Act officer </w:t>
      </w:r>
      <w:r>
        <w:rPr>
          <w:snapToGrid w:val="0"/>
        </w:rPr>
        <w:t>agrees to take control of all operations in relation to the bush fire —</w:t>
      </w:r>
    </w:p>
    <w:p>
      <w:pPr>
        <w:pStyle w:val="Indenta"/>
        <w:keepNext/>
      </w:pPr>
      <w:r>
        <w:tab/>
        <w:t>(a)</w:t>
      </w:r>
      <w:r>
        <w:tab/>
        <w:t>the officer —</w:t>
      </w:r>
    </w:p>
    <w:p>
      <w:pPr>
        <w:pStyle w:val="Indenti"/>
      </w:pPr>
      <w:r>
        <w:tab/>
        <w:t>(i)</w:t>
      </w:r>
      <w:r>
        <w:tab/>
        <w:t>must inform the FES Commissioner of having done so; and</w:t>
      </w:r>
    </w:p>
    <w:p>
      <w:pPr>
        <w:pStyle w:val="Indenti"/>
        <w:keepNext/>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73" w:name="_Toc209714915"/>
      <w:r>
        <w:rPr>
          <w:rStyle w:val="CharSectno"/>
        </w:rPr>
        <w:t>45</w:t>
      </w:r>
      <w:r>
        <w:rPr>
          <w:snapToGrid w:val="0"/>
        </w:rPr>
        <w:t>.</w:t>
      </w:r>
      <w:r>
        <w:rPr>
          <w:snapToGrid w:val="0"/>
        </w:rPr>
        <w:tab/>
        <w:t>Powers and authorities exercisable by authorised CALM Act officers</w:t>
      </w:r>
      <w:bookmarkEnd w:id="73"/>
    </w:p>
    <w:p>
      <w:pPr>
        <w:pStyle w:val="Subsection"/>
        <w:keepNext/>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keepNext/>
      </w:pPr>
      <w:r>
        <w:lastRenderedPageBreak/>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keepNext/>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keepNex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keepNext/>
      </w:pPr>
      <w:r>
        <w:tab/>
        <w:t>(2)</w:t>
      </w:r>
      <w:r>
        <w:tab/>
        <w:t>If —</w:t>
      </w:r>
    </w:p>
    <w:p>
      <w:pPr>
        <w:pStyle w:val="Indenta"/>
      </w:pPr>
      <w:r>
        <w:tab/>
        <w:t>(a)</w:t>
      </w:r>
      <w:r>
        <w:tab/>
        <w:t>an authorised CALM Act officer is present at a bush fire burning on land; and</w:t>
      </w:r>
    </w:p>
    <w:p>
      <w:pPr>
        <w:pStyle w:val="Indenta"/>
        <w:keepNext/>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keepNext/>
        <w:rPr>
          <w:snapToGrid w:val="0"/>
        </w:rPr>
      </w:pPr>
      <w:r>
        <w:lastRenderedPageBreak/>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keepNext/>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74" w:name="_Toc209714916"/>
      <w:r>
        <w:rPr>
          <w:rStyle w:val="CharSectno"/>
        </w:rPr>
        <w:t>46</w:t>
      </w:r>
      <w:r>
        <w:rPr>
          <w:snapToGrid w:val="0"/>
        </w:rPr>
        <w:t>.</w:t>
      </w:r>
      <w:r>
        <w:rPr>
          <w:snapToGrid w:val="0"/>
        </w:rPr>
        <w:tab/>
        <w:t>Bush fire control officer or forest officer may postpone lighting fire</w:t>
      </w:r>
      <w:bookmarkEnd w:id="74"/>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 xml:space="preserve">a bush fire control officer, or the local government in whose district the land is situated may prohibit, or from time to time postpone the lighting of a fire, where in his or its opinion the fire, if </w:t>
      </w:r>
      <w:r>
        <w:rPr>
          <w:snapToGrid w:val="0"/>
        </w:rPr>
        <w:lastRenderedPageBreak/>
        <w:t>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keepNext/>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75" w:name="_Toc209714917"/>
      <w:r>
        <w:rPr>
          <w:rStyle w:val="CharSectno"/>
        </w:rPr>
        <w:lastRenderedPageBreak/>
        <w:t>47</w:t>
      </w:r>
      <w:r>
        <w:rPr>
          <w:snapToGrid w:val="0"/>
        </w:rPr>
        <w:t>.</w:t>
      </w:r>
      <w:r>
        <w:rPr>
          <w:snapToGrid w:val="0"/>
        </w:rPr>
        <w:tab/>
        <w:t>Fire</w:t>
      </w:r>
      <w:r>
        <w:rPr>
          <w:snapToGrid w:val="0"/>
        </w:rPr>
        <w:noBreakHyphen/>
        <w:t>break not to be lit when bush fire burning</w:t>
      </w:r>
      <w:bookmarkEnd w:id="75"/>
    </w:p>
    <w:p>
      <w:pPr>
        <w:pStyle w:val="Subsection"/>
        <w:keepNext/>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No. 8 of 1987 s. 6; No. 25 of 2009 s. 17.]</w:t>
      </w:r>
    </w:p>
    <w:p>
      <w:pPr>
        <w:pStyle w:val="Heading2"/>
      </w:pPr>
      <w:bookmarkStart w:id="76" w:name="_Toc209714918"/>
      <w:r>
        <w:rPr>
          <w:rStyle w:val="CharPartNo"/>
        </w:rPr>
        <w:lastRenderedPageBreak/>
        <w:t>Part V</w:t>
      </w:r>
      <w:r>
        <w:rPr>
          <w:rStyle w:val="CharDivNo"/>
        </w:rPr>
        <w:t> </w:t>
      </w:r>
      <w:r>
        <w:t>—</w:t>
      </w:r>
      <w:r>
        <w:rPr>
          <w:rStyle w:val="CharDivText"/>
        </w:rPr>
        <w:t> </w:t>
      </w:r>
      <w:r>
        <w:rPr>
          <w:rStyle w:val="CharPartText"/>
        </w:rPr>
        <w:t>Miscellaneous</w:t>
      </w:r>
      <w:bookmarkEnd w:id="76"/>
    </w:p>
    <w:p>
      <w:pPr>
        <w:pStyle w:val="Heading5"/>
      </w:pPr>
      <w:bookmarkStart w:id="77" w:name="_Toc209714919"/>
      <w:r>
        <w:rPr>
          <w:rStyle w:val="CharSectno"/>
        </w:rPr>
        <w:t>48</w:t>
      </w:r>
      <w:r>
        <w:t>.</w:t>
      </w:r>
      <w:r>
        <w:tab/>
        <w:t>Delegation by local governments</w:t>
      </w:r>
      <w:bookmarkEnd w:id="77"/>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78" w:name="_Toc209714920"/>
      <w:r>
        <w:rPr>
          <w:rStyle w:val="CharSectno"/>
        </w:rPr>
        <w:t>50</w:t>
      </w:r>
      <w:r>
        <w:rPr>
          <w:snapToGrid w:val="0"/>
        </w:rPr>
        <w:t>.</w:t>
      </w:r>
      <w:r>
        <w:rPr>
          <w:snapToGrid w:val="0"/>
        </w:rPr>
        <w:tab/>
        <w:t>Records to be maintained by local governments</w:t>
      </w:r>
      <w:bookmarkEnd w:id="78"/>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 xml:space="preserve">where a bush fire control officer holds office in respect of part only of the district of the local government, descriptive particulars of that part of the district in </w:t>
      </w:r>
      <w:r>
        <w:rPr>
          <w:snapToGrid w:val="0"/>
        </w:rPr>
        <w:lastRenderedPageBreak/>
        <w:t>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79" w:name="_Toc209714921"/>
      <w:r>
        <w:rPr>
          <w:rStyle w:val="CharSectno"/>
        </w:rPr>
        <w:t>51</w:t>
      </w:r>
      <w:r>
        <w:rPr>
          <w:snapToGrid w:val="0"/>
        </w:rPr>
        <w:t>.</w:t>
      </w:r>
      <w:r>
        <w:rPr>
          <w:snapToGrid w:val="0"/>
        </w:rPr>
        <w:tab/>
        <w:t>Saving of remedies</w:t>
      </w:r>
      <w:bookmarkEnd w:id="79"/>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lastRenderedPageBreak/>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80" w:name="_Toc209714922"/>
      <w:r>
        <w:rPr>
          <w:rStyle w:val="CharSectno"/>
        </w:rPr>
        <w:t>52</w:t>
      </w:r>
      <w:r>
        <w:rPr>
          <w:snapToGrid w:val="0"/>
        </w:rPr>
        <w:t>.</w:t>
      </w:r>
      <w:r>
        <w:rPr>
          <w:snapToGrid w:val="0"/>
        </w:rPr>
        <w:tab/>
        <w:t>Approved area may be declared</w:t>
      </w:r>
      <w:bookmarkEnd w:id="80"/>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81" w:name="_Toc209714923"/>
      <w:r>
        <w:rPr>
          <w:rStyle w:val="CharSectno"/>
        </w:rPr>
        <w:t>53</w:t>
      </w:r>
      <w:r>
        <w:rPr>
          <w:snapToGrid w:val="0"/>
        </w:rPr>
        <w:t>.</w:t>
      </w:r>
      <w:r>
        <w:rPr>
          <w:snapToGrid w:val="0"/>
        </w:rPr>
        <w:tab/>
        <w:t>Reduction in insurance premium of crops in approved area</w:t>
      </w:r>
      <w:bookmarkEnd w:id="81"/>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lastRenderedPageBreak/>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82" w:name="_Toc209714924"/>
      <w:r>
        <w:rPr>
          <w:rStyle w:val="CharSectno"/>
        </w:rPr>
        <w:t>54</w:t>
      </w:r>
      <w:r>
        <w:rPr>
          <w:snapToGrid w:val="0"/>
        </w:rPr>
        <w:t>.</w:t>
      </w:r>
      <w:r>
        <w:rPr>
          <w:snapToGrid w:val="0"/>
        </w:rPr>
        <w:tab/>
        <w:t>Approved area may be cancelled</w:t>
      </w:r>
      <w:bookmarkEnd w:id="82"/>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83" w:name="_Toc209714925"/>
      <w:r>
        <w:rPr>
          <w:rStyle w:val="CharSectno"/>
        </w:rPr>
        <w:t>56</w:t>
      </w:r>
      <w:r>
        <w:rPr>
          <w:snapToGrid w:val="0"/>
        </w:rPr>
        <w:t>.</w:t>
      </w:r>
      <w:r>
        <w:rPr>
          <w:snapToGrid w:val="0"/>
        </w:rPr>
        <w:tab/>
        <w:t>Duties of police officers, bush fire control officers etc.</w:t>
      </w:r>
      <w:bookmarkEnd w:id="83"/>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xml:space="preserve">, who finds a person committing an offence against this Act to </w:t>
      </w:r>
      <w:r>
        <w:rPr>
          <w:snapToGrid w:val="0"/>
        </w:rPr>
        <w:lastRenderedPageBreak/>
        <w:t>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84" w:name="_Toc209714926"/>
      <w:r>
        <w:rPr>
          <w:rStyle w:val="CharSectno"/>
        </w:rPr>
        <w:t>57</w:t>
      </w:r>
      <w:r>
        <w:rPr>
          <w:snapToGrid w:val="0"/>
        </w:rPr>
        <w:t>.</w:t>
      </w:r>
      <w:r>
        <w:rPr>
          <w:snapToGrid w:val="0"/>
        </w:rPr>
        <w:tab/>
        <w:t>Obstructing officers</w:t>
      </w:r>
      <w:bookmarkEnd w:id="84"/>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xml:space="preserve">, or an officer or member of a bush fire brigade or other person acting with authority under this Act, in the performance or doing of </w:t>
      </w:r>
      <w:r>
        <w:rPr>
          <w:snapToGrid w:val="0"/>
        </w:rPr>
        <w:lastRenderedPageBreak/>
        <w:t>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85" w:name="_Toc209714927"/>
      <w:r>
        <w:rPr>
          <w:rStyle w:val="CharSectno"/>
        </w:rPr>
        <w:t>58</w:t>
      </w:r>
      <w:r>
        <w:rPr>
          <w:snapToGrid w:val="0"/>
        </w:rPr>
        <w:t>.</w:t>
      </w:r>
      <w:r>
        <w:rPr>
          <w:snapToGrid w:val="0"/>
        </w:rPr>
        <w:tab/>
        <w:t>General penalty and recovery of expenses incurred</w:t>
      </w:r>
      <w:bookmarkEnd w:id="85"/>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lastRenderedPageBreak/>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FES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86" w:name="_Toc209714928"/>
      <w:r>
        <w:rPr>
          <w:rStyle w:val="CharSectno"/>
        </w:rPr>
        <w:lastRenderedPageBreak/>
        <w:t>59</w:t>
      </w:r>
      <w:r>
        <w:rPr>
          <w:snapToGrid w:val="0"/>
        </w:rPr>
        <w:t>.</w:t>
      </w:r>
      <w:r>
        <w:rPr>
          <w:snapToGrid w:val="0"/>
        </w:rPr>
        <w:tab/>
        <w:t>Prosecution of offences</w:t>
      </w:r>
      <w:bookmarkEnd w:id="86"/>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87" w:name="_Toc209714929"/>
      <w:r>
        <w:rPr>
          <w:rStyle w:val="CharSectno"/>
        </w:rPr>
        <w:lastRenderedPageBreak/>
        <w:t>59A</w:t>
      </w:r>
      <w:r>
        <w:rPr>
          <w:snapToGrid w:val="0"/>
        </w:rPr>
        <w:t>.</w:t>
      </w:r>
      <w:r>
        <w:rPr>
          <w:snapToGrid w:val="0"/>
        </w:rPr>
        <w:tab/>
        <w:t>Alternative procedure — infringement notices</w:t>
      </w:r>
      <w:bookmarkEnd w:id="87"/>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 xml:space="preserve">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w:t>
      </w:r>
      <w:r>
        <w:rPr>
          <w:snapToGrid w:val="0"/>
        </w:rPr>
        <w:lastRenderedPageBreak/>
        <w:t>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88" w:name="_Toc209714930"/>
      <w:r>
        <w:rPr>
          <w:rStyle w:val="CharSectno"/>
        </w:rPr>
        <w:t>60</w:t>
      </w:r>
      <w:r>
        <w:rPr>
          <w:snapToGrid w:val="0"/>
        </w:rPr>
        <w:t>.</w:t>
      </w:r>
      <w:r>
        <w:rPr>
          <w:snapToGrid w:val="0"/>
        </w:rPr>
        <w:tab/>
        <w:t>Assisting to commit an offence</w:t>
      </w:r>
      <w:bookmarkEnd w:id="88"/>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89" w:name="_Toc209714931"/>
      <w:r>
        <w:rPr>
          <w:rStyle w:val="CharSectno"/>
        </w:rPr>
        <w:lastRenderedPageBreak/>
        <w:t>61</w:t>
      </w:r>
      <w:r>
        <w:rPr>
          <w:snapToGrid w:val="0"/>
        </w:rPr>
        <w:t>.</w:t>
      </w:r>
      <w:r>
        <w:rPr>
          <w:snapToGrid w:val="0"/>
        </w:rPr>
        <w:tab/>
        <w:t>Regulations</w:t>
      </w:r>
      <w:bookmarkEnd w:id="89"/>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90" w:name="_Toc209714932"/>
      <w:r>
        <w:rPr>
          <w:rStyle w:val="CharSectno"/>
        </w:rPr>
        <w:t>62</w:t>
      </w:r>
      <w:r>
        <w:rPr>
          <w:snapToGrid w:val="0"/>
        </w:rPr>
        <w:t>.</w:t>
      </w:r>
      <w:r>
        <w:rPr>
          <w:snapToGrid w:val="0"/>
        </w:rPr>
        <w:tab/>
        <w:t>Local government may make local laws</w:t>
      </w:r>
      <w:bookmarkEnd w:id="90"/>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91" w:name="_Toc209714933"/>
      <w:r>
        <w:rPr>
          <w:rStyle w:val="CharSectno"/>
        </w:rPr>
        <w:lastRenderedPageBreak/>
        <w:t>62A</w:t>
      </w:r>
      <w:r>
        <w:rPr>
          <w:snapToGrid w:val="0"/>
        </w:rPr>
        <w:t>.</w:t>
      </w:r>
      <w:r>
        <w:rPr>
          <w:snapToGrid w:val="0"/>
        </w:rPr>
        <w:tab/>
        <w:t>Governor may amend or repeal local laws</w:t>
      </w:r>
      <w:bookmarkEnd w:id="91"/>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92" w:name="_Toc209714934"/>
      <w:r>
        <w:rPr>
          <w:rStyle w:val="CharSectno"/>
        </w:rPr>
        <w:t>64</w:t>
      </w:r>
      <w:r>
        <w:rPr>
          <w:snapToGrid w:val="0"/>
        </w:rPr>
        <w:t>.</w:t>
      </w:r>
      <w:r>
        <w:rPr>
          <w:snapToGrid w:val="0"/>
        </w:rPr>
        <w:tab/>
        <w:t>Prohibitions excluded by certain circumstances</w:t>
      </w:r>
      <w:bookmarkEnd w:id="92"/>
    </w:p>
    <w:p>
      <w:pPr>
        <w:pStyle w:val="Subsection"/>
        <w:tabs>
          <w:tab w:val="left" w:pos="5387"/>
        </w:tabs>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2</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93" w:name="_Toc209714935"/>
      <w:r>
        <w:rPr>
          <w:rStyle w:val="CharSectno"/>
        </w:rPr>
        <w:t>65</w:t>
      </w:r>
      <w:r>
        <w:rPr>
          <w:snapToGrid w:val="0"/>
        </w:rPr>
        <w:t>.</w:t>
      </w:r>
      <w:r>
        <w:rPr>
          <w:snapToGrid w:val="0"/>
        </w:rPr>
        <w:tab/>
        <w:t>Proof of certain matters</w:t>
      </w:r>
      <w:bookmarkEnd w:id="93"/>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lastRenderedPageBreak/>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w:t>
      </w:r>
      <w:r>
        <w:rPr>
          <w:snapToGrid w:val="0"/>
        </w:rPr>
        <w:lastRenderedPageBreak/>
        <w:t>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94" w:name="_Toc209714936"/>
      <w:r>
        <w:rPr>
          <w:rStyle w:val="CharSectno"/>
        </w:rPr>
        <w:t>66</w:t>
      </w:r>
      <w:r>
        <w:rPr>
          <w:snapToGrid w:val="0"/>
        </w:rPr>
        <w:t>.</w:t>
      </w:r>
      <w:r>
        <w:rPr>
          <w:snapToGrid w:val="0"/>
        </w:rPr>
        <w:tab/>
        <w:t>Proof of ownership or occupancy</w:t>
      </w:r>
      <w:bookmarkEnd w:id="94"/>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 xml:space="preserve">the production of the rate record of a local government, or of a copy or extract purporting to be certified by the mayor or president or chief executive officer of that local government as a copy or extract of the rate record, </w:t>
      </w:r>
      <w:r>
        <w:rPr>
          <w:snapToGrid w:val="0"/>
        </w:rPr>
        <w:lastRenderedPageBreak/>
        <w:t>showing that a person is rated as the owner or occupier of land;</w:t>
      </w:r>
    </w:p>
    <w:p>
      <w:pPr>
        <w:pStyle w:val="Indenta"/>
        <w:keepNext/>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lastRenderedPageBreak/>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95" w:name="_Toc209714937"/>
      <w:r>
        <w:rPr>
          <w:rStyle w:val="CharSectno"/>
        </w:rPr>
        <w:t>67</w:t>
      </w:r>
      <w:r>
        <w:rPr>
          <w:snapToGrid w:val="0"/>
        </w:rPr>
        <w:t>.</w:t>
      </w:r>
      <w:r>
        <w:rPr>
          <w:snapToGrid w:val="0"/>
        </w:rPr>
        <w:tab/>
        <w:t>Advisory committees</w:t>
      </w:r>
      <w:bookmarkEnd w:id="95"/>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lastRenderedPageBreak/>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96" w:name="_Toc209714938"/>
      <w:r>
        <w:rPr>
          <w:rStyle w:val="CharSectno"/>
        </w:rPr>
        <w:t>68</w:t>
      </w:r>
      <w:r>
        <w:rPr>
          <w:snapToGrid w:val="0"/>
        </w:rPr>
        <w:t>.</w:t>
      </w:r>
      <w:r>
        <w:rPr>
          <w:snapToGrid w:val="0"/>
        </w:rPr>
        <w:tab/>
        <w:t>Regional advisory committees</w:t>
      </w:r>
      <w:bookmarkEnd w:id="96"/>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lastRenderedPageBreak/>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97" w:name="_Toc209714939"/>
      <w:r>
        <w:lastRenderedPageBreak/>
        <w:t>Notes</w:t>
      </w:r>
      <w:bookmarkEnd w:id="97"/>
    </w:p>
    <w:p>
      <w:pPr>
        <w:pStyle w:val="nStatement"/>
      </w:pPr>
      <w:r>
        <w:t xml:space="preserve">This is a compilation of the </w:t>
      </w:r>
      <w:r>
        <w:rPr>
          <w:i/>
          <w:noProof/>
        </w:rPr>
        <w:t>Bush Fires Act 1954</w:t>
      </w:r>
      <w:r>
        <w:t xml:space="preserve"> and includes amendments made by other written laws. For provisions that have come into operation, and for information about any reprints, see the compilation table.</w:t>
      </w:r>
    </w:p>
    <w:p>
      <w:pPr>
        <w:pStyle w:val="nHeading3"/>
      </w:pPr>
      <w:bookmarkStart w:id="98" w:name="_Toc209714940"/>
      <w:r>
        <w:t>Compilation table</w:t>
      </w:r>
      <w:bookmarkEnd w:id="98"/>
    </w:p>
    <w:tbl>
      <w:tblPr>
        <w:tblW w:w="710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gridAfter w:val="1"/>
          <w:wAfter w:w="9"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5"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1954</w:t>
            </w:r>
          </w:p>
        </w:tc>
        <w:tc>
          <w:tcPr>
            <w:tcW w:w="1139" w:type="dxa"/>
          </w:tcPr>
          <w:p>
            <w:pPr>
              <w:pStyle w:val="nTable"/>
              <w:spacing w:after="40"/>
            </w:pPr>
            <w:r>
              <w:t>53 of 1954</w:t>
            </w:r>
            <w:r>
              <w:br/>
              <w:t>(3 Eliz. II No. 53)</w:t>
            </w:r>
          </w:p>
        </w:tc>
        <w:tc>
          <w:tcPr>
            <w:tcW w:w="1135" w:type="dxa"/>
          </w:tcPr>
          <w:p>
            <w:pPr>
              <w:pStyle w:val="nTable"/>
              <w:spacing w:after="40"/>
            </w:pPr>
            <w:r>
              <w:t>23 Dec 1954</w:t>
            </w:r>
          </w:p>
        </w:tc>
        <w:tc>
          <w:tcPr>
            <w:tcW w:w="2561" w:type="dxa"/>
            <w:gridSpan w:val="2"/>
          </w:tcPr>
          <w:p>
            <w:pPr>
              <w:pStyle w:val="nTable"/>
              <w:spacing w:after="40"/>
            </w:pPr>
            <w:r>
              <w:t xml:space="preserve">29 Apr 1955 (see s. 3 and </w:t>
            </w:r>
            <w:r>
              <w:rPr>
                <w:i/>
              </w:rPr>
              <w:t>Gazette</w:t>
            </w:r>
            <w:r>
              <w:t xml:space="preserve"> 29 Apr 1955 p. 749)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1957</w:t>
            </w:r>
          </w:p>
        </w:tc>
        <w:tc>
          <w:tcPr>
            <w:tcW w:w="1139" w:type="dxa"/>
          </w:tcPr>
          <w:p>
            <w:pPr>
              <w:pStyle w:val="nTable"/>
              <w:spacing w:after="40"/>
            </w:pPr>
            <w:r>
              <w:t>35 of 1957</w:t>
            </w:r>
            <w:r>
              <w:br/>
              <w:t>(6 Eliz. II No. 35)</w:t>
            </w:r>
          </w:p>
        </w:tc>
        <w:tc>
          <w:tcPr>
            <w:tcW w:w="1135" w:type="dxa"/>
          </w:tcPr>
          <w:p>
            <w:pPr>
              <w:pStyle w:val="nTable"/>
              <w:spacing w:after="40"/>
            </w:pPr>
            <w:r>
              <w:t>5 Nov 1957</w:t>
            </w:r>
          </w:p>
        </w:tc>
        <w:tc>
          <w:tcPr>
            <w:tcW w:w="2561" w:type="dxa"/>
            <w:gridSpan w:val="2"/>
          </w:tcPr>
          <w:p>
            <w:pPr>
              <w:pStyle w:val="nTable"/>
              <w:spacing w:after="40"/>
            </w:pPr>
            <w:r>
              <w:t>5 Nov 1957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1958</w:t>
            </w:r>
          </w:p>
        </w:tc>
        <w:tc>
          <w:tcPr>
            <w:tcW w:w="1139" w:type="dxa"/>
          </w:tcPr>
          <w:p>
            <w:pPr>
              <w:pStyle w:val="nTable"/>
              <w:spacing w:after="40"/>
            </w:pPr>
            <w:r>
              <w:t>20 of 1958</w:t>
            </w:r>
            <w:r>
              <w:br/>
              <w:t>(7 Eliz. II No. 20)</w:t>
            </w:r>
          </w:p>
        </w:tc>
        <w:tc>
          <w:tcPr>
            <w:tcW w:w="1135" w:type="dxa"/>
          </w:tcPr>
          <w:p>
            <w:pPr>
              <w:pStyle w:val="nTable"/>
              <w:spacing w:after="40"/>
            </w:pPr>
            <w:r>
              <w:t>22 Oct 1958</w:t>
            </w:r>
          </w:p>
        </w:tc>
        <w:tc>
          <w:tcPr>
            <w:tcW w:w="2561" w:type="dxa"/>
            <w:gridSpan w:val="2"/>
          </w:tcPr>
          <w:p>
            <w:pPr>
              <w:pStyle w:val="nTable"/>
              <w:spacing w:after="40"/>
            </w:pPr>
            <w:r>
              <w:t>22 Oct 1958</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1963</w:t>
            </w:r>
          </w:p>
        </w:tc>
        <w:tc>
          <w:tcPr>
            <w:tcW w:w="1139" w:type="dxa"/>
          </w:tcPr>
          <w:p>
            <w:pPr>
              <w:pStyle w:val="nTable"/>
              <w:spacing w:after="40"/>
            </w:pPr>
            <w:r>
              <w:t>11 of 1963</w:t>
            </w:r>
            <w:r>
              <w:br/>
              <w:t>(12 Eliz. II No. 11)</w:t>
            </w:r>
          </w:p>
        </w:tc>
        <w:tc>
          <w:tcPr>
            <w:tcW w:w="1135" w:type="dxa"/>
          </w:tcPr>
          <w:p>
            <w:pPr>
              <w:pStyle w:val="nTable"/>
              <w:spacing w:after="40"/>
            </w:pPr>
            <w:r>
              <w:t>22 Oct 1963</w:t>
            </w:r>
          </w:p>
        </w:tc>
        <w:tc>
          <w:tcPr>
            <w:tcW w:w="2561" w:type="dxa"/>
            <w:gridSpan w:val="2"/>
          </w:tcPr>
          <w:p>
            <w:pPr>
              <w:pStyle w:val="nTable"/>
              <w:spacing w:after="40"/>
            </w:pPr>
            <w:r>
              <w:t xml:space="preserve">22 Nov 1963 (see s. 2 and </w:t>
            </w:r>
            <w:r>
              <w:rPr>
                <w:i/>
              </w:rPr>
              <w:t>Gazette</w:t>
            </w:r>
            <w:r>
              <w:t xml:space="preserve"> 22 Nov 1963 p. 3618)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1964</w:t>
            </w:r>
          </w:p>
        </w:tc>
        <w:tc>
          <w:tcPr>
            <w:tcW w:w="1139" w:type="dxa"/>
          </w:tcPr>
          <w:p>
            <w:pPr>
              <w:pStyle w:val="nTable"/>
              <w:spacing w:after="40"/>
            </w:pPr>
            <w:r>
              <w:t>23 of 1964</w:t>
            </w:r>
            <w:r>
              <w:br/>
              <w:t>(13 Eliz. II No. 23)</w:t>
            </w:r>
          </w:p>
        </w:tc>
        <w:tc>
          <w:tcPr>
            <w:tcW w:w="1135" w:type="dxa"/>
          </w:tcPr>
          <w:p>
            <w:pPr>
              <w:pStyle w:val="nTable"/>
              <w:spacing w:after="40"/>
            </w:pPr>
            <w:r>
              <w:t>28 Oct 1964</w:t>
            </w:r>
          </w:p>
        </w:tc>
        <w:tc>
          <w:tcPr>
            <w:tcW w:w="2561" w:type="dxa"/>
            <w:gridSpan w:val="2"/>
          </w:tcPr>
          <w:p>
            <w:pPr>
              <w:pStyle w:val="nTable"/>
              <w:spacing w:after="40"/>
            </w:pPr>
            <w:r>
              <w:t>28 Oct 1964</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1965</w:t>
            </w:r>
          </w:p>
        </w:tc>
        <w:tc>
          <w:tcPr>
            <w:tcW w:w="1139" w:type="dxa"/>
          </w:tcPr>
          <w:p>
            <w:pPr>
              <w:pStyle w:val="nTable"/>
              <w:spacing w:after="40"/>
            </w:pPr>
            <w:r>
              <w:t>15 of 1965</w:t>
            </w:r>
          </w:p>
        </w:tc>
        <w:tc>
          <w:tcPr>
            <w:tcW w:w="1135" w:type="dxa"/>
          </w:tcPr>
          <w:p>
            <w:pPr>
              <w:pStyle w:val="nTable"/>
              <w:spacing w:after="40"/>
            </w:pPr>
            <w:r>
              <w:t>1 Oct 1965</w:t>
            </w:r>
          </w:p>
        </w:tc>
        <w:tc>
          <w:tcPr>
            <w:tcW w:w="2561" w:type="dxa"/>
            <w:gridSpan w:val="2"/>
          </w:tcPr>
          <w:p>
            <w:pPr>
              <w:pStyle w:val="nTable"/>
              <w:spacing w:after="40"/>
            </w:pPr>
            <w:r>
              <w:t>1 Oct 1965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Decimal Currency Act 1965</w:t>
            </w:r>
          </w:p>
        </w:tc>
        <w:tc>
          <w:tcPr>
            <w:tcW w:w="1139" w:type="dxa"/>
          </w:tcPr>
          <w:p>
            <w:pPr>
              <w:pStyle w:val="nTable"/>
              <w:spacing w:after="40"/>
            </w:pPr>
            <w:r>
              <w:t>113 of 1965</w:t>
            </w:r>
          </w:p>
        </w:tc>
        <w:tc>
          <w:tcPr>
            <w:tcW w:w="1135" w:type="dxa"/>
          </w:tcPr>
          <w:p>
            <w:pPr>
              <w:pStyle w:val="nTable"/>
              <w:spacing w:after="40"/>
            </w:pPr>
            <w:r>
              <w:t>21 Dec 1965</w:t>
            </w:r>
          </w:p>
        </w:tc>
        <w:tc>
          <w:tcPr>
            <w:tcW w:w="2561"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1969</w:t>
            </w:r>
          </w:p>
        </w:tc>
        <w:tc>
          <w:tcPr>
            <w:tcW w:w="1139" w:type="dxa"/>
          </w:tcPr>
          <w:p>
            <w:pPr>
              <w:pStyle w:val="nTable"/>
              <w:spacing w:after="40"/>
            </w:pPr>
            <w:r>
              <w:t>101 of 1969</w:t>
            </w:r>
          </w:p>
        </w:tc>
        <w:tc>
          <w:tcPr>
            <w:tcW w:w="1135" w:type="dxa"/>
          </w:tcPr>
          <w:p>
            <w:pPr>
              <w:pStyle w:val="nTable"/>
              <w:spacing w:after="40"/>
            </w:pPr>
            <w:r>
              <w:t>25 Nov 1969</w:t>
            </w:r>
          </w:p>
        </w:tc>
        <w:tc>
          <w:tcPr>
            <w:tcW w:w="2561" w:type="dxa"/>
            <w:gridSpan w:val="2"/>
          </w:tcPr>
          <w:p>
            <w:pPr>
              <w:pStyle w:val="nTable"/>
              <w:spacing w:after="40"/>
            </w:pPr>
            <w:r>
              <w:t>25 Nov 1969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1970</w:t>
            </w:r>
          </w:p>
        </w:tc>
        <w:tc>
          <w:tcPr>
            <w:tcW w:w="1139" w:type="dxa"/>
          </w:tcPr>
          <w:p>
            <w:pPr>
              <w:pStyle w:val="nTable"/>
              <w:spacing w:after="40"/>
            </w:pPr>
            <w:r>
              <w:t>67 of 1970</w:t>
            </w:r>
          </w:p>
        </w:tc>
        <w:tc>
          <w:tcPr>
            <w:tcW w:w="1135" w:type="dxa"/>
          </w:tcPr>
          <w:p>
            <w:pPr>
              <w:pStyle w:val="nTable"/>
              <w:spacing w:after="40"/>
            </w:pPr>
            <w:r>
              <w:t>17 Nov 1970</w:t>
            </w:r>
          </w:p>
        </w:tc>
        <w:tc>
          <w:tcPr>
            <w:tcW w:w="2561" w:type="dxa"/>
            <w:gridSpan w:val="2"/>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Metric Conversion Act 1972</w:t>
            </w:r>
          </w:p>
        </w:tc>
        <w:tc>
          <w:tcPr>
            <w:tcW w:w="1139"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61" w:type="dxa"/>
            <w:gridSpan w:val="2"/>
          </w:tcPr>
          <w:p>
            <w:pPr>
              <w:pStyle w:val="nTable"/>
              <w:keepNext/>
              <w:keepLines/>
              <w:spacing w:after="40"/>
            </w:pPr>
            <w:r>
              <w:t>Relevant amendments (see Third Sch. </w:t>
            </w:r>
            <w:r>
              <w:rPr>
                <w:vertAlign w:val="superscript"/>
              </w:rPr>
              <w:t>3</w:t>
            </w:r>
            <w:r>
              <w:t xml:space="preserve">) took effect on 1 Jun 1974 (see s. 4(2) and </w:t>
            </w:r>
            <w:r>
              <w:rPr>
                <w:i/>
              </w:rPr>
              <w:t>Gazette</w:t>
            </w:r>
            <w:r>
              <w:t xml:space="preserve"> 24 May 1974 p. 1626)</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1977</w:t>
            </w:r>
          </w:p>
        </w:tc>
        <w:tc>
          <w:tcPr>
            <w:tcW w:w="1139" w:type="dxa"/>
          </w:tcPr>
          <w:p>
            <w:pPr>
              <w:pStyle w:val="nTable"/>
              <w:spacing w:after="40"/>
            </w:pPr>
            <w:r>
              <w:t>65 of 1977</w:t>
            </w:r>
          </w:p>
        </w:tc>
        <w:tc>
          <w:tcPr>
            <w:tcW w:w="1135" w:type="dxa"/>
          </w:tcPr>
          <w:p>
            <w:pPr>
              <w:pStyle w:val="nTable"/>
              <w:spacing w:after="40"/>
            </w:pPr>
            <w:r>
              <w:t>28 Nov 1977</w:t>
            </w:r>
          </w:p>
        </w:tc>
        <w:tc>
          <w:tcPr>
            <w:tcW w:w="2561" w:type="dxa"/>
            <w:gridSpan w:val="2"/>
          </w:tcPr>
          <w:p>
            <w:pPr>
              <w:pStyle w:val="nTable"/>
              <w:spacing w:after="40"/>
            </w:pPr>
            <w:r>
              <w:t xml:space="preserve">1 Jun 1978 (see s. 2 and </w:t>
            </w:r>
            <w:r>
              <w:rPr>
                <w:i/>
              </w:rPr>
              <w:t xml:space="preserve">Gazette </w:t>
            </w:r>
            <w:r>
              <w:t>10 Mar 1978 p. 667)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Act Amendment Act 1979</w:t>
            </w:r>
          </w:p>
        </w:tc>
        <w:tc>
          <w:tcPr>
            <w:tcW w:w="1139" w:type="dxa"/>
          </w:tcPr>
          <w:p>
            <w:pPr>
              <w:pStyle w:val="nTable"/>
              <w:spacing w:after="40"/>
            </w:pPr>
            <w:r>
              <w:t>51 of 1979</w:t>
            </w:r>
          </w:p>
        </w:tc>
        <w:tc>
          <w:tcPr>
            <w:tcW w:w="1135" w:type="dxa"/>
          </w:tcPr>
          <w:p>
            <w:pPr>
              <w:pStyle w:val="nTable"/>
              <w:spacing w:after="40"/>
            </w:pPr>
            <w:r>
              <w:t>7 Nov 1979</w:t>
            </w:r>
          </w:p>
        </w:tc>
        <w:tc>
          <w:tcPr>
            <w:tcW w:w="2561" w:type="dxa"/>
            <w:gridSpan w:val="2"/>
          </w:tcPr>
          <w:p>
            <w:pPr>
              <w:pStyle w:val="nTable"/>
              <w:spacing w:after="40"/>
            </w:pPr>
            <w:r>
              <w:t>7 Nov 1979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1981</w:t>
            </w:r>
          </w:p>
        </w:tc>
        <w:tc>
          <w:tcPr>
            <w:tcW w:w="1139" w:type="dxa"/>
          </w:tcPr>
          <w:p>
            <w:pPr>
              <w:pStyle w:val="nTable"/>
              <w:spacing w:after="40"/>
            </w:pPr>
            <w:r>
              <w:t>95 of 1981</w:t>
            </w:r>
          </w:p>
        </w:tc>
        <w:tc>
          <w:tcPr>
            <w:tcW w:w="1135" w:type="dxa"/>
          </w:tcPr>
          <w:p>
            <w:pPr>
              <w:pStyle w:val="nTable"/>
              <w:spacing w:after="40"/>
            </w:pPr>
            <w:r>
              <w:t>4 Dec 1981</w:t>
            </w:r>
          </w:p>
        </w:tc>
        <w:tc>
          <w:tcPr>
            <w:tcW w:w="2561" w:type="dxa"/>
            <w:gridSpan w:val="2"/>
          </w:tcPr>
          <w:p>
            <w:pPr>
              <w:pStyle w:val="nTable"/>
              <w:spacing w:after="40"/>
            </w:pPr>
            <w:r>
              <w:t>4 Dec 1981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(Conservation and Land Management) Act 1984</w:t>
            </w:r>
            <w:r>
              <w:t xml:space="preserve"> Pt. IV</w:t>
            </w:r>
          </w:p>
        </w:tc>
        <w:tc>
          <w:tcPr>
            <w:tcW w:w="1139" w:type="dxa"/>
          </w:tcPr>
          <w:p>
            <w:pPr>
              <w:pStyle w:val="nTable"/>
              <w:spacing w:after="40"/>
            </w:pPr>
            <w:r>
              <w:t>112 of 1984</w:t>
            </w:r>
          </w:p>
        </w:tc>
        <w:tc>
          <w:tcPr>
            <w:tcW w:w="1135" w:type="dxa"/>
          </w:tcPr>
          <w:p>
            <w:pPr>
              <w:pStyle w:val="nTable"/>
              <w:spacing w:after="40"/>
            </w:pPr>
            <w:r>
              <w:t>19 Dec 1984</w:t>
            </w:r>
          </w:p>
        </w:tc>
        <w:tc>
          <w:tcPr>
            <w:tcW w:w="2561" w:type="dxa"/>
            <w:gridSpan w:val="2"/>
          </w:tcPr>
          <w:p>
            <w:pPr>
              <w:pStyle w:val="nTable"/>
              <w:spacing w:after="40"/>
            </w:pPr>
            <w:r>
              <w:t xml:space="preserve">22 Mar 1985 (see s. 2 and </w:t>
            </w:r>
            <w:r>
              <w:rPr>
                <w:i/>
              </w:rPr>
              <w:t>Gazette</w:t>
            </w:r>
            <w:r>
              <w:t xml:space="preserve"> 15 Mar 1985 p. 931)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Bush Fires Amendment Act 1987</w:t>
            </w:r>
          </w:p>
        </w:tc>
        <w:tc>
          <w:tcPr>
            <w:tcW w:w="1139" w:type="dxa"/>
          </w:tcPr>
          <w:p>
            <w:pPr>
              <w:pStyle w:val="nTable"/>
              <w:spacing w:after="40"/>
            </w:pPr>
            <w:r>
              <w:t>8 of 1987</w:t>
            </w:r>
          </w:p>
        </w:tc>
        <w:tc>
          <w:tcPr>
            <w:tcW w:w="1135" w:type="dxa"/>
          </w:tcPr>
          <w:p>
            <w:pPr>
              <w:pStyle w:val="nTable"/>
              <w:spacing w:after="40"/>
            </w:pPr>
            <w:r>
              <w:t>5 Jun 1987</w:t>
            </w:r>
          </w:p>
        </w:tc>
        <w:tc>
          <w:tcPr>
            <w:tcW w:w="2561" w:type="dxa"/>
            <w:gridSpan w:val="2"/>
          </w:tcPr>
          <w:p>
            <w:pPr>
              <w:pStyle w:val="nTable"/>
              <w:spacing w:after="40"/>
            </w:pPr>
            <w:r>
              <w:t>3 Jul 1987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Criminal Law Amendment Act 1990</w:t>
            </w:r>
            <w:r>
              <w:t xml:space="preserve"> Pt. 3</w:t>
            </w:r>
          </w:p>
        </w:tc>
        <w:tc>
          <w:tcPr>
            <w:tcW w:w="1139" w:type="dxa"/>
          </w:tcPr>
          <w:p>
            <w:pPr>
              <w:pStyle w:val="nTable"/>
              <w:spacing w:after="40"/>
            </w:pPr>
            <w:r>
              <w:t>101 of 1990</w:t>
            </w:r>
          </w:p>
        </w:tc>
        <w:tc>
          <w:tcPr>
            <w:tcW w:w="1135" w:type="dxa"/>
          </w:tcPr>
          <w:p>
            <w:pPr>
              <w:pStyle w:val="nTable"/>
              <w:spacing w:after="40"/>
            </w:pPr>
            <w:r>
              <w:t>20 Dec 1990</w:t>
            </w:r>
          </w:p>
        </w:tc>
        <w:tc>
          <w:tcPr>
            <w:tcW w:w="2561" w:type="dxa"/>
            <w:gridSpan w:val="2"/>
          </w:tcPr>
          <w:p>
            <w:pPr>
              <w:pStyle w:val="nTable"/>
              <w:spacing w:after="40"/>
            </w:pPr>
            <w:r>
              <w:t>14 Feb 1991 (see s. 2(1))</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rPr>
                <w:vertAlign w:val="superscript"/>
              </w:rPr>
            </w:pPr>
            <w:r>
              <w:rPr>
                <w:i/>
              </w:rPr>
              <w:t>Bush Fires Amendment Act 1992 </w:t>
            </w:r>
            <w:r>
              <w:rPr>
                <w:i/>
                <w:vertAlign w:val="superscript"/>
              </w:rPr>
              <w:t>4</w:t>
            </w:r>
          </w:p>
        </w:tc>
        <w:tc>
          <w:tcPr>
            <w:tcW w:w="1139" w:type="dxa"/>
          </w:tcPr>
          <w:p>
            <w:pPr>
              <w:pStyle w:val="nTable"/>
              <w:spacing w:after="40"/>
            </w:pPr>
            <w:r>
              <w:t>60 of 1992</w:t>
            </w:r>
          </w:p>
        </w:tc>
        <w:tc>
          <w:tcPr>
            <w:tcW w:w="1135" w:type="dxa"/>
          </w:tcPr>
          <w:p>
            <w:pPr>
              <w:pStyle w:val="nTable"/>
              <w:spacing w:after="40"/>
            </w:pPr>
            <w:r>
              <w:t>11 Dec 1992</w:t>
            </w:r>
          </w:p>
        </w:tc>
        <w:tc>
          <w:tcPr>
            <w:tcW w:w="2561" w:type="dxa"/>
            <w:gridSpan w:val="2"/>
          </w:tcPr>
          <w:p>
            <w:pPr>
              <w:pStyle w:val="nTable"/>
              <w:spacing w:after="40"/>
            </w:pPr>
            <w:r>
              <w:t>Act other than Pt. 2: 11 Dec 1992 (see s. 2(1));</w:t>
            </w:r>
            <w:r>
              <w:br/>
              <w:t xml:space="preserve">Pt. 2: 25 Mar 1993 (see s. 2(2) and </w:t>
            </w:r>
            <w:r>
              <w:rPr>
                <w:i/>
              </w:rPr>
              <w:t>Gazette</w:t>
            </w:r>
            <w:r>
              <w:t xml:space="preserve"> 19 Mar 1993 p. 1635)</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Administration Legislation Amendment Act 1993</w:t>
            </w:r>
            <w:r>
              <w:t xml:space="preserve"> s. 11</w:t>
            </w:r>
          </w:p>
        </w:tc>
        <w:tc>
          <w:tcPr>
            <w:tcW w:w="1139" w:type="dxa"/>
          </w:tcPr>
          <w:p>
            <w:pPr>
              <w:pStyle w:val="nTable"/>
              <w:keepNext/>
              <w:keepLines/>
              <w:spacing w:after="40"/>
            </w:pPr>
            <w:r>
              <w:t>6 of 1993</w:t>
            </w:r>
          </w:p>
        </w:tc>
        <w:tc>
          <w:tcPr>
            <w:tcW w:w="1135" w:type="dxa"/>
          </w:tcPr>
          <w:p>
            <w:pPr>
              <w:pStyle w:val="nTable"/>
              <w:keepNext/>
              <w:keepLines/>
              <w:spacing w:after="40"/>
            </w:pPr>
            <w:r>
              <w:t>27 Aug 1993</w:t>
            </w:r>
          </w:p>
        </w:tc>
        <w:tc>
          <w:tcPr>
            <w:tcW w:w="2561" w:type="dxa"/>
            <w:gridSpan w:val="2"/>
          </w:tcPr>
          <w:p>
            <w:pPr>
              <w:pStyle w:val="nTable"/>
              <w:keepNext/>
              <w:keepLines/>
              <w:spacing w:after="40"/>
            </w:pPr>
            <w:r>
              <w:t>1 Jul 1993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(Public Sector Management) Act 1994</w:t>
            </w:r>
            <w:r>
              <w:t xml:space="preserve"> s. 19</w:t>
            </w:r>
          </w:p>
        </w:tc>
        <w:tc>
          <w:tcPr>
            <w:tcW w:w="1139" w:type="dxa"/>
          </w:tcPr>
          <w:p>
            <w:pPr>
              <w:pStyle w:val="nTable"/>
              <w:spacing w:after="40"/>
            </w:pPr>
            <w:r>
              <w:t>32 of 1994</w:t>
            </w:r>
          </w:p>
        </w:tc>
        <w:tc>
          <w:tcPr>
            <w:tcW w:w="1135" w:type="dxa"/>
          </w:tcPr>
          <w:p>
            <w:pPr>
              <w:pStyle w:val="nTable"/>
              <w:spacing w:after="40"/>
            </w:pPr>
            <w:r>
              <w:t>29 Jun 1994</w:t>
            </w:r>
          </w:p>
        </w:tc>
        <w:tc>
          <w:tcPr>
            <w:tcW w:w="256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Fire Brigades Amendment Act 1994</w:t>
            </w:r>
            <w:r>
              <w:t xml:space="preserve"> s. 36</w:t>
            </w:r>
          </w:p>
        </w:tc>
        <w:tc>
          <w:tcPr>
            <w:tcW w:w="1139" w:type="dxa"/>
          </w:tcPr>
          <w:p>
            <w:pPr>
              <w:pStyle w:val="nTable"/>
              <w:spacing w:after="40"/>
            </w:pPr>
            <w:r>
              <w:t>52 of 1994</w:t>
            </w:r>
          </w:p>
        </w:tc>
        <w:tc>
          <w:tcPr>
            <w:tcW w:w="1135" w:type="dxa"/>
          </w:tcPr>
          <w:p>
            <w:pPr>
              <w:pStyle w:val="nTable"/>
              <w:spacing w:after="40"/>
            </w:pPr>
            <w:r>
              <w:t>2 Nov 1994</w:t>
            </w:r>
          </w:p>
        </w:tc>
        <w:tc>
          <w:tcPr>
            <w:tcW w:w="2561" w:type="dxa"/>
            <w:gridSpan w:val="2"/>
          </w:tcPr>
          <w:p>
            <w:pPr>
              <w:pStyle w:val="nTable"/>
              <w:spacing w:after="40"/>
            </w:pPr>
            <w:r>
              <w:t xml:space="preserve">10 Dec 1994 (see s. 2 and </w:t>
            </w:r>
            <w:r>
              <w:rPr>
                <w:i/>
              </w:rPr>
              <w:t>Gazette</w:t>
            </w:r>
            <w:r>
              <w:t xml:space="preserve"> 9 Dec 1994 p. 6647)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Planning Legislation Amendment Act (No. 2) 1994</w:t>
            </w:r>
            <w:r>
              <w:t xml:space="preserve"> s. 46(1)</w:t>
            </w:r>
          </w:p>
        </w:tc>
        <w:tc>
          <w:tcPr>
            <w:tcW w:w="1139" w:type="dxa"/>
          </w:tcPr>
          <w:p>
            <w:pPr>
              <w:pStyle w:val="nTable"/>
              <w:spacing w:after="40"/>
            </w:pPr>
            <w:r>
              <w:t>84 of 1994</w:t>
            </w:r>
          </w:p>
        </w:tc>
        <w:tc>
          <w:tcPr>
            <w:tcW w:w="1135" w:type="dxa"/>
          </w:tcPr>
          <w:p>
            <w:pPr>
              <w:pStyle w:val="nTable"/>
              <w:spacing w:after="40"/>
            </w:pPr>
            <w:r>
              <w:t>13 Jan 1995</w:t>
            </w:r>
          </w:p>
        </w:tc>
        <w:tc>
          <w:tcPr>
            <w:tcW w:w="2561" w:type="dxa"/>
            <w:gridSpan w:val="2"/>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lastRenderedPageBreak/>
              <w:t>Sentencing (Consequential Provisions) Act 1995</w:t>
            </w:r>
            <w:r>
              <w:t xml:space="preserve"> Pt. 6 and s. 147</w:t>
            </w:r>
          </w:p>
        </w:tc>
        <w:tc>
          <w:tcPr>
            <w:tcW w:w="1139" w:type="dxa"/>
          </w:tcPr>
          <w:p>
            <w:pPr>
              <w:pStyle w:val="nTable"/>
              <w:spacing w:after="40"/>
            </w:pPr>
            <w:r>
              <w:t>78 of 1995</w:t>
            </w:r>
          </w:p>
        </w:tc>
        <w:tc>
          <w:tcPr>
            <w:tcW w:w="1135" w:type="dxa"/>
          </w:tcPr>
          <w:p>
            <w:pPr>
              <w:pStyle w:val="nTable"/>
              <w:spacing w:after="40"/>
            </w:pPr>
            <w:r>
              <w:t>16 Jan 1996</w:t>
            </w:r>
          </w:p>
        </w:tc>
        <w:tc>
          <w:tcPr>
            <w:tcW w:w="256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Coroners Act 1996</w:t>
            </w:r>
            <w:r>
              <w:t xml:space="preserve"> s. 61</w:t>
            </w:r>
          </w:p>
        </w:tc>
        <w:tc>
          <w:tcPr>
            <w:tcW w:w="1139" w:type="dxa"/>
          </w:tcPr>
          <w:p>
            <w:pPr>
              <w:pStyle w:val="nTable"/>
              <w:spacing w:after="40"/>
            </w:pPr>
            <w:r>
              <w:t>2 of 1996</w:t>
            </w:r>
          </w:p>
        </w:tc>
        <w:tc>
          <w:tcPr>
            <w:tcW w:w="1135" w:type="dxa"/>
          </w:tcPr>
          <w:p>
            <w:pPr>
              <w:pStyle w:val="nTable"/>
              <w:spacing w:after="40"/>
            </w:pPr>
            <w:r>
              <w:t>24 May 1996</w:t>
            </w:r>
          </w:p>
        </w:tc>
        <w:tc>
          <w:tcPr>
            <w:tcW w:w="2561"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5" w:type="dxa"/>
          </w:tcPr>
          <w:p>
            <w:pPr>
              <w:pStyle w:val="nTable"/>
              <w:spacing w:after="40"/>
            </w:pPr>
            <w:r>
              <w:t>28 Jun 1996</w:t>
            </w:r>
          </w:p>
        </w:tc>
        <w:tc>
          <w:tcPr>
            <w:tcW w:w="256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Financial Legislation Amendment Act 1996</w:t>
            </w:r>
            <w:r>
              <w:t xml:space="preserve"> s. 64</w:t>
            </w:r>
          </w:p>
        </w:tc>
        <w:tc>
          <w:tcPr>
            <w:tcW w:w="1139" w:type="dxa"/>
          </w:tcPr>
          <w:p>
            <w:pPr>
              <w:pStyle w:val="nTable"/>
              <w:spacing w:after="40"/>
            </w:pPr>
            <w:r>
              <w:t>49 of 1996</w:t>
            </w:r>
          </w:p>
        </w:tc>
        <w:tc>
          <w:tcPr>
            <w:tcW w:w="1135" w:type="dxa"/>
          </w:tcPr>
          <w:p>
            <w:pPr>
              <w:pStyle w:val="nTable"/>
              <w:spacing w:after="40"/>
            </w:pPr>
            <w:r>
              <w:t>25 Oct 1996</w:t>
            </w:r>
          </w:p>
        </w:tc>
        <w:tc>
          <w:tcPr>
            <w:tcW w:w="2561"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Transfer of Land Amendment Act 1996</w:t>
            </w:r>
            <w:r>
              <w:t xml:space="preserve"> s. 153(1)</w:t>
            </w:r>
          </w:p>
        </w:tc>
        <w:tc>
          <w:tcPr>
            <w:tcW w:w="1139" w:type="dxa"/>
          </w:tcPr>
          <w:p>
            <w:pPr>
              <w:pStyle w:val="nTable"/>
              <w:spacing w:after="40"/>
            </w:pPr>
            <w:r>
              <w:t>81 of 1996</w:t>
            </w:r>
          </w:p>
        </w:tc>
        <w:tc>
          <w:tcPr>
            <w:tcW w:w="1135" w:type="dxa"/>
          </w:tcPr>
          <w:p>
            <w:pPr>
              <w:pStyle w:val="nTable"/>
              <w:spacing w:after="40"/>
            </w:pPr>
            <w:r>
              <w:t>14 Nov 1996</w:t>
            </w:r>
          </w:p>
        </w:tc>
        <w:tc>
          <w:tcPr>
            <w:tcW w:w="2561" w:type="dxa"/>
            <w:gridSpan w:val="2"/>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1997</w:t>
            </w:r>
            <w:r>
              <w:t xml:space="preserve"> s. 26</w:t>
            </w:r>
          </w:p>
        </w:tc>
        <w:tc>
          <w:tcPr>
            <w:tcW w:w="1139" w:type="dxa"/>
          </w:tcPr>
          <w:p>
            <w:pPr>
              <w:pStyle w:val="nTable"/>
              <w:spacing w:after="40"/>
            </w:pPr>
            <w:r>
              <w:t>57 of 1997</w:t>
            </w:r>
          </w:p>
        </w:tc>
        <w:tc>
          <w:tcPr>
            <w:tcW w:w="1135" w:type="dxa"/>
          </w:tcPr>
          <w:p>
            <w:pPr>
              <w:pStyle w:val="nTable"/>
              <w:spacing w:after="40"/>
            </w:pPr>
            <w:r>
              <w:t>15 Dec 1997</w:t>
            </w:r>
          </w:p>
        </w:tc>
        <w:tc>
          <w:tcPr>
            <w:tcW w:w="2561"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Statutes (Repeals and Minor Amendments) Act (No. 2) 1998</w:t>
            </w:r>
            <w:r>
              <w:t xml:space="preserve"> s. 20</w:t>
            </w:r>
          </w:p>
        </w:tc>
        <w:tc>
          <w:tcPr>
            <w:tcW w:w="1139" w:type="dxa"/>
          </w:tcPr>
          <w:p>
            <w:pPr>
              <w:pStyle w:val="nTable"/>
              <w:spacing w:after="40"/>
            </w:pPr>
            <w:r>
              <w:t>10 of 1998</w:t>
            </w:r>
          </w:p>
        </w:tc>
        <w:tc>
          <w:tcPr>
            <w:tcW w:w="1135" w:type="dxa"/>
          </w:tcPr>
          <w:p>
            <w:pPr>
              <w:pStyle w:val="nTable"/>
              <w:spacing w:after="40"/>
            </w:pPr>
            <w:r>
              <w:t>30 Apr 1998</w:t>
            </w:r>
          </w:p>
        </w:tc>
        <w:tc>
          <w:tcPr>
            <w:tcW w:w="256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Fire and Emergency Services Authority of Western Australia (Consequential Provisions) Act 1998</w:t>
            </w:r>
            <w:r>
              <w:t xml:space="preserve"> Pt. 2</w:t>
            </w:r>
          </w:p>
        </w:tc>
        <w:tc>
          <w:tcPr>
            <w:tcW w:w="1139" w:type="dxa"/>
          </w:tcPr>
          <w:p>
            <w:pPr>
              <w:pStyle w:val="nTable"/>
              <w:spacing w:after="40"/>
            </w:pPr>
            <w:r>
              <w:t>42 of 1998</w:t>
            </w:r>
          </w:p>
        </w:tc>
        <w:tc>
          <w:tcPr>
            <w:tcW w:w="1135" w:type="dxa"/>
          </w:tcPr>
          <w:p>
            <w:pPr>
              <w:pStyle w:val="nTable"/>
              <w:spacing w:after="40"/>
            </w:pPr>
            <w:r>
              <w:t>4 Nov 1998</w:t>
            </w:r>
          </w:p>
        </w:tc>
        <w:tc>
          <w:tcPr>
            <w:tcW w:w="2561" w:type="dxa"/>
            <w:gridSpan w:val="2"/>
          </w:tcPr>
          <w:p>
            <w:pPr>
              <w:pStyle w:val="nTable"/>
              <w:spacing w:after="40"/>
            </w:pPr>
            <w:r>
              <w:t xml:space="preserve">1 Jan 1999 (see s. 2 and </w:t>
            </w:r>
            <w:r>
              <w:rPr>
                <w:i/>
              </w:rPr>
              <w:t>Gazette</w:t>
            </w:r>
            <w:r>
              <w:t xml:space="preserve"> 22 Dec 1998 p. 6833)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6</w:t>
            </w:r>
          </w:p>
        </w:tc>
        <w:tc>
          <w:tcPr>
            <w:tcW w:w="1139" w:type="dxa"/>
          </w:tcPr>
          <w:p>
            <w:pPr>
              <w:pStyle w:val="nTable"/>
              <w:spacing w:after="40"/>
            </w:pPr>
            <w:r>
              <w:t>38 of 2002</w:t>
            </w:r>
          </w:p>
        </w:tc>
        <w:tc>
          <w:tcPr>
            <w:tcW w:w="1135" w:type="dxa"/>
          </w:tcPr>
          <w:p>
            <w:pPr>
              <w:pStyle w:val="nTable"/>
              <w:spacing w:after="40"/>
            </w:pPr>
            <w:r>
              <w:t>20 Nov 2002</w:t>
            </w:r>
          </w:p>
        </w:tc>
        <w:tc>
          <w:tcPr>
            <w:tcW w:w="2561" w:type="dxa"/>
            <w:gridSpan w:val="2"/>
          </w:tcPr>
          <w:p>
            <w:pPr>
              <w:pStyle w:val="nTable"/>
              <w:spacing w:after="40"/>
            </w:pPr>
            <w:r>
              <w:t xml:space="preserve">30 Nov 2002 (see s. 2 and </w:t>
            </w:r>
            <w:r>
              <w:rPr>
                <w:i/>
              </w:rPr>
              <w:t>Gazette</w:t>
            </w:r>
            <w:r>
              <w:t xml:space="preserve"> 29 Nov 2002 p. 5651</w:t>
            </w:r>
            <w:r>
              <w:noBreakHyphen/>
              <w:t>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(Equality of Status) Act 2003</w:t>
            </w:r>
            <w:r>
              <w:t xml:space="preserve"> Pt. 4</w:t>
            </w:r>
          </w:p>
        </w:tc>
        <w:tc>
          <w:tcPr>
            <w:tcW w:w="1139" w:type="dxa"/>
          </w:tcPr>
          <w:p>
            <w:pPr>
              <w:pStyle w:val="nTable"/>
              <w:spacing w:after="40"/>
            </w:pPr>
            <w:r>
              <w:t>28 of 2003</w:t>
            </w:r>
          </w:p>
        </w:tc>
        <w:tc>
          <w:tcPr>
            <w:tcW w:w="1135" w:type="dxa"/>
          </w:tcPr>
          <w:p>
            <w:pPr>
              <w:pStyle w:val="nTable"/>
              <w:spacing w:after="40"/>
            </w:pPr>
            <w:r>
              <w:t>22 May 2003</w:t>
            </w:r>
          </w:p>
        </w:tc>
        <w:tc>
          <w:tcPr>
            <w:tcW w:w="2561" w:type="dxa"/>
            <w:gridSpan w:val="2"/>
          </w:tcPr>
          <w:p>
            <w:pPr>
              <w:pStyle w:val="nTable"/>
              <w:spacing w:after="40"/>
            </w:pPr>
            <w:r>
              <w:t xml:space="preserve">1 Jul 2003 (see s. 2 and </w:t>
            </w:r>
            <w:r>
              <w:rPr>
                <w:i/>
              </w:rPr>
              <w:t>Gazette</w:t>
            </w:r>
            <w:r>
              <w:t xml:space="preserve"> 30 Jun 2003 p. 2579)</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pPr>
            <w:r>
              <w:rPr>
                <w:b/>
              </w:rPr>
              <w:t xml:space="preserve">Reprint 6: The </w:t>
            </w:r>
            <w:r>
              <w:rPr>
                <w:b/>
                <w:i/>
              </w:rPr>
              <w:t>Bush Fires Act 1954</w:t>
            </w:r>
            <w:r>
              <w:rPr>
                <w:b/>
              </w:rPr>
              <w:t xml:space="preserve"> as at 1 Aug 2003 </w:t>
            </w:r>
            <w:r>
              <w:t>(includes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pPr>
            <w:r>
              <w:rPr>
                <w:i/>
              </w:rPr>
              <w:t>Acts Amendment and Repeal (Competition Policy) Act 2003</w:t>
            </w:r>
            <w:r>
              <w:t xml:space="preserve"> Pt. 3</w:t>
            </w:r>
          </w:p>
        </w:tc>
        <w:tc>
          <w:tcPr>
            <w:tcW w:w="1139" w:type="dxa"/>
          </w:tcPr>
          <w:p>
            <w:pPr>
              <w:pStyle w:val="nTable"/>
              <w:spacing w:after="40"/>
            </w:pPr>
            <w:r>
              <w:t>70 of 2003</w:t>
            </w:r>
          </w:p>
        </w:tc>
        <w:tc>
          <w:tcPr>
            <w:tcW w:w="1135" w:type="dxa"/>
          </w:tcPr>
          <w:p>
            <w:pPr>
              <w:pStyle w:val="nTable"/>
              <w:spacing w:after="40"/>
            </w:pPr>
            <w:r>
              <w:t>15 Dec 2003</w:t>
            </w:r>
          </w:p>
        </w:tc>
        <w:tc>
          <w:tcPr>
            <w:tcW w:w="2561" w:type="dxa"/>
            <w:gridSpan w:val="2"/>
          </w:tcPr>
          <w:p>
            <w:pPr>
              <w:pStyle w:val="nTable"/>
              <w:spacing w:after="40"/>
            </w:pPr>
            <w:r>
              <w:t xml:space="preserve">21 Apr 2004 (see s. 2 and </w:t>
            </w:r>
            <w:r>
              <w:rPr>
                <w:i/>
              </w:rPr>
              <w:t>Gazette</w:t>
            </w:r>
            <w:r>
              <w:t xml:space="preserve"> 20 Apr 2004 p. 1297)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
              </w:rPr>
            </w:pPr>
            <w:r>
              <w:rPr>
                <w:i/>
              </w:rPr>
              <w:t>Criminal Code Amendment Act 2004</w:t>
            </w:r>
            <w:r>
              <w:t xml:space="preserve"> s. 58</w:t>
            </w:r>
          </w:p>
        </w:tc>
        <w:tc>
          <w:tcPr>
            <w:tcW w:w="1139" w:type="dxa"/>
          </w:tcPr>
          <w:p>
            <w:pPr>
              <w:pStyle w:val="nTable"/>
              <w:spacing w:after="40"/>
            </w:pPr>
            <w:r>
              <w:t>4 of 2004</w:t>
            </w:r>
          </w:p>
        </w:tc>
        <w:tc>
          <w:tcPr>
            <w:tcW w:w="1135" w:type="dxa"/>
          </w:tcPr>
          <w:p>
            <w:pPr>
              <w:pStyle w:val="nTable"/>
              <w:spacing w:after="40"/>
            </w:pPr>
            <w:r>
              <w:t>23 Apr 2004</w:t>
            </w:r>
          </w:p>
        </w:tc>
        <w:tc>
          <w:tcPr>
            <w:tcW w:w="2561" w:type="dxa"/>
            <w:gridSpan w:val="2"/>
          </w:tcPr>
          <w:p>
            <w:pPr>
              <w:pStyle w:val="nTable"/>
              <w:spacing w:after="40"/>
            </w:pPr>
            <w: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lastRenderedPageBreak/>
              <w:t>Workers’ Compensation Reform Act 2004</w:t>
            </w:r>
            <w:r>
              <w:rPr>
                <w:snapToGrid w:val="0"/>
              </w:rPr>
              <w:t xml:space="preserve"> s. 174</w:t>
            </w:r>
          </w:p>
        </w:tc>
        <w:tc>
          <w:tcPr>
            <w:tcW w:w="1139"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61" w:type="dxa"/>
            <w:gridSpan w:val="2"/>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9"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61" w:type="dxa"/>
            <w:gridSpan w:val="2"/>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9"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61" w:type="dxa"/>
            <w:gridSpan w:val="2"/>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108" w:type="dxa"/>
            <w:gridSpan w:val="5"/>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9"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61" w:type="dxa"/>
            <w:gridSpan w:val="2"/>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9"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61" w:type="dxa"/>
            <w:gridSpan w:val="2"/>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9"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61" w:type="dxa"/>
            <w:gridSpan w:val="2"/>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9"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61" w:type="dxa"/>
            <w:gridSpan w:val="2"/>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9" w:type="dxa"/>
          </w:tcPr>
          <w:p>
            <w:pPr>
              <w:pStyle w:val="nTable"/>
              <w:spacing w:after="40"/>
            </w:pPr>
            <w:r>
              <w:t>43 of 2009</w:t>
            </w:r>
          </w:p>
        </w:tc>
        <w:tc>
          <w:tcPr>
            <w:tcW w:w="1135" w:type="dxa"/>
          </w:tcPr>
          <w:p>
            <w:pPr>
              <w:pStyle w:val="nTable"/>
              <w:spacing w:after="40"/>
            </w:pPr>
            <w:r>
              <w:t>3 Dec 2009</w:t>
            </w:r>
          </w:p>
        </w:tc>
        <w:tc>
          <w:tcPr>
            <w:tcW w:w="2561" w:type="dxa"/>
            <w:gridSpan w:val="2"/>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blPrEx>
          <w:tblBorders>
            <w:top w:val="none" w:sz="0" w:space="0" w:color="auto"/>
            <w:bottom w:val="none" w:sz="0" w:space="0" w:color="auto"/>
            <w:insideH w:val="none" w:sz="0" w:space="0" w:color="auto"/>
          </w:tblBorders>
        </w:tblPrEx>
        <w:trPr>
          <w:cantSplit/>
        </w:trPr>
        <w:tc>
          <w:tcPr>
            <w:tcW w:w="7108" w:type="dxa"/>
            <w:gridSpan w:val="5"/>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7</w:t>
            </w:r>
          </w:p>
        </w:tc>
        <w:tc>
          <w:tcPr>
            <w:tcW w:w="1139"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61" w:type="dxa"/>
            <w:gridSpan w:val="2"/>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snapToGrid w:val="0"/>
              </w:rPr>
            </w:pPr>
            <w:r>
              <w:rPr>
                <w:i/>
                <w:snapToGrid w:val="0"/>
              </w:rPr>
              <w:lastRenderedPageBreak/>
              <w:t>Statutes (Repeals and Minor Amendments) Act 2011</w:t>
            </w:r>
            <w:r>
              <w:rPr>
                <w:snapToGrid w:val="0"/>
              </w:rPr>
              <w:t xml:space="preserve"> s. 16</w:t>
            </w:r>
          </w:p>
        </w:tc>
        <w:tc>
          <w:tcPr>
            <w:tcW w:w="1139"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61" w:type="dxa"/>
            <w:gridSpan w:val="2"/>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snapToGrid w:val="0"/>
                <w:vertAlign w:val="superscript"/>
              </w:rPr>
              <w:t> </w:t>
            </w:r>
          </w:p>
        </w:tc>
        <w:tc>
          <w:tcPr>
            <w:tcW w:w="1139"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61"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9"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61"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7108" w:type="dxa"/>
            <w:gridSpan w:val="5"/>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9"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6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9"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61" w:type="dxa"/>
            <w:gridSpan w:val="2"/>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9"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61" w:type="dxa"/>
            <w:gridSpan w:val="2"/>
            <w:shd w:val="clear" w:color="auto" w:fill="auto"/>
          </w:tcPr>
          <w:p>
            <w:pPr>
              <w:pStyle w:val="nTable"/>
              <w:spacing w:after="40"/>
            </w:pPr>
            <w:r>
              <w:t xml:space="preserve">1 Jan 2019 (see s. 2(b) and </w:t>
            </w:r>
            <w:r>
              <w:rPr>
                <w:i/>
              </w:rPr>
              <w:t>Gazette</w:t>
            </w:r>
            <w:r>
              <w:t xml:space="preserve"> 14 Sep 2018 p. 3305)</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9" w:type="dxa"/>
            <w:tcBorders>
              <w:top w:val="nil"/>
              <w:bottom w:val="nil"/>
            </w:tcBorders>
            <w:shd w:val="clear" w:color="auto" w:fill="auto"/>
          </w:tcPr>
          <w:p>
            <w:pPr>
              <w:pStyle w:val="nTable"/>
              <w:spacing w:after="40"/>
            </w:pPr>
            <w:r>
              <w:t>28 of 2016</w:t>
            </w:r>
          </w:p>
        </w:tc>
        <w:tc>
          <w:tcPr>
            <w:tcW w:w="1135"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pPr>
            <w:r>
              <w:t xml:space="preserve">16 Sep 2017 (see s. 2(b) and </w:t>
            </w:r>
            <w:r>
              <w:rPr>
                <w:i/>
              </w:rPr>
              <w:t xml:space="preserve">Gazette </w:t>
            </w:r>
            <w:r>
              <w:t>15 Sep 2017 p. 4791)</w:t>
            </w:r>
          </w:p>
        </w:tc>
      </w:tr>
      <w:tr>
        <w:trPr>
          <w:cantSplit/>
        </w:trPr>
        <w:tc>
          <w:tcPr>
            <w:tcW w:w="2273" w:type="dxa"/>
            <w:tcBorders>
              <w:top w:val="nil"/>
              <w:bottom w:val="nil"/>
            </w:tcBorders>
            <w:shd w:val="clear" w:color="auto" w:fill="auto"/>
          </w:tcPr>
          <w:p>
            <w:pPr>
              <w:pStyle w:val="nTable"/>
              <w:spacing w:after="40"/>
              <w:ind w:right="113"/>
              <w:rPr>
                <w:i/>
                <w:snapToGrid w:val="0"/>
              </w:rPr>
            </w:pPr>
            <w:r>
              <w:rPr>
                <w:i/>
              </w:rPr>
              <w:t>Environmental Protection Amendment Act 2020</w:t>
            </w:r>
            <w:r>
              <w:t xml:space="preserve"> s. 114</w:t>
            </w:r>
          </w:p>
        </w:tc>
        <w:tc>
          <w:tcPr>
            <w:tcW w:w="1139" w:type="dxa"/>
            <w:tcBorders>
              <w:top w:val="nil"/>
              <w:bottom w:val="nil"/>
            </w:tcBorders>
            <w:shd w:val="clear" w:color="auto" w:fill="auto"/>
          </w:tcPr>
          <w:p>
            <w:pPr>
              <w:pStyle w:val="nTable"/>
              <w:spacing w:after="40"/>
            </w:pPr>
            <w:r>
              <w:t>40 of 2020</w:t>
            </w:r>
          </w:p>
        </w:tc>
        <w:tc>
          <w:tcPr>
            <w:tcW w:w="1135" w:type="dxa"/>
            <w:tcBorders>
              <w:top w:val="nil"/>
              <w:bottom w:val="nil"/>
            </w:tcBorders>
            <w:shd w:val="clear" w:color="auto" w:fill="auto"/>
          </w:tcPr>
          <w:p>
            <w:pPr>
              <w:pStyle w:val="nTable"/>
              <w:spacing w:after="40"/>
            </w:pPr>
            <w:r>
              <w:t>19 Nov 2020</w:t>
            </w:r>
          </w:p>
        </w:tc>
        <w:tc>
          <w:tcPr>
            <w:tcW w:w="2561" w:type="dxa"/>
            <w:gridSpan w:val="2"/>
            <w:tcBorders>
              <w:top w:val="nil"/>
              <w:bottom w:val="nil"/>
            </w:tcBorders>
            <w:shd w:val="clear" w:color="auto" w:fill="auto"/>
          </w:tcPr>
          <w:p>
            <w:pPr>
              <w:pStyle w:val="nTable"/>
              <w:spacing w:after="40"/>
            </w:pPr>
            <w:r>
              <w:t>23 Oct 2021 (see s. 2(1)(e) and SL 2021/176 cl. 2)</w:t>
            </w:r>
          </w:p>
        </w:tc>
      </w:tr>
      <w:tr>
        <w:tblPrEx>
          <w:tblBorders>
            <w:top w:val="none" w:sz="0" w:space="0" w:color="auto"/>
            <w:bottom w:val="none" w:sz="0" w:space="0" w:color="auto"/>
            <w:insideH w:val="none" w:sz="0" w:space="0" w:color="auto"/>
          </w:tblBorders>
        </w:tblPrEx>
        <w:trPr>
          <w:cantSplit/>
        </w:trPr>
        <w:tc>
          <w:tcPr>
            <w:tcW w:w="2273" w:type="dxa"/>
            <w:tcBorders>
              <w:bottom w:val="single" w:sz="2" w:space="0" w:color="auto"/>
            </w:tcBorders>
            <w:shd w:val="clear" w:color="auto" w:fill="auto"/>
          </w:tcPr>
          <w:p>
            <w:pPr>
              <w:pStyle w:val="nTable"/>
              <w:spacing w:after="40"/>
              <w:ind w:right="113"/>
              <w:rPr>
                <w:i/>
              </w:rPr>
            </w:pPr>
            <w:r>
              <w:rPr>
                <w:i/>
              </w:rPr>
              <w:t>Bush Fires Amendment Act 2022</w:t>
            </w:r>
          </w:p>
        </w:tc>
        <w:tc>
          <w:tcPr>
            <w:tcW w:w="1139" w:type="dxa"/>
            <w:tcBorders>
              <w:bottom w:val="single" w:sz="2" w:space="0" w:color="auto"/>
            </w:tcBorders>
            <w:shd w:val="clear" w:color="auto" w:fill="auto"/>
          </w:tcPr>
          <w:p>
            <w:pPr>
              <w:pStyle w:val="nTable"/>
              <w:spacing w:after="40"/>
            </w:pPr>
            <w:r>
              <w:t>26 of 2022</w:t>
            </w:r>
          </w:p>
        </w:tc>
        <w:tc>
          <w:tcPr>
            <w:tcW w:w="1135" w:type="dxa"/>
            <w:tcBorders>
              <w:bottom w:val="single" w:sz="2" w:space="0" w:color="auto"/>
            </w:tcBorders>
            <w:shd w:val="clear" w:color="auto" w:fill="auto"/>
          </w:tcPr>
          <w:p>
            <w:pPr>
              <w:pStyle w:val="nTable"/>
              <w:spacing w:after="40"/>
            </w:pPr>
            <w:r>
              <w:t>19 Aug 2022</w:t>
            </w:r>
          </w:p>
        </w:tc>
        <w:tc>
          <w:tcPr>
            <w:tcW w:w="2561" w:type="dxa"/>
            <w:gridSpan w:val="2"/>
            <w:tcBorders>
              <w:bottom w:val="single" w:sz="2" w:space="0" w:color="auto"/>
            </w:tcBorders>
            <w:shd w:val="clear" w:color="auto" w:fill="auto"/>
          </w:tcPr>
          <w:p>
            <w:pPr>
              <w:pStyle w:val="nTable"/>
              <w:spacing w:after="40"/>
            </w:pPr>
            <w:r>
              <w:t>s. 1 and 2: 19 Aug 2022 (see s. 2(a));</w:t>
            </w:r>
            <w:r>
              <w:br/>
              <w:t>Act other than s. 1 and 2: 1 Sep 2022 (see s. 2(b) and SL 2022/152 cl. 2)</w:t>
            </w:r>
          </w:p>
        </w:tc>
      </w:tr>
    </w:tbl>
    <w:p>
      <w:pPr>
        <w:pStyle w:val="nHeading3"/>
      </w:pPr>
      <w:bookmarkStart w:id="99" w:name="_Toc209714941"/>
      <w:r>
        <w:lastRenderedPageBreak/>
        <w:t>Other notes</w:t>
      </w:r>
      <w:bookmarkEnd w:id="99"/>
    </w:p>
    <w:p>
      <w:pPr>
        <w:pStyle w:val="nNote"/>
        <w:keepNext/>
        <w:spacing w:before="160"/>
        <w:rPr>
          <w:snapToGrid w:val="0"/>
        </w:rPr>
      </w:pPr>
      <w:r>
        <w:rPr>
          <w:snapToGrid w:val="0"/>
          <w:vertAlign w:val="superscript"/>
        </w:rPr>
        <w:t>1</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Note"/>
        <w:keepNext/>
        <w:keepLines/>
        <w:rPr>
          <w:i/>
          <w:snapToGrid w:val="0"/>
        </w:rPr>
      </w:pPr>
      <w:r>
        <w:rPr>
          <w:snapToGrid w:val="0"/>
          <w:vertAlign w:val="superscript"/>
        </w:rPr>
        <w:t>3</w:t>
      </w:r>
      <w:r>
        <w:rPr>
          <w:snapToGrid w:val="0"/>
        </w:rPr>
        <w:tab/>
        <w:t xml:space="preserve">The Third Schedule was inserted by the </w:t>
      </w:r>
      <w:r>
        <w:rPr>
          <w:i/>
          <w:snapToGrid w:val="0"/>
        </w:rPr>
        <w:t>Metric Conversion Act Amendment Act (No. 2) 1973.</w:t>
      </w:r>
    </w:p>
    <w:p>
      <w:pPr>
        <w:pStyle w:val="nNote"/>
        <w:rPr>
          <w:snapToGrid w:val="0"/>
        </w:rPr>
      </w:pPr>
      <w:r>
        <w:rPr>
          <w:snapToGrid w:val="0"/>
          <w:vertAlign w:val="superscript"/>
        </w:rPr>
        <w:t>4</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Note"/>
        <w:keepNext/>
        <w:rPr>
          <w:snapToGrid w:val="0"/>
        </w:rPr>
      </w:pPr>
      <w:r>
        <w:rPr>
          <w:snapToGrid w:val="0"/>
          <w:vertAlign w:val="superscript"/>
        </w:rPr>
        <w:t>5</w:t>
      </w:r>
      <w:r>
        <w:rPr>
          <w:snapToGrid w:val="0"/>
        </w:rPr>
        <w:tab/>
        <w:t>Footnote no longer required.</w:t>
      </w:r>
    </w:p>
    <w:p>
      <w:pPr>
        <w:pStyle w:val="nNote"/>
        <w:keepNext/>
        <w:keepLines/>
        <w:rPr>
          <w:snapToGrid w:val="0"/>
        </w:rPr>
      </w:pPr>
      <w:r>
        <w:rPr>
          <w:snapToGrid w:val="0"/>
          <w:vertAlign w:val="superscript"/>
        </w:rPr>
        <w:t>6</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Note"/>
        <w:keepNext/>
        <w:keepLines/>
        <w:rPr>
          <w:snapToGrid w:val="0"/>
        </w:rPr>
      </w:pPr>
      <w:r>
        <w:rPr>
          <w:snapToGrid w:val="0"/>
          <w:vertAlign w:val="superscript"/>
        </w:rPr>
        <w:t>7</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01" w:name="_Toc209714942"/>
      <w:r>
        <w:rPr>
          <w:sz w:val="28"/>
        </w:rPr>
        <w:lastRenderedPageBreak/>
        <w:t>Defined terms</w:t>
      </w:r>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bush fire risk treatment standards</w:t>
      </w:r>
      <w:r>
        <w:tab/>
        <w:t>35AA(1), 35AB(1)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normal brigade activities</w:t>
      </w:r>
      <w:r>
        <w:tab/>
        <w:t>35A</w:t>
      </w:r>
    </w:p>
    <w:p>
      <w:pPr>
        <w:pStyle w:val="DefinedTerms"/>
      </w:pPr>
      <w:r>
        <w:t>occupier of land</w:t>
      </w:r>
      <w:r>
        <w:tab/>
        <w:t>7(1)</w:t>
      </w:r>
    </w:p>
    <w:p>
      <w:pPr>
        <w:pStyle w:val="DefinedTerms"/>
      </w:pPr>
      <w:r>
        <w:t>owner or occupier of land</w:t>
      </w:r>
      <w:r>
        <w:tab/>
        <w:t>33(9), 35AB(1)</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lastRenderedPageBreak/>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total fire ban</w:t>
      </w:r>
      <w:r>
        <w:tab/>
        <w:t>21</w:t>
      </w:r>
    </w:p>
    <w:p>
      <w:pPr>
        <w:pStyle w:val="DefinedTerms"/>
      </w:pPr>
      <w:r>
        <w:t>volunteer fire fighter</w:t>
      </w:r>
      <w:r>
        <w:tab/>
        <w:t>35A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b/>
                          <w:bCs/>
                          <w:sz w:val="16"/>
                          <w:lang w:val="en-US"/>
                        </w:rPr>
                        <w:t>Error! Unknown document property name.</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2" w:name="DefinedTerms"/>
    <w:bookmarkEnd w:id="1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EA4D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8A12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1A9B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3829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0AE0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12324"/>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 w:name="WAFER_2020111812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21013_GUID" w:val="5337651e-d2b0-4bab-91c5-37df3cca59e5"/>
    <w:docVar w:name="WAFER_202110200938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10_GUID" w:val="f5e2a353-7c5b-491a-8941-3d8ff52a8886"/>
    <w:docVar w:name="WAFER_202208191021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19102105_GUID" w:val="d9fe03b4-024d-4d46-881e-f79f0f15418b"/>
    <w:docVar w:name="WAFER_202208241349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34928_GUID" w:val="2ec02e80-2ba9-4e70-bc5a-c170116ace5d"/>
    <w:docVar w:name="WAFER_20250923112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3112324_GUID" w:val="b2ac0c50-4a49-42e1-8472-91e7bb35a8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29221">
      <w:bodyDiv w:val="1"/>
      <w:marLeft w:val="0"/>
      <w:marRight w:val="0"/>
      <w:marTop w:val="0"/>
      <w:marBottom w:val="0"/>
      <w:divBdr>
        <w:top w:val="none" w:sz="0" w:space="0" w:color="auto"/>
        <w:left w:val="none" w:sz="0" w:space="0" w:color="auto"/>
        <w:bottom w:val="none" w:sz="0" w:space="0" w:color="auto"/>
        <w:right w:val="none" w:sz="0" w:space="0" w:color="auto"/>
      </w:divBdr>
    </w:div>
    <w:div w:id="140968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5B929-1062-4A7B-8B64-294400092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30699</Words>
  <Characters>138457</Characters>
  <Application>Microsoft Office Word</Application>
  <DocSecurity>0</DocSecurity>
  <Lines>3742</Lines>
  <Paragraphs>1726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1954 - 09-l0-02</dc:title>
  <dc:subject/>
  <dc:creator/>
  <cp:keywords/>
  <dc:description/>
  <cp:lastModifiedBy>Master Repository Process</cp:lastModifiedBy>
  <cp:revision>4</cp:revision>
  <cp:lastPrinted>2014-09-08T05:27:00Z</cp:lastPrinted>
  <dcterms:created xsi:type="dcterms:W3CDTF">2025-09-26T09:25:00Z</dcterms:created>
  <dcterms:modified xsi:type="dcterms:W3CDTF">2025-09-26T09:25:00Z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CommencementDate">
    <vt:lpwstr>20220901</vt:lpwstr>
  </property>
  <property fmtid="{D5CDD505-2E9C-101B-9397-08002B2CF9AE}" pid="8" name="AsAtDate">
    <vt:lpwstr>01 Sep 2022</vt:lpwstr>
  </property>
  <property fmtid="{D5CDD505-2E9C-101B-9397-08002B2CF9AE}" pid="9" name="Suffix">
    <vt:lpwstr>09-l0-02</vt:lpwstr>
  </property>
  <property fmtid="{D5CDD505-2E9C-101B-9397-08002B2CF9AE}" pid="10" name="Official">
    <vt:lpwstr/>
  </property>
</Properties>
</file>