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Restraining Orders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Restraining Orders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_Toc112312013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_Toc112312014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_Toc112312015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_Toc112312016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Firearms and other weapons</w:t>
      </w:r>
    </w:p>
    <w:p>
      <w:pPr>
        <w:pStyle w:val="TOC8"/>
        <w:rPr>
          <w:rFonts w:asciiTheme="minorHAnsi" w:eastAsiaTheme="minorEastAsia" w:hAnsiTheme="minorHAnsi" w:cstheme="minorBidi"/>
          <w:szCs w:val="22"/>
        </w:rPr>
      </w:pPr>
      <w:r>
        <w:t>4</w:t>
      </w:r>
      <w:r>
        <w:rPr>
          <w:snapToGrid w:val="0"/>
        </w:rPr>
        <w:t>.</w:t>
      </w:r>
      <w:r>
        <w:rPr>
          <w:snapToGrid w:val="0"/>
        </w:rPr>
        <w:tab/>
        <w:t>Giving up possession of firearms</w:t>
      </w:r>
      <w:r>
        <w:tab/>
      </w:r>
      <w:r>
        <w:fldChar w:fldCharType="begin"/>
      </w:r>
      <w:r>
        <w:instrText xml:space="preserve"> PAGEREF _Toc112312018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Dealing with firearms surrendered (</w:t>
      </w:r>
      <w:r>
        <w:t>Act</w:t>
      </w:r>
      <w:r>
        <w:rPr>
          <w:snapToGrid w:val="0"/>
        </w:rPr>
        <w:t xml:space="preserve"> s. 14) or seized (</w:t>
      </w:r>
      <w:r>
        <w:t>Act</w:t>
      </w:r>
      <w:r>
        <w:rPr>
          <w:snapToGrid w:val="0"/>
        </w:rPr>
        <w:t> s. 62E)</w:t>
      </w:r>
      <w:r>
        <w:tab/>
      </w:r>
      <w:r>
        <w:fldChar w:fldCharType="begin"/>
      </w:r>
      <w:r>
        <w:instrText xml:space="preserve"> PAGEREF _Toc112312019 \h </w:instrText>
      </w:r>
      <w:r>
        <w:fldChar w:fldCharType="separate"/>
      </w:r>
      <w:r>
        <w:t>4</w:t>
      </w:r>
      <w:r>
        <w:fldChar w:fldCharType="end"/>
      </w:r>
    </w:p>
    <w:p>
      <w:pPr>
        <w:pStyle w:val="TOC8"/>
        <w:rPr>
          <w:rFonts w:asciiTheme="minorHAnsi" w:eastAsiaTheme="minorEastAsia" w:hAnsiTheme="minorHAnsi" w:cstheme="minorBidi"/>
          <w:szCs w:val="22"/>
        </w:rPr>
      </w:pPr>
      <w:r>
        <w:t>5A.</w:t>
      </w:r>
      <w:r>
        <w:tab/>
        <w:t>Dealing with firearms seized (Act s. 62B(2)(c))</w:t>
      </w:r>
      <w:r>
        <w:tab/>
      </w:r>
      <w:r>
        <w:fldChar w:fldCharType="begin"/>
      </w:r>
      <w:r>
        <w:instrText xml:space="preserve"> PAGEREF _Toc112312020 \h </w:instrText>
      </w:r>
      <w:r>
        <w:fldChar w:fldCharType="separate"/>
      </w:r>
      <w:r>
        <w:t>5</w:t>
      </w:r>
      <w:r>
        <w:fldChar w:fldCharType="end"/>
      </w:r>
    </w:p>
    <w:p>
      <w:pPr>
        <w:pStyle w:val="TOC8"/>
        <w:rPr>
          <w:rFonts w:asciiTheme="minorHAnsi" w:eastAsiaTheme="minorEastAsia" w:hAnsiTheme="minorHAnsi" w:cstheme="minorBidi"/>
          <w:szCs w:val="22"/>
        </w:rPr>
      </w:pPr>
      <w:r>
        <w:t>5B.</w:t>
      </w:r>
      <w:r>
        <w:tab/>
        <w:t>Dealing with other weapons seized (Act s. 62B(2)(c))</w:t>
      </w:r>
      <w:r>
        <w:tab/>
      </w:r>
      <w:r>
        <w:fldChar w:fldCharType="begin"/>
      </w:r>
      <w:r>
        <w:instrText xml:space="preserve"> PAGEREF _Toc112312021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 — Explosives</w:t>
      </w:r>
    </w:p>
    <w:p>
      <w:pPr>
        <w:pStyle w:val="TOC8"/>
        <w:rPr>
          <w:rFonts w:asciiTheme="minorHAnsi" w:eastAsiaTheme="minorEastAsia" w:hAnsiTheme="minorHAnsi" w:cstheme="minorBidi"/>
          <w:szCs w:val="22"/>
        </w:rPr>
      </w:pPr>
      <w:r>
        <w:t>5C.</w:t>
      </w:r>
      <w:r>
        <w:tab/>
        <w:t>Terms used</w:t>
      </w:r>
      <w:r>
        <w:tab/>
      </w:r>
      <w:r>
        <w:fldChar w:fldCharType="begin"/>
      </w:r>
      <w:r>
        <w:instrText xml:space="preserve"> PAGEREF _Toc112312023 \h </w:instrText>
      </w:r>
      <w:r>
        <w:fldChar w:fldCharType="separate"/>
      </w:r>
      <w:r>
        <w:t>6</w:t>
      </w:r>
      <w:r>
        <w:fldChar w:fldCharType="end"/>
      </w:r>
    </w:p>
    <w:p>
      <w:pPr>
        <w:pStyle w:val="TOC8"/>
        <w:rPr>
          <w:rFonts w:asciiTheme="minorHAnsi" w:eastAsiaTheme="minorEastAsia" w:hAnsiTheme="minorHAnsi" w:cstheme="minorBidi"/>
          <w:szCs w:val="22"/>
        </w:rPr>
      </w:pPr>
      <w:r>
        <w:t>5D.</w:t>
      </w:r>
      <w:r>
        <w:tab/>
        <w:t>Giving up possession of explosives</w:t>
      </w:r>
      <w:r>
        <w:tab/>
      </w:r>
      <w:r>
        <w:fldChar w:fldCharType="begin"/>
      </w:r>
      <w:r>
        <w:instrText xml:space="preserve"> PAGEREF _Toc112312024 \h </w:instrText>
      </w:r>
      <w:r>
        <w:fldChar w:fldCharType="separate"/>
      </w:r>
      <w:r>
        <w:t>6</w:t>
      </w:r>
      <w:r>
        <w:fldChar w:fldCharType="end"/>
      </w:r>
    </w:p>
    <w:p>
      <w:pPr>
        <w:pStyle w:val="TOC8"/>
        <w:rPr>
          <w:rFonts w:asciiTheme="minorHAnsi" w:eastAsiaTheme="minorEastAsia" w:hAnsiTheme="minorHAnsi" w:cstheme="minorBidi"/>
          <w:szCs w:val="22"/>
        </w:rPr>
      </w:pPr>
      <w:r>
        <w:t>5E.</w:t>
      </w:r>
      <w:r>
        <w:tab/>
        <w:t>Dealing with explosives surrendered (Act s. 14A) or seized (Act s. 62E)</w:t>
      </w:r>
      <w:r>
        <w:tab/>
      </w:r>
      <w:r>
        <w:fldChar w:fldCharType="begin"/>
      </w:r>
      <w:r>
        <w:instrText xml:space="preserve"> PAGEREF _Toc112312025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Practice and procedure</w:t>
      </w:r>
    </w:p>
    <w:p>
      <w:pPr>
        <w:pStyle w:val="TOC8"/>
        <w:rPr>
          <w:rFonts w:asciiTheme="minorHAnsi" w:eastAsiaTheme="minorEastAsia" w:hAnsiTheme="minorHAnsi" w:cstheme="minorBidi"/>
          <w:szCs w:val="22"/>
        </w:rPr>
      </w:pPr>
      <w:r>
        <w:t>6A.</w:t>
      </w:r>
      <w:r>
        <w:tab/>
        <w:t>Application to correct minor error in restraining orders (Act s. 49A)</w:t>
      </w:r>
      <w:r>
        <w:tab/>
      </w:r>
      <w:r>
        <w:fldChar w:fldCharType="begin"/>
      </w:r>
      <w:r>
        <w:instrText xml:space="preserve"> PAGEREF _Toc112312027 \h </w:instrText>
      </w:r>
      <w:r>
        <w:fldChar w:fldCharType="separate"/>
      </w:r>
      <w:r>
        <w:t>8</w:t>
      </w:r>
      <w:r>
        <w:fldChar w:fldCharType="end"/>
      </w:r>
    </w:p>
    <w:p>
      <w:pPr>
        <w:pStyle w:val="TOC8"/>
        <w:rPr>
          <w:rFonts w:asciiTheme="minorHAnsi" w:eastAsiaTheme="minorEastAsia" w:hAnsiTheme="minorHAnsi" w:cstheme="minorBidi"/>
          <w:szCs w:val="22"/>
        </w:rPr>
      </w:pPr>
      <w:r>
        <w:t>6B.</w:t>
      </w:r>
      <w:r>
        <w:tab/>
        <w:t>Order that child be allowed to give oral evidence (Act s. 53A)</w:t>
      </w:r>
      <w:r>
        <w:tab/>
      </w:r>
      <w:r>
        <w:fldChar w:fldCharType="begin"/>
      </w:r>
      <w:r>
        <w:instrText xml:space="preserve"> PAGEREF _Toc112312028 \h </w:instrText>
      </w:r>
      <w:r>
        <w:fldChar w:fldCharType="separate"/>
      </w:r>
      <w:r>
        <w:t>9</w:t>
      </w:r>
      <w:r>
        <w:fldChar w:fldCharType="end"/>
      </w:r>
    </w:p>
    <w:p>
      <w:pPr>
        <w:pStyle w:val="TOC8"/>
        <w:rPr>
          <w:rFonts w:asciiTheme="minorHAnsi" w:eastAsiaTheme="minorEastAsia" w:hAnsiTheme="minorHAnsi" w:cstheme="minorBidi"/>
          <w:szCs w:val="22"/>
        </w:rPr>
      </w:pPr>
      <w:r>
        <w:t>6C.</w:t>
      </w:r>
      <w:r>
        <w:tab/>
        <w:t>Attendance at hearings</w:t>
      </w:r>
      <w:r>
        <w:tab/>
      </w:r>
      <w:r>
        <w:fldChar w:fldCharType="begin"/>
      </w:r>
      <w:r>
        <w:instrText xml:space="preserve"> PAGEREF _Toc112312029 \h </w:instrText>
      </w:r>
      <w:r>
        <w:fldChar w:fldCharType="separate"/>
      </w:r>
      <w:r>
        <w:t>9</w:t>
      </w:r>
      <w:r>
        <w:fldChar w:fldCharType="end"/>
      </w:r>
    </w:p>
    <w:p>
      <w:pPr>
        <w:pStyle w:val="TOC8"/>
        <w:rPr>
          <w:rFonts w:asciiTheme="minorHAnsi" w:eastAsiaTheme="minorEastAsia" w:hAnsiTheme="minorHAnsi" w:cstheme="minorBidi"/>
          <w:szCs w:val="22"/>
        </w:rPr>
      </w:pPr>
      <w:r>
        <w:lastRenderedPageBreak/>
        <w:t>6D.</w:t>
      </w:r>
      <w:r>
        <w:tab/>
        <w:t>Certificate to effect that person who is bound by restraining order was present in court when order was made (Act s. 55(3a))</w:t>
      </w:r>
      <w:r>
        <w:tab/>
      </w:r>
      <w:r>
        <w:fldChar w:fldCharType="begin"/>
      </w:r>
      <w:r>
        <w:instrText xml:space="preserve"> PAGEREF _Toc112312030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applications, adjournment of</w:t>
      </w:r>
      <w:r>
        <w:tab/>
      </w:r>
      <w:r>
        <w:fldChar w:fldCharType="begin"/>
      </w:r>
      <w:r>
        <w:instrText xml:space="preserve"> PAGEREF _Toc112312031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restraining order made during bail hearing (Act s. 63)</w:t>
      </w:r>
      <w:r>
        <w:tab/>
      </w:r>
      <w:r>
        <w:fldChar w:fldCharType="begin"/>
      </w:r>
      <w:r>
        <w:instrText xml:space="preserve"> PAGEREF _Toc112312032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when restraining order made during other proceedings (Act s. 63)</w:t>
      </w:r>
      <w:r>
        <w:tab/>
      </w:r>
      <w:r>
        <w:fldChar w:fldCharType="begin"/>
      </w:r>
      <w:r>
        <w:instrText xml:space="preserve"> PAGEREF _Toc112312033 \h </w:instrText>
      </w:r>
      <w:r>
        <w:fldChar w:fldCharType="separate"/>
      </w:r>
      <w:r>
        <w:t>11</w:t>
      </w:r>
      <w:r>
        <w:fldChar w:fldCharType="end"/>
      </w:r>
    </w:p>
    <w:p>
      <w:pPr>
        <w:pStyle w:val="TOC8"/>
        <w:rPr>
          <w:rFonts w:asciiTheme="minorHAnsi" w:eastAsiaTheme="minorEastAsia" w:hAnsiTheme="minorHAnsi" w:cstheme="minorBidi"/>
          <w:szCs w:val="22"/>
        </w:rPr>
      </w:pPr>
      <w:r>
        <w:t>9A.</w:t>
      </w:r>
      <w:r>
        <w:tab/>
        <w:t>Procedure for applying for oral or substituted service (Act s. 55(2) and 60(1))</w:t>
      </w:r>
      <w:r>
        <w:tab/>
      </w:r>
      <w:r>
        <w:fldChar w:fldCharType="begin"/>
      </w:r>
      <w:r>
        <w:instrText xml:space="preserve"> PAGEREF _Toc112312034 \h </w:instrText>
      </w:r>
      <w:r>
        <w:fldChar w:fldCharType="separate"/>
      </w:r>
      <w:r>
        <w:t>12</w:t>
      </w:r>
      <w:r>
        <w:fldChar w:fldCharType="end"/>
      </w:r>
    </w:p>
    <w:p>
      <w:pPr>
        <w:pStyle w:val="TOC8"/>
        <w:rPr>
          <w:rFonts w:asciiTheme="minorHAnsi" w:eastAsiaTheme="minorEastAsia" w:hAnsiTheme="minorHAnsi" w:cstheme="minorBidi"/>
          <w:szCs w:val="22"/>
        </w:rPr>
      </w:pPr>
      <w:r>
        <w:t>9B.</w:t>
      </w:r>
      <w:r>
        <w:tab/>
        <w:t>Procedure for effecting substituted service of FVRO without court order (Act s. 60(1A)(b) and (2)(b))</w:t>
      </w:r>
      <w:r>
        <w:tab/>
      </w:r>
      <w:r>
        <w:fldChar w:fldCharType="begin"/>
      </w:r>
      <w:r>
        <w:instrText xml:space="preserve"> PAGEREF _Toc112312035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of documents</w:t>
      </w:r>
      <w:r>
        <w:tab/>
      </w:r>
      <w:r>
        <w:fldChar w:fldCharType="begin"/>
      </w:r>
      <w:r>
        <w:instrText xml:space="preserve"> PAGEREF _Toc112312036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restraining orders</w:t>
      </w:r>
    </w:p>
    <w:p>
      <w:pPr>
        <w:pStyle w:val="TOC8"/>
        <w:rPr>
          <w:rFonts w:asciiTheme="minorHAnsi" w:eastAsiaTheme="minorEastAsia" w:hAnsiTheme="minorHAnsi" w:cstheme="minorBidi"/>
          <w:szCs w:val="22"/>
        </w:rPr>
      </w:pPr>
      <w:r>
        <w:t>12</w:t>
      </w:r>
      <w:r>
        <w:rPr>
          <w:snapToGrid w:val="0"/>
        </w:rPr>
        <w:t>.</w:t>
      </w:r>
      <w:r>
        <w:rPr>
          <w:snapToGrid w:val="0"/>
        </w:rPr>
        <w:tab/>
        <w:t>Application for registration of interstate order</w:t>
      </w:r>
      <w:r>
        <w:tab/>
      </w:r>
      <w:r>
        <w:fldChar w:fldCharType="begin"/>
      </w:r>
      <w:r>
        <w:instrText xml:space="preserve"> PAGEREF _Toc112312038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General</w:t>
      </w:r>
    </w:p>
    <w:p>
      <w:pPr>
        <w:pStyle w:val="TOC8"/>
        <w:rPr>
          <w:rFonts w:asciiTheme="minorHAnsi" w:eastAsiaTheme="minorEastAsia" w:hAnsiTheme="minorHAnsi" w:cstheme="minorBidi"/>
          <w:szCs w:val="22"/>
        </w:rPr>
      </w:pPr>
      <w:r>
        <w:t>13.</w:t>
      </w:r>
      <w:r>
        <w:tab/>
        <w:t>Property that may be recovered when FVRO or VRO made (Act s. 10G(5) or 13(5))</w:t>
      </w:r>
      <w:r>
        <w:tab/>
      </w:r>
      <w:r>
        <w:fldChar w:fldCharType="begin"/>
      </w:r>
      <w:r>
        <w:instrText xml:space="preserve"> PAGEREF _Toc112312040 \h </w:instrText>
      </w:r>
      <w:r>
        <w:fldChar w:fldCharType="separate"/>
      </w:r>
      <w:r>
        <w:t>16</w:t>
      </w:r>
      <w:r>
        <w:fldChar w:fldCharType="end"/>
      </w:r>
    </w:p>
    <w:p>
      <w:pPr>
        <w:pStyle w:val="TOC8"/>
        <w:rPr>
          <w:rFonts w:asciiTheme="minorHAnsi" w:eastAsiaTheme="minorEastAsia" w:hAnsiTheme="minorHAnsi" w:cstheme="minorBidi"/>
          <w:szCs w:val="22"/>
        </w:rPr>
      </w:pPr>
      <w:r>
        <w:t>14.</w:t>
      </w:r>
      <w:r>
        <w:tab/>
        <w:t>Procedures for recovering property under terms of FVRO or VRO (Act s. 10G(5)(b) or 13(5)(b))</w:t>
      </w:r>
      <w:r>
        <w:tab/>
      </w:r>
      <w:r>
        <w:fldChar w:fldCharType="begin"/>
      </w:r>
      <w:r>
        <w:instrText xml:space="preserve"> PAGEREF _Toc112312041 \h </w:instrText>
      </w:r>
      <w:r>
        <w:fldChar w:fldCharType="separate"/>
      </w:r>
      <w:r>
        <w:t>16</w:t>
      </w:r>
      <w:r>
        <w:fldChar w:fldCharType="end"/>
      </w:r>
    </w:p>
    <w:p>
      <w:pPr>
        <w:pStyle w:val="TOC8"/>
        <w:rPr>
          <w:rFonts w:asciiTheme="minorHAnsi" w:eastAsiaTheme="minorEastAsia" w:hAnsiTheme="minorHAnsi" w:cstheme="minorBidi"/>
          <w:szCs w:val="22"/>
        </w:rPr>
      </w:pPr>
      <w:r>
        <w:t>14A.</w:t>
      </w:r>
      <w:r>
        <w:tab/>
        <w:t>Prescribed persons for disclosure of information (s. 70(1A))</w:t>
      </w:r>
      <w:r>
        <w:tab/>
      </w:r>
      <w:r>
        <w:fldChar w:fldCharType="begin"/>
      </w:r>
      <w:r>
        <w:instrText xml:space="preserve"> PAGEREF _Toc112312042 \h </w:instrText>
      </w:r>
      <w:r>
        <w:fldChar w:fldCharType="separate"/>
      </w:r>
      <w:r>
        <w:t>17</w:t>
      </w:r>
      <w:r>
        <w:fldChar w:fldCharType="end"/>
      </w:r>
    </w:p>
    <w:p>
      <w:pPr>
        <w:pStyle w:val="TOC8"/>
        <w:rPr>
          <w:rFonts w:asciiTheme="minorHAnsi" w:eastAsiaTheme="minorEastAsia" w:hAnsiTheme="minorHAnsi" w:cstheme="minorBidi"/>
          <w:szCs w:val="22"/>
        </w:rPr>
      </w:pPr>
      <w:r>
        <w:t>15.</w:t>
      </w:r>
      <w:r>
        <w:tab/>
        <w:t>Exchange of information (Act s. 70A)</w:t>
      </w:r>
      <w:r>
        <w:tab/>
      </w:r>
      <w:r>
        <w:fldChar w:fldCharType="begin"/>
      </w:r>
      <w:r>
        <w:instrText xml:space="preserve"> PAGEREF _Toc112312043 \h </w:instrText>
      </w:r>
      <w:r>
        <w:fldChar w:fldCharType="separate"/>
      </w:r>
      <w:r>
        <w:t>17</w:t>
      </w:r>
      <w:r>
        <w:fldChar w:fldCharType="end"/>
      </w:r>
    </w:p>
    <w:p>
      <w:pPr>
        <w:pStyle w:val="TOC8"/>
        <w:rPr>
          <w:rFonts w:asciiTheme="minorHAnsi" w:eastAsiaTheme="minorEastAsia" w:hAnsiTheme="minorHAnsi" w:cstheme="minorBidi"/>
          <w:szCs w:val="22"/>
        </w:rPr>
      </w:pPr>
      <w:r>
        <w:t>16.</w:t>
      </w:r>
      <w:r>
        <w:tab/>
        <w:t>Prescribed countries (Act s. 79A)</w:t>
      </w:r>
      <w:r>
        <w:tab/>
      </w:r>
      <w:r>
        <w:fldChar w:fldCharType="begin"/>
      </w:r>
      <w:r>
        <w:instrText xml:space="preserve"> PAGEREF _Toc112312044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_Toc112312047 \h </w:instrText>
      </w:r>
      <w:r>
        <w:fldChar w:fldCharType="separate"/>
      </w:r>
      <w:r>
        <w:t>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_Toc112312048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Restraining Orders Act 1997</w:t>
      </w:r>
    </w:p>
    <w:p>
      <w:pPr>
        <w:pStyle w:val="NameofActReg"/>
        <w:spacing w:before="680" w:after="1080"/>
      </w:pPr>
      <w:r>
        <w:t>Restraining Orders Regulations 1997</w:t>
      </w:r>
    </w:p>
    <w:p>
      <w:pPr>
        <w:pStyle w:val="Heading2"/>
        <w:pageBreakBefore w:val="0"/>
      </w:pPr>
      <w:bookmarkStart w:id="3" w:name="_Toc112234671"/>
      <w:bookmarkStart w:id="4" w:name="_Toc112235090"/>
      <w:bookmarkStart w:id="5" w:name="_Toc11231201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2312013"/>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7" w:name="_Toc11231201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8" w:name="_Toc112312015"/>
      <w:r>
        <w:rPr>
          <w:rStyle w:val="CharSectno"/>
        </w:rPr>
        <w:t>2A</w:t>
      </w:r>
      <w:r>
        <w:t>.</w:t>
      </w:r>
      <w:r>
        <w:tab/>
        <w:t>Terms used</w:t>
      </w:r>
      <w:bookmarkEnd w:id="8"/>
    </w:p>
    <w:p>
      <w:pPr>
        <w:pStyle w:val="Subsection"/>
      </w:pPr>
      <w:r>
        <w:tab/>
      </w:r>
      <w:r>
        <w:tab/>
        <w:t>In these regulations —</w:t>
      </w:r>
    </w:p>
    <w:p>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 SL 2020/258 r. 4.]</w:t>
      </w:r>
    </w:p>
    <w:p>
      <w:pPr>
        <w:pStyle w:val="Heading5"/>
        <w:rPr>
          <w:snapToGrid w:val="0"/>
        </w:rPr>
      </w:pPr>
      <w:bookmarkStart w:id="9" w:name="_Toc112312016"/>
      <w:r>
        <w:rPr>
          <w:rStyle w:val="CharSectno"/>
        </w:rPr>
        <w:lastRenderedPageBreak/>
        <w:t>3</w:t>
      </w:r>
      <w:r>
        <w:rPr>
          <w:snapToGrid w:val="0"/>
        </w:rPr>
        <w:t>.</w:t>
      </w:r>
      <w:r>
        <w:rPr>
          <w:snapToGrid w:val="0"/>
        </w:rPr>
        <w:tab/>
        <w:t>Forms (Sch. 1)</w:t>
      </w:r>
      <w:bookmarkEnd w:id="9"/>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10" w:name="_Toc112234676"/>
      <w:bookmarkStart w:id="11" w:name="_Toc112235095"/>
      <w:bookmarkStart w:id="12" w:name="_Toc112312017"/>
      <w:r>
        <w:rPr>
          <w:rStyle w:val="CharPartNo"/>
        </w:rPr>
        <w:lastRenderedPageBreak/>
        <w:t>Part 2</w:t>
      </w:r>
      <w:r>
        <w:rPr>
          <w:rStyle w:val="CharDivNo"/>
        </w:rPr>
        <w:t> </w:t>
      </w:r>
      <w:r>
        <w:t>—</w:t>
      </w:r>
      <w:r>
        <w:rPr>
          <w:rStyle w:val="CharDivText"/>
        </w:rPr>
        <w:t> </w:t>
      </w:r>
      <w:r>
        <w:rPr>
          <w:rStyle w:val="CharPartText"/>
        </w:rPr>
        <w:t>Firearms and other weapons</w:t>
      </w:r>
      <w:bookmarkEnd w:id="10"/>
      <w:bookmarkEnd w:id="11"/>
      <w:bookmarkEnd w:id="12"/>
    </w:p>
    <w:p>
      <w:pPr>
        <w:pStyle w:val="Footnoteheading"/>
        <w:tabs>
          <w:tab w:val="left" w:pos="851"/>
        </w:tabs>
      </w:pPr>
      <w:r>
        <w:tab/>
        <w:t>[Heading amended: Gazette 26 Nov 2004 p. 5260.]</w:t>
      </w:r>
    </w:p>
    <w:p>
      <w:pPr>
        <w:pStyle w:val="Heading5"/>
        <w:rPr>
          <w:snapToGrid w:val="0"/>
        </w:rPr>
      </w:pPr>
      <w:bookmarkStart w:id="13" w:name="_Toc112312018"/>
      <w:r>
        <w:rPr>
          <w:rStyle w:val="CharSectno"/>
        </w:rPr>
        <w:t>4</w:t>
      </w:r>
      <w:r>
        <w:rPr>
          <w:snapToGrid w:val="0"/>
        </w:rPr>
        <w:t>.</w:t>
      </w:r>
      <w:r>
        <w:rPr>
          <w:snapToGrid w:val="0"/>
        </w:rPr>
        <w:tab/>
        <w:t>Giving up possession of firearms</w:t>
      </w:r>
      <w:bookmarkEnd w:id="13"/>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lastRenderedPageBreak/>
        <w:tab/>
        <w:t>(b)</w:t>
      </w:r>
      <w:r>
        <w:rPr>
          <w:snapToGrid w:val="0"/>
        </w:rPr>
        <w:tab/>
        <w:t>need not comply with subregulation (3) or (4), as the case requires, in respect of that firearm.</w:t>
      </w:r>
    </w:p>
    <w:p>
      <w:pPr>
        <w:pStyle w:val="Heading5"/>
        <w:rPr>
          <w:snapToGrid w:val="0"/>
        </w:rPr>
      </w:pPr>
      <w:bookmarkStart w:id="14" w:name="_Toc112312019"/>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14"/>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w:t>
      </w:r>
    </w:p>
    <w:p>
      <w:pPr>
        <w:pStyle w:val="Heading5"/>
      </w:pPr>
      <w:bookmarkStart w:id="15" w:name="_Toc112312020"/>
      <w:r>
        <w:rPr>
          <w:rStyle w:val="CharSectno"/>
        </w:rPr>
        <w:lastRenderedPageBreak/>
        <w:t>5A</w:t>
      </w:r>
      <w:r>
        <w:t>.</w:t>
      </w:r>
      <w:r>
        <w:tab/>
        <w:t>Dealing with firearms seized (Act s. 62B(2)(c))</w:t>
      </w:r>
      <w:bookmarkEnd w:id="15"/>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Gazette 26 Nov 2004 p. 5261.]</w:t>
      </w:r>
    </w:p>
    <w:p>
      <w:pPr>
        <w:pStyle w:val="Heading5"/>
      </w:pPr>
      <w:bookmarkStart w:id="16" w:name="_Toc112312021"/>
      <w:r>
        <w:rPr>
          <w:rStyle w:val="CharSectno"/>
        </w:rPr>
        <w:t>5B</w:t>
      </w:r>
      <w:r>
        <w:t>.</w:t>
      </w:r>
      <w:r>
        <w:tab/>
        <w:t>Dealing with other weapons seized (Act s. 62B(2)(c))</w:t>
      </w:r>
      <w:bookmarkEnd w:id="16"/>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w:t>
      </w:r>
    </w:p>
    <w:p>
      <w:pPr>
        <w:pStyle w:val="Heading2"/>
      </w:pPr>
      <w:bookmarkStart w:id="17" w:name="_Toc112234681"/>
      <w:bookmarkStart w:id="18" w:name="_Toc112235100"/>
      <w:bookmarkStart w:id="19" w:name="_Toc112312022"/>
      <w:r>
        <w:rPr>
          <w:rStyle w:val="CharPartNo"/>
        </w:rPr>
        <w:lastRenderedPageBreak/>
        <w:t>Part 2A</w:t>
      </w:r>
      <w:r>
        <w:t> — </w:t>
      </w:r>
      <w:r>
        <w:rPr>
          <w:rStyle w:val="CharPartText"/>
        </w:rPr>
        <w:t>Explosives</w:t>
      </w:r>
      <w:bookmarkEnd w:id="17"/>
      <w:bookmarkEnd w:id="18"/>
      <w:bookmarkEnd w:id="19"/>
    </w:p>
    <w:p>
      <w:pPr>
        <w:pStyle w:val="Footnoteheading"/>
      </w:pPr>
      <w:r>
        <w:tab/>
        <w:t>[Heading inserted: SL 2020/258 r. 5.]</w:t>
      </w:r>
    </w:p>
    <w:p>
      <w:pPr>
        <w:pStyle w:val="Heading5"/>
      </w:pPr>
      <w:bookmarkStart w:id="20" w:name="_Toc112312023"/>
      <w:r>
        <w:rPr>
          <w:rStyle w:val="CharSectno"/>
        </w:rPr>
        <w:t>5C</w:t>
      </w:r>
      <w:r>
        <w:t>.</w:t>
      </w:r>
      <w:r>
        <w:tab/>
        <w:t>Terms used</w:t>
      </w:r>
      <w:bookmarkEnd w:id="20"/>
    </w:p>
    <w:p>
      <w:pPr>
        <w:pStyle w:val="Subsection"/>
      </w:pPr>
      <w:r>
        <w:tab/>
      </w:r>
      <w:r>
        <w:tab/>
        <w:t>In this Part —</w:t>
      </w:r>
    </w:p>
    <w:p>
      <w:pPr>
        <w:pStyle w:val="Defstart"/>
      </w:pPr>
      <w:r>
        <w:tab/>
      </w:r>
      <w:r>
        <w:rPr>
          <w:rStyle w:val="CharDefText"/>
        </w:rPr>
        <w:t>explosives order</w:t>
      </w:r>
      <w:r>
        <w:t xml:space="preserve"> means a restraining order that requires the person bound by the order to give up possession of any explosives or explosives licence.</w:t>
      </w:r>
    </w:p>
    <w:p>
      <w:pPr>
        <w:pStyle w:val="Footnotesection"/>
      </w:pPr>
      <w:r>
        <w:tab/>
        <w:t>[Regulation 5C inserted: SL 2020/258 r. 5.]</w:t>
      </w:r>
    </w:p>
    <w:p>
      <w:pPr>
        <w:pStyle w:val="Heading5"/>
      </w:pPr>
      <w:bookmarkStart w:id="21" w:name="_Toc112312024"/>
      <w:r>
        <w:rPr>
          <w:rStyle w:val="CharSectno"/>
        </w:rPr>
        <w:t>5D</w:t>
      </w:r>
      <w:r>
        <w:t>.</w:t>
      </w:r>
      <w:r>
        <w:tab/>
        <w:t>Giving up possession of explosives</w:t>
      </w:r>
      <w:bookmarkEnd w:id="21"/>
    </w:p>
    <w:p>
      <w:pPr>
        <w:pStyle w:val="Subsection"/>
      </w:pPr>
      <w:r>
        <w:tab/>
        <w:t>(1)</w:t>
      </w:r>
      <w:r>
        <w:tab/>
        <w:t>This regulation applies when an explosives order is served on a restrained person who is in possession of an explosive or explosives licence.</w:t>
      </w:r>
    </w:p>
    <w:p>
      <w:pPr>
        <w:pStyle w:val="Subsection"/>
      </w:pPr>
      <w:r>
        <w:tab/>
        <w:t>(2)</w:t>
      </w:r>
      <w:r>
        <w:tab/>
        <w:t xml:space="preserve">The restrained person must give the explosive or explosives licence to the Chief Dangerous Goods Officer — </w:t>
      </w:r>
    </w:p>
    <w:p>
      <w:pPr>
        <w:pStyle w:val="Indenta"/>
      </w:pPr>
      <w:r>
        <w:tab/>
        <w:t>(a)</w:t>
      </w:r>
      <w:r>
        <w:tab/>
        <w:t xml:space="preserve">as soon as is reasonably practicable after the explosives order is served; and </w:t>
      </w:r>
    </w:p>
    <w:p>
      <w:pPr>
        <w:pStyle w:val="Indenta"/>
      </w:pPr>
      <w:r>
        <w:tab/>
        <w:t>(b)</w:t>
      </w:r>
      <w:r>
        <w:tab/>
        <w:t>in any event, within 36 hours, or any longer period specified in the explosives order, after the explosives order is served.</w:t>
      </w:r>
    </w:p>
    <w:p>
      <w:pPr>
        <w:pStyle w:val="Footnotesection"/>
      </w:pPr>
      <w:r>
        <w:tab/>
        <w:t>[Regulation 5D inserted: SL 2020/258 r. 5.]</w:t>
      </w:r>
    </w:p>
    <w:p>
      <w:pPr>
        <w:pStyle w:val="Heading5"/>
      </w:pPr>
      <w:bookmarkStart w:id="22" w:name="_Toc112312025"/>
      <w:r>
        <w:rPr>
          <w:rStyle w:val="CharSectno"/>
        </w:rPr>
        <w:t>5E</w:t>
      </w:r>
      <w:r>
        <w:t>.</w:t>
      </w:r>
      <w:r>
        <w:tab/>
        <w:t>Dealing with explosives surrendered (Act s. 14A) or seized (Act s. 62E)</w:t>
      </w:r>
      <w:bookmarkEnd w:id="22"/>
    </w:p>
    <w:p>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pPr>
        <w:pStyle w:val="Indenta"/>
      </w:pPr>
      <w:r>
        <w:tab/>
        <w:t>(a)</w:t>
      </w:r>
      <w:r>
        <w:tab/>
        <w:t>the requirement to give up possession of the explosive or explosives licence is removed from the explosives order; or</w:t>
      </w:r>
    </w:p>
    <w:p>
      <w:pPr>
        <w:pStyle w:val="Indenta"/>
      </w:pPr>
      <w:r>
        <w:tab/>
        <w:t>(b)</w:t>
      </w:r>
      <w:r>
        <w:tab/>
        <w:t>the explosives order ceases to be in force; or</w:t>
      </w:r>
    </w:p>
    <w:p>
      <w:pPr>
        <w:pStyle w:val="Indenta"/>
      </w:pPr>
      <w:r>
        <w:lastRenderedPageBreak/>
        <w:tab/>
        <w:t>(c)</w:t>
      </w:r>
      <w:r>
        <w:tab/>
        <w:t>the explosive or explosives licence may otherwise lawfully be disposed of.</w:t>
      </w:r>
    </w:p>
    <w:p>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pPr>
        <w:pStyle w:val="Footnotesection"/>
      </w:pPr>
      <w:r>
        <w:tab/>
        <w:t>[Regulation 5E inserted: SL 2020/258 r. 5.]</w:t>
      </w:r>
    </w:p>
    <w:p>
      <w:pPr>
        <w:pStyle w:val="Heading2"/>
      </w:pPr>
      <w:bookmarkStart w:id="23" w:name="_Toc112234685"/>
      <w:bookmarkStart w:id="24" w:name="_Toc112235104"/>
      <w:bookmarkStart w:id="25" w:name="_Toc112312026"/>
      <w:r>
        <w:rPr>
          <w:rStyle w:val="CharPartNo"/>
        </w:rPr>
        <w:lastRenderedPageBreak/>
        <w:t>Part 3</w:t>
      </w:r>
      <w:r>
        <w:rPr>
          <w:rStyle w:val="CharDivNo"/>
        </w:rPr>
        <w:t> </w:t>
      </w:r>
      <w:r>
        <w:t>—</w:t>
      </w:r>
      <w:r>
        <w:rPr>
          <w:rStyle w:val="CharDivText"/>
        </w:rPr>
        <w:t> </w:t>
      </w:r>
      <w:r>
        <w:rPr>
          <w:rStyle w:val="CharPartText"/>
        </w:rPr>
        <w:t>Practice and procedure</w:t>
      </w:r>
      <w:bookmarkEnd w:id="23"/>
      <w:bookmarkEnd w:id="24"/>
      <w:bookmarkEnd w:id="25"/>
    </w:p>
    <w:p>
      <w:pPr>
        <w:pStyle w:val="Ednotesection"/>
      </w:pPr>
      <w:r>
        <w:t>[</w:t>
      </w:r>
      <w:r>
        <w:rPr>
          <w:b/>
        </w:rPr>
        <w:t>6</w:t>
      </w:r>
      <w:r>
        <w:t>.</w:t>
      </w:r>
      <w:r>
        <w:tab/>
        <w:t>Deleted: Gazette 7 Feb 2017 p. 1164.]</w:t>
      </w:r>
    </w:p>
    <w:p>
      <w:pPr>
        <w:pStyle w:val="Heading5"/>
      </w:pPr>
      <w:bookmarkStart w:id="26" w:name="_Toc112312027"/>
      <w:r>
        <w:rPr>
          <w:rStyle w:val="CharSectno"/>
        </w:rPr>
        <w:t>6A</w:t>
      </w:r>
      <w:r>
        <w:t>.</w:t>
      </w:r>
      <w:r>
        <w:tab/>
        <w:t>Application to correct minor error in restraining orders (Act s. 49A)</w:t>
      </w:r>
      <w:bookmarkEnd w:id="26"/>
    </w:p>
    <w:p>
      <w:pPr>
        <w:pStyle w:val="Ednotesubsection"/>
      </w:pPr>
      <w:r>
        <w:tab/>
        <w:t>[(1)</w:t>
      </w:r>
      <w:r>
        <w:tab/>
        <w:t>deleted]</w:t>
      </w:r>
    </w:p>
    <w:p>
      <w:pPr>
        <w:pStyle w:val="Subsection"/>
      </w:pPr>
      <w:r>
        <w:tab/>
        <w:t>(2)</w:t>
      </w:r>
      <w:r>
        <w:tab/>
        <w:t>Subject to subregulation (3), an application under section 49A of the Act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lastRenderedPageBreak/>
        <w:tab/>
        <w:t>(6)</w:t>
      </w:r>
      <w:r>
        <w:tab/>
        <w:t>The correction of a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 SL 2022/146 r. 4.]</w:t>
      </w:r>
    </w:p>
    <w:p>
      <w:pPr>
        <w:pStyle w:val="Heading5"/>
      </w:pPr>
      <w:bookmarkStart w:id="27" w:name="_Toc112312028"/>
      <w:r>
        <w:rPr>
          <w:rStyle w:val="CharSectno"/>
        </w:rPr>
        <w:t>6B</w:t>
      </w:r>
      <w:r>
        <w:t>.</w:t>
      </w:r>
      <w:r>
        <w:tab/>
        <w:t>Order that child be allowed to give oral evidence (Act s. 53A)</w:t>
      </w:r>
      <w:bookmarkEnd w:id="27"/>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28" w:name="_Toc112312029"/>
      <w:r>
        <w:rPr>
          <w:rStyle w:val="CharSectno"/>
        </w:rPr>
        <w:t>6C</w:t>
      </w:r>
      <w:r>
        <w:t>.</w:t>
      </w:r>
      <w:r>
        <w:tab/>
        <w:t>Attendance at hearings</w:t>
      </w:r>
      <w:bookmarkEnd w:id="28"/>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keepNext/>
      </w:pPr>
      <w:r>
        <w:lastRenderedPageBreak/>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29" w:name="_Toc112312030"/>
      <w:r>
        <w:rPr>
          <w:rStyle w:val="CharSectno"/>
        </w:rPr>
        <w:t>6D</w:t>
      </w:r>
      <w:r>
        <w:t>.</w:t>
      </w:r>
      <w:r>
        <w:tab/>
        <w:t>Certificate to effect that person who is bound by restraining order was present in court when order was made (Act s. 55(3a))</w:t>
      </w:r>
      <w:bookmarkEnd w:id="29"/>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30" w:name="_Toc112312031"/>
      <w:r>
        <w:rPr>
          <w:rStyle w:val="CharSectno"/>
        </w:rPr>
        <w:t>7</w:t>
      </w:r>
      <w:r>
        <w:rPr>
          <w:snapToGrid w:val="0"/>
        </w:rPr>
        <w:t>.</w:t>
      </w:r>
      <w:r>
        <w:rPr>
          <w:snapToGrid w:val="0"/>
        </w:rPr>
        <w:tab/>
        <w:t>Telephone applications, adjournment of</w:t>
      </w:r>
      <w:bookmarkEnd w:id="30"/>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31" w:name="_Toc112312032"/>
      <w:r>
        <w:rPr>
          <w:rStyle w:val="CharSectno"/>
        </w:rPr>
        <w:lastRenderedPageBreak/>
        <w:t>8</w:t>
      </w:r>
      <w:r>
        <w:rPr>
          <w:snapToGrid w:val="0"/>
        </w:rPr>
        <w:t>.</w:t>
      </w:r>
      <w:r>
        <w:rPr>
          <w:snapToGrid w:val="0"/>
        </w:rPr>
        <w:tab/>
        <w:t>Procedure when restraining order made during bail hearing (Act s. 63)</w:t>
      </w:r>
      <w:bookmarkEnd w:id="31"/>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32" w:name="_Toc112312033"/>
      <w:r>
        <w:rPr>
          <w:rStyle w:val="CharSectno"/>
        </w:rPr>
        <w:t>9</w:t>
      </w:r>
      <w:r>
        <w:rPr>
          <w:snapToGrid w:val="0"/>
        </w:rPr>
        <w:t>.</w:t>
      </w:r>
      <w:r>
        <w:rPr>
          <w:snapToGrid w:val="0"/>
        </w:rPr>
        <w:tab/>
        <w:t>Procedure when restraining order made during other proceedings (Act s. 63)</w:t>
      </w:r>
      <w:bookmarkEnd w:id="3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keepNext/>
        <w:rPr>
          <w:snapToGrid w:val="0"/>
        </w:rPr>
      </w:pPr>
      <w:r>
        <w:rPr>
          <w:snapToGrid w:val="0"/>
        </w:rPr>
        <w:lastRenderedPageBreak/>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33" w:name="_Toc112312034"/>
      <w:r>
        <w:rPr>
          <w:rStyle w:val="CharSectno"/>
        </w:rPr>
        <w:t>9A</w:t>
      </w:r>
      <w:r>
        <w:t>.</w:t>
      </w:r>
      <w:r>
        <w:tab/>
        <w:t>Procedure for applying for oral or substituted service (Act s. 55(2) and 60(1))</w:t>
      </w:r>
      <w:bookmarkEnd w:id="33"/>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34" w:name="_Toc112312035"/>
      <w:r>
        <w:rPr>
          <w:rStyle w:val="CharSectno"/>
        </w:rPr>
        <w:lastRenderedPageBreak/>
        <w:t>9B</w:t>
      </w:r>
      <w:r>
        <w:t>.</w:t>
      </w:r>
      <w:r>
        <w:tab/>
        <w:t>Procedure for effecting substituted service of FVRO without court order (Act s. 60(1A)(b) and (2)(b))</w:t>
      </w:r>
      <w:bookmarkEnd w:id="34"/>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35" w:name="_Toc112312036"/>
      <w:r>
        <w:rPr>
          <w:rStyle w:val="CharSectno"/>
        </w:rPr>
        <w:t>10</w:t>
      </w:r>
      <w:r>
        <w:rPr>
          <w:snapToGrid w:val="0"/>
        </w:rPr>
        <w:t>.</w:t>
      </w:r>
      <w:r>
        <w:rPr>
          <w:snapToGrid w:val="0"/>
        </w:rPr>
        <w:tab/>
        <w:t>Service of documents</w:t>
      </w:r>
      <w:bookmarkEnd w:id="35"/>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pPr>
      <w:r>
        <w:lastRenderedPageBreak/>
        <w:tab/>
        <w:t>(2)</w:t>
      </w:r>
      <w:r>
        <w:tab/>
        <w:t>If a document is given to a police officer, prison officer or other authorised person for service and the registrar has given a direction as to the manner of service, the officer or other person must take all reasonable steps to serve the document in that manner.</w:t>
      </w:r>
    </w:p>
    <w:p>
      <w:pPr>
        <w:pStyle w:val="Footnotesection"/>
      </w:pPr>
      <w:r>
        <w:tab/>
        <w:t>[Regulation 10 amended: Gazette 8 Jan 2002 p. 33; 31 Jul 2007 p. 3802; SL 2022/146 r. 5.]</w:t>
      </w:r>
    </w:p>
    <w:p>
      <w:pPr>
        <w:pStyle w:val="Ednotesection"/>
      </w:pPr>
      <w:r>
        <w:t>[</w:t>
      </w:r>
      <w:r>
        <w:rPr>
          <w:b/>
        </w:rPr>
        <w:t>10A.</w:t>
      </w:r>
      <w:r>
        <w:tab/>
        <w:t>Deleted: SL 2020/258 r. 6.]</w:t>
      </w:r>
    </w:p>
    <w:p>
      <w:pPr>
        <w:pStyle w:val="Heading2"/>
      </w:pPr>
      <w:bookmarkStart w:id="36" w:name="_Toc112234696"/>
      <w:bookmarkStart w:id="37" w:name="_Toc112235115"/>
      <w:bookmarkStart w:id="38" w:name="_Toc112312037"/>
      <w:r>
        <w:rPr>
          <w:rStyle w:val="CharPartNo"/>
        </w:rPr>
        <w:lastRenderedPageBreak/>
        <w:t>Part 4</w:t>
      </w:r>
      <w:r>
        <w:rPr>
          <w:rStyle w:val="CharDivNo"/>
        </w:rPr>
        <w:t> </w:t>
      </w:r>
      <w:r>
        <w:t>—</w:t>
      </w:r>
      <w:r>
        <w:rPr>
          <w:rStyle w:val="CharDivText"/>
        </w:rPr>
        <w:t> </w:t>
      </w:r>
      <w:r>
        <w:rPr>
          <w:rStyle w:val="CharPartText"/>
        </w:rPr>
        <w:t>Interstate restraining orders</w:t>
      </w:r>
      <w:bookmarkEnd w:id="36"/>
      <w:bookmarkEnd w:id="37"/>
      <w:bookmarkEnd w:id="38"/>
    </w:p>
    <w:p>
      <w:pPr>
        <w:pStyle w:val="Ednotesection"/>
      </w:pPr>
      <w:r>
        <w:t>[</w:t>
      </w:r>
      <w:r>
        <w:rPr>
          <w:b/>
        </w:rPr>
        <w:t>11.</w:t>
      </w:r>
      <w:r>
        <w:tab/>
        <w:t>Deleted: Gazette 26 Nov 2004 p. 5264.]</w:t>
      </w:r>
    </w:p>
    <w:p>
      <w:pPr>
        <w:pStyle w:val="Heading5"/>
        <w:rPr>
          <w:snapToGrid w:val="0"/>
        </w:rPr>
      </w:pPr>
      <w:bookmarkStart w:id="39" w:name="_Toc112312038"/>
      <w:r>
        <w:rPr>
          <w:rStyle w:val="CharSectno"/>
        </w:rPr>
        <w:t>12</w:t>
      </w:r>
      <w:r>
        <w:rPr>
          <w:snapToGrid w:val="0"/>
        </w:rPr>
        <w:t>.</w:t>
      </w:r>
      <w:r>
        <w:rPr>
          <w:snapToGrid w:val="0"/>
        </w:rPr>
        <w:tab/>
        <w:t>Application for registration of interstate order</w:t>
      </w:r>
      <w:bookmarkEnd w:id="39"/>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40" w:name="_Toc112234698"/>
      <w:bookmarkStart w:id="41" w:name="_Toc112235117"/>
      <w:bookmarkStart w:id="42" w:name="_Toc112312039"/>
      <w:r>
        <w:rPr>
          <w:rStyle w:val="CharPartNo"/>
        </w:rPr>
        <w:lastRenderedPageBreak/>
        <w:t>Part 5</w:t>
      </w:r>
      <w:r>
        <w:rPr>
          <w:b w:val="0"/>
        </w:rPr>
        <w:t> </w:t>
      </w:r>
      <w:r>
        <w:t>—</w:t>
      </w:r>
      <w:r>
        <w:rPr>
          <w:b w:val="0"/>
        </w:rPr>
        <w:t> </w:t>
      </w:r>
      <w:r>
        <w:rPr>
          <w:rStyle w:val="CharPartText"/>
        </w:rPr>
        <w:t>General</w:t>
      </w:r>
      <w:bookmarkEnd w:id="40"/>
      <w:bookmarkEnd w:id="41"/>
      <w:bookmarkEnd w:id="42"/>
    </w:p>
    <w:p>
      <w:pPr>
        <w:pStyle w:val="Footnoteheading"/>
        <w:tabs>
          <w:tab w:val="left" w:pos="851"/>
        </w:tabs>
      </w:pPr>
      <w:r>
        <w:tab/>
        <w:t>[Heading inserted: Gazette 26 Nov 2004 p. 5264.]</w:t>
      </w:r>
    </w:p>
    <w:p>
      <w:pPr>
        <w:pStyle w:val="Heading5"/>
      </w:pPr>
      <w:bookmarkStart w:id="43" w:name="_Toc112312040"/>
      <w:r>
        <w:rPr>
          <w:rStyle w:val="CharSectno"/>
        </w:rPr>
        <w:t>13</w:t>
      </w:r>
      <w:r>
        <w:t>.</w:t>
      </w:r>
      <w:r>
        <w:tab/>
        <w:t>Property that may be recovered when FVRO or VRO made (Act s. 10G(5) or 13(5))</w:t>
      </w:r>
      <w:bookmarkEnd w:id="43"/>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44" w:name="_Toc112312041"/>
      <w:r>
        <w:rPr>
          <w:rStyle w:val="CharSectno"/>
        </w:rPr>
        <w:t>14</w:t>
      </w:r>
      <w:r>
        <w:t>.</w:t>
      </w:r>
      <w:r>
        <w:tab/>
        <w:t>Procedures for recovering property under terms of FVRO or VRO (Act s. 10G(5)(b) or 13(5)(b))</w:t>
      </w:r>
      <w:bookmarkEnd w:id="44"/>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lastRenderedPageBreak/>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45" w:name="_Toc112312042"/>
      <w:r>
        <w:rPr>
          <w:rStyle w:val="CharSectno"/>
        </w:rPr>
        <w:t>14A</w:t>
      </w:r>
      <w:r>
        <w:t>.</w:t>
      </w:r>
      <w:r>
        <w:tab/>
        <w:t>Prescribed persons for disclosure of information (s. 70(1A))</w:t>
      </w:r>
      <w:bookmarkEnd w:id="45"/>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(aa)</w:t>
      </w:r>
      <w:r>
        <w:tab/>
        <w:t>the Chief Dangerous Goods Officer;</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 amended: SL 2020/258 r. 7.]</w:t>
      </w:r>
    </w:p>
    <w:p>
      <w:pPr>
        <w:pStyle w:val="Heading5"/>
      </w:pPr>
      <w:bookmarkStart w:id="46" w:name="_Toc112312043"/>
      <w:r>
        <w:rPr>
          <w:rStyle w:val="CharSectno"/>
        </w:rPr>
        <w:t>15</w:t>
      </w:r>
      <w:r>
        <w:t>.</w:t>
      </w:r>
      <w:r>
        <w:tab/>
        <w:t>Exchange of information (Act s. 70A)</w:t>
      </w:r>
      <w:bookmarkEnd w:id="46"/>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lastRenderedPageBreak/>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47" w:name="_Toc112312044"/>
      <w:r>
        <w:rPr>
          <w:rStyle w:val="CharSectno"/>
        </w:rPr>
        <w:t>16</w:t>
      </w:r>
      <w:r>
        <w:t>.</w:t>
      </w:r>
      <w:r>
        <w:tab/>
        <w:t>Prescribed countries (Act s. 79A)</w:t>
      </w:r>
      <w:bookmarkEnd w:id="47"/>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48" w:name="_Toc112234704"/>
      <w:bookmarkStart w:id="49" w:name="_Toc112235123"/>
      <w:bookmarkStart w:id="50" w:name="_Toc112312045"/>
      <w:r>
        <w:rPr>
          <w:rStyle w:val="CharSchNo"/>
        </w:rPr>
        <w:lastRenderedPageBreak/>
        <w:t>Schedule 1 </w:t>
      </w:r>
      <w:r>
        <w:t xml:space="preserve">— </w:t>
      </w:r>
      <w:r>
        <w:rPr>
          <w:rStyle w:val="CharSchText"/>
        </w:rPr>
        <w:t>Forms</w:t>
      </w:r>
      <w:bookmarkEnd w:id="48"/>
      <w:bookmarkEnd w:id="49"/>
      <w:bookmarkEnd w:id="50"/>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lastRenderedPageBreak/>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lastRenderedPageBreak/>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lastRenderedPageBreak/>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spacing w:before="0"/>
        <w:rPr>
          <w:b w:val="0"/>
          <w:sz w:val="20"/>
        </w:rPr>
      </w:pPr>
      <w:r>
        <w:rPr>
          <w:b w:val="0"/>
          <w:sz w:val="20"/>
        </w:rPr>
        <w:lastRenderedPageBreak/>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lastRenderedPageBreak/>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lastRenderedPageBreak/>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2" w:name="_Toc112234705"/>
      <w:bookmarkStart w:id="53" w:name="_Toc112235124"/>
      <w:bookmarkStart w:id="54" w:name="_Toc112312046"/>
      <w:r>
        <w:lastRenderedPageBreak/>
        <w:t>Notes</w:t>
      </w:r>
      <w:bookmarkEnd w:id="52"/>
      <w:bookmarkEnd w:id="53"/>
      <w:bookmarkEnd w:id="54"/>
    </w:p>
    <w:p>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w:t>
      </w:r>
    </w:p>
    <w:p>
      <w:pPr>
        <w:pStyle w:val="nHeading3"/>
      </w:pPr>
      <w:bookmarkStart w:id="55" w:name="_Toc112312047"/>
      <w:r>
        <w:t>Compilation table</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lastRenderedPageBreak/>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pPr>
              <w:pStyle w:val="nTable"/>
              <w:keepNext/>
              <w:spacing w:before="60" w:after="60"/>
            </w:pPr>
            <w:r>
              <w:t>SL 2020/63 22 May 2020</w:t>
            </w:r>
          </w:p>
        </w:tc>
        <w:tc>
          <w:tcPr>
            <w:tcW w:w="2693" w:type="dxa"/>
            <w:tcBorders>
              <w:top w:val="nil"/>
              <w:bottom w:val="nil"/>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(No. 2) 2020</w:t>
            </w:r>
          </w:p>
        </w:tc>
        <w:tc>
          <w:tcPr>
            <w:tcW w:w="1276" w:type="dxa"/>
            <w:tcBorders>
              <w:top w:val="nil"/>
              <w:bottom w:val="nil"/>
            </w:tcBorders>
            <w:shd w:val="clear" w:color="auto" w:fill="auto"/>
          </w:tcPr>
          <w:p>
            <w:pPr>
              <w:pStyle w:val="nTable"/>
              <w:keepNext/>
              <w:spacing w:before="60" w:after="60"/>
            </w:pPr>
            <w:r>
              <w:t>SL 2020/258 24 Dec 2020</w:t>
            </w:r>
          </w:p>
        </w:tc>
        <w:tc>
          <w:tcPr>
            <w:tcW w:w="2693" w:type="dxa"/>
            <w:tcBorders>
              <w:top w:val="nil"/>
              <w:bottom w:val="nil"/>
            </w:tcBorders>
            <w:shd w:val="clear" w:color="auto" w:fill="auto"/>
          </w:tcPr>
          <w:p>
            <w:pPr>
              <w:pStyle w:val="nTable"/>
              <w:keepNext/>
              <w:spacing w:before="60" w:after="60"/>
              <w:rPr>
                <w:snapToGrid w:val="0"/>
              </w:rPr>
            </w:pPr>
            <w:r>
              <w:rPr>
                <w:snapToGrid w:val="0"/>
              </w:rPr>
              <w:t>r. 1 and 2: 24 Dec 2020 (see r. 2(a));</w:t>
            </w:r>
            <w:r>
              <w:rPr>
                <w:snapToGrid w:val="0"/>
              </w:rPr>
              <w:br/>
              <w:t>Regulations other than r. 1 and 2: 1 Jan 2021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keepNext/>
              <w:spacing w:before="60" w:after="60"/>
              <w:rPr>
                <w:i/>
              </w:rPr>
            </w:pPr>
            <w:r>
              <w:rPr>
                <w:i/>
              </w:rPr>
              <w:t>Restraining Orders Amendment Regulations 2022</w:t>
            </w:r>
          </w:p>
        </w:tc>
        <w:tc>
          <w:tcPr>
            <w:tcW w:w="1276" w:type="dxa"/>
            <w:tcBorders>
              <w:bottom w:val="single" w:sz="8" w:space="0" w:color="auto"/>
            </w:tcBorders>
            <w:shd w:val="clear" w:color="auto" w:fill="auto"/>
          </w:tcPr>
          <w:p>
            <w:pPr>
              <w:pStyle w:val="nTable"/>
              <w:keepNext/>
              <w:spacing w:before="60" w:after="60"/>
            </w:pPr>
            <w:r>
              <w:t>SL 2022/146 26 Aug 2022</w:t>
            </w:r>
          </w:p>
        </w:tc>
        <w:tc>
          <w:tcPr>
            <w:tcW w:w="2693" w:type="dxa"/>
            <w:tcBorders>
              <w:bottom w:val="single" w:sz="8" w:space="0" w:color="auto"/>
            </w:tcBorders>
            <w:shd w:val="clear" w:color="auto" w:fill="auto"/>
          </w:tcPr>
          <w:p>
            <w:pPr>
              <w:pStyle w:val="nTable"/>
              <w:keepNext/>
              <w:spacing w:before="60" w:after="60"/>
              <w:rPr>
                <w:snapToGrid w:val="0"/>
              </w:rPr>
            </w:pPr>
            <w:r>
              <w:rPr>
                <w:snapToGrid w:val="0"/>
              </w:rPr>
              <w:t>r. 1 and 2: 26 Aug 2022 (see r. 2(a));</w:t>
            </w:r>
            <w:r>
              <w:rPr>
                <w:snapToGrid w:val="0"/>
              </w:rPr>
              <w:br/>
              <w:t>Regulations other than r. 1 and 2: 27 Aug 2022 (see r. 2(b))</w:t>
            </w:r>
          </w:p>
        </w:tc>
      </w:tr>
    </w:tbl>
    <w:p>
      <w:pPr>
        <w:pStyle w:val="nHeading3"/>
      </w:pPr>
      <w:bookmarkStart w:id="56" w:name="_Toc112312048"/>
      <w:r>
        <w:t>Other notes</w:t>
      </w:r>
      <w:bookmarkEnd w:id="56"/>
    </w:p>
    <w:p>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8" w:name="_Toc112234708"/>
      <w:bookmarkStart w:id="59" w:name="_Toc112235127"/>
      <w:bookmarkStart w:id="60" w:name="_Toc112312049"/>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Dangerous Goods Officer</w:t>
      </w:r>
      <w:r>
        <w:tab/>
        <w:t>2A</w:t>
      </w:r>
    </w:p>
    <w:p>
      <w:pPr>
        <w:pStyle w:val="DefinedTerms"/>
      </w:pPr>
      <w:r>
        <w:t>explosives order</w:t>
      </w:r>
      <w:r>
        <w:tab/>
        <w:t>5C</w:t>
      </w:r>
    </w:p>
    <w:p>
      <w:pPr>
        <w:pStyle w:val="DefinedTerms"/>
      </w:pPr>
      <w:r>
        <w:t>form</w:t>
      </w:r>
      <w:r>
        <w:tab/>
        <w:t>2A</w:t>
      </w:r>
    </w:p>
    <w:p>
      <w:pPr>
        <w:pStyle w:val="DefinedTerms"/>
      </w:pPr>
      <w:r>
        <w:t>latest attempt</w:t>
      </w:r>
      <w:r>
        <w:tab/>
        <w:t>9B(2)</w:t>
      </w:r>
    </w:p>
    <w:p>
      <w:pPr>
        <w:pStyle w:val="DefinedTerms"/>
      </w:pPr>
      <w:r>
        <w:t>proceedings under the Act</w:t>
      </w:r>
      <w:r>
        <w:tab/>
        <w:t>2A</w:t>
      </w:r>
    </w:p>
    <w:p>
      <w:pPr>
        <w:pStyle w:val="DefinedTerms"/>
      </w:pPr>
      <w:r>
        <w:t>restrained person</w:t>
      </w:r>
      <w:r>
        <w:tab/>
        <w:t>2A</w:t>
      </w:r>
    </w:p>
    <w:p>
      <w:pPr>
        <w:pStyle w:val="DefinedTerms"/>
      </w:pPr>
      <w:r>
        <w:t>senior officer</w:t>
      </w:r>
      <w:r>
        <w:tab/>
        <w:t>9B(1)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115619"/>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6234</Words>
  <Characters>29302</Characters>
  <Application>Microsoft Office Word</Application>
  <DocSecurity>0</DocSecurity>
  <Lines>887</Lines>
  <Paragraphs>515</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1997 - 03-g0-00</dc:title>
  <dc:subject/>
  <dc:creator/>
  <cp:keywords/>
  <dc:description/>
  <cp:lastModifiedBy>Master Repository Process</cp:lastModifiedBy>
  <cp:revision>4</cp:revision>
  <cp:lastPrinted>2017-06-27T06:08:00Z</cp:lastPrinted>
  <dcterms:created xsi:type="dcterms:W3CDTF">2022-08-25T08:04:00Z</dcterms:created>
  <dcterms:modified xsi:type="dcterms:W3CDTF">2022-08-25T08:04:00Z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AsAtDate">
    <vt:lpwstr>27 Aug 2022</vt:lpwstr>
  </property>
  <property fmtid="{D5CDD505-2E9C-101B-9397-08002B2CF9AE}" pid="8" name="Suffix">
    <vt:lpwstr>03-g0-00</vt:lpwstr>
  </property>
  <property fmtid="{D5CDD505-2E9C-101B-9397-08002B2CF9AE}" pid="9" name="CommencementDate">
    <vt:lpwstr>20220827</vt:lpwstr>
  </property>
</Properties>
</file>