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(Warralong Restricted Area)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_Toc113372537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_Toc113372538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_Toc113372539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_Toc113372540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_Toc113372541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Warralong Aboriginal Community</w:t>
      </w:r>
      <w:r>
        <w:tab/>
      </w:r>
      <w:r>
        <w:fldChar w:fldCharType="begin"/>
      </w:r>
      <w:r>
        <w:instrText xml:space="preserve"> PAGEREF _Toc113372542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_Toc113372543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_Toc113372544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_Toc113372546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_Toc113372547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3" w:name="_Toc11337253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5" w:name="_Toc11337253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113372539"/>
      <w:r>
        <w:rPr>
          <w:rStyle w:val="CharSectno"/>
        </w:rPr>
        <w:t>3</w:t>
      </w:r>
      <w:r>
        <w:t>.</w:t>
      </w:r>
      <w:r>
        <w:tab/>
        <w:t>Terms used</w:t>
      </w:r>
      <w:bookmarkEnd w:id="6"/>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pPr>
      <w:r>
        <w:tab/>
        <w:t>(a)</w:t>
      </w:r>
      <w:r>
        <w:tab/>
        <w:t xml:space="preserve">the land lying within a circle of 20 km radius measured from the centre of the Warralong basketball court located at the point with the following Geocentric Datum of Australia 2020 (GDA2020) coordinates — </w:t>
      </w:r>
    </w:p>
    <w:p>
      <w:pPr>
        <w:pStyle w:val="Defsubpara"/>
      </w:pPr>
      <w:r>
        <w:tab/>
        <w:t>(i)</w:t>
      </w:r>
      <w:r>
        <w:tab/>
        <w:t>20.648459</w:t>
      </w:r>
      <w:r>
        <w:rPr>
          <w:vertAlign w:val="superscript"/>
        </w:rPr>
        <w:t>o</w:t>
      </w:r>
      <w:r>
        <w:t>S;</w:t>
      </w:r>
    </w:p>
    <w:p>
      <w:pPr>
        <w:pStyle w:val="Defsubpara"/>
      </w:pPr>
      <w:r>
        <w:tab/>
        <w:t>(ii)</w:t>
      </w:r>
      <w:r>
        <w:tab/>
        <w:t>199.590342</w:t>
      </w:r>
      <w:r>
        <w:rPr>
          <w:vertAlign w:val="superscript"/>
        </w:rPr>
        <w:t>o</w:t>
      </w:r>
      <w:r>
        <w:t>E;</w:t>
      </w:r>
    </w:p>
    <w:p>
      <w:pPr>
        <w:pStyle w:val="Defpara"/>
      </w:pPr>
      <w:r>
        <w:tab/>
      </w:r>
      <w:r>
        <w:tab/>
        <w:t>and</w:t>
      </w:r>
    </w:p>
    <w:p>
      <w:pPr>
        <w:pStyle w:val="Defpara"/>
        <w:spacing w:before="100"/>
      </w:pPr>
      <w:r>
        <w:lastRenderedPageBreak/>
        <w:tab/>
        <w:t>(b)</w:t>
      </w:r>
      <w:r>
        <w:tab/>
        <w:t>the land lying within 15 metres of the centreline of that part of Goldsworthy Road which runs between Marble Bar Road and the circle described in paragraph (a); and</w:t>
      </w:r>
    </w:p>
    <w:p>
      <w:pPr>
        <w:pStyle w:val="Defpara"/>
        <w:keepNext/>
        <w:spacing w:before="100"/>
      </w:pPr>
      <w:r>
        <w:tab/>
        <w:t>(c)</w:t>
      </w:r>
      <w:r>
        <w:tab/>
        <w:t>the land lying within 1 kilometre either side of the centreline of that part of Goldsworthy Road that runs between Great Northern Highway and the circle described in paragraph (a).</w:t>
      </w:r>
    </w:p>
    <w:p>
      <w:pPr>
        <w:pStyle w:val="Footnotesection"/>
      </w:pPr>
      <w:r>
        <w:tab/>
        <w:t>[Regulation 3 amended: Gazette 16 Sep 2016 p. 3942; SL 2022/158 r. 11.]</w:t>
      </w:r>
    </w:p>
    <w:p>
      <w:pPr>
        <w:pStyle w:val="Ednotesection"/>
      </w:pPr>
      <w:r>
        <w:t>[</w:t>
      </w:r>
      <w:r>
        <w:rPr>
          <w:b/>
        </w:rPr>
        <w:t>4.</w:t>
      </w:r>
      <w:r>
        <w:rPr>
          <w:b/>
        </w:rPr>
        <w:tab/>
      </w:r>
      <w:r>
        <w:t>Deleted: Gazette 16 Sep 2016 p. 3942.]</w:t>
      </w:r>
    </w:p>
    <w:p>
      <w:pPr>
        <w:pStyle w:val="Heading5"/>
      </w:pPr>
      <w:bookmarkStart w:id="7" w:name="_Toc113372540"/>
      <w:r>
        <w:rPr>
          <w:rStyle w:val="CharSectno"/>
        </w:rPr>
        <w:t>5</w:t>
      </w:r>
      <w:r>
        <w:t>.</w:t>
      </w:r>
      <w:r>
        <w:tab/>
        <w:t>Declaration of restricted area</w:t>
      </w:r>
      <w:bookmarkEnd w:id="7"/>
    </w:p>
    <w:p>
      <w:pPr>
        <w:pStyle w:val="Subsection"/>
      </w:pPr>
      <w:r>
        <w:tab/>
      </w:r>
      <w:r>
        <w:tab/>
        <w:t>The Warralong Aboriginal Community is declared to be a restricted area for the purposes of section 175(1a) of the Act.</w:t>
      </w:r>
    </w:p>
    <w:p>
      <w:pPr>
        <w:pStyle w:val="Heading5"/>
      </w:pPr>
      <w:bookmarkStart w:id="8" w:name="_Toc113372541"/>
      <w:r>
        <w:rPr>
          <w:rStyle w:val="CharSectno"/>
        </w:rPr>
        <w:t>6</w:t>
      </w:r>
      <w:r>
        <w:t>.</w:t>
      </w:r>
      <w:r>
        <w:tab/>
        <w:t>Notice of restricted area</w:t>
      </w:r>
      <w:bookmarkEnd w:id="8"/>
    </w:p>
    <w:p>
      <w:pPr>
        <w:pStyle w:val="Subsection"/>
        <w:keepNext/>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13372542"/>
      <w:r>
        <w:rPr>
          <w:rStyle w:val="CharSectno"/>
        </w:rPr>
        <w:t>7</w:t>
      </w:r>
      <w:r>
        <w:t>.</w:t>
      </w:r>
      <w:r>
        <w:tab/>
        <w:t>Prohibitions as to liquor in the Warralong Aboriginal Community</w:t>
      </w:r>
      <w:bookmarkEnd w:id="9"/>
    </w:p>
    <w:p>
      <w:pPr>
        <w:pStyle w:val="Subsection"/>
        <w:keepNext/>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keepNext/>
      </w:pPr>
      <w:r>
        <w:lastRenderedPageBreak/>
        <w:tab/>
        <w:t>(b)</w:t>
      </w:r>
      <w:r>
        <w:tab/>
        <w:t xml:space="preserve">has liquor in his or her possession in the Warralong Aboriginal Community </w:t>
      </w:r>
    </w:p>
    <w:p>
      <w:pPr>
        <w:pStyle w:val="Subsection"/>
        <w:keepNext/>
      </w:pPr>
      <w:r>
        <w:tab/>
      </w:r>
      <w:r>
        <w:tab/>
        <w:t>commits an offence.</w:t>
      </w:r>
    </w:p>
    <w:p>
      <w:pPr>
        <w:pStyle w:val="Penstart"/>
        <w:keepNext/>
      </w:pPr>
      <w:r>
        <w:tab/>
        <w:t>Penalty:</w:t>
      </w:r>
    </w:p>
    <w:p>
      <w:pPr>
        <w:pStyle w:val="Penpara"/>
      </w:pPr>
      <w:r>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keepNext/>
      </w:pPr>
      <w:r>
        <w:tab/>
        <w:t>(2)</w:t>
      </w:r>
      <w:r>
        <w:tab/>
        <w:t xml:space="preserve">In this regulation — </w:t>
      </w:r>
    </w:p>
    <w:p>
      <w:pPr>
        <w:pStyle w:val="Defstart"/>
      </w:pPr>
      <w:r>
        <w:tab/>
      </w:r>
      <w:r>
        <w:rPr>
          <w:rStyle w:val="CharDefText"/>
        </w:rPr>
        <w:t>exempt person</w:t>
      </w:r>
      <w:r>
        <w:t xml:space="preserve"> means the driver of, or a passenger in, a transiting vehicle;</w:t>
      </w:r>
    </w:p>
    <w:p>
      <w:pPr>
        <w:pStyle w:val="Defstart"/>
        <w:keepNex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10" w:name="_Toc113372543"/>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13372544"/>
      <w:r>
        <w:rPr>
          <w:rStyle w:val="CharSectno"/>
        </w:rPr>
        <w:t>9</w:t>
      </w:r>
      <w:r>
        <w:t>.</w:t>
      </w:r>
      <w:r>
        <w:tab/>
        <w:t>Period during which these regulations have effect</w:t>
      </w:r>
      <w:bookmarkEnd w:id="11"/>
    </w:p>
    <w:p>
      <w:pPr>
        <w:pStyle w:val="Subsection"/>
        <w:keepNext/>
      </w:pPr>
      <w:r>
        <w:tab/>
      </w:r>
      <w:r>
        <w:tab/>
        <w:t>Unless sooner repealed, these regulations have effect for the period that ends at the close of 31 October 2027.</w:t>
      </w:r>
    </w:p>
    <w:p>
      <w:pPr>
        <w:pStyle w:val="Footnotesection"/>
      </w:pPr>
      <w:r>
        <w:tab/>
        <w:t>[Regulation 9 inserted: Gazette 16 Sep 2016 p. 3943; amended: Gazette 9 Aug 2019 p. 3025; SL 2022/158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 w:name="_Toc113370880"/>
      <w:bookmarkStart w:id="13" w:name="_Toc113372545"/>
      <w:bookmarkStart w:id="14" w:name="_Toc113370458"/>
      <w:r>
        <w:lastRenderedPageBreak/>
        <w:t>Notes</w:t>
      </w:r>
      <w:bookmarkEnd w:id="12"/>
      <w:bookmarkEnd w:id="13"/>
    </w:p>
    <w:p>
      <w:pPr>
        <w:pStyle w:val="nStatement"/>
      </w:pPr>
      <w:r>
        <w:t xml:space="preserve">This is a compilation of the </w:t>
      </w:r>
      <w:r>
        <w:rPr>
          <w:i/>
          <w:noProof/>
        </w:rPr>
        <w:t>Liquor Control (Warralong Restricted Area) Regulations 2013</w:t>
      </w:r>
      <w:r>
        <w:t xml:space="preserve"> and includes amendments made by other written laws. For provisions that have come into operation see the compilation table.</w:t>
      </w:r>
    </w:p>
    <w:p>
      <w:pPr>
        <w:pStyle w:val="nHeading3"/>
      </w:pPr>
      <w:bookmarkStart w:id="15" w:name="_Toc113372546"/>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(Warralong Restricted Area) Regulations 2013</w:t>
            </w:r>
            <w:r>
              <w:rPr>
                <w:vertAlign w:val="superscript"/>
              </w:rPr>
              <w:t> 1</w:t>
            </w:r>
          </w:p>
        </w:tc>
        <w:tc>
          <w:tcPr>
            <w:tcW w:w="1276" w:type="dxa"/>
            <w:tcBorders>
              <w:bottom w:val="nil"/>
            </w:tcBorders>
          </w:tcPr>
          <w:p>
            <w:pPr>
              <w:pStyle w:val="nTable"/>
              <w:spacing w:after="40"/>
            </w:pPr>
            <w:r>
              <w:t>20 Sep 2013 p. 4360</w:t>
            </w:r>
            <w:r>
              <w:noBreakHyphen/>
              <w:t>1</w:t>
            </w:r>
          </w:p>
        </w:tc>
        <w:tc>
          <w:tcPr>
            <w:tcW w:w="2693" w:type="dxa"/>
            <w:tcBorders>
              <w:bottom w:val="nil"/>
            </w:tcBorders>
          </w:tcPr>
          <w:p>
            <w:pPr>
              <w:pStyle w:val="nTable"/>
              <w:spacing w:after="40"/>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tcBorders>
          </w:tcPr>
          <w:p>
            <w:pPr>
              <w:pStyle w:val="nTable"/>
              <w:spacing w:after="40"/>
              <w:rPr>
                <w:i/>
              </w:rPr>
            </w:pPr>
            <w:r>
              <w:rPr>
                <w:i/>
              </w:rPr>
              <w:t>Liquor Control (Warralong Restricted Area) Amendment Regulations 2016</w:t>
            </w:r>
          </w:p>
        </w:tc>
        <w:tc>
          <w:tcPr>
            <w:tcW w:w="1276" w:type="dxa"/>
            <w:tcBorders>
              <w:top w:val="nil"/>
              <w:bottom w:val="nil"/>
            </w:tcBorders>
          </w:tcPr>
          <w:p>
            <w:pPr>
              <w:pStyle w:val="nTable"/>
              <w:spacing w:after="40"/>
            </w:pPr>
            <w:r>
              <w:t>16 Sep 2016 p. 3942-3</w:t>
            </w:r>
          </w:p>
        </w:tc>
        <w:tc>
          <w:tcPr>
            <w:tcW w:w="2693" w:type="dxa"/>
            <w:tcBorders>
              <w:top w:val="nil"/>
              <w:bottom w:val="nil"/>
            </w:tcBorders>
          </w:tcPr>
          <w:p>
            <w:pPr>
              <w:pStyle w:val="nTable"/>
              <w:spacing w:after="40"/>
              <w:rPr>
                <w:snapToGrid w:val="0"/>
                <w:spacing w:val="-2"/>
              </w:rPr>
            </w:pPr>
            <w:r>
              <w:rPr>
                <w:bCs/>
                <w:snapToGrid w:val="0"/>
                <w:spacing w:val="-2"/>
              </w:rPr>
              <w:t>r. 1 and 2: 16 Sep 2016 (see r. 2(a));</w:t>
            </w:r>
            <w:r>
              <w:rPr>
                <w:bCs/>
                <w:snapToGrid w:val="0"/>
                <w:spacing w:val="-2"/>
              </w:rPr>
              <w:br/>
              <w:t>Regulations other than r. 1 and 2: 17 Sep 2016 (see r. 2(b))</w:t>
            </w:r>
          </w:p>
        </w:tc>
      </w:tr>
      <w:tr>
        <w:tc>
          <w:tcPr>
            <w:tcW w:w="3118" w:type="dxa"/>
            <w:tcBorders>
              <w:top w:val="nil"/>
              <w:bottom w:val="nil"/>
            </w:tcBorders>
          </w:tcPr>
          <w:p>
            <w:pPr>
              <w:pStyle w:val="nTable"/>
              <w:spacing w:after="40"/>
              <w:rPr>
                <w:i/>
              </w:rPr>
            </w:pPr>
            <w:r>
              <w:rPr>
                <w:i/>
              </w:rPr>
              <w:t>Liquor Control (Warralong Restricted Area) Amendment Regulations 2019</w:t>
            </w:r>
          </w:p>
        </w:tc>
        <w:tc>
          <w:tcPr>
            <w:tcW w:w="1276" w:type="dxa"/>
            <w:tcBorders>
              <w:top w:val="nil"/>
              <w:bottom w:val="nil"/>
            </w:tcBorders>
          </w:tcPr>
          <w:p>
            <w:pPr>
              <w:pStyle w:val="nTable"/>
              <w:spacing w:after="40"/>
            </w:pPr>
            <w:r>
              <w:t>9 Aug 2019 p. 3025</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(No. 3) 2022</w:t>
            </w:r>
            <w:r>
              <w:t xml:space="preserve"> Pt. 4</w:t>
            </w:r>
          </w:p>
        </w:tc>
        <w:tc>
          <w:tcPr>
            <w:tcW w:w="1276" w:type="dxa"/>
            <w:tcBorders>
              <w:top w:val="nil"/>
              <w:bottom w:val="single" w:sz="4" w:space="0" w:color="auto"/>
            </w:tcBorders>
          </w:tcPr>
          <w:p>
            <w:pPr>
              <w:pStyle w:val="nTable"/>
              <w:spacing w:after="40"/>
            </w:pPr>
            <w:r>
              <w:t>SL 2022/158 9 Sep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10 Sep 2022 (see r. 2(b))</w:t>
            </w:r>
          </w:p>
        </w:tc>
      </w:tr>
    </w:tbl>
    <w:p>
      <w:pPr>
        <w:pStyle w:val="nHeading3"/>
      </w:pPr>
      <w:bookmarkStart w:id="16" w:name="_Toc113372547"/>
      <w:r>
        <w:t>Other notes</w:t>
      </w:r>
      <w:bookmarkEnd w:id="16"/>
    </w:p>
    <w:p>
      <w:pPr>
        <w:pStyle w:val="nNote"/>
        <w:rPr>
          <w:snapToGrid w:val="0"/>
        </w:rPr>
      </w:pPr>
      <w:r>
        <w:rPr>
          <w:vertAlign w:val="superscript"/>
        </w:rPr>
        <w:t>1</w:t>
      </w:r>
      <w:r>
        <w:tab/>
        <w:t>These regulations expire at the close of 31 October 2027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8" w:name="_Toc113370883"/>
      <w:bookmarkStart w:id="19" w:name="_Toc113372548"/>
      <w:r>
        <w:rPr>
          <w:sz w:val="28"/>
        </w:rPr>
        <w:lastRenderedPageBreak/>
        <w:t>Defined terms</w:t>
      </w:r>
      <w:bookmarkEnd w:id="14"/>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7(2)</w:t>
      </w:r>
    </w:p>
    <w:p>
      <w:pPr>
        <w:pStyle w:val="DefinedTerms"/>
      </w:pPr>
      <w:r>
        <w:t>transiting vehicle</w:t>
      </w:r>
      <w:r>
        <w:tab/>
        <w:t>7(2)</w:t>
      </w:r>
    </w:p>
    <w:p>
      <w:pPr>
        <w:pStyle w:val="DefinedTerms"/>
      </w:pPr>
      <w:r>
        <w:t>Warralong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06150521"/>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 w:name="WAFER_20190808152206" w:val="RemoveTocBookmarks,RemoveUnusedBookmarks,RemoveLanguageTags,ResetPageSize,RunningHeaders,UpdateStyles,UsedStyles"/>
    <w:docVar w:name="WAFER_20190808152206_GUID" w:val="b867cf33-eb20-4dec-90bf-b2a107e7ca48"/>
    <w:docVar w:name="WAFER_202209061505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521_GUID" w:val="4058c66e-40a7-443f-bd4a-02c496c20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7DBFF57B-EBA3-4C99-AA19-B1027CB9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41ED7-BF29-4872-B5B4-8FE16D7DE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982</Words>
  <Characters>4881</Characters>
  <Application>Microsoft Office Word</Application>
  <DocSecurity>0</DocSecurity>
  <Lines>180</Lines>
  <Paragraphs>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2013 - 00-d0-00</dc:title>
  <dc:subject/>
  <dc:creator/>
  <cp:keywords/>
  <dc:description/>
  <cp:lastModifiedBy>Master Repository Process</cp:lastModifiedBy>
  <cp:revision>4</cp:revision>
  <cp:lastPrinted>2019-08-09T02:36:00Z</cp:lastPrinted>
  <dcterms:created xsi:type="dcterms:W3CDTF">2022-09-08T07:54:00Z</dcterms:created>
  <dcterms:modified xsi:type="dcterms:W3CDTF">2022-09-08T07:54:00Z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ID">
    <vt:lpwstr>20 Sep 2013 p 4360‑1</vt:lpwstr>
  </property>
  <property fmtid="{D5CDD505-2E9C-101B-9397-08002B2CF9AE}" pid="6" name="DocumentType">
    <vt:lpwstr>Reg</vt:lpwstr>
  </property>
  <property fmtid="{D5CDD505-2E9C-101B-9397-08002B2CF9AE}" pid="7" name="AsAtDate">
    <vt:lpwstr>10 Sep 2022</vt:lpwstr>
  </property>
  <property fmtid="{D5CDD505-2E9C-101B-9397-08002B2CF9AE}" pid="8" name="Suffix">
    <vt:lpwstr>00-d0-00</vt:lpwstr>
  </property>
  <property fmtid="{D5CDD505-2E9C-101B-9397-08002B2CF9AE}" pid="9" name="CommencementDate">
    <vt:lpwstr>20220910</vt:lpwstr>
  </property>
</Properties>
</file>