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8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Civil Procedure (Representative Proceedings) Act 2022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Civil Procedure (Representative Proceedings) Act 2022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Part 1 — Preliminary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</w:t>
      </w:r>
      <w:r>
        <w:tab/>
        <w:t>Short title</w:t>
      </w:r>
      <w:r>
        <w:tab/>
      </w:r>
      <w:r>
        <w:fldChar w:fldCharType="begin"/>
      </w:r>
      <w:r>
        <w:instrText xml:space="preserve"> PAGEREF _Toc114065893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Commencement</w:t>
      </w:r>
      <w:r>
        <w:tab/>
      </w:r>
      <w:r>
        <w:fldChar w:fldCharType="begin"/>
      </w:r>
      <w:r>
        <w:instrText xml:space="preserve"> PAGEREF _Toc114065894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Terms used</w:t>
      </w:r>
      <w:r>
        <w:tab/>
      </w:r>
      <w:r>
        <w:fldChar w:fldCharType="begin"/>
      </w:r>
      <w:r>
        <w:instrText xml:space="preserve"> PAGEREF _Toc114065895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Proceedings to which Act applies</w:t>
      </w:r>
      <w:r>
        <w:tab/>
      </w:r>
      <w:r>
        <w:fldChar w:fldCharType="begin"/>
      </w:r>
      <w:r>
        <w:instrText xml:space="preserve"> PAGEREF _Toc114065896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Act binds Crown</w:t>
      </w:r>
      <w:r>
        <w:tab/>
      </w:r>
      <w:r>
        <w:fldChar w:fldCharType="begin"/>
      </w:r>
      <w:r>
        <w:instrText xml:space="preserve"> PAGEREF _Toc114065897 \h </w:instrText>
      </w:r>
      <w:r>
        <w:fldChar w:fldCharType="separate"/>
      </w:r>
      <w:r>
        <w:t>3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_Toc114065899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Uncommenced provisions table</w:t>
      </w:r>
      <w:r>
        <w:tab/>
      </w:r>
      <w:r>
        <w:fldChar w:fldCharType="begin"/>
      </w:r>
      <w:r>
        <w:instrText xml:space="preserve"> PAGEREF _Toc114065900 \h </w:instrText>
      </w:r>
      <w:r>
        <w:fldChar w:fldCharType="separate"/>
      </w:r>
      <w:r>
        <w:t>4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  <w:spacing w:after="480"/>
      </w:pPr>
      <w:r>
        <w:rPr>
          <w:noProof/>
        </w:rPr>
        <w:lastRenderedPageBreak/>
        <w:drawing>
          <wp:anchor distT="0" distB="0" distL="114300" distR="114300" simplePos="0" relativeHeight="251661312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-467995</wp:posOffset>
            </wp:positionV>
            <wp:extent cx="471600" cy="417600"/>
            <wp:effectExtent l="0" t="0" r="5080" b="190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600" cy="417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Western Australia</w:t>
      </w:r>
    </w:p>
    <w:p>
      <w:pPr>
        <w:pStyle w:val="NameofActReg"/>
      </w:pPr>
      <w:r>
        <w:t>Civil Procedure (Representative Proceedings) Act 2022</w:t>
      </w:r>
    </w:p>
    <w:p>
      <w:pPr>
        <w:pStyle w:val="LongTitle"/>
      </w:pPr>
      <w:bookmarkStart w:id="3" w:name="BillCited"/>
      <w:bookmarkEnd w:id="3"/>
      <w:r>
        <w:t>An Act to provide for representative proceedings in civil proceedings in the Supreme Court.</w:t>
      </w:r>
    </w:p>
    <w:p>
      <w:pPr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type w:val="oddPage"/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Heading2"/>
      </w:pPr>
      <w:bookmarkStart w:id="4" w:name="_Toc114064304"/>
      <w:bookmarkStart w:id="5" w:name="_Toc114064361"/>
      <w:bookmarkStart w:id="6" w:name="_Toc114064468"/>
      <w:bookmarkStart w:id="7" w:name="_Toc114065662"/>
      <w:bookmarkStart w:id="8" w:name="_Toc114065696"/>
      <w:bookmarkStart w:id="9" w:name="_Toc114065845"/>
      <w:bookmarkStart w:id="10" w:name="_Toc114065892"/>
      <w:r>
        <w:rPr>
          <w:rStyle w:val="CharPartNo"/>
        </w:rPr>
        <w:lastRenderedPageBreak/>
        <w:t>Part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4"/>
      <w:bookmarkEnd w:id="5"/>
      <w:bookmarkEnd w:id="6"/>
      <w:bookmarkEnd w:id="7"/>
      <w:bookmarkEnd w:id="8"/>
      <w:bookmarkEnd w:id="9"/>
      <w:bookmarkEnd w:id="10"/>
    </w:p>
    <w:p>
      <w:pPr>
        <w:pStyle w:val="Heading5"/>
      </w:pPr>
      <w:bookmarkStart w:id="11" w:name="_Toc114065893"/>
      <w:r>
        <w:rPr>
          <w:rStyle w:val="CharSectno"/>
        </w:rPr>
        <w:t>1</w:t>
      </w:r>
      <w:r>
        <w:t>.</w:t>
      </w:r>
      <w:r>
        <w:tab/>
        <w:t>Short title</w:t>
      </w:r>
      <w:bookmarkEnd w:id="11"/>
    </w:p>
    <w:p>
      <w:pPr>
        <w:pStyle w:val="Subsection"/>
      </w:pPr>
      <w:r>
        <w:tab/>
      </w:r>
      <w:r>
        <w:tab/>
        <w:t>This is the</w:t>
      </w:r>
      <w:r>
        <w:rPr>
          <w:i/>
        </w:rPr>
        <w:t xml:space="preserve"> Civil Procedure (Representative Proceedings) Act 2022</w:t>
      </w:r>
      <w:r>
        <w:t>.</w:t>
      </w:r>
    </w:p>
    <w:p>
      <w:pPr>
        <w:pStyle w:val="Heading5"/>
      </w:pPr>
      <w:bookmarkStart w:id="12" w:name="_Toc114065894"/>
      <w:r>
        <w:rPr>
          <w:rStyle w:val="CharSectno"/>
        </w:rPr>
        <w:t>2</w:t>
      </w:r>
      <w:r>
        <w:t>.</w:t>
      </w:r>
      <w:r>
        <w:tab/>
        <w:t>Commencement</w:t>
      </w:r>
      <w:bookmarkEnd w:id="12"/>
    </w:p>
    <w:p>
      <w:pPr>
        <w:pStyle w:val="Subsection"/>
      </w:pPr>
      <w:r>
        <w:tab/>
      </w:r>
      <w:r>
        <w:tab/>
        <w:t xml:space="preserve">This Act </w:t>
      </w:r>
      <w:r>
        <w:rPr>
          <w:spacing w:val="-2"/>
        </w:rPr>
        <w:t xml:space="preserve">comes into </w:t>
      </w:r>
      <w:r>
        <w:t>operation</w:t>
      </w:r>
      <w:r>
        <w:rPr>
          <w:spacing w:val="-2"/>
        </w:rPr>
        <w:t xml:space="preserve"> as follows</w:t>
      </w:r>
      <w:r>
        <w:t> —</w:t>
      </w:r>
    </w:p>
    <w:p>
      <w:pPr>
        <w:pStyle w:val="Indenta"/>
      </w:pPr>
      <w:r>
        <w:tab/>
        <w:t>(a)</w:t>
      </w:r>
      <w:r>
        <w:tab/>
        <w:t>Part 1 — on the day on which this Act receives the Royal Assent;</w:t>
      </w:r>
    </w:p>
    <w:p>
      <w:pPr>
        <w:pStyle w:val="Indenta"/>
      </w:pPr>
      <w:r>
        <w:tab/>
        <w:t>(b)</w:t>
      </w:r>
      <w:r>
        <w:tab/>
        <w:t>the rest of the Act — on a day fixed by proclamation.</w:t>
      </w:r>
    </w:p>
    <w:p>
      <w:pPr>
        <w:pStyle w:val="Heading5"/>
      </w:pPr>
      <w:bookmarkStart w:id="13" w:name="_Toc114065895"/>
      <w:r>
        <w:rPr>
          <w:rStyle w:val="CharSectno"/>
        </w:rPr>
        <w:t>3</w:t>
      </w:r>
      <w:r>
        <w:t>.</w:t>
      </w:r>
      <w:r>
        <w:tab/>
        <w:t>Terms used</w:t>
      </w:r>
      <w:bookmarkEnd w:id="13"/>
    </w:p>
    <w:p>
      <w:pPr>
        <w:pStyle w:val="Subsection"/>
        <w:ind w:left="1758"/>
      </w:pPr>
      <w:r>
        <w:t>In this Act —</w:t>
      </w:r>
    </w:p>
    <w:p>
      <w:pPr>
        <w:pStyle w:val="Defstart"/>
        <w:rPr>
          <w:szCs w:val="24"/>
        </w:rPr>
      </w:pPr>
      <w:r>
        <w:tab/>
      </w:r>
      <w:r>
        <w:rPr>
          <w:rStyle w:val="CharDefText"/>
        </w:rPr>
        <w:t>Court</w:t>
      </w:r>
      <w:r>
        <w:t xml:space="preserve"> means the Supreme Court;</w:t>
      </w:r>
    </w:p>
    <w:p>
      <w:pPr>
        <w:pStyle w:val="Defstart"/>
      </w:pPr>
      <w:r>
        <w:tab/>
      </w:r>
      <w:r>
        <w:rPr>
          <w:rStyle w:val="CharDefText"/>
        </w:rPr>
        <w:t>group member</w:t>
      </w:r>
      <w:r>
        <w:t xml:space="preserve"> means a member of a group of persons on whose behalf a representative proceeding has been commenced; </w:t>
      </w:r>
    </w:p>
    <w:p>
      <w:pPr>
        <w:pStyle w:val="Defstart"/>
      </w:pPr>
      <w:r>
        <w:tab/>
      </w:r>
      <w:r>
        <w:rPr>
          <w:rStyle w:val="CharDefText"/>
        </w:rPr>
        <w:t>proceeding</w:t>
      </w:r>
      <w:r>
        <w:t xml:space="preserve"> means a civil proceeding in the Court;</w:t>
      </w:r>
    </w:p>
    <w:p>
      <w:pPr>
        <w:pStyle w:val="Defstart"/>
      </w:pPr>
      <w:r>
        <w:tab/>
      </w:r>
      <w:r>
        <w:rPr>
          <w:rStyle w:val="CharDefText"/>
        </w:rPr>
        <w:t>representative party</w:t>
      </w:r>
      <w:r>
        <w:t xml:space="preserve"> means a person who commences a representative proceeding or who is substituted as a representative party under this Act;</w:t>
      </w:r>
    </w:p>
    <w:p>
      <w:pPr>
        <w:pStyle w:val="Defstart"/>
        <w:rPr>
          <w:szCs w:val="24"/>
        </w:rPr>
      </w:pPr>
      <w:r>
        <w:tab/>
      </w:r>
      <w:r>
        <w:rPr>
          <w:rStyle w:val="CharDefText"/>
        </w:rPr>
        <w:t>representative proceeding</w:t>
      </w:r>
      <w:r>
        <w:rPr>
          <w:szCs w:val="24"/>
        </w:rPr>
        <w:t xml:space="preserve"> means a proceeding commenced as a representative proceeding under this Act;</w:t>
      </w:r>
    </w:p>
    <w:p>
      <w:pPr>
        <w:pStyle w:val="Defstart"/>
      </w:pPr>
      <w:r>
        <w:tab/>
      </w:r>
      <w:r>
        <w:rPr>
          <w:rStyle w:val="CharDefText"/>
        </w:rPr>
        <w:t>respondent</w:t>
      </w:r>
      <w:r>
        <w:t xml:space="preserve"> means a person against whom relief is sought in a representative proceeding;</w:t>
      </w:r>
    </w:p>
    <w:p>
      <w:pPr>
        <w:pStyle w:val="Defstart"/>
      </w:pPr>
      <w:r>
        <w:tab/>
      </w:r>
      <w:r>
        <w:rPr>
          <w:rStyle w:val="CharDefText"/>
        </w:rPr>
        <w:t>sub</w:t>
      </w:r>
      <w:r>
        <w:rPr>
          <w:rStyle w:val="CharDefText"/>
        </w:rPr>
        <w:noBreakHyphen/>
        <w:t>group member</w:t>
      </w:r>
      <w:r>
        <w:t xml:space="preserve"> means a person included in a sub</w:t>
      </w:r>
      <w:r>
        <w:noBreakHyphen/>
        <w:t>group established under section 18;</w:t>
      </w:r>
    </w:p>
    <w:p>
      <w:pPr>
        <w:pStyle w:val="Defstart"/>
      </w:pPr>
      <w:r>
        <w:tab/>
      </w:r>
      <w:r>
        <w:rPr>
          <w:rStyle w:val="CharDefText"/>
        </w:rPr>
        <w:t>sub</w:t>
      </w:r>
      <w:r>
        <w:rPr>
          <w:rStyle w:val="CharDefText"/>
        </w:rPr>
        <w:noBreakHyphen/>
        <w:t>group representative party</w:t>
      </w:r>
      <w:r>
        <w:t xml:space="preserve"> means a person appointed to be the sub</w:t>
      </w:r>
      <w:r>
        <w:noBreakHyphen/>
        <w:t>group representative party for sub</w:t>
      </w:r>
      <w:r>
        <w:noBreakHyphen/>
        <w:t>group members or who is substituted as a sub</w:t>
      </w:r>
      <w:r>
        <w:noBreakHyphen/>
        <w:t>group representative party under this Act.</w:t>
      </w:r>
    </w:p>
    <w:p>
      <w:pPr>
        <w:pStyle w:val="Heading5"/>
      </w:pPr>
      <w:bookmarkStart w:id="14" w:name="_Toc114065896"/>
      <w:r>
        <w:rPr>
          <w:rStyle w:val="CharSectno"/>
        </w:rPr>
        <w:lastRenderedPageBreak/>
        <w:t>4</w:t>
      </w:r>
      <w:r>
        <w:t>.</w:t>
      </w:r>
      <w:r>
        <w:tab/>
        <w:t>Proceedings to which Act applies</w:t>
      </w:r>
      <w:bookmarkEnd w:id="14"/>
    </w:p>
    <w:p>
      <w:pPr>
        <w:pStyle w:val="Subsection"/>
      </w:pPr>
      <w:r>
        <w:tab/>
        <w:t>(1)</w:t>
      </w:r>
      <w:r>
        <w:tab/>
        <w:t>This Act applies to a proceeding commenced on or after the day on which this section comes into operation, whether the cause of action accrued before, on or after that day.</w:t>
      </w:r>
    </w:p>
    <w:p>
      <w:pPr>
        <w:pStyle w:val="Subsection"/>
      </w:pPr>
      <w:r>
        <w:tab/>
        <w:t>(2)</w:t>
      </w:r>
      <w:r>
        <w:tab/>
        <w:t>This Act does not prevent the commencement or continuance of proceedings under any provision of the rules of the Court providing for proceedings by or against a person as representing others who have the same interest in proceedings.</w:t>
      </w:r>
    </w:p>
    <w:p>
      <w:pPr>
        <w:pStyle w:val="Heading5"/>
      </w:pPr>
      <w:bookmarkStart w:id="15" w:name="_Toc114065897"/>
      <w:r>
        <w:rPr>
          <w:rStyle w:val="CharSectno"/>
        </w:rPr>
        <w:t>5</w:t>
      </w:r>
      <w:r>
        <w:t>.</w:t>
      </w:r>
      <w:r>
        <w:tab/>
        <w:t>Act binds Crown</w:t>
      </w:r>
      <w:bookmarkEnd w:id="15"/>
    </w:p>
    <w:p>
      <w:pPr>
        <w:pStyle w:val="Subsection"/>
      </w:pPr>
      <w:r>
        <w:tab/>
      </w:r>
      <w:r>
        <w:tab/>
        <w:t>This Act binds the Crown in right of Western Australia and, so far as the legislative power of the Parliament permits, the Crown in all its other capacities.</w:t>
      </w:r>
    </w:p>
    <w:p>
      <w:pPr>
        <w:pStyle w:val="Ednotepart"/>
      </w:pPr>
      <w:bookmarkStart w:id="16" w:name="_Toc114064310"/>
      <w:bookmarkStart w:id="17" w:name="_Toc114064367"/>
      <w:bookmarkStart w:id="18" w:name="_Toc114064474"/>
      <w:r>
        <w:t>[Parts 2</w:t>
      </w:r>
      <w:r>
        <w:noBreakHyphen/>
        <w:t>6 have not come into operation.]</w:t>
      </w:r>
    </w:p>
    <w:bookmarkEnd w:id="16"/>
    <w:bookmarkEnd w:id="17"/>
    <w:bookmarkEnd w:id="18"/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2" name="Picture 2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line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Subsection"/>
        <w:sectPr>
          <w:headerReference w:type="even" r:id="rId25"/>
          <w:headerReference w:type="default" r:id="rId26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cols w:space="720"/>
          <w:docGrid w:linePitch="326"/>
        </w:sectPr>
      </w:pPr>
    </w:p>
    <w:p>
      <w:pPr>
        <w:pStyle w:val="nHeading2"/>
      </w:pPr>
      <w:bookmarkStart w:id="19" w:name="_Toc114065668"/>
      <w:bookmarkStart w:id="20" w:name="_Toc114065702"/>
      <w:bookmarkStart w:id="21" w:name="_Toc114065851"/>
      <w:bookmarkStart w:id="22" w:name="_Toc114065898"/>
      <w:bookmarkStart w:id="23" w:name="_Toc114064347"/>
      <w:bookmarkStart w:id="24" w:name="_Toc114064404"/>
      <w:bookmarkStart w:id="25" w:name="_Toc114064511"/>
      <w:r>
        <w:lastRenderedPageBreak/>
        <w:t>Notes</w:t>
      </w:r>
      <w:bookmarkEnd w:id="19"/>
      <w:bookmarkEnd w:id="20"/>
      <w:bookmarkEnd w:id="21"/>
      <w:bookmarkEnd w:id="22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Civil Procedure (Representative Proceedings) Act 2022</w:t>
      </w:r>
      <w:r>
        <w:t>. For provisions that have come into operation see the compilation table. For provisions that have not yet come into operation see the uncommenced provisions table.</w:t>
      </w:r>
    </w:p>
    <w:p>
      <w:pPr>
        <w:pStyle w:val="nHeading3"/>
      </w:pPr>
      <w:bookmarkStart w:id="26" w:name="_Toc114065899"/>
      <w:r>
        <w:t>Compilation table</w:t>
      </w:r>
      <w:bookmarkEnd w:id="26"/>
    </w:p>
    <w:tbl>
      <w:tblPr>
        <w:tblW w:w="0" w:type="auto"/>
        <w:tblInd w:w="28" w:type="dxa"/>
        <w:tblBorders>
          <w:top w:val="single" w:sz="8" w:space="0" w:color="auto"/>
          <w:bottom w:val="single" w:sz="8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268"/>
        <w:gridCol w:w="1134"/>
        <w:gridCol w:w="1134"/>
        <w:gridCol w:w="2552"/>
      </w:tblGrid>
      <w:tr>
        <w:trPr>
          <w:tblHeader/>
        </w:trPr>
        <w:tc>
          <w:tcPr>
            <w:tcW w:w="226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Short title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Number and year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Assent</w:t>
            </w:r>
          </w:p>
        </w:tc>
        <w:tc>
          <w:tcPr>
            <w:tcW w:w="2552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2268" w:type="dxa"/>
          </w:tcPr>
          <w:p>
            <w:pPr>
              <w:pStyle w:val="nTable"/>
              <w:spacing w:after="40"/>
            </w:pPr>
            <w:r>
              <w:rPr>
                <w:i/>
                <w:noProof/>
              </w:rPr>
              <w:t>Civil Procedure (Representative Proceedings) Act 2022</w:t>
            </w:r>
            <w:r>
              <w:rPr>
                <w:noProof/>
              </w:rPr>
              <w:t xml:space="preserve"> Pt. 1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</w:pPr>
            <w:r>
              <w:t>30 of 2022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</w:pPr>
            <w:r>
              <w:t>14 Sep 2022</w:t>
            </w:r>
          </w:p>
        </w:tc>
        <w:tc>
          <w:tcPr>
            <w:tcW w:w="2552" w:type="dxa"/>
          </w:tcPr>
          <w:p>
            <w:pPr>
              <w:pStyle w:val="nTable"/>
              <w:spacing w:after="40"/>
            </w:pPr>
            <w:r>
              <w:t>14 Sep 2022 (see s. 2(a))</w:t>
            </w:r>
          </w:p>
        </w:tc>
      </w:tr>
    </w:tbl>
    <w:p>
      <w:pPr>
        <w:pStyle w:val="nHeading3"/>
      </w:pPr>
      <w:bookmarkStart w:id="27" w:name="_Toc114065900"/>
      <w:r>
        <w:t>Uncommenced provisions table</w:t>
      </w:r>
      <w:bookmarkEnd w:id="27"/>
    </w:p>
    <w:p>
      <w:pPr>
        <w:pStyle w:val="nStatement"/>
        <w:keepNext/>
        <w:spacing w:after="240"/>
      </w:pPr>
      <w:r>
        <w:t xml:space="preserve">To view the text of the uncommenced provisions see </w:t>
      </w:r>
      <w:r>
        <w:rPr>
          <w:i/>
        </w:rPr>
        <w:t>Acts as passed</w:t>
      </w:r>
      <w:r>
        <w:t xml:space="preserve"> on the WA Legislation website.</w:t>
      </w:r>
    </w:p>
    <w:tbl>
      <w:tblPr>
        <w:tblW w:w="0" w:type="auto"/>
        <w:tblInd w:w="28" w:type="dxa"/>
        <w:tblBorders>
          <w:top w:val="single" w:sz="8" w:space="0" w:color="auto"/>
          <w:bottom w:val="single" w:sz="8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268"/>
        <w:gridCol w:w="1134"/>
        <w:gridCol w:w="1134"/>
        <w:gridCol w:w="2552"/>
      </w:tblGrid>
      <w:tr>
        <w:trPr>
          <w:tblHeader/>
        </w:trPr>
        <w:tc>
          <w:tcPr>
            <w:tcW w:w="226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Short title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Number and year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Assent</w:t>
            </w:r>
          </w:p>
        </w:tc>
        <w:tc>
          <w:tcPr>
            <w:tcW w:w="2552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2268" w:type="dxa"/>
          </w:tcPr>
          <w:p>
            <w:pPr>
              <w:pStyle w:val="nTable"/>
              <w:spacing w:after="40"/>
            </w:pPr>
            <w:r>
              <w:rPr>
                <w:i/>
                <w:noProof/>
              </w:rPr>
              <w:t>Civil Procedure (Representative Proceedings) Act 2022</w:t>
            </w:r>
            <w:r>
              <w:rPr>
                <w:noProof/>
              </w:rPr>
              <w:t xml:space="preserve"> Pt. 2-6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</w:pPr>
            <w:r>
              <w:t>30 of 2022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</w:pPr>
            <w:r>
              <w:t>14 Sep 2022</w:t>
            </w:r>
          </w:p>
        </w:tc>
        <w:tc>
          <w:tcPr>
            <w:tcW w:w="2552" w:type="dxa"/>
          </w:tcPr>
          <w:p>
            <w:pPr>
              <w:pStyle w:val="nTable"/>
              <w:spacing w:after="40"/>
            </w:pPr>
            <w:r>
              <w:t>To be proclaimed (see s. 2(b))</w:t>
            </w:r>
          </w:p>
        </w:tc>
      </w:tr>
    </w:tbl>
    <w:p>
      <w:pPr>
        <w:sectPr>
          <w:headerReference w:type="even" r:id="rId27"/>
          <w:headerReference w:type="default" r:id="rId28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29" w:name="_Toc114065854"/>
      <w:bookmarkStart w:id="30" w:name="_Toc114065901"/>
      <w:bookmarkEnd w:id="23"/>
      <w:bookmarkEnd w:id="24"/>
      <w:bookmarkEnd w:id="25"/>
      <w:r>
        <w:rPr>
          <w:sz w:val="28"/>
        </w:rPr>
        <w:lastRenderedPageBreak/>
        <w:t>Defined terms</w:t>
      </w:r>
      <w:bookmarkEnd w:id="29"/>
      <w:bookmarkEnd w:id="30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Court</w:t>
      </w:r>
      <w:r>
        <w:tab/>
        <w:t>3</w:t>
      </w:r>
    </w:p>
    <w:p>
      <w:pPr>
        <w:pStyle w:val="DefinedTerms"/>
      </w:pPr>
      <w:r>
        <w:t>group member</w:t>
      </w:r>
      <w:r>
        <w:tab/>
        <w:t>3</w:t>
      </w:r>
    </w:p>
    <w:p>
      <w:pPr>
        <w:pStyle w:val="DefinedTerms"/>
      </w:pPr>
      <w:r>
        <w:t>proceeding</w:t>
      </w:r>
      <w:r>
        <w:tab/>
        <w:t>3</w:t>
      </w:r>
    </w:p>
    <w:p>
      <w:pPr>
        <w:pStyle w:val="DefinedTerms"/>
      </w:pPr>
      <w:r>
        <w:t>representative party</w:t>
      </w:r>
      <w:r>
        <w:tab/>
        <w:t>3</w:t>
      </w:r>
    </w:p>
    <w:p>
      <w:pPr>
        <w:pStyle w:val="DefinedTerms"/>
      </w:pPr>
      <w:r>
        <w:t>representative proceeding</w:t>
      </w:r>
      <w:r>
        <w:tab/>
        <w:t>3</w:t>
      </w:r>
    </w:p>
    <w:p>
      <w:pPr>
        <w:pStyle w:val="DefinedTerms"/>
      </w:pPr>
      <w:r>
        <w:t>respondent</w:t>
      </w:r>
      <w:r>
        <w:tab/>
        <w:t>3</w:t>
      </w:r>
    </w:p>
    <w:p>
      <w:pPr>
        <w:pStyle w:val="DefinedTerms"/>
      </w:pPr>
      <w:r>
        <w:t>sub-group member</w:t>
      </w:r>
      <w:r>
        <w:tab/>
        <w:t>3</w:t>
      </w:r>
    </w:p>
    <w:p>
      <w:pPr>
        <w:pStyle w:val="DefinedTerms"/>
      </w:pPr>
      <w:r>
        <w:t>sub-group representative party</w:t>
      </w:r>
      <w:r>
        <w:tab/>
        <w:t>3</w:t>
      </w:r>
    </w:p>
    <w:p/>
    <w:p>
      <w:pPr>
        <w:sectPr>
          <w:headerReference w:type="even" r:id="rId29"/>
          <w:headerReference w:type="default" r:id="rId30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31"/>
      <w:headerReference w:type="default" r:id="rId32"/>
      <w:footerReference w:type="even" r:id="rId33"/>
      <w:footerReference w:type="default" r:id="rId34"/>
      <w:headerReference w:type="first" r:id="rId35"/>
      <w:footerReference w:type="first" r:id="rId36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  <w:endnote w:type="continuationNotice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14 Sep 2022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14 Sep 2022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14 Sep 2022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14 Sep 2022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14 Sep 2022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14 Sep 2022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Civil Procedure (Representative Proceedings) Act 2022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Civil Procedure (Representative Proceedings) Act 2022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Civil Procedure (Representative Proceedings) Act 2022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Civil Procedure (Representative Proceedings) Act 2022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Civil Procedure (Representative Proceedings) Act 2022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Civil Procedure (Representative Proceedings) Act 2022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Civil Procedure (Representative Proceedings) Act 2022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64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Civil Procedure (Representative Proceedings) Act 2022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60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8" w:name="Compilation"/>
    <w:bookmarkEnd w:id="28"/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Civil Procedure (Representative Proceedings) Act 2022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2" </w:instrText>
          </w:r>
          <w:r>
            <w:fldChar w:fldCharType="separate"/>
          </w:r>
          <w:r>
            <w:t>Notes</w:t>
          </w:r>
          <w: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Civil Procedure (Representative Proceedings) Act 2022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fldChar w:fldCharType="begin"/>
          </w:r>
          <w:r>
            <w:instrText xml:space="preserve"> STYLEREF "nHeading 2" </w:instrText>
          </w:r>
          <w:r>
            <w:fldChar w:fldCharType="separate"/>
          </w:r>
          <w:r>
            <w:t>Notes</w:t>
          </w:r>
          <w: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  <w:bookmarkStart w:id="31" w:name="DefinedTerms"/>
    <w:bookmarkEnd w:id="31"/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32" w:name="Coversheet"/>
    <w:bookmarkEnd w:id="32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6E38D7C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6144F87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94C2480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7A4ED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FC29B5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99EDD4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2D0D50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48EB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B1C8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842CE8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3C2808C0"/>
    <w:multiLevelType w:val="singleLevel"/>
    <w:tmpl w:val="B1B4B30E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0"/>
  </w:num>
  <w:num w:numId="2">
    <w:abstractNumId w:val="11"/>
  </w:num>
  <w:num w:numId="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intFractionalCharacterWidth/>
  <w:activeWritingStyle w:appName="MSWord" w:lang="en-AU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doNotHyphenateCaps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pos w:val="sectEnd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RuleErr_0001 Description=&quot;Citation not found&quot; Search=&quot;VerifyActsAndRegs&quot; /&gt;&lt;RuleErr_0002 Description=&quot;Citation not in the correct format&quot; Search=&quot;VerifyActsAndRegs&quot; /&gt;&lt;RuleErr_0003 Description=&quot;Citation not found&quot; Search=&quot;VerifyActsAndRegs&quot; /&gt;&lt;Current&gt;4&lt;/Current&gt;&lt;Maximum&gt;3&lt;/Maximum&gt;&lt;/AllLaws&gt;"/>
    <w:docVar w:name="WAFER" w:val="20220914160929"/>
    <w:docVar w:name="WAFER_20150206084435" w:val="ResetPageSize"/>
    <w:docVar w:name="WAFER_20150206084435_GUID" w:val="bd672a8f-e74f-4265-8b59-571b146e34b9"/>
    <w:docVar w:name="WAFER_20151016134806" w:val="UsedStyles"/>
    <w:docVar w:name="WAFER_20151016134806_GUID" w:val="77167ae3-b7f9-4ae7-a275-d4dd9db5de8f"/>
    <w:docVar w:name="WAFER_20151016134831" w:val="UpdateStyles"/>
    <w:docVar w:name="WAFER_20151016134831_GUID" w:val="68650fa9-f801-454a-81cb-df6f0a3af691"/>
    <w:docVar w:name="WAFER_20151016170344" w:val="UpdateStyles"/>
    <w:docVar w:name="WAFER_20151016170344_GUID" w:val="c2fb0bb9-fde3-426d-a7f7-1ca211c82009"/>
    <w:docVar w:name="WAFER_20151016170354" w:val="UsedStyles"/>
    <w:docVar w:name="WAFER_20151016170354_GUID" w:val="d4fa4e8d-5c43-4618-b8fe-4523b77d625d"/>
    <w:docVar w:name="WAFER_20151016170429" w:val="UpdateStyles"/>
    <w:docVar w:name="WAFER_20151016170429_GUID" w:val="32c06985-9f0e-42f1-9a8c-d3c43cfa7a80"/>
    <w:docVar w:name="WAFER_20151019113653" w:val="UpdateStyles,UsedStyles"/>
    <w:docVar w:name="WAFER_20151019113653_GUID" w:val="1f665551-9baf-4b15-bb73-b1d91ed3e6c5"/>
    <w:docVar w:name="WAFER_20151102150119" w:val="UpdateStyles,UsedStyles"/>
    <w:docVar w:name="WAFER_20151102150119_GUID" w:val="a899c777-2ec0-4846-a593-74d215570969"/>
    <w:docVar w:name="WAFER_20190125160012" w:val="UpdateStyles"/>
    <w:docVar w:name="WAFER_20190125160012_GUID" w:val="dc5d0076-61d2-4a5a-ade6-d09c39dd39b9"/>
    <w:docVar w:name="WAFER_20190213151032" w:val="UpdateStyles"/>
    <w:docVar w:name="WAFER_20190213151032_GUID" w:val="9dd68532-689a-40c0-9c87-5c2f321a3e4e"/>
    <w:docVar w:name="WAFER_20190227114526" w:val="UpdateStyles"/>
    <w:docVar w:name="WAFER_20190227114526_GUID" w:val="0e6e130b-18da-4239-84b5-f08b99a6e1c9"/>
    <w:docVar w:name="WAFER_20200207102225" w:val="UpdateStyles.ProcessFixes,UpdateStyles.ProcessFixes,RemoveIncorrectStyles.ProcessStyles,RemoveIncorrectStyles.ProcessStyles"/>
    <w:docVar w:name="WAFER_20200207102225_GUID" w:val="592fe921-7416-4a1a-b8d7-41a034b93757"/>
    <w:docVar w:name="WAFER_20210708155842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708155842_GUID" w:val="38f26b25-7375-4436-8e3b-31f0cd6f0a7d"/>
    <w:docVar w:name="WAFER_20220914160929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"/>
    <w:docVar w:name="WAFER_20220914160929_GUID" w:val="ba45e149-5084-4fd4-9441-6e3b7e23de40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1BF17B-C111-4A2A-A2D5-37180F6303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character" w:customStyle="1" w:styleId="CharSectno">
    <w:name w:val="CharSectno"/>
    <w:qFormat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LongTitle">
    <w:name w:val="Long Title"/>
    <w:rPr>
      <w:b/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</w:tabs>
    </w:pPr>
  </w:style>
  <w:style w:type="paragraph" w:styleId="ListBullet3">
    <w:name w:val="List Bullet 3"/>
    <w:basedOn w:val="Normal"/>
    <w:autoRedefine/>
    <w:pPr>
      <w:tabs>
        <w:tab w:val="num" w:pos="360"/>
      </w:tabs>
    </w:pPr>
  </w:style>
  <w:style w:type="paragraph" w:styleId="ListBullet4">
    <w:name w:val="List Bullet 4"/>
    <w:basedOn w:val="Normal"/>
    <w:autoRedefine/>
    <w:pPr>
      <w:tabs>
        <w:tab w:val="num" w:pos="360"/>
      </w:tabs>
    </w:pPr>
  </w:style>
  <w:style w:type="paragraph" w:styleId="ListBullet5">
    <w:name w:val="List Bullet 5"/>
    <w:basedOn w:val="Normal"/>
    <w:autoRedefine/>
    <w:pPr>
      <w:tabs>
        <w:tab w:val="num" w:pos="360"/>
      </w:tabs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</w:tabs>
    </w:pPr>
  </w:style>
  <w:style w:type="paragraph" w:styleId="ListNumber3">
    <w:name w:val="List Number 3"/>
    <w:basedOn w:val="Normal"/>
    <w:pPr>
      <w:tabs>
        <w:tab w:val="num" w:pos="360"/>
      </w:tabs>
    </w:pPr>
  </w:style>
  <w:style w:type="paragraph" w:styleId="ListNumber4">
    <w:name w:val="List Number 4"/>
    <w:basedOn w:val="Normal"/>
    <w:pPr>
      <w:tabs>
        <w:tab w:val="num" w:pos="360"/>
      </w:tabs>
    </w:pPr>
  </w:style>
  <w:style w:type="paragraph" w:styleId="ListNumber5">
    <w:name w:val="List Number 5"/>
    <w:basedOn w:val="Normal"/>
    <w:pPr>
      <w:tabs>
        <w:tab w:val="num" w:pos="360"/>
      </w:tabs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zTHeadingNAm">
    <w:name w:val="zTHeadingNAm"/>
    <w:basedOn w:val="THeadingNAm"/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yTHeadingNAm">
    <w:name w:val="zyTHeadingNAm"/>
    <w:basedOn w:val="yTHeadingNAm"/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zTableNAm">
    <w:name w:val="zTableNAm"/>
    <w:basedOn w:val="TableNAm"/>
  </w:style>
  <w:style w:type="paragraph" w:customStyle="1" w:styleId="yTableNAm">
    <w:name w:val="yTableNAm"/>
    <w:basedOn w:val="TableNAm"/>
    <w:rPr>
      <w:sz w:val="22"/>
    </w:rPr>
  </w:style>
  <w:style w:type="paragraph" w:customStyle="1" w:styleId="zyTableNAm">
    <w:name w:val="zyTableNAm"/>
    <w:basedOn w:val="yTableNAm"/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21" Type="http://schemas.openxmlformats.org/officeDocument/2006/relationships/header" Target="header7.xml"/><Relationship Id="rId34" Type="http://schemas.openxmlformats.org/officeDocument/2006/relationships/footer" Target="footer8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footer" Target="footer7.xml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image" Target="media/image2.png"/><Relationship Id="rId32" Type="http://schemas.openxmlformats.org/officeDocument/2006/relationships/header" Target="header17.xml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3.xml"/><Relationship Id="rId36" Type="http://schemas.openxmlformats.org/officeDocument/2006/relationships/footer" Target="footer9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2.xml"/><Relationship Id="rId30" Type="http://schemas.openxmlformats.org/officeDocument/2006/relationships/header" Target="header15.xml"/><Relationship Id="rId35" Type="http://schemas.openxmlformats.org/officeDocument/2006/relationships/header" Target="header18.xml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D7A7F9-980D-443C-B766-BB9D433FE3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633</Words>
  <Characters>3336</Characters>
  <Application>Microsoft Office Word</Application>
  <DocSecurity>0</DocSecurity>
  <Lines>139</Lines>
  <Paragraphs>101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(Bills)</vt:lpstr>
    </vt:vector>
  </TitlesOfParts>
  <Manager/>
  <Company/>
  <LinksUpToDate>false</LinksUpToDate>
  <CharactersWithSpaces>3868</CharactersWithSpaces>
  <SharedDoc>false</SharedDoc>
  <HyperlinkBase/>
  <HLinks>
    <vt:vector size="12" baseType="variant">
      <vt:variant>
        <vt:i4>3276894</vt:i4>
      </vt:variant>
      <vt:variant>
        <vt:i4>140</vt:i4>
      </vt:variant>
      <vt:variant>
        <vt:i4>0</vt:i4>
      </vt:variant>
      <vt:variant>
        <vt:i4>5</vt:i4>
      </vt:variant>
      <vt:variant>
        <vt:lpwstr>mailto:John.Lightowlers@psc.wa.gov.au</vt:lpwstr>
      </vt:variant>
      <vt:variant>
        <vt:lpwstr/>
      </vt:variant>
      <vt:variant>
        <vt:i4>5898351</vt:i4>
      </vt:variant>
      <vt:variant>
        <vt:i4>135</vt:i4>
      </vt:variant>
      <vt:variant>
        <vt:i4>0</vt:i4>
      </vt:variant>
      <vt:variant>
        <vt:i4>5</vt:i4>
      </vt:variant>
      <vt:variant>
        <vt:lpwstr>mailto:DraftLegislation@treasury.wa.gov.au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Civil Procedure (Representative Proceedings) Act 2022 - 00-a0-00</dc:title>
  <dc:subject/>
  <dc:creator/>
  <cp:keywords/>
  <dc:description/>
  <cp:lastModifiedBy>Master Repository Process</cp:lastModifiedBy>
  <cp:revision>4</cp:revision>
  <cp:lastPrinted>2022-09-09T01:16:00Z</cp:lastPrinted>
  <dcterms:created xsi:type="dcterms:W3CDTF">2022-09-14T08:51:00Z</dcterms:created>
  <dcterms:modified xsi:type="dcterms:W3CDTF">2022-09-14T08:51:00Z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tNo">
    <vt:lpwstr>30 of 2022</vt:lpwstr>
  </property>
  <property fmtid="{D5CDD505-2E9C-101B-9397-08002B2CF9AE}" pid="3" name="DocumentType">
    <vt:lpwstr>Act</vt:lpwstr>
  </property>
  <property fmtid="{D5CDD505-2E9C-101B-9397-08002B2CF9AE}" pid="4" name="CommencementDate">
    <vt:lpwstr>20220914</vt:lpwstr>
  </property>
  <property fmtid="{D5CDD505-2E9C-101B-9397-08002B2CF9AE}" pid="5" name="AsAtDate">
    <vt:lpwstr>14 Sep 2022</vt:lpwstr>
  </property>
  <property fmtid="{D5CDD505-2E9C-101B-9397-08002B2CF9AE}" pid="6" name="Suffix">
    <vt:lpwstr>00-a0-00</vt:lpwstr>
  </property>
</Properties>
</file>