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_Toc114575761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_Toc114575762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_Toc114575763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in section headings and definitions to comparable provisions of Commonwealth Family Law Act</w:t>
      </w:r>
      <w:r>
        <w:tab/>
      </w:r>
      <w:r>
        <w:fldChar w:fldCharType="begin"/>
      </w:r>
      <w:r>
        <w:instrText xml:space="preserve"> PAGEREF _Toc114575764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_Toc114575765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_Toc114575766 \h </w:instrText>
      </w:r>
      <w:r>
        <w:fldChar w:fldCharType="separate"/>
      </w:r>
      <w:r>
        <w:t>17</w:t>
      </w:r>
      <w:r>
        <w:fldChar w:fldCharType="end"/>
      </w:r>
    </w:p>
    <w:p>
      <w:pPr>
        <w:pStyle w:val="TOC8"/>
        <w:rPr>
          <w:rFonts w:asciiTheme="minorHAnsi" w:eastAsiaTheme="minorEastAsia" w:hAnsiTheme="minorHAnsi" w:cstheme="minorBidi"/>
          <w:szCs w:val="22"/>
        </w:rPr>
      </w:pPr>
      <w:r>
        <w:t>7.</w:t>
      </w:r>
      <w:r>
        <w:tab/>
        <w:t xml:space="preserve">Meaning of </w:t>
      </w:r>
      <w:r>
        <w:rPr>
          <w:i/>
        </w:rPr>
        <w:t>relative</w:t>
      </w:r>
      <w:r>
        <w:t> — FLA s. 4(1AC)</w:t>
      </w:r>
      <w:r>
        <w:tab/>
      </w:r>
      <w:r>
        <w:fldChar w:fldCharType="begin"/>
      </w:r>
      <w:r>
        <w:instrText xml:space="preserve"> PAGEREF _Toc114575767 \h </w:instrText>
      </w:r>
      <w:r>
        <w:fldChar w:fldCharType="separate"/>
      </w:r>
      <w:r>
        <w:t>19</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_Toc114575768 \h </w:instrText>
      </w:r>
      <w:r>
        <w:fldChar w:fldCharType="separate"/>
      </w:r>
      <w:r>
        <w:t>19</w:t>
      </w:r>
      <w:r>
        <w:fldChar w:fldCharType="end"/>
      </w:r>
    </w:p>
    <w:p>
      <w:pPr>
        <w:pStyle w:val="TOC8"/>
        <w:rPr>
          <w:rFonts w:asciiTheme="minorHAnsi" w:eastAsiaTheme="minorEastAsia" w:hAnsiTheme="minorHAnsi" w:cstheme="minorBidi"/>
          <w:szCs w:val="22"/>
        </w:rPr>
      </w:pPr>
      <w:r>
        <w:t>7B.</w:t>
      </w:r>
      <w:r>
        <w:tab/>
        <w:t xml:space="preserve">Meaning of </w:t>
      </w:r>
      <w:r>
        <w:rPr>
          <w:i/>
        </w:rPr>
        <w:t>debtor subject to a personal insolvency agreement</w:t>
      </w:r>
      <w:r>
        <w:t> — FLA s. 5</w:t>
      </w:r>
      <w:r>
        <w:tab/>
      </w:r>
      <w:r>
        <w:fldChar w:fldCharType="begin"/>
      </w:r>
      <w:r>
        <w:instrText xml:space="preserve"> PAGEREF _Toc114575769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_Toc114575770 \h </w:instrText>
      </w:r>
      <w:r>
        <w:fldChar w:fldCharType="separate"/>
      </w:r>
      <w:r>
        <w:t>21</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_Toc114575771 \h </w:instrText>
      </w:r>
      <w:r>
        <w:fldChar w:fldCharType="separate"/>
      </w:r>
      <w:r>
        <w:t>21</w:t>
      </w:r>
      <w:r>
        <w:fldChar w:fldCharType="end"/>
      </w:r>
    </w:p>
    <w:p>
      <w:pPr>
        <w:pStyle w:val="TOC8"/>
        <w:rPr>
          <w:rFonts w:asciiTheme="minorHAnsi" w:eastAsiaTheme="minorEastAsia" w:hAnsiTheme="minorHAnsi" w:cstheme="minorBidi"/>
          <w:szCs w:val="22"/>
        </w:rPr>
      </w:pPr>
      <w:r>
        <w:t>9B.</w:t>
      </w:r>
      <w:r>
        <w:tab/>
      </w:r>
      <w:r>
        <w:rPr>
          <w:i/>
        </w:rPr>
        <w:t>Courts and Tribunals (Electronic Processes Facilitation) Act 2013</w:t>
      </w:r>
      <w:r>
        <w:t xml:space="preserve"> Pt. 2 applies</w:t>
      </w:r>
      <w:r>
        <w:tab/>
      </w:r>
      <w:r>
        <w:fldChar w:fldCharType="begin"/>
      </w:r>
      <w:r>
        <w:instrText xml:space="preserve"> PAGEREF _Toc114575772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_Toc114575775 \h </w:instrText>
      </w:r>
      <w:r>
        <w:fldChar w:fldCharType="separate"/>
      </w:r>
      <w:r>
        <w:t>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_Toc114575776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_Toc114575778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_Toc114575779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13.</w:t>
      </w:r>
      <w:r>
        <w:tab/>
        <w:t>Oath of office</w:t>
      </w:r>
      <w:r>
        <w:tab/>
      </w:r>
      <w:r>
        <w:fldChar w:fldCharType="begin"/>
      </w:r>
      <w:r>
        <w:instrText xml:space="preserve"> PAGEREF _Toc114575780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Style and title of judges</w:t>
      </w:r>
      <w:r>
        <w:tab/>
      </w:r>
      <w:r>
        <w:fldChar w:fldCharType="begin"/>
      </w:r>
      <w:r>
        <w:instrText xml:space="preserve"> PAGEREF _Toc114575781 \h </w:instrText>
      </w:r>
      <w:r>
        <w:fldChar w:fldCharType="separate"/>
      </w:r>
      <w:r>
        <w:t>25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Salaries and allowances of judges</w:t>
      </w:r>
      <w:r>
        <w:tab/>
      </w:r>
      <w:r>
        <w:fldChar w:fldCharType="begin"/>
      </w:r>
      <w:r>
        <w:instrText xml:space="preserve"> PAGEREF _Toc114575782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_Toc114575783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_Toc114575784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_Toc114575785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_Toc114575786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_Toc114575787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_Toc114575788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_Toc114575789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_Toc114575790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_Toc114575791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_Toc114575793 \h </w:instrText>
      </w:r>
      <w:r>
        <w:fldChar w:fldCharType="separate"/>
      </w:r>
      <w:r>
        <w:t>30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_Toc114575794 \h </w:instrText>
      </w:r>
      <w:r>
        <w:fldChar w:fldCharType="separate"/>
      </w:r>
      <w:r>
        <w:t>32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_Toc114575795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_Toc114575796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_Toc114575797 \h </w:instrText>
      </w:r>
      <w:r>
        <w:fldChar w:fldCharType="separate"/>
      </w:r>
      <w:r>
        <w:t>33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_Toc114575798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_Toc114575799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_Toc114575800 \h </w:instrText>
      </w:r>
      <w:r>
        <w:fldChar w:fldCharType="separate"/>
      </w:r>
      <w:r>
        <w:t>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Delegation of powers to registrars — FLA s. 37A</w:t>
      </w:r>
      <w:r>
        <w:tab/>
      </w:r>
      <w:r>
        <w:fldChar w:fldCharType="begin"/>
      </w:r>
      <w:r>
        <w:instrText xml:space="preserve"> PAGEREF _Toc114575801 \h </w:instrText>
      </w:r>
      <w:r>
        <w:fldChar w:fldCharType="separate"/>
      </w:r>
      <w:r>
        <w:t>34</w:t>
      </w:r>
      <w:r>
        <w:fldChar w:fldCharType="end"/>
      </w:r>
    </w:p>
    <w:p>
      <w:pPr>
        <w:pStyle w:val="TOC8"/>
        <w:rPr>
          <w:rFonts w:asciiTheme="minorHAnsi" w:eastAsiaTheme="minorEastAsia" w:hAnsiTheme="minorHAnsi" w:cstheme="minorBidi"/>
          <w:szCs w:val="22"/>
        </w:rPr>
      </w:pPr>
      <w:r>
        <w:t>33A.</w:t>
      </w:r>
      <w:r>
        <w:tab/>
        <w:t>Engagement of consultants etc. — FLA s. 38R</w:t>
      </w:r>
      <w:r>
        <w:tab/>
      </w:r>
      <w:r>
        <w:fldChar w:fldCharType="begin"/>
      </w:r>
      <w:r>
        <w:instrText xml:space="preserve"> PAGEREF _Toc114575802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t>Director of Court Counselling has functions of family consultants — FLA s. 38BA</w:t>
      </w:r>
      <w:r>
        <w:tab/>
      </w:r>
      <w:r>
        <w:fldChar w:fldCharType="begin"/>
      </w:r>
      <w:r>
        <w:instrText xml:space="preserve"> PAGEREF _Toc114575804 \h </w:instrText>
      </w:r>
      <w:r>
        <w:fldChar w:fldCharType="separate"/>
      </w:r>
      <w:r>
        <w:t>37</w:t>
      </w:r>
      <w:r>
        <w:fldChar w:fldCharType="end"/>
      </w:r>
    </w:p>
    <w:p>
      <w:pPr>
        <w:pStyle w:val="TOC8"/>
        <w:rPr>
          <w:rFonts w:asciiTheme="minorHAnsi" w:eastAsiaTheme="minorEastAsia" w:hAnsiTheme="minorHAnsi" w:cstheme="minorBidi"/>
          <w:szCs w:val="22"/>
        </w:rPr>
      </w:pPr>
      <w:r>
        <w:t>34A.</w:t>
      </w:r>
      <w:r>
        <w:tab/>
        <w:t>Director of Court Counselling may delegate powers and functions that relate to family consultants — FLA s. 38BB</w:t>
      </w:r>
      <w:r>
        <w:tab/>
      </w:r>
      <w:r>
        <w:fldChar w:fldCharType="begin"/>
      </w:r>
      <w:r>
        <w:instrText xml:space="preserve"> PAGEREF _Toc114575805 \h </w:instrText>
      </w:r>
      <w:r>
        <w:fldChar w:fldCharType="separate"/>
      </w:r>
      <w:r>
        <w:t>38</w:t>
      </w:r>
      <w:r>
        <w:fldChar w:fldCharType="end"/>
      </w:r>
    </w:p>
    <w:p>
      <w:pPr>
        <w:pStyle w:val="TOC8"/>
        <w:rPr>
          <w:rFonts w:asciiTheme="minorHAnsi" w:eastAsiaTheme="minorEastAsia" w:hAnsiTheme="minorHAnsi" w:cstheme="minorBidi"/>
          <w:szCs w:val="22"/>
        </w:rPr>
      </w:pPr>
      <w:r>
        <w:t>34B.</w:t>
      </w:r>
      <w:r>
        <w:tab/>
        <w:t>Director of Court Counselling may give directions that relate to family services functions — FLA s. 38BC</w:t>
      </w:r>
      <w:r>
        <w:tab/>
      </w:r>
      <w:r>
        <w:fldChar w:fldCharType="begin"/>
      </w:r>
      <w:r>
        <w:instrText xml:space="preserve"> PAGEREF _Toc114575806 \h </w:instrText>
      </w:r>
      <w:r>
        <w:fldChar w:fldCharType="separate"/>
      </w:r>
      <w:r>
        <w:t>38</w:t>
      </w:r>
      <w:r>
        <w:fldChar w:fldCharType="end"/>
      </w:r>
    </w:p>
    <w:p>
      <w:pPr>
        <w:pStyle w:val="TOC8"/>
        <w:rPr>
          <w:rFonts w:asciiTheme="minorHAnsi" w:eastAsiaTheme="minorEastAsia" w:hAnsiTheme="minorHAnsi" w:cstheme="minorBidi"/>
          <w:szCs w:val="22"/>
        </w:rPr>
      </w:pPr>
      <w:r>
        <w:t>34C.</w:t>
      </w:r>
      <w:r>
        <w:tab/>
        <w:t xml:space="preserve">Director of Court Counselling may authorise officer or staff member to act as family counsellor </w:t>
      </w:r>
      <w:r>
        <w:lastRenderedPageBreak/>
        <w:t>or family dispute resolution practitioner — FLA s. 38BD</w:t>
      </w:r>
      <w:r>
        <w:tab/>
      </w:r>
      <w:r>
        <w:fldChar w:fldCharType="begin"/>
      </w:r>
      <w:r>
        <w:instrText xml:space="preserve"> PAGEREF _Toc114575807 \h </w:instrText>
      </w:r>
      <w:r>
        <w:fldChar w:fldCharType="separate"/>
      </w:r>
      <w:r>
        <w:t>39</w:t>
      </w:r>
      <w:r>
        <w:fldChar w:fldCharType="end"/>
      </w:r>
    </w:p>
    <w:p>
      <w:pPr>
        <w:pStyle w:val="TOC8"/>
        <w:rPr>
          <w:rFonts w:asciiTheme="minorHAnsi" w:eastAsiaTheme="minorEastAsia" w:hAnsiTheme="minorHAnsi" w:cstheme="minorBidi"/>
          <w:szCs w:val="22"/>
        </w:rPr>
      </w:pPr>
      <w:r>
        <w:t>34D.</w:t>
      </w:r>
      <w:r>
        <w:tab/>
        <w:t>Director of Court Counselling may engage persons to perform family counselling services or family dispute resolution services — FLA s. 38R(1A)</w:t>
      </w:r>
      <w:r>
        <w:tab/>
      </w:r>
      <w:r>
        <w:fldChar w:fldCharType="begin"/>
      </w:r>
      <w:r>
        <w:instrText xml:space="preserve"> PAGEREF _Toc114575808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_Toc114575811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_Toc114575812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_Toc114575813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_Toc114575815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_Toc114575816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_Toc114575817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_Toc114575819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_Toc114575821 \h </w:instrText>
      </w:r>
      <w:r>
        <w:fldChar w:fldCharType="separate"/>
      </w:r>
      <w:r>
        <w:t>45</w:t>
      </w:r>
      <w:r>
        <w:fldChar w:fldCharType="end"/>
      </w:r>
    </w:p>
    <w:p>
      <w:pPr>
        <w:pStyle w:val="TOC8"/>
        <w:rPr>
          <w:rFonts w:asciiTheme="minorHAnsi" w:eastAsiaTheme="minorEastAsia" w:hAnsiTheme="minorHAnsi" w:cstheme="minorBidi"/>
          <w:szCs w:val="22"/>
        </w:rPr>
      </w:pPr>
      <w:r>
        <w:t>43A.</w:t>
      </w:r>
      <w:r>
        <w:tab/>
        <w:t>Transfer of proceedings from Magistrates Court in other cases</w:t>
      </w:r>
      <w:r>
        <w:tab/>
      </w:r>
      <w:r>
        <w:fldChar w:fldCharType="begin"/>
      </w:r>
      <w:r>
        <w:instrText xml:space="preserve"> PAGEREF _Toc114575822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_Toc114575823 \h </w:instrText>
      </w:r>
      <w:r>
        <w:fldChar w:fldCharType="separate"/>
      </w:r>
      <w:r>
        <w:t>48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Stay or dismissal of proceedings</w:t>
      </w:r>
      <w:r>
        <w:tab/>
      </w:r>
      <w:r>
        <w:fldChar w:fldCharType="begin"/>
      </w:r>
      <w:r>
        <w:instrText xml:space="preserve"> PAGEREF _Toc114575824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_Toc114575825 \h </w:instrText>
      </w:r>
      <w:r>
        <w:fldChar w:fldCharType="separate"/>
      </w:r>
      <w:r>
        <w:t>49</w:t>
      </w:r>
      <w:r>
        <w:fldChar w:fldCharType="end"/>
      </w:r>
    </w:p>
    <w:p>
      <w:pPr>
        <w:pStyle w:val="TOC8"/>
        <w:rPr>
          <w:rFonts w:asciiTheme="minorHAnsi" w:eastAsiaTheme="minorEastAsia" w:hAnsiTheme="minorHAnsi" w:cstheme="minorBidi"/>
          <w:szCs w:val="22"/>
        </w:rPr>
      </w:pPr>
      <w:r>
        <w:t>46A.</w:t>
      </w:r>
      <w:r>
        <w:tab/>
        <w:t>Change of venue — FLA s. 27A</w:t>
      </w:r>
      <w:r>
        <w:tab/>
      </w:r>
      <w:r>
        <w:fldChar w:fldCharType="begin"/>
      </w:r>
      <w:r>
        <w:instrText xml:space="preserve"> PAGEREF _Toc114575826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_Toc114575829 \h </w:instrText>
      </w:r>
      <w:r>
        <w:fldChar w:fldCharType="separate"/>
      </w:r>
      <w:r>
        <w:t>51</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_Toc114575830 \h </w:instrText>
      </w:r>
      <w:r>
        <w:fldChar w:fldCharType="separate"/>
      </w:r>
      <w:r>
        <w:t>51</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_Toc114575831 \h </w:instrText>
      </w:r>
      <w:r>
        <w:fldChar w:fldCharType="separate"/>
      </w:r>
      <w:r>
        <w:t>52</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_Toc114575832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_Toc114575834 \h </w:instrText>
      </w:r>
      <w:r>
        <w:fldChar w:fldCharType="separate"/>
      </w:r>
      <w:r>
        <w:t>54</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_Toc114575835 \h </w:instrText>
      </w:r>
      <w:r>
        <w:fldChar w:fldCharType="separate"/>
      </w:r>
      <w:r>
        <w:t>55</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_Toc114575836 \h </w:instrText>
      </w:r>
      <w:r>
        <w:fldChar w:fldCharType="separate"/>
      </w:r>
      <w:r>
        <w:t>55</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_Toc114575837 \h </w:instrText>
      </w:r>
      <w:r>
        <w:fldChar w:fldCharType="separate"/>
      </w:r>
      <w:r>
        <w:t>57</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_Toc114575838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_Toc114575840 \h </w:instrText>
      </w:r>
      <w:r>
        <w:fldChar w:fldCharType="separate"/>
      </w:r>
      <w:r>
        <w:t>58</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_Toc114575841 \h </w:instrText>
      </w:r>
      <w:r>
        <w:fldChar w:fldCharType="separate"/>
      </w:r>
      <w:r>
        <w:t>59</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_Toc114575842 \h </w:instrText>
      </w:r>
      <w:r>
        <w:fldChar w:fldCharType="separate"/>
      </w:r>
      <w:r>
        <w:t>59</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_Toc114575843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Family consultants</w:t>
      </w:r>
    </w:p>
    <w:p>
      <w:pPr>
        <w:pStyle w:val="TOC4"/>
        <w:tabs>
          <w:tab w:val="right" w:leader="dot" w:pos="7077"/>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_Toc114575846 \h </w:instrText>
      </w:r>
      <w:r>
        <w:fldChar w:fldCharType="separate"/>
      </w:r>
      <w:r>
        <w:t>60</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_Toc114575847 \h </w:instrText>
      </w:r>
      <w:r>
        <w:fldChar w:fldCharType="separate"/>
      </w:r>
      <w:r>
        <w:t>60</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_Toc114575848 \h </w:instrText>
      </w:r>
      <w:r>
        <w:fldChar w:fldCharType="separate"/>
      </w:r>
      <w:r>
        <w:t>61</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_Toc114575849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_Toc114575851 \h </w:instrText>
      </w:r>
      <w:r>
        <w:fldChar w:fldCharType="separate"/>
      </w:r>
      <w:r>
        <w:t>62</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_Toc114575852 \h </w:instrText>
      </w:r>
      <w:r>
        <w:fldChar w:fldCharType="separate"/>
      </w:r>
      <w:r>
        <w:t>63</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_Toc114575853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_Toc114575856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_Toc114575858 \h </w:instrText>
      </w:r>
      <w:r>
        <w:fldChar w:fldCharType="separate"/>
      </w:r>
      <w:r>
        <w:t>66</w:t>
      </w:r>
      <w:r>
        <w:fldChar w:fldCharType="end"/>
      </w:r>
    </w:p>
    <w:p>
      <w:pPr>
        <w:pStyle w:val="TOC8"/>
        <w:rPr>
          <w:rFonts w:asciiTheme="minorHAnsi" w:eastAsiaTheme="minorEastAsia" w:hAnsiTheme="minorHAnsi" w:cstheme="minorBidi"/>
          <w:szCs w:val="22"/>
        </w:rPr>
      </w:pPr>
      <w:r>
        <w:t>65D.</w:t>
      </w:r>
      <w:r>
        <w:tab/>
        <w:t>Prescribed information about reconciliation — FLA s. 12C</w:t>
      </w:r>
      <w:r>
        <w:tab/>
      </w:r>
      <w:r>
        <w:fldChar w:fldCharType="begin"/>
      </w:r>
      <w:r>
        <w:instrText xml:space="preserve"> PAGEREF _Toc114575859 \h </w:instrText>
      </w:r>
      <w:r>
        <w:fldChar w:fldCharType="separate"/>
      </w:r>
      <w:r>
        <w:t>66</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_Toc114575860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_Toc114575862 \h </w:instrText>
      </w:r>
      <w:r>
        <w:fldChar w:fldCharType="separate"/>
      </w:r>
      <w:r>
        <w:t>67</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_Toc114575863 \h </w:instrText>
      </w:r>
      <w:r>
        <w:fldChar w:fldCharType="separate"/>
      </w:r>
      <w:r>
        <w:t>68</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_Toc114575864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_Toc114575867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_Toc114575869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_Toc114575871 \h </w:instrText>
      </w:r>
      <w:r>
        <w:fldChar w:fldCharType="separate"/>
      </w:r>
      <w:r>
        <w:t>71</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_Toc114575872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_Toc114575874 \h </w:instrText>
      </w:r>
      <w:r>
        <w:fldChar w:fldCharType="separate"/>
      </w:r>
      <w:r>
        <w:t>73</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_Toc114575875 \h </w:instrText>
      </w:r>
      <w:r>
        <w:fldChar w:fldCharType="separate"/>
      </w:r>
      <w:r>
        <w:t>73</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_Toc114575876 \h </w:instrText>
      </w:r>
      <w:r>
        <w:fldChar w:fldCharType="separate"/>
      </w:r>
      <w:r>
        <w:t>73</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_Toc114575877 \h </w:instrText>
      </w:r>
      <w:r>
        <w:fldChar w:fldCharType="separate"/>
      </w:r>
      <w:r>
        <w:t>74</w:t>
      </w:r>
      <w:r>
        <w:fldChar w:fldCharType="end"/>
      </w:r>
    </w:p>
    <w:p>
      <w:pPr>
        <w:pStyle w:val="TOC8"/>
        <w:rPr>
          <w:rFonts w:asciiTheme="minorHAnsi" w:eastAsiaTheme="minorEastAsia" w:hAnsiTheme="minorHAnsi" w:cstheme="minorBidi"/>
          <w:szCs w:val="22"/>
        </w:rPr>
      </w:pPr>
      <w:r>
        <w:t>65Q.</w:t>
      </w:r>
      <w:r>
        <w:tab/>
        <w:t>Court can review registered awards — FLA s. 13J</w:t>
      </w:r>
      <w:r>
        <w:tab/>
      </w:r>
      <w:r>
        <w:fldChar w:fldCharType="begin"/>
      </w:r>
      <w:r>
        <w:instrText xml:space="preserve"> PAGEREF _Toc114575878 \h </w:instrText>
      </w:r>
      <w:r>
        <w:fldChar w:fldCharType="separate"/>
      </w:r>
      <w:r>
        <w:t>74</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_Toc114575879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 —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77"/>
        </w:tabs>
        <w:rPr>
          <w:rFonts w:asciiTheme="minorHAnsi" w:eastAsiaTheme="minorEastAsia" w:hAnsiTheme="minorHAnsi" w:cstheme="minorBidi"/>
          <w:b w:val="0"/>
          <w:sz w:val="22"/>
          <w:szCs w:val="22"/>
        </w:rPr>
      </w:pPr>
      <w:r>
        <w:t>Subdivision 1 — Objects and principles</w:t>
      </w:r>
    </w:p>
    <w:p>
      <w:pPr>
        <w:pStyle w:val="TOC8"/>
        <w:rPr>
          <w:rFonts w:asciiTheme="minorHAnsi" w:eastAsiaTheme="minorEastAsia" w:hAnsiTheme="minorHAnsi" w:cstheme="minorBidi"/>
          <w:szCs w:val="22"/>
        </w:rPr>
      </w:pPr>
      <w:r>
        <w:t>66.</w:t>
      </w:r>
      <w:r>
        <w:tab/>
        <w:t>Object of Part and principles underlying it — FLA s. 60B</w:t>
      </w:r>
      <w:r>
        <w:tab/>
      </w:r>
      <w:r>
        <w:fldChar w:fldCharType="begin"/>
      </w:r>
      <w:r>
        <w:instrText xml:space="preserve"> PAGEREF _Toc114575883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_Toc114575885 \h </w:instrText>
      </w:r>
      <w:r>
        <w:fldChar w:fldCharType="separate"/>
      </w:r>
      <w:r>
        <w:t>77</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_Toc114575886 \h </w:instrText>
      </w:r>
      <w:r>
        <w:fldChar w:fldCharType="separate"/>
      </w:r>
      <w:r>
        <w:t>78</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_Toc114575887 \h </w:instrText>
      </w:r>
      <w:r>
        <w:fldChar w:fldCharType="separate"/>
      </w:r>
      <w:r>
        <w:t>78</w:t>
      </w:r>
      <w:r>
        <w:fldChar w:fldCharType="end"/>
      </w:r>
    </w:p>
    <w:p>
      <w:pPr>
        <w:pStyle w:val="TOC8"/>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_Toc114575888 \h </w:instrText>
      </w:r>
      <w:r>
        <w:fldChar w:fldCharType="separate"/>
      </w:r>
      <w:r>
        <w:t>81</w:t>
      </w:r>
      <w:r>
        <w:fldChar w:fldCharType="end"/>
      </w:r>
    </w:p>
    <w:p>
      <w:pPr>
        <w:pStyle w:val="TOC8"/>
        <w:rPr>
          <w:rFonts w:asciiTheme="minorHAnsi" w:eastAsiaTheme="minorEastAsia" w:hAnsiTheme="minorHAnsi" w:cstheme="minorBidi"/>
          <w:szCs w:val="22"/>
        </w:rPr>
      </w:pPr>
      <w:r>
        <w:lastRenderedPageBreak/>
        <w:t>66E.</w:t>
      </w:r>
      <w:r>
        <w:tab/>
        <w:t>Children not required to express views — FLA s. 60CE</w:t>
      </w:r>
      <w:r>
        <w:tab/>
      </w:r>
      <w:r>
        <w:fldChar w:fldCharType="begin"/>
      </w:r>
      <w:r>
        <w:instrText xml:space="preserve"> PAGEREF _Toc114575889 \h </w:instrText>
      </w:r>
      <w:r>
        <w:fldChar w:fldCharType="separate"/>
      </w:r>
      <w:r>
        <w:t>82</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_Toc114575890 \h </w:instrText>
      </w:r>
      <w:r>
        <w:fldChar w:fldCharType="separate"/>
      </w:r>
      <w:r>
        <w:t>82</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_Toc114575891 \h </w:instrText>
      </w:r>
      <w:r>
        <w:fldChar w:fldCharType="separate"/>
      </w:r>
      <w:r>
        <w:t>82</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_Toc114575892 \h </w:instrText>
      </w:r>
      <w:r>
        <w:fldChar w:fldCharType="separate"/>
      </w:r>
      <w:r>
        <w:t>83</w:t>
      </w:r>
      <w:r>
        <w:fldChar w:fldCharType="end"/>
      </w:r>
    </w:p>
    <w:p>
      <w:pPr>
        <w:pStyle w:val="TOC8"/>
        <w:rPr>
          <w:rFonts w:asciiTheme="minorHAnsi" w:eastAsiaTheme="minorEastAsia" w:hAnsiTheme="minorHAnsi" w:cstheme="minorBidi"/>
          <w:szCs w:val="22"/>
        </w:rPr>
      </w:pPr>
      <w:r>
        <w:t>66HB.</w:t>
      </w:r>
      <w:r>
        <w:tab/>
        <w:t>Informing court of notifications to, and investigations by, prescribed government agencies — FLA s. 60CI</w:t>
      </w:r>
      <w:r>
        <w:tab/>
      </w:r>
      <w:r>
        <w:fldChar w:fldCharType="begin"/>
      </w:r>
      <w:r>
        <w:instrText xml:space="preserve"> PAGEREF _Toc114575893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_Toc114575895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_Toc114575897 \h </w:instrText>
      </w:r>
      <w:r>
        <w:fldChar w:fldCharType="separate"/>
      </w:r>
      <w:r>
        <w:t>85</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_Toc114575898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_Toc114575900 \h </w:instrText>
      </w:r>
      <w:r>
        <w:fldChar w:fldCharType="separate"/>
      </w:r>
      <w:r>
        <w:t>90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Term used: parental responsibility — FLA s. 61B</w:t>
      </w:r>
      <w:r>
        <w:tab/>
      </w:r>
      <w:r>
        <w:fldChar w:fldCharType="begin"/>
      </w:r>
      <w:r>
        <w:instrText xml:space="preserve"> PAGEREF _Toc114575901 \h </w:instrText>
      </w:r>
      <w:r>
        <w:fldChar w:fldCharType="separate"/>
      </w:r>
      <w:r>
        <w:t>91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_Toc114575902 \h </w:instrText>
      </w:r>
      <w:r>
        <w:fldChar w:fldCharType="separate"/>
      </w:r>
      <w:r>
        <w:t>91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_Toc114575903 \h </w:instrText>
      </w:r>
      <w:r>
        <w:fldChar w:fldCharType="separate"/>
      </w:r>
      <w:r>
        <w:t>91</w:t>
      </w:r>
      <w:r>
        <w:fldChar w:fldCharType="end"/>
      </w:r>
    </w:p>
    <w:p>
      <w:pPr>
        <w:pStyle w:val="TOC8"/>
        <w:rPr>
          <w:rFonts w:asciiTheme="minorHAnsi" w:eastAsiaTheme="minorEastAsia" w:hAnsiTheme="minorHAnsi" w:cstheme="minorBidi"/>
          <w:szCs w:val="22"/>
        </w:rPr>
      </w:pPr>
      <w:r>
        <w:t>70A.</w:t>
      </w:r>
      <w:r>
        <w:tab/>
        <w:t>Presumption of equal shared parental responsibility when making parenting orders — FLA s. 61DA</w:t>
      </w:r>
      <w:r>
        <w:tab/>
      </w:r>
      <w:r>
        <w:fldChar w:fldCharType="begin"/>
      </w:r>
      <w:r>
        <w:instrText xml:space="preserve"> PAGEREF _Toc114575904 \h </w:instrText>
      </w:r>
      <w:r>
        <w:fldChar w:fldCharType="separate"/>
      </w:r>
      <w:r>
        <w:t>91</w:t>
      </w:r>
      <w:r>
        <w:fldChar w:fldCharType="end"/>
      </w:r>
    </w:p>
    <w:p>
      <w:pPr>
        <w:pStyle w:val="TOC8"/>
        <w:rPr>
          <w:rFonts w:asciiTheme="minorHAnsi" w:eastAsiaTheme="minorEastAsia" w:hAnsiTheme="minorHAnsi" w:cstheme="minorBidi"/>
          <w:szCs w:val="22"/>
        </w:rPr>
      </w:pPr>
      <w:r>
        <w:t>70B.</w:t>
      </w:r>
      <w:r>
        <w:tab/>
        <w:t>Application of presumption of equal shared parental responsibility after interim parenting order made — FLA s. 61DB</w:t>
      </w:r>
      <w:r>
        <w:tab/>
      </w:r>
      <w:r>
        <w:fldChar w:fldCharType="begin"/>
      </w:r>
      <w:r>
        <w:instrText xml:space="preserve"> PAGEREF _Toc114575905 \h </w:instrText>
      </w:r>
      <w:r>
        <w:fldChar w:fldCharType="separate"/>
      </w:r>
      <w:r>
        <w:t>92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_Toc114575906 \h </w:instrText>
      </w:r>
      <w:r>
        <w:fldChar w:fldCharType="separate"/>
      </w:r>
      <w:r>
        <w:t>92</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_Toc114575907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 xml:space="preserve">Court’s obligation to inform people to whom orders under this Part apply about family </w:t>
      </w:r>
      <w:r>
        <w:lastRenderedPageBreak/>
        <w:t>counselling, family dispute resolution and other family services — FLA s. 62B</w:t>
      </w:r>
      <w:r>
        <w:tab/>
      </w:r>
      <w:r>
        <w:fldChar w:fldCharType="begin"/>
      </w:r>
      <w:r>
        <w:instrText xml:space="preserve"> PAGEREF _Toc114575909 \h </w:instrText>
      </w:r>
      <w:r>
        <w:fldChar w:fldCharType="separate"/>
      </w:r>
      <w:r>
        <w:t>94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_Toc114575910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_Toc114575912 \h </w:instrText>
      </w:r>
      <w:r>
        <w:fldChar w:fldCharType="separate"/>
      </w:r>
      <w:r>
        <w:t>96</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_Toc114575913 \h </w:instrText>
      </w:r>
      <w:r>
        <w:fldChar w:fldCharType="separate"/>
      </w:r>
      <w:r>
        <w:t>96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_Toc114575914 \h </w:instrText>
      </w:r>
      <w:r>
        <w:fldChar w:fldCharType="separate"/>
      </w:r>
      <w:r>
        <w:t>96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_Toc114575915 \h </w:instrText>
      </w:r>
      <w:r>
        <w:fldChar w:fldCharType="separate"/>
      </w:r>
      <w:r>
        <w:t>98</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_Toc114575916 \h </w:instrText>
      </w:r>
      <w:r>
        <w:fldChar w:fldCharType="separate"/>
      </w:r>
      <w:r>
        <w:t>99</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_Toc114575917 \h </w:instrText>
      </w:r>
      <w:r>
        <w:fldChar w:fldCharType="separate"/>
      </w:r>
      <w:r>
        <w:t>99</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_Toc114575918 \h </w:instrText>
      </w:r>
      <w:r>
        <w:fldChar w:fldCharType="separate"/>
      </w:r>
      <w:r>
        <w:t>102</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_Toc114575919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_Toc114575920 \h </w:instrText>
      </w:r>
      <w:r>
        <w:fldChar w:fldCharType="separate"/>
      </w:r>
      <w:r>
        <w:t>103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Child maintenance provisions of registered parenting plans — FLA s. 63G</w:t>
      </w:r>
      <w:r>
        <w:tab/>
      </w:r>
      <w:r>
        <w:fldChar w:fldCharType="begin"/>
      </w:r>
      <w:r>
        <w:instrText xml:space="preserve"> PAGEREF _Toc114575921 \h </w:instrText>
      </w:r>
      <w:r>
        <w:fldChar w:fldCharType="separate"/>
      </w:r>
      <w:r>
        <w:t>104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_Toc114575922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_Toc114575924 \h </w:instrText>
      </w:r>
      <w:r>
        <w:fldChar w:fldCharType="separate"/>
      </w:r>
      <w:r>
        <w:t>106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_Toc114575925 \h </w:instrText>
      </w:r>
      <w:r>
        <w:fldChar w:fldCharType="separate"/>
      </w:r>
      <w:r>
        <w:t>106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_Toc114575926 \h </w:instrText>
      </w:r>
      <w:r>
        <w:fldChar w:fldCharType="separate"/>
      </w:r>
      <w:r>
        <w:t>108</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_Toc114575927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77"/>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_Toc114575930 \h </w:instrText>
      </w:r>
      <w:r>
        <w:fldChar w:fldCharType="separate"/>
      </w:r>
      <w:r>
        <w:t>109</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_Toc114575931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Division does not apply to child maintenance orders — FLA s. 65B</w:t>
      </w:r>
      <w:r>
        <w:tab/>
      </w:r>
      <w:r>
        <w:fldChar w:fldCharType="begin"/>
      </w:r>
      <w:r>
        <w:instrText xml:space="preserve"> PAGEREF _Toc114575932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_Toc114575934 \h </w:instrText>
      </w:r>
      <w:r>
        <w:fldChar w:fldCharType="separate"/>
      </w:r>
      <w:r>
        <w:t>110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_Toc114575935 \h </w:instrText>
      </w:r>
      <w:r>
        <w:fldChar w:fldCharType="separate"/>
      </w:r>
      <w:r>
        <w:t>111</w:t>
      </w:r>
      <w:r>
        <w:fldChar w:fldCharType="end"/>
      </w:r>
    </w:p>
    <w:p>
      <w:pPr>
        <w:pStyle w:val="TOC8"/>
        <w:rPr>
          <w:rFonts w:asciiTheme="minorHAnsi" w:eastAsiaTheme="minorEastAsia" w:hAnsiTheme="minorHAnsi" w:cstheme="minorBidi"/>
          <w:szCs w:val="22"/>
        </w:rPr>
      </w:pPr>
      <w:r>
        <w:t>89AA.</w:t>
      </w:r>
      <w:r>
        <w:tab/>
        <w:t>Court to consider child spending equal time or substantial and significant time with each parent in certain circumstances — FLA s. 65DAA</w:t>
      </w:r>
      <w:r>
        <w:tab/>
      </w:r>
      <w:r>
        <w:fldChar w:fldCharType="begin"/>
      </w:r>
      <w:r>
        <w:instrText xml:space="preserve"> PAGEREF _Toc114575936 \h </w:instrText>
      </w:r>
      <w:r>
        <w:fldChar w:fldCharType="separate"/>
      </w:r>
      <w:r>
        <w:t>111</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_Toc114575937 \h </w:instrText>
      </w:r>
      <w:r>
        <w:fldChar w:fldCharType="separate"/>
      </w:r>
      <w:r>
        <w:t>113</w:t>
      </w:r>
      <w:r>
        <w:fldChar w:fldCharType="end"/>
      </w:r>
    </w:p>
    <w:p>
      <w:pPr>
        <w:pStyle w:val="TOC8"/>
        <w:rPr>
          <w:rFonts w:asciiTheme="minorHAnsi" w:eastAsiaTheme="minorEastAsia" w:hAnsiTheme="minorHAnsi" w:cstheme="minorBidi"/>
          <w:szCs w:val="22"/>
        </w:rPr>
      </w:pPr>
      <w:r>
        <w:t>89AC.</w:t>
      </w:r>
      <w:r>
        <w:tab/>
        <w:t>Effect of parenting order that provides for shared parental responsibility — FLA s. 65DAC</w:t>
      </w:r>
      <w:r>
        <w:tab/>
      </w:r>
      <w:r>
        <w:fldChar w:fldCharType="begin"/>
      </w:r>
      <w:r>
        <w:instrText xml:space="preserve"> PAGEREF _Toc114575938 \h </w:instrText>
      </w:r>
      <w:r>
        <w:fldChar w:fldCharType="separate"/>
      </w:r>
      <w:r>
        <w:t>114</w:t>
      </w:r>
      <w:r>
        <w:fldChar w:fldCharType="end"/>
      </w:r>
    </w:p>
    <w:p>
      <w:pPr>
        <w:pStyle w:val="TOC8"/>
        <w:rPr>
          <w:rFonts w:asciiTheme="minorHAnsi" w:eastAsiaTheme="minorEastAsia" w:hAnsiTheme="minorHAnsi" w:cstheme="minorBidi"/>
          <w:szCs w:val="22"/>
        </w:rPr>
      </w:pPr>
      <w:r>
        <w:t>89AD.</w:t>
      </w:r>
      <w:r>
        <w:tab/>
        <w:t>No need to consult on issues that are not major long</w:t>
      </w:r>
      <w:r>
        <w:noBreakHyphen/>
        <w:t>term issues — FLA s. 65DAE</w:t>
      </w:r>
      <w:r>
        <w:tab/>
      </w:r>
      <w:r>
        <w:fldChar w:fldCharType="begin"/>
      </w:r>
      <w:r>
        <w:instrText xml:space="preserve"> PAGEREF _Toc114575939 \h </w:instrText>
      </w:r>
      <w:r>
        <w:fldChar w:fldCharType="separate"/>
      </w:r>
      <w:r>
        <w:t>114</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_Toc114575940 \h </w:instrText>
      </w:r>
      <w:r>
        <w:fldChar w:fldCharType="separate"/>
      </w:r>
      <w:r>
        <w:t>115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_Toc114575941 \h </w:instrText>
      </w:r>
      <w:r>
        <w:fldChar w:fldCharType="separate"/>
      </w:r>
      <w:r>
        <w:t>116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_Toc114575942 \h </w:instrText>
      </w:r>
      <w:r>
        <w:fldChar w:fldCharType="separate"/>
      </w:r>
      <w:r>
        <w:t>117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_Toc114575943 \h </w:instrText>
      </w:r>
      <w:r>
        <w:fldChar w:fldCharType="separate"/>
      </w:r>
      <w:r>
        <w:t>118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_Toc114575944 \h </w:instrText>
      </w:r>
      <w:r>
        <w:fldChar w:fldCharType="separate"/>
      </w:r>
      <w:r>
        <w:t>118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_Toc114575945 \h </w:instrText>
      </w:r>
      <w:r>
        <w:fldChar w:fldCharType="separate"/>
      </w:r>
      <w:r>
        <w:t>119</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_Toc114575946 \h </w:instrText>
      </w:r>
      <w:r>
        <w:fldChar w:fldCharType="separate"/>
      </w:r>
      <w:r>
        <w:t>119</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_Toc114575947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General obligations created by certain parenting orders</w:t>
      </w:r>
    </w:p>
    <w:p>
      <w:pPr>
        <w:pStyle w:val="TOC8"/>
        <w:rPr>
          <w:rFonts w:asciiTheme="minorHAnsi" w:eastAsiaTheme="minorEastAsia" w:hAnsiTheme="minorHAnsi" w:cstheme="minorBidi"/>
          <w:szCs w:val="22"/>
        </w:rPr>
      </w:pPr>
      <w:r>
        <w:t>96</w:t>
      </w:r>
      <w:r>
        <w:rPr>
          <w:snapToGrid w:val="0"/>
        </w:rPr>
        <w:t>.</w:t>
      </w:r>
      <w:r>
        <w:rPr>
          <w:snapToGrid w:val="0"/>
        </w:rPr>
        <w:tab/>
        <w:t>General obligations created by parenting order that deals with whom child lives with — FLA s. 65M</w:t>
      </w:r>
      <w:r>
        <w:tab/>
      </w:r>
      <w:r>
        <w:fldChar w:fldCharType="begin"/>
      </w:r>
      <w:r>
        <w:instrText xml:space="preserve"> PAGEREF _Toc114575949 \h </w:instrText>
      </w:r>
      <w:r>
        <w:fldChar w:fldCharType="separate"/>
      </w:r>
      <w:r>
        <w:t>121</w:t>
      </w:r>
      <w:r>
        <w:fldChar w:fldCharType="end"/>
      </w:r>
    </w:p>
    <w:p>
      <w:pPr>
        <w:pStyle w:val="TOC8"/>
        <w:rPr>
          <w:rFonts w:asciiTheme="minorHAnsi" w:eastAsiaTheme="minorEastAsia" w:hAnsiTheme="minorHAnsi" w:cstheme="minorBidi"/>
          <w:szCs w:val="22"/>
        </w:rPr>
      </w:pPr>
      <w:r>
        <w:t>97.</w:t>
      </w:r>
      <w:r>
        <w:tab/>
        <w:t>General obligations created by parenting order that deals with whom child spends time with — FLA s. 65N</w:t>
      </w:r>
      <w:r>
        <w:tab/>
      </w:r>
      <w:r>
        <w:fldChar w:fldCharType="begin"/>
      </w:r>
      <w:r>
        <w:instrText xml:space="preserve"> PAGEREF _Toc114575950 \h </w:instrText>
      </w:r>
      <w:r>
        <w:fldChar w:fldCharType="separate"/>
      </w:r>
      <w:r>
        <w:t>122</w:t>
      </w:r>
      <w:r>
        <w:fldChar w:fldCharType="end"/>
      </w:r>
    </w:p>
    <w:p>
      <w:pPr>
        <w:pStyle w:val="TOC8"/>
        <w:rPr>
          <w:rFonts w:asciiTheme="minorHAnsi" w:eastAsiaTheme="minorEastAsia" w:hAnsiTheme="minorHAnsi" w:cstheme="minorBidi"/>
          <w:szCs w:val="22"/>
        </w:rPr>
      </w:pPr>
      <w:r>
        <w:t>98.</w:t>
      </w:r>
      <w:r>
        <w:tab/>
        <w:t>General obligations created by parenting order that deals with whom child communicates with — FLA s. 65NA</w:t>
      </w:r>
      <w:r>
        <w:tab/>
      </w:r>
      <w:r>
        <w:fldChar w:fldCharType="begin"/>
      </w:r>
      <w:r>
        <w:instrText xml:space="preserve"> PAGEREF _Toc114575951 \h </w:instrText>
      </w:r>
      <w:r>
        <w:fldChar w:fldCharType="separate"/>
      </w:r>
      <w:r>
        <w:t>122</w:t>
      </w:r>
      <w:r>
        <w:fldChar w:fldCharType="end"/>
      </w:r>
    </w:p>
    <w:p>
      <w:pPr>
        <w:pStyle w:val="TOC8"/>
        <w:rPr>
          <w:rFonts w:asciiTheme="minorHAnsi" w:eastAsiaTheme="minorEastAsia" w:hAnsiTheme="minorHAnsi" w:cstheme="minorBidi"/>
          <w:szCs w:val="22"/>
        </w:rPr>
      </w:pPr>
      <w:r>
        <w:t>98A.</w:t>
      </w:r>
      <w:r>
        <w:tab/>
        <w:t>General obligations created by parenting order that allocates parental responsibility — FLA s. 65P</w:t>
      </w:r>
      <w:r>
        <w:tab/>
      </w:r>
      <w:r>
        <w:fldChar w:fldCharType="begin"/>
      </w:r>
      <w:r>
        <w:instrText xml:space="preserve"> PAGEREF _Toc114575952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Court may issue warrant for arrest of alleged offender — FLA s. 65Q</w:t>
      </w:r>
      <w:r>
        <w:tab/>
      </w:r>
      <w:r>
        <w:fldChar w:fldCharType="begin"/>
      </w:r>
      <w:r>
        <w:instrText xml:space="preserve"> PAGEREF _Toc114575953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Dealing with people who have been arrested</w:t>
      </w:r>
    </w:p>
    <w:p>
      <w:pPr>
        <w:pStyle w:val="TOC8"/>
        <w:rPr>
          <w:rFonts w:asciiTheme="minorHAnsi" w:eastAsiaTheme="minorEastAsia" w:hAnsiTheme="minorHAnsi" w:cstheme="minorBidi"/>
          <w:szCs w:val="22"/>
        </w:rPr>
      </w:pPr>
      <w:r>
        <w:t>100</w:t>
      </w:r>
      <w:r>
        <w:rPr>
          <w:snapToGrid w:val="0"/>
        </w:rPr>
        <w:t>.</w:t>
      </w:r>
      <w:r>
        <w:rPr>
          <w:snapToGrid w:val="0"/>
        </w:rPr>
        <w:tab/>
        <w:t>Situation to which Subdivision applies — FLA s. 65R</w:t>
      </w:r>
      <w:r>
        <w:tab/>
      </w:r>
      <w:r>
        <w:fldChar w:fldCharType="begin"/>
      </w:r>
      <w:r>
        <w:instrText xml:space="preserve"> PAGEREF _Toc114575955 \h </w:instrText>
      </w:r>
      <w:r>
        <w:fldChar w:fldCharType="separate"/>
      </w:r>
      <w:r>
        <w:t>124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Arrested person to be brought before court — FLA s. 65S</w:t>
      </w:r>
      <w:r>
        <w:tab/>
      </w:r>
      <w:r>
        <w:fldChar w:fldCharType="begin"/>
      </w:r>
      <w:r>
        <w:instrText xml:space="preserve"> PAGEREF _Toc114575956 \h </w:instrText>
      </w:r>
      <w:r>
        <w:fldChar w:fldCharType="separate"/>
      </w:r>
      <w:r>
        <w:t>124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_Toc114575957 \h </w:instrText>
      </w:r>
      <w:r>
        <w:fldChar w:fldCharType="separate"/>
      </w:r>
      <w:r>
        <w:t>125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_Toc114575958 \h </w:instrText>
      </w:r>
      <w:r>
        <w:fldChar w:fldCharType="separate"/>
      </w:r>
      <w:r>
        <w:t>125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_Toc114575959 \h </w:instrText>
      </w:r>
      <w:r>
        <w:fldChar w:fldCharType="separate"/>
      </w:r>
      <w:r>
        <w:t>127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_Toc114575960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_Toc114575962 \h </w:instrText>
      </w:r>
      <w:r>
        <w:fldChar w:fldCharType="separate"/>
      </w:r>
      <w:r>
        <w:t>128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if certain parenting orders have been made — FLA s. 65Y</w:t>
      </w:r>
      <w:r>
        <w:tab/>
      </w:r>
      <w:r>
        <w:fldChar w:fldCharType="begin"/>
      </w:r>
      <w:r>
        <w:instrText xml:space="preserve"> PAGEREF _Toc114575963 \h </w:instrText>
      </w:r>
      <w:r>
        <w:fldChar w:fldCharType="separate"/>
      </w:r>
      <w:r>
        <w:t>128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Obligations if proceedings for the making of certain parenting orders are pending — FLA s. 65Z</w:t>
      </w:r>
      <w:r>
        <w:tab/>
      </w:r>
      <w:r>
        <w:fldChar w:fldCharType="begin"/>
      </w:r>
      <w:r>
        <w:instrText xml:space="preserve"> PAGEREF _Toc114575964 \h </w:instrText>
      </w:r>
      <w:r>
        <w:fldChar w:fldCharType="separate"/>
      </w:r>
      <w:r>
        <w:t>129</w:t>
      </w:r>
      <w:r>
        <w:fldChar w:fldCharType="end"/>
      </w:r>
    </w:p>
    <w:p>
      <w:pPr>
        <w:pStyle w:val="TOC8"/>
        <w:rPr>
          <w:rFonts w:asciiTheme="minorHAnsi" w:eastAsiaTheme="minorEastAsia" w:hAnsiTheme="minorHAnsi" w:cstheme="minorBidi"/>
          <w:szCs w:val="22"/>
        </w:rPr>
      </w:pPr>
      <w:r>
        <w:lastRenderedPageBreak/>
        <w:t>109</w:t>
      </w:r>
      <w:r>
        <w:rPr>
          <w:snapToGrid w:val="0"/>
        </w:rPr>
        <w:t>.</w:t>
      </w:r>
      <w:r>
        <w:rPr>
          <w:snapToGrid w:val="0"/>
        </w:rPr>
        <w:tab/>
        <w:t>Obligations of owners etc. of aircraft and vessels if certain parenting orders made — FLA s. 65ZA</w:t>
      </w:r>
      <w:r>
        <w:tab/>
      </w:r>
      <w:r>
        <w:fldChar w:fldCharType="begin"/>
      </w:r>
      <w:r>
        <w:instrText xml:space="preserve"> PAGEREF _Toc114575965 \h </w:instrText>
      </w:r>
      <w:r>
        <w:fldChar w:fldCharType="separate"/>
      </w:r>
      <w:r>
        <w:t>130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_Toc114575966 \h </w:instrText>
      </w:r>
      <w:r>
        <w:fldChar w:fldCharType="separate"/>
      </w:r>
      <w:r>
        <w:t>132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_Toc114575967 \h </w:instrText>
      </w:r>
      <w:r>
        <w:fldChar w:fldCharType="separate"/>
      </w:r>
      <w:r>
        <w:t>133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_Toc114575968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t>Division 7</w:t>
      </w:r>
      <w:r>
        <w:rPr>
          <w:rFonts w:ascii="Times" w:hAnsi="Times"/>
          <w:snapToGrid w:val="0"/>
        </w:rPr>
        <w:t> — </w:t>
      </w:r>
      <w:r>
        <w:rPr>
          <w:rFonts w:ascii="Times" w:hAnsi="Times"/>
        </w:rPr>
        <w:t>Child maintenance orders</w:t>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_Toc114575971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_Toc114575973 \h </w:instrText>
      </w:r>
      <w:r>
        <w:fldChar w:fldCharType="separate"/>
      </w:r>
      <w:r>
        <w:t>135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_Toc114575974 \h </w:instrText>
      </w:r>
      <w:r>
        <w:fldChar w:fldCharType="separate"/>
      </w:r>
      <w:r>
        <w:t>135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_Toc114575975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_Toc114575977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_Toc114575979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_Toc114575980 \h </w:instrText>
      </w:r>
      <w:r>
        <w:fldChar w:fldCharType="separate"/>
      </w:r>
      <w:r>
        <w:t>137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_Toc114575981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_Toc114575982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_Toc114575983 \h </w:instrText>
      </w:r>
      <w:r>
        <w:fldChar w:fldCharType="separate"/>
      </w:r>
      <w:r>
        <w:t>139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_Toc114575984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_Toc114575985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_Toc114575986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_Toc114575988 \h </w:instrText>
      </w:r>
      <w:r>
        <w:fldChar w:fldCharType="separate"/>
      </w:r>
      <w:r>
        <w:t>143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_Toc114575989 \h </w:instrText>
      </w:r>
      <w:r>
        <w:fldChar w:fldCharType="separate"/>
      </w:r>
      <w:r>
        <w:t>144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_Toc114575990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_Toc114575992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_Toc114575994 \h </w:instrText>
      </w:r>
      <w:r>
        <w:fldChar w:fldCharType="separate"/>
      </w:r>
      <w:r>
        <w:t>149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_Toc114575995 \h </w:instrText>
      </w:r>
      <w:r>
        <w:fldChar w:fldCharType="separate"/>
      </w:r>
      <w:r>
        <w:t>149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_Toc114575996 \h </w:instrText>
      </w:r>
      <w:r>
        <w:fldChar w:fldCharType="separate"/>
      </w:r>
      <w:r>
        <w:t>149</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_Toc114575997 \h </w:instrText>
      </w:r>
      <w:r>
        <w:fldChar w:fldCharType="separate"/>
      </w:r>
      <w:r>
        <w:t>150</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_Toc114575998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_Toc114576000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_Toc114576003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_Toc114576005 \h </w:instrText>
      </w:r>
      <w:r>
        <w:fldChar w:fldCharType="separate"/>
      </w:r>
      <w:r>
        <w:t>154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_Toc114576006 \h </w:instrText>
      </w:r>
      <w:r>
        <w:fldChar w:fldCharType="separate"/>
      </w:r>
      <w:r>
        <w:t>154</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_Toc114576007 \h </w:instrText>
      </w:r>
      <w:r>
        <w:fldChar w:fldCharType="separate"/>
      </w:r>
      <w:r>
        <w:t>155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_Toc114576008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139</w:t>
      </w:r>
      <w:r>
        <w:rPr>
          <w:snapToGrid w:val="0"/>
        </w:rPr>
        <w:t>.</w:t>
      </w:r>
      <w:r>
        <w:rPr>
          <w:snapToGrid w:val="0"/>
        </w:rPr>
        <w:tab/>
        <w:t>Who may institute proceedings — FLA s. 67F</w:t>
      </w:r>
      <w:r>
        <w:tab/>
      </w:r>
      <w:r>
        <w:fldChar w:fldCharType="begin"/>
      </w:r>
      <w:r>
        <w:instrText xml:space="preserve"> PAGEREF _Toc114576009 \h </w:instrText>
      </w:r>
      <w:r>
        <w:fldChar w:fldCharType="separate"/>
      </w:r>
      <w:r>
        <w:t>157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_Toc114576010 \h </w:instrText>
      </w:r>
      <w:r>
        <w:fldChar w:fldCharType="separate"/>
      </w:r>
      <w:r>
        <w:t>157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_Toc114576011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_Toc114576013 \h </w:instrText>
      </w:r>
      <w:r>
        <w:fldChar w:fldCharType="separate"/>
      </w:r>
      <w:r>
        <w:t>159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Who may apply for location order — FLA s. 67K</w:t>
      </w:r>
      <w:r>
        <w:tab/>
      </w:r>
      <w:r>
        <w:fldChar w:fldCharType="begin"/>
      </w:r>
      <w:r>
        <w:instrText xml:space="preserve"> PAGEREF _Toc114576014 \h </w:instrText>
      </w:r>
      <w:r>
        <w:fldChar w:fldCharType="separate"/>
      </w:r>
      <w:r>
        <w:t>159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_Toc114576015 \h </w:instrText>
      </w:r>
      <w:r>
        <w:fldChar w:fldCharType="separate"/>
      </w:r>
      <w:r>
        <w:t>160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_Toc114576016 \h </w:instrText>
      </w:r>
      <w:r>
        <w:fldChar w:fldCharType="separate"/>
      </w:r>
      <w:r>
        <w:t>160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_Toc114576017 \h </w:instrText>
      </w:r>
      <w:r>
        <w:fldChar w:fldCharType="separate"/>
      </w:r>
      <w:r>
        <w:t>160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_Toc114576018 \h </w:instrText>
      </w:r>
      <w:r>
        <w:fldChar w:fldCharType="separate"/>
      </w:r>
      <w:r>
        <w:t>162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_Toc114576019 \h </w:instrText>
      </w:r>
      <w:r>
        <w:fldChar w:fldCharType="separate"/>
      </w:r>
      <w:r>
        <w:t>163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_Toc114576020 \h </w:instrText>
      </w:r>
      <w:r>
        <w:fldChar w:fldCharType="separate"/>
      </w:r>
      <w:r>
        <w:t>164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_Toc114576021 \h </w:instrText>
      </w:r>
      <w:r>
        <w:fldChar w:fldCharType="separate"/>
      </w:r>
      <w:r>
        <w:t>165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_Toc114576022 \h </w:instrText>
      </w:r>
      <w:r>
        <w:fldChar w:fldCharType="separate"/>
      </w:r>
      <w:r>
        <w:t>165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_Toc114576023 \h </w:instrText>
      </w:r>
      <w:r>
        <w:fldChar w:fldCharType="separate"/>
      </w:r>
      <w:r>
        <w:t>165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_Toc114576024 \h </w:instrText>
      </w:r>
      <w:r>
        <w:fldChar w:fldCharType="separate"/>
      </w:r>
      <w:r>
        <w:t>165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_Toc114576025 \h </w:instrText>
      </w:r>
      <w:r>
        <w:fldChar w:fldCharType="separate"/>
      </w:r>
      <w:r>
        <w:t>166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_Toc114576026 \h </w:instrText>
      </w:r>
      <w:r>
        <w:fldChar w:fldCharType="separate"/>
      </w:r>
      <w:r>
        <w:t>166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_Toc114576027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_Toc114576029 \h </w:instrText>
      </w:r>
      <w:r>
        <w:fldChar w:fldCharType="separate"/>
      </w:r>
      <w:r>
        <w:t>167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_Toc114576030 \h </w:instrText>
      </w:r>
      <w:r>
        <w:fldChar w:fldCharType="separate"/>
      </w:r>
      <w:r>
        <w:t>167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_Toc114576031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No liability for notification under section 159 or 160 — FLA s. 67ZB</w:t>
      </w:r>
      <w:r>
        <w:tab/>
      </w:r>
      <w:r>
        <w:fldChar w:fldCharType="begin"/>
      </w:r>
      <w:r>
        <w:instrText xml:space="preserve"> PAGEREF _Toc114576032 \h </w:instrText>
      </w:r>
      <w:r>
        <w:fldChar w:fldCharType="separate"/>
      </w:r>
      <w:r>
        <w:t>170</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_Toc114576033 \h </w:instrText>
      </w:r>
      <w:r>
        <w:fldChar w:fldCharType="separate"/>
      </w:r>
      <w:r>
        <w:t>171</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_Toc114576034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_Toc114576036 \h </w:instrText>
      </w:r>
      <w:r>
        <w:fldChar w:fldCharType="separate"/>
      </w:r>
      <w:r>
        <w:t>173</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Orders for delivery of passports — FLA s. 67ZD</w:t>
      </w:r>
      <w:r>
        <w:tab/>
      </w:r>
      <w:r>
        <w:fldChar w:fldCharType="begin"/>
      </w:r>
      <w:r>
        <w:instrText xml:space="preserve"> PAGEREF _Toc114576037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_Toc114576039 \h </w:instrText>
      </w:r>
      <w:r>
        <w:fldChar w:fldCharType="separate"/>
      </w:r>
      <w:r>
        <w:t>174</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_Toc114576040 \h </w:instrText>
      </w:r>
      <w:r>
        <w:fldChar w:fldCharType="separate"/>
      </w:r>
      <w:r>
        <w:t>175</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_Toc114576041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_Toc114576043 \h </w:instrText>
      </w:r>
      <w:r>
        <w:fldChar w:fldCharType="separate"/>
      </w:r>
      <w:r>
        <w:t>177</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_Toc114576044 \h </w:instrText>
      </w:r>
      <w:r>
        <w:fldChar w:fldCharType="separate"/>
      </w:r>
      <w:r>
        <w:t>178</w:t>
      </w:r>
      <w:r>
        <w:fldChar w:fldCharType="end"/>
      </w:r>
    </w:p>
    <w:p>
      <w:pPr>
        <w:pStyle w:val="TOC8"/>
        <w:rPr>
          <w:rFonts w:asciiTheme="minorHAnsi" w:eastAsiaTheme="minorEastAsia" w:hAnsiTheme="minorHAnsi" w:cstheme="minorBidi"/>
          <w:szCs w:val="22"/>
        </w:rPr>
      </w:pPr>
      <w:r>
        <w:t>175.</w:t>
      </w:r>
      <w:r>
        <w:tab/>
        <w:t>Relationship of order or injunction made under this Act with existing inconsistent family violence order — FLA s. 68Q</w:t>
      </w:r>
      <w:r>
        <w:tab/>
      </w:r>
      <w:r>
        <w:fldChar w:fldCharType="begin"/>
      </w:r>
      <w:r>
        <w:instrText xml:space="preserve"> PAGEREF _Toc114576045 \h </w:instrText>
      </w:r>
      <w:r>
        <w:fldChar w:fldCharType="separate"/>
      </w:r>
      <w:r>
        <w:t>180</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_Toc114576046 \h </w:instrText>
      </w:r>
      <w:r>
        <w:fldChar w:fldCharType="separate"/>
      </w:r>
      <w:r>
        <w:t>181</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_Toc114576047 \h </w:instrText>
      </w:r>
      <w:r>
        <w:fldChar w:fldCharType="separate"/>
      </w:r>
      <w:r>
        <w:t>182</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_Toc114576048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w:t>
      </w:r>
      <w:r>
        <w:rPr>
          <w:snapToGrid w:val="0"/>
        </w:rPr>
        <w:t> — </w:t>
      </w:r>
      <w:r>
        <w:t>Proceedings, parentage presumptions and evidence and jurisdiction as to child welfare laws</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_Toc114576051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_Toc114576053 \h </w:instrText>
      </w:r>
      <w:r>
        <w:fldChar w:fldCharType="separate"/>
      </w:r>
      <w:r>
        <w:t>184</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_Toc114576054 \h </w:instrText>
      </w:r>
      <w:r>
        <w:fldChar w:fldCharType="separate"/>
      </w:r>
      <w:r>
        <w:t>184</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_Toc114576055 \h </w:instrText>
      </w:r>
      <w:r>
        <w:fldChar w:fldCharType="separate"/>
      </w:r>
      <w:r>
        <w:t>185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_Toc114576056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_Toc114576058 \h </w:instrText>
      </w:r>
      <w:r>
        <w:fldChar w:fldCharType="separate"/>
      </w:r>
      <w:r>
        <w:t>185</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_Toc114576059 \h </w:instrText>
      </w:r>
      <w:r>
        <w:fldChar w:fldCharType="separate"/>
      </w:r>
      <w:r>
        <w:t>186</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_Toc114576060 \h </w:instrText>
      </w:r>
      <w:r>
        <w:fldChar w:fldCharType="separate"/>
      </w:r>
      <w:r>
        <w:t>186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_Toc114576061 \h </w:instrText>
      </w:r>
      <w:r>
        <w:fldChar w:fldCharType="separate"/>
      </w:r>
      <w:r>
        <w:t>187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_Toc114576062 \h </w:instrText>
      </w:r>
      <w:r>
        <w:fldChar w:fldCharType="separate"/>
      </w:r>
      <w:r>
        <w:t>187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_Toc114576063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_Toc114576065 \h </w:instrText>
      </w:r>
      <w:r>
        <w:fldChar w:fldCharType="separate"/>
      </w:r>
      <w:r>
        <w:t>188</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Orders for conducting parentage testing procedures — FLA s. 69W</w:t>
      </w:r>
      <w:r>
        <w:tab/>
      </w:r>
      <w:r>
        <w:fldChar w:fldCharType="begin"/>
      </w:r>
      <w:r>
        <w:instrText xml:space="preserve"> PAGEREF _Toc114576066 \h </w:instrText>
      </w:r>
      <w:r>
        <w:fldChar w:fldCharType="separate"/>
      </w:r>
      <w:r>
        <w:t>188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_Toc114576067 \h </w:instrText>
      </w:r>
      <w:r>
        <w:fldChar w:fldCharType="separate"/>
      </w:r>
      <w:r>
        <w:t>189</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_Toc114576068 \h </w:instrText>
      </w:r>
      <w:r>
        <w:fldChar w:fldCharType="separate"/>
      </w:r>
      <w:r>
        <w:t>190</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_Toc114576069 \h </w:instrText>
      </w:r>
      <w:r>
        <w:fldChar w:fldCharType="separate"/>
      </w:r>
      <w:r>
        <w:t>190</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_Toc114576070 \h </w:instrText>
      </w:r>
      <w:r>
        <w:fldChar w:fldCharType="separate"/>
      </w:r>
      <w:r>
        <w:t>191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_Toc114576071 \h </w:instrText>
      </w:r>
      <w:r>
        <w:fldChar w:fldCharType="separate"/>
      </w:r>
      <w:r>
        <w:t>191</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_Toc114576072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_Toc114576074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77"/>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_Toc114576077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_Toc114576079 \h </w:instrText>
      </w:r>
      <w:r>
        <w:fldChar w:fldCharType="separate"/>
      </w:r>
      <w:r>
        <w:t>194</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_Toc114576080 \h </w:instrText>
      </w:r>
      <w:r>
        <w:fldChar w:fldCharType="separate"/>
      </w:r>
      <w:r>
        <w:t>195</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_Toc114576081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_Toc114576083 \h </w:instrText>
      </w:r>
      <w:r>
        <w:fldChar w:fldCharType="separate"/>
      </w:r>
      <w:r>
        <w:t>196</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_Toc114576084 \h </w:instrText>
      </w:r>
      <w:r>
        <w:fldChar w:fldCharType="separate"/>
      </w:r>
      <w:r>
        <w:t>197</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_Toc114576085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_Toc114576087 \h </w:instrText>
      </w:r>
      <w:r>
        <w:fldChar w:fldCharType="separate"/>
      </w:r>
      <w:r>
        <w:t>198</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_Toc114576088 \h </w:instrText>
      </w:r>
      <w:r>
        <w:fldChar w:fldCharType="separate"/>
      </w:r>
      <w:r>
        <w:t>199</w:t>
      </w:r>
      <w:r>
        <w:fldChar w:fldCharType="end"/>
      </w:r>
    </w:p>
    <w:p>
      <w:pPr>
        <w:pStyle w:val="TOC8"/>
        <w:rPr>
          <w:rFonts w:asciiTheme="minorHAnsi" w:eastAsiaTheme="minorEastAsia" w:hAnsiTheme="minorHAnsi" w:cstheme="minorBidi"/>
          <w:szCs w:val="22"/>
        </w:rPr>
      </w:pPr>
      <w:r>
        <w:t>202K.</w:t>
      </w:r>
      <w:r>
        <w:tab/>
        <w:t>Evidence relating to child abuse or family violence — FLA s. 69ZW</w:t>
      </w:r>
      <w:r>
        <w:tab/>
      </w:r>
      <w:r>
        <w:fldChar w:fldCharType="begin"/>
      </w:r>
      <w:r>
        <w:instrText xml:space="preserve"> PAGEREF _Toc114576089 \h </w:instrText>
      </w:r>
      <w:r>
        <w:fldChar w:fldCharType="separate"/>
      </w:r>
      <w:r>
        <w:t>200</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_Toc114576090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_Toc114576092 \h </w:instrText>
      </w:r>
      <w:r>
        <w:fldChar w:fldCharType="separate"/>
      </w:r>
      <w:r>
        <w:t>203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_Toc114576093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13 — Consequences of failure to comply with orders, and other obligations, that affect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of Division — FLA s. 70NAA</w:t>
      </w:r>
      <w:r>
        <w:tab/>
      </w:r>
      <w:r>
        <w:fldChar w:fldCharType="begin"/>
      </w:r>
      <w:r>
        <w:instrText xml:space="preserve"> PAGEREF _Toc114576096 \h </w:instrText>
      </w:r>
      <w:r>
        <w:fldChar w:fldCharType="separate"/>
      </w:r>
      <w:r>
        <w:t>204</w:t>
      </w:r>
      <w:r>
        <w:fldChar w:fldCharType="end"/>
      </w:r>
    </w:p>
    <w:p>
      <w:pPr>
        <w:pStyle w:val="TOC8"/>
        <w:rPr>
          <w:rFonts w:asciiTheme="minorHAnsi" w:eastAsiaTheme="minorEastAsia" w:hAnsiTheme="minorHAnsi" w:cstheme="minorBidi"/>
          <w:szCs w:val="22"/>
        </w:rPr>
      </w:pPr>
      <w:r>
        <w:t>205B.</w:t>
      </w:r>
      <w:r>
        <w:tab/>
        <w:t>Application of Division — FLA s. 70NAB</w:t>
      </w:r>
      <w:r>
        <w:tab/>
      </w:r>
      <w:r>
        <w:fldChar w:fldCharType="begin"/>
      </w:r>
      <w:r>
        <w:instrText xml:space="preserve"> PAGEREF _Toc114576097 \h </w:instrText>
      </w:r>
      <w:r>
        <w:fldChar w:fldCharType="separate"/>
      </w:r>
      <w:r>
        <w:t>204</w:t>
      </w:r>
      <w:r>
        <w:fldChar w:fldCharType="end"/>
      </w:r>
    </w:p>
    <w:p>
      <w:pPr>
        <w:pStyle w:val="TOC8"/>
        <w:rPr>
          <w:rFonts w:asciiTheme="minorHAnsi" w:eastAsiaTheme="minorEastAsia" w:hAnsiTheme="minorHAnsi" w:cstheme="minorBidi"/>
          <w:szCs w:val="22"/>
        </w:rPr>
      </w:pPr>
      <w:r>
        <w:t>205C.</w:t>
      </w:r>
      <w:r>
        <w:tab/>
        <w:t xml:space="preserve">Meaning of </w:t>
      </w:r>
      <w:r>
        <w:rPr>
          <w:i/>
        </w:rPr>
        <w:t>contravened an order</w:t>
      </w:r>
      <w:r>
        <w:t> — FLA s. 70NAC</w:t>
      </w:r>
      <w:r>
        <w:tab/>
      </w:r>
      <w:r>
        <w:fldChar w:fldCharType="begin"/>
      </w:r>
      <w:r>
        <w:instrText xml:space="preserve"> PAGEREF _Toc114576098 \h </w:instrText>
      </w:r>
      <w:r>
        <w:fldChar w:fldCharType="separate"/>
      </w:r>
      <w:r>
        <w:t>205</w:t>
      </w:r>
      <w:r>
        <w:fldChar w:fldCharType="end"/>
      </w:r>
    </w:p>
    <w:p>
      <w:pPr>
        <w:pStyle w:val="TOC8"/>
        <w:rPr>
          <w:rFonts w:asciiTheme="minorHAnsi" w:eastAsiaTheme="minorEastAsia" w:hAnsiTheme="minorHAnsi" w:cstheme="minorBidi"/>
          <w:szCs w:val="22"/>
        </w:rPr>
      </w:pPr>
      <w:r>
        <w:t>205D.</w:t>
      </w:r>
      <w:r>
        <w:tab/>
        <w:t>Requirements taken to be included in certain orders — FLA s. 70NAD</w:t>
      </w:r>
      <w:r>
        <w:tab/>
      </w:r>
      <w:r>
        <w:fldChar w:fldCharType="begin"/>
      </w:r>
      <w:r>
        <w:instrText xml:space="preserve"> PAGEREF _Toc114576099 \h </w:instrText>
      </w:r>
      <w:r>
        <w:fldChar w:fldCharType="separate"/>
      </w:r>
      <w:r>
        <w:t>205</w:t>
      </w:r>
      <w:r>
        <w:fldChar w:fldCharType="end"/>
      </w:r>
    </w:p>
    <w:p>
      <w:pPr>
        <w:pStyle w:val="TOC8"/>
        <w:rPr>
          <w:rFonts w:asciiTheme="minorHAnsi" w:eastAsiaTheme="minorEastAsia" w:hAnsiTheme="minorHAnsi" w:cstheme="minorBidi"/>
          <w:szCs w:val="22"/>
        </w:rPr>
      </w:pPr>
      <w:r>
        <w:t>205E.</w:t>
      </w:r>
      <w:r>
        <w:tab/>
        <w:t xml:space="preserve">Meaning of </w:t>
      </w:r>
      <w:r>
        <w:rPr>
          <w:i/>
        </w:rPr>
        <w:t>reasonable excuse for contravening</w:t>
      </w:r>
      <w:r>
        <w:t xml:space="preserve"> an order — FLA s. 70NAE</w:t>
      </w:r>
      <w:r>
        <w:tab/>
      </w:r>
      <w:r>
        <w:fldChar w:fldCharType="begin"/>
      </w:r>
      <w:r>
        <w:instrText xml:space="preserve"> PAGEREF _Toc114576100 \h </w:instrText>
      </w:r>
      <w:r>
        <w:fldChar w:fldCharType="separate"/>
      </w:r>
      <w:r>
        <w:t>206</w:t>
      </w:r>
      <w:r>
        <w:fldChar w:fldCharType="end"/>
      </w:r>
    </w:p>
    <w:p>
      <w:pPr>
        <w:pStyle w:val="TOC8"/>
        <w:rPr>
          <w:rFonts w:asciiTheme="minorHAnsi" w:eastAsiaTheme="minorEastAsia" w:hAnsiTheme="minorHAnsi" w:cstheme="minorBidi"/>
          <w:szCs w:val="22"/>
        </w:rPr>
      </w:pPr>
      <w:r>
        <w:t>205F.</w:t>
      </w:r>
      <w:r>
        <w:tab/>
        <w:t>Standard of proof — FLA s. 70NAF</w:t>
      </w:r>
      <w:r>
        <w:tab/>
      </w:r>
      <w:r>
        <w:fldChar w:fldCharType="begin"/>
      </w:r>
      <w:r>
        <w:instrText xml:space="preserve"> PAGEREF _Toc114576101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Court’s power to vary parenting order</w:t>
      </w:r>
    </w:p>
    <w:p>
      <w:pPr>
        <w:pStyle w:val="TOC8"/>
        <w:rPr>
          <w:rFonts w:asciiTheme="minorHAnsi" w:eastAsiaTheme="minorEastAsia" w:hAnsiTheme="minorHAnsi" w:cstheme="minorBidi"/>
          <w:szCs w:val="22"/>
        </w:rPr>
      </w:pPr>
      <w:r>
        <w:t>205G.</w:t>
      </w:r>
      <w:r>
        <w:tab/>
        <w:t>Variation of parenting order — FLA s. 70NBA</w:t>
      </w:r>
      <w:r>
        <w:tab/>
      </w:r>
      <w:r>
        <w:fldChar w:fldCharType="begin"/>
      </w:r>
      <w:r>
        <w:instrText xml:space="preserve"> PAGEREF _Toc114576103 \h </w:instrText>
      </w:r>
      <w:r>
        <w:fldChar w:fldCharType="separate"/>
      </w:r>
      <w:r>
        <w:t>209</w:t>
      </w:r>
      <w:r>
        <w:fldChar w:fldCharType="end"/>
      </w:r>
    </w:p>
    <w:p>
      <w:pPr>
        <w:pStyle w:val="TOC8"/>
        <w:rPr>
          <w:rFonts w:asciiTheme="minorHAnsi" w:eastAsiaTheme="minorEastAsia" w:hAnsiTheme="minorHAnsi" w:cstheme="minorBidi"/>
          <w:szCs w:val="22"/>
        </w:rPr>
      </w:pPr>
      <w:r>
        <w:t>205H.</w:t>
      </w:r>
      <w:r>
        <w:tab/>
        <w:t>Effect of parenting plan — FLA s. 70NBB</w:t>
      </w:r>
      <w:r>
        <w:tab/>
      </w:r>
      <w:r>
        <w:fldChar w:fldCharType="begin"/>
      </w:r>
      <w:r>
        <w:instrText xml:space="preserve"> PAGEREF _Toc114576104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Contravention alleged but not established</w:t>
      </w:r>
    </w:p>
    <w:p>
      <w:pPr>
        <w:pStyle w:val="TOC8"/>
        <w:rPr>
          <w:rFonts w:asciiTheme="minorHAnsi" w:eastAsiaTheme="minorEastAsia" w:hAnsiTheme="minorHAnsi" w:cstheme="minorBidi"/>
          <w:szCs w:val="22"/>
        </w:rPr>
      </w:pPr>
      <w:r>
        <w:t>205I.</w:t>
      </w:r>
      <w:r>
        <w:tab/>
        <w:t>Application of Subdivision — FLA s. 70NCA</w:t>
      </w:r>
      <w:r>
        <w:tab/>
      </w:r>
      <w:r>
        <w:fldChar w:fldCharType="begin"/>
      </w:r>
      <w:r>
        <w:instrText xml:space="preserve"> PAGEREF _Toc114576106 \h </w:instrText>
      </w:r>
      <w:r>
        <w:fldChar w:fldCharType="separate"/>
      </w:r>
      <w:r>
        <w:t>211</w:t>
      </w:r>
      <w:r>
        <w:fldChar w:fldCharType="end"/>
      </w:r>
    </w:p>
    <w:p>
      <w:pPr>
        <w:pStyle w:val="TOC8"/>
        <w:rPr>
          <w:rFonts w:asciiTheme="minorHAnsi" w:eastAsiaTheme="minorEastAsia" w:hAnsiTheme="minorHAnsi" w:cstheme="minorBidi"/>
          <w:szCs w:val="22"/>
        </w:rPr>
      </w:pPr>
      <w:r>
        <w:t>205J.</w:t>
      </w:r>
      <w:r>
        <w:tab/>
        <w:t>Costs — FLA s. 70NCB</w:t>
      </w:r>
      <w:r>
        <w:tab/>
      </w:r>
      <w:r>
        <w:fldChar w:fldCharType="begin"/>
      </w:r>
      <w:r>
        <w:instrText xml:space="preserve"> PAGEREF _Toc114576107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Contravention established but reasonable excuse for contravention</w:t>
      </w:r>
    </w:p>
    <w:p>
      <w:pPr>
        <w:pStyle w:val="TOC8"/>
        <w:rPr>
          <w:rFonts w:asciiTheme="minorHAnsi" w:eastAsiaTheme="minorEastAsia" w:hAnsiTheme="minorHAnsi" w:cstheme="minorBidi"/>
          <w:szCs w:val="22"/>
        </w:rPr>
      </w:pPr>
      <w:r>
        <w:t>205K.</w:t>
      </w:r>
      <w:r>
        <w:tab/>
        <w:t>Application of Subdivision — FLA s. 70NDA</w:t>
      </w:r>
      <w:r>
        <w:tab/>
      </w:r>
      <w:r>
        <w:fldChar w:fldCharType="begin"/>
      </w:r>
      <w:r>
        <w:instrText xml:space="preserve"> PAGEREF _Toc114576109 \h </w:instrText>
      </w:r>
      <w:r>
        <w:fldChar w:fldCharType="separate"/>
      </w:r>
      <w:r>
        <w:t>212</w:t>
      </w:r>
      <w:r>
        <w:fldChar w:fldCharType="end"/>
      </w:r>
    </w:p>
    <w:p>
      <w:pPr>
        <w:pStyle w:val="TOC8"/>
        <w:rPr>
          <w:rFonts w:asciiTheme="minorHAnsi" w:eastAsiaTheme="minorEastAsia" w:hAnsiTheme="minorHAnsi" w:cstheme="minorBidi"/>
          <w:szCs w:val="22"/>
        </w:rPr>
      </w:pPr>
      <w:r>
        <w:t>205L.</w:t>
      </w:r>
      <w:r>
        <w:tab/>
        <w:t>Order compensating person for time lost — FLA s. 70NDB</w:t>
      </w:r>
      <w:r>
        <w:tab/>
      </w:r>
      <w:r>
        <w:fldChar w:fldCharType="begin"/>
      </w:r>
      <w:r>
        <w:instrText xml:space="preserve"> PAGEREF _Toc114576110 \h </w:instrText>
      </w:r>
      <w:r>
        <w:fldChar w:fldCharType="separate"/>
      </w:r>
      <w:r>
        <w:t>213</w:t>
      </w:r>
      <w:r>
        <w:fldChar w:fldCharType="end"/>
      </w:r>
    </w:p>
    <w:p>
      <w:pPr>
        <w:pStyle w:val="TOC8"/>
        <w:rPr>
          <w:rFonts w:asciiTheme="minorHAnsi" w:eastAsiaTheme="minorEastAsia" w:hAnsiTheme="minorHAnsi" w:cstheme="minorBidi"/>
          <w:szCs w:val="22"/>
        </w:rPr>
      </w:pPr>
      <w:r>
        <w:t>205M.</w:t>
      </w:r>
      <w:r>
        <w:tab/>
        <w:t>Costs — FLA s. 70NDC</w:t>
      </w:r>
      <w:r>
        <w:tab/>
      </w:r>
      <w:r>
        <w:fldChar w:fldCharType="begin"/>
      </w:r>
      <w:r>
        <w:instrText xml:space="preserve"> PAGEREF _Toc114576111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5 — Contravention without reasonable excuse (less serious contravention)</w:t>
      </w:r>
    </w:p>
    <w:p>
      <w:pPr>
        <w:pStyle w:val="TOC8"/>
        <w:rPr>
          <w:rFonts w:asciiTheme="minorHAnsi" w:eastAsiaTheme="minorEastAsia" w:hAnsiTheme="minorHAnsi" w:cstheme="minorBidi"/>
          <w:szCs w:val="22"/>
        </w:rPr>
      </w:pPr>
      <w:r>
        <w:t>205N.</w:t>
      </w:r>
      <w:r>
        <w:tab/>
        <w:t>Application of Subdivision — FLA s. 70NEA</w:t>
      </w:r>
      <w:r>
        <w:tab/>
      </w:r>
      <w:r>
        <w:fldChar w:fldCharType="begin"/>
      </w:r>
      <w:r>
        <w:instrText xml:space="preserve"> PAGEREF _Toc114576113 \h </w:instrText>
      </w:r>
      <w:r>
        <w:fldChar w:fldCharType="separate"/>
      </w:r>
      <w:r>
        <w:t>214</w:t>
      </w:r>
      <w:r>
        <w:fldChar w:fldCharType="end"/>
      </w:r>
    </w:p>
    <w:p>
      <w:pPr>
        <w:pStyle w:val="TOC8"/>
        <w:rPr>
          <w:rFonts w:asciiTheme="minorHAnsi" w:eastAsiaTheme="minorEastAsia" w:hAnsiTheme="minorHAnsi" w:cstheme="minorBidi"/>
          <w:szCs w:val="22"/>
        </w:rPr>
      </w:pPr>
      <w:r>
        <w:t>205O.</w:t>
      </w:r>
      <w:r>
        <w:tab/>
        <w:t>Powers of court — FLA s. 70NEB</w:t>
      </w:r>
      <w:r>
        <w:tab/>
      </w:r>
      <w:r>
        <w:fldChar w:fldCharType="begin"/>
      </w:r>
      <w:r>
        <w:instrText xml:space="preserve"> PAGEREF _Toc114576114 \h </w:instrText>
      </w:r>
      <w:r>
        <w:fldChar w:fldCharType="separate"/>
      </w:r>
      <w:r>
        <w:t>215</w:t>
      </w:r>
      <w:r>
        <w:fldChar w:fldCharType="end"/>
      </w:r>
    </w:p>
    <w:p>
      <w:pPr>
        <w:pStyle w:val="TOC8"/>
        <w:rPr>
          <w:rFonts w:asciiTheme="minorHAnsi" w:eastAsiaTheme="minorEastAsia" w:hAnsiTheme="minorHAnsi" w:cstheme="minorBidi"/>
          <w:szCs w:val="22"/>
        </w:rPr>
      </w:pPr>
      <w:r>
        <w:t>205P.</w:t>
      </w:r>
      <w:r>
        <w:tab/>
        <w:t>Bonds — FLA s. 70NEC</w:t>
      </w:r>
      <w:r>
        <w:tab/>
      </w:r>
      <w:r>
        <w:fldChar w:fldCharType="begin"/>
      </w:r>
      <w:r>
        <w:instrText xml:space="preserve"> PAGEREF _Toc114576115 \h </w:instrText>
      </w:r>
      <w:r>
        <w:fldChar w:fldCharType="separate"/>
      </w:r>
      <w:r>
        <w:t>219</w:t>
      </w:r>
      <w:r>
        <w:fldChar w:fldCharType="end"/>
      </w:r>
    </w:p>
    <w:p>
      <w:pPr>
        <w:pStyle w:val="TOC8"/>
        <w:rPr>
          <w:rFonts w:asciiTheme="minorHAnsi" w:eastAsiaTheme="minorEastAsia" w:hAnsiTheme="minorHAnsi" w:cstheme="minorBidi"/>
          <w:szCs w:val="22"/>
        </w:rPr>
      </w:pPr>
      <w:r>
        <w:t>205QA.</w:t>
      </w:r>
      <w:r>
        <w:tab/>
        <w:t>Procedure for enforcing bonds — FLA s. 70NECA</w:t>
      </w:r>
      <w:r>
        <w:tab/>
      </w:r>
      <w:r>
        <w:fldChar w:fldCharType="begin"/>
      </w:r>
      <w:r>
        <w:instrText xml:space="preserve"> PAGEREF _Toc114576116 \h </w:instrText>
      </w:r>
      <w:r>
        <w:fldChar w:fldCharType="separate"/>
      </w:r>
      <w:r>
        <w:t>220</w:t>
      </w:r>
      <w:r>
        <w:fldChar w:fldCharType="end"/>
      </w:r>
    </w:p>
    <w:p>
      <w:pPr>
        <w:pStyle w:val="TOC8"/>
        <w:rPr>
          <w:rFonts w:asciiTheme="minorHAnsi" w:eastAsiaTheme="minorEastAsia" w:hAnsiTheme="minorHAnsi" w:cstheme="minorBidi"/>
          <w:szCs w:val="22"/>
        </w:rPr>
      </w:pPr>
      <w:r>
        <w:t>205Q.</w:t>
      </w:r>
      <w:r>
        <w:tab/>
        <w:t>Duties of provider of post</w:t>
      </w:r>
      <w:r>
        <w:noBreakHyphen/>
        <w:t>separation parenting program — FLA s. 70NED</w:t>
      </w:r>
      <w:r>
        <w:tab/>
      </w:r>
      <w:r>
        <w:fldChar w:fldCharType="begin"/>
      </w:r>
      <w:r>
        <w:instrText xml:space="preserve"> PAGEREF _Toc114576117 \h </w:instrText>
      </w:r>
      <w:r>
        <w:fldChar w:fldCharType="separate"/>
      </w:r>
      <w:r>
        <w:t>221</w:t>
      </w:r>
      <w:r>
        <w:fldChar w:fldCharType="end"/>
      </w:r>
    </w:p>
    <w:p>
      <w:pPr>
        <w:pStyle w:val="TOC8"/>
        <w:rPr>
          <w:rFonts w:asciiTheme="minorHAnsi" w:eastAsiaTheme="minorEastAsia" w:hAnsiTheme="minorHAnsi" w:cstheme="minorBidi"/>
          <w:szCs w:val="22"/>
        </w:rPr>
      </w:pPr>
      <w:r>
        <w:t>205R.</w:t>
      </w:r>
      <w:r>
        <w:tab/>
        <w:t>Evidence — FLA s. 70NEF</w:t>
      </w:r>
      <w:r>
        <w:tab/>
      </w:r>
      <w:r>
        <w:fldChar w:fldCharType="begin"/>
      </w:r>
      <w:r>
        <w:instrText xml:space="preserve"> PAGEREF _Toc114576118 \h </w:instrText>
      </w:r>
      <w:r>
        <w:fldChar w:fldCharType="separate"/>
      </w:r>
      <w:r>
        <w:t>221</w:t>
      </w:r>
      <w:r>
        <w:fldChar w:fldCharType="end"/>
      </w:r>
    </w:p>
    <w:p>
      <w:pPr>
        <w:pStyle w:val="TOC8"/>
        <w:rPr>
          <w:rFonts w:asciiTheme="minorHAnsi" w:eastAsiaTheme="minorEastAsia" w:hAnsiTheme="minorHAnsi" w:cstheme="minorBidi"/>
          <w:szCs w:val="22"/>
        </w:rPr>
      </w:pPr>
      <w:r>
        <w:t>205S.</w:t>
      </w:r>
      <w:r>
        <w:tab/>
        <w:t>Court may make further orders in relation to attendance at program — FLA s. 70NEG</w:t>
      </w:r>
      <w:r>
        <w:tab/>
      </w:r>
      <w:r>
        <w:fldChar w:fldCharType="begin"/>
      </w:r>
      <w:r>
        <w:instrText xml:space="preserve"> PAGEREF _Toc114576119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Contravention without reasonable excuse (more serious contravention)</w:t>
      </w:r>
    </w:p>
    <w:p>
      <w:pPr>
        <w:pStyle w:val="TOC8"/>
        <w:rPr>
          <w:rFonts w:asciiTheme="minorHAnsi" w:eastAsiaTheme="minorEastAsia" w:hAnsiTheme="minorHAnsi" w:cstheme="minorBidi"/>
          <w:szCs w:val="22"/>
        </w:rPr>
      </w:pPr>
      <w:r>
        <w:t>205SA.</w:t>
      </w:r>
      <w:r>
        <w:tab/>
        <w:t>Application of Subdivision — FLA s. 70NFA</w:t>
      </w:r>
      <w:r>
        <w:tab/>
      </w:r>
      <w:r>
        <w:fldChar w:fldCharType="begin"/>
      </w:r>
      <w:r>
        <w:instrText xml:space="preserve"> PAGEREF _Toc114576121 \h </w:instrText>
      </w:r>
      <w:r>
        <w:fldChar w:fldCharType="separate"/>
      </w:r>
      <w:r>
        <w:t>222</w:t>
      </w:r>
      <w:r>
        <w:fldChar w:fldCharType="end"/>
      </w:r>
    </w:p>
    <w:p>
      <w:pPr>
        <w:pStyle w:val="TOC8"/>
        <w:rPr>
          <w:rFonts w:asciiTheme="minorHAnsi" w:eastAsiaTheme="minorEastAsia" w:hAnsiTheme="minorHAnsi" w:cstheme="minorBidi"/>
          <w:szCs w:val="22"/>
        </w:rPr>
      </w:pPr>
      <w:r>
        <w:t>205SB.</w:t>
      </w:r>
      <w:r>
        <w:tab/>
        <w:t>Powers of court — FLA s. 70NFB</w:t>
      </w:r>
      <w:r>
        <w:tab/>
      </w:r>
      <w:r>
        <w:fldChar w:fldCharType="begin"/>
      </w:r>
      <w:r>
        <w:instrText xml:space="preserve"> PAGEREF _Toc114576122 \h </w:instrText>
      </w:r>
      <w:r>
        <w:fldChar w:fldCharType="separate"/>
      </w:r>
      <w:r>
        <w:t>223</w:t>
      </w:r>
      <w:r>
        <w:fldChar w:fldCharType="end"/>
      </w:r>
    </w:p>
    <w:p>
      <w:pPr>
        <w:pStyle w:val="TOC8"/>
        <w:rPr>
          <w:rFonts w:asciiTheme="minorHAnsi" w:eastAsiaTheme="minorEastAsia" w:hAnsiTheme="minorHAnsi" w:cstheme="minorBidi"/>
          <w:szCs w:val="22"/>
        </w:rPr>
      </w:pPr>
      <w:r>
        <w:t>205SC.</w:t>
      </w:r>
      <w:r>
        <w:tab/>
        <w:t>When court is empowered to make community service order — FLA s. 70NFC</w:t>
      </w:r>
      <w:r>
        <w:tab/>
      </w:r>
      <w:r>
        <w:fldChar w:fldCharType="begin"/>
      </w:r>
      <w:r>
        <w:instrText xml:space="preserve"> PAGEREF _Toc114576123 \h </w:instrText>
      </w:r>
      <w:r>
        <w:fldChar w:fldCharType="separate"/>
      </w:r>
      <w:r>
        <w:t>226</w:t>
      </w:r>
      <w:r>
        <w:fldChar w:fldCharType="end"/>
      </w:r>
    </w:p>
    <w:p>
      <w:pPr>
        <w:pStyle w:val="TOC8"/>
        <w:rPr>
          <w:rFonts w:asciiTheme="minorHAnsi" w:eastAsiaTheme="minorEastAsia" w:hAnsiTheme="minorHAnsi" w:cstheme="minorBidi"/>
          <w:szCs w:val="22"/>
        </w:rPr>
      </w:pPr>
      <w:r>
        <w:t>205SD.</w:t>
      </w:r>
      <w:r>
        <w:tab/>
        <w:t>Variation and discharge of community service orders — FLA s. 70NFD</w:t>
      </w:r>
      <w:r>
        <w:tab/>
      </w:r>
      <w:r>
        <w:fldChar w:fldCharType="begin"/>
      </w:r>
      <w:r>
        <w:instrText xml:space="preserve"> PAGEREF _Toc114576124 \h </w:instrText>
      </w:r>
      <w:r>
        <w:fldChar w:fldCharType="separate"/>
      </w:r>
      <w:r>
        <w:t>228</w:t>
      </w:r>
      <w:r>
        <w:fldChar w:fldCharType="end"/>
      </w:r>
    </w:p>
    <w:p>
      <w:pPr>
        <w:pStyle w:val="TOC8"/>
        <w:rPr>
          <w:rFonts w:asciiTheme="minorHAnsi" w:eastAsiaTheme="minorEastAsia" w:hAnsiTheme="minorHAnsi" w:cstheme="minorBidi"/>
          <w:szCs w:val="22"/>
        </w:rPr>
      </w:pPr>
      <w:r>
        <w:t>205SE.</w:t>
      </w:r>
      <w:r>
        <w:tab/>
        <w:t>Bonds — FLA s. 70NFE</w:t>
      </w:r>
      <w:r>
        <w:tab/>
      </w:r>
      <w:r>
        <w:fldChar w:fldCharType="begin"/>
      </w:r>
      <w:r>
        <w:instrText xml:space="preserve"> PAGEREF _Toc114576125 \h </w:instrText>
      </w:r>
      <w:r>
        <w:fldChar w:fldCharType="separate"/>
      </w:r>
      <w:r>
        <w:t>228</w:t>
      </w:r>
      <w:r>
        <w:fldChar w:fldCharType="end"/>
      </w:r>
    </w:p>
    <w:p>
      <w:pPr>
        <w:pStyle w:val="TOC8"/>
        <w:rPr>
          <w:rFonts w:asciiTheme="minorHAnsi" w:eastAsiaTheme="minorEastAsia" w:hAnsiTheme="minorHAnsi" w:cstheme="minorBidi"/>
          <w:szCs w:val="22"/>
        </w:rPr>
      </w:pPr>
      <w:r>
        <w:t>205SF.</w:t>
      </w:r>
      <w:r>
        <w:tab/>
        <w:t>Procedure for enforcing community service orders or bonds — FLA s. 70NFF</w:t>
      </w:r>
      <w:r>
        <w:tab/>
      </w:r>
      <w:r>
        <w:fldChar w:fldCharType="begin"/>
      </w:r>
      <w:r>
        <w:instrText xml:space="preserve"> PAGEREF _Toc114576126 \h </w:instrText>
      </w:r>
      <w:r>
        <w:fldChar w:fldCharType="separate"/>
      </w:r>
      <w:r>
        <w:t>229</w:t>
      </w:r>
      <w:r>
        <w:fldChar w:fldCharType="end"/>
      </w:r>
    </w:p>
    <w:p>
      <w:pPr>
        <w:pStyle w:val="TOC8"/>
        <w:rPr>
          <w:rFonts w:asciiTheme="minorHAnsi" w:eastAsiaTheme="minorEastAsia" w:hAnsiTheme="minorHAnsi" w:cstheme="minorBidi"/>
          <w:szCs w:val="22"/>
        </w:rPr>
      </w:pPr>
      <w:r>
        <w:t>205SG.</w:t>
      </w:r>
      <w:r>
        <w:tab/>
        <w:t>Sentences of imprisonment — FLA s. 70NFG</w:t>
      </w:r>
      <w:r>
        <w:tab/>
      </w:r>
      <w:r>
        <w:fldChar w:fldCharType="begin"/>
      </w:r>
      <w:r>
        <w:instrText xml:space="preserve"> PAGEREF _Toc114576127 \h </w:instrText>
      </w:r>
      <w:r>
        <w:fldChar w:fldCharType="separate"/>
      </w:r>
      <w:r>
        <w:t>230</w:t>
      </w:r>
      <w:r>
        <w:fldChar w:fldCharType="end"/>
      </w:r>
    </w:p>
    <w:p>
      <w:pPr>
        <w:pStyle w:val="TOC8"/>
        <w:rPr>
          <w:rFonts w:asciiTheme="minorHAnsi" w:eastAsiaTheme="minorEastAsia" w:hAnsiTheme="minorHAnsi" w:cstheme="minorBidi"/>
          <w:szCs w:val="22"/>
        </w:rPr>
      </w:pPr>
      <w:r>
        <w:t>205SH.</w:t>
      </w:r>
      <w:r>
        <w:tab/>
        <w:t>Relationship between Subdivision and other laws — FLA s. 70NFH</w:t>
      </w:r>
      <w:r>
        <w:tab/>
      </w:r>
      <w:r>
        <w:fldChar w:fldCharType="begin"/>
      </w:r>
      <w:r>
        <w:instrText xml:space="preserve"> PAGEREF _Toc114576128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5A — De facto relationships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_Toc114576131 \h </w:instrText>
      </w:r>
      <w:r>
        <w:fldChar w:fldCharType="separate"/>
      </w:r>
      <w:r>
        <w:t>233</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_Toc114576132 \h </w:instrText>
      </w:r>
      <w:r>
        <w:fldChar w:fldCharType="separate"/>
      </w:r>
      <w:r>
        <w:t>234</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_Toc114576133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2 — Property adjustment orders and maintenance orders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_Toc114576136 \h </w:instrText>
      </w:r>
      <w:r>
        <w:fldChar w:fldCharType="separate"/>
      </w:r>
      <w:r>
        <w:t>235</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_Toc114576137 \h </w:instrText>
      </w:r>
      <w:r>
        <w:fldChar w:fldCharType="separate"/>
      </w:r>
      <w:r>
        <w:t>236</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_Toc114576138 \h </w:instrText>
      </w:r>
      <w:r>
        <w:fldChar w:fldCharType="separate"/>
      </w:r>
      <w:r>
        <w:t>236</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_Toc114576139 \h </w:instrText>
      </w:r>
      <w:r>
        <w:fldChar w:fldCharType="separate"/>
      </w:r>
      <w:r>
        <w:t>237</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_Toc114576140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_Toc114576142 \h </w:instrText>
      </w:r>
      <w:r>
        <w:fldChar w:fldCharType="separate"/>
      </w:r>
      <w:r>
        <w:t>238</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_Toc114576143 \h </w:instrText>
      </w:r>
      <w:r>
        <w:fldChar w:fldCharType="separate"/>
      </w:r>
      <w:r>
        <w:t>239</w:t>
      </w:r>
      <w:r>
        <w:fldChar w:fldCharType="end"/>
      </w:r>
    </w:p>
    <w:p>
      <w:pPr>
        <w:pStyle w:val="TOC8"/>
        <w:rPr>
          <w:rFonts w:asciiTheme="minorHAnsi" w:eastAsiaTheme="minorEastAsia" w:hAnsiTheme="minorHAnsi" w:cstheme="minorBidi"/>
          <w:szCs w:val="22"/>
        </w:rPr>
      </w:pPr>
      <w:r>
        <w:t>205ZCA.</w:t>
      </w:r>
      <w:r>
        <w:tab/>
        <w:t>Powers of court in maintenance proceedings — FLA s. 74</w:t>
      </w:r>
      <w:r>
        <w:tab/>
      </w:r>
      <w:r>
        <w:fldChar w:fldCharType="begin"/>
      </w:r>
      <w:r>
        <w:instrText xml:space="preserve"> PAGEREF _Toc114576144 \h </w:instrText>
      </w:r>
      <w:r>
        <w:fldChar w:fldCharType="separate"/>
      </w:r>
      <w:r>
        <w:t>239</w:t>
      </w:r>
      <w:r>
        <w:fldChar w:fldCharType="end"/>
      </w:r>
    </w:p>
    <w:p>
      <w:pPr>
        <w:pStyle w:val="TOC8"/>
        <w:rPr>
          <w:rFonts w:asciiTheme="minorHAnsi" w:eastAsiaTheme="minorEastAsia" w:hAnsiTheme="minorHAnsi" w:cstheme="minorBidi"/>
          <w:szCs w:val="22"/>
        </w:rPr>
      </w:pPr>
      <w:r>
        <w:lastRenderedPageBreak/>
        <w:t>205ZD.</w:t>
      </w:r>
      <w:r>
        <w:tab/>
        <w:t>Matters to be taken into consideration in relation to maintenance — FLA s. 75</w:t>
      </w:r>
      <w:r>
        <w:tab/>
      </w:r>
      <w:r>
        <w:fldChar w:fldCharType="begin"/>
      </w:r>
      <w:r>
        <w:instrText xml:space="preserve"> PAGEREF _Toc114576145 \h </w:instrText>
      </w:r>
      <w:r>
        <w:fldChar w:fldCharType="separate"/>
      </w:r>
      <w:r>
        <w:t>242</w:t>
      </w:r>
      <w:r>
        <w:fldChar w:fldCharType="end"/>
      </w:r>
    </w:p>
    <w:p>
      <w:pPr>
        <w:pStyle w:val="TOC8"/>
        <w:rPr>
          <w:rFonts w:asciiTheme="minorHAnsi" w:eastAsiaTheme="minorEastAsia" w:hAnsiTheme="minorHAnsi" w:cstheme="minorBidi"/>
          <w:szCs w:val="22"/>
        </w:rPr>
      </w:pPr>
      <w:r>
        <w:t>205ZE.</w:t>
      </w:r>
      <w:r>
        <w:tab/>
        <w:t>Urgent de facto partner maintenance cases — FLA s. 77</w:t>
      </w:r>
      <w:r>
        <w:tab/>
      </w:r>
      <w:r>
        <w:fldChar w:fldCharType="begin"/>
      </w:r>
      <w:r>
        <w:instrText xml:space="preserve"> PAGEREF _Toc114576146 \h </w:instrText>
      </w:r>
      <w:r>
        <w:fldChar w:fldCharType="separate"/>
      </w:r>
      <w:r>
        <w:t>244</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_Toc114576147 \h </w:instrText>
      </w:r>
      <w:r>
        <w:fldChar w:fldCharType="separate"/>
      </w:r>
      <w:r>
        <w:t>245</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_Toc114576148 \h </w:instrText>
      </w:r>
      <w:r>
        <w:fldChar w:fldCharType="separate"/>
      </w:r>
      <w:r>
        <w:t>246</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_Toc114576149 \h </w:instrText>
      </w:r>
      <w:r>
        <w:fldChar w:fldCharType="separate"/>
      </w:r>
      <w:r>
        <w:t>253</w:t>
      </w:r>
      <w:r>
        <w:fldChar w:fldCharType="end"/>
      </w:r>
    </w:p>
    <w:p>
      <w:pPr>
        <w:pStyle w:val="TOC8"/>
        <w:rPr>
          <w:rFonts w:asciiTheme="minorHAnsi" w:eastAsiaTheme="minorEastAsia" w:hAnsiTheme="minorHAnsi" w:cstheme="minorBidi"/>
          <w:szCs w:val="22"/>
        </w:rPr>
      </w:pPr>
      <w:r>
        <w:t>205ZHA.</w:t>
      </w:r>
      <w:r>
        <w:tab/>
        <w:t>Notification of criminal confiscation orders etc. — FLA s. 79B</w:t>
      </w:r>
      <w:r>
        <w:tab/>
      </w:r>
      <w:r>
        <w:fldChar w:fldCharType="begin"/>
      </w:r>
      <w:r>
        <w:instrText xml:space="preserve"> PAGEREF _Toc114576150 \h </w:instrText>
      </w:r>
      <w:r>
        <w:fldChar w:fldCharType="separate"/>
      </w:r>
      <w:r>
        <w:t>257</w:t>
      </w:r>
      <w:r>
        <w:fldChar w:fldCharType="end"/>
      </w:r>
    </w:p>
    <w:p>
      <w:pPr>
        <w:pStyle w:val="TOC8"/>
        <w:rPr>
          <w:rFonts w:asciiTheme="minorHAnsi" w:eastAsiaTheme="minorEastAsia" w:hAnsiTheme="minorHAnsi" w:cstheme="minorBidi"/>
          <w:szCs w:val="22"/>
        </w:rPr>
      </w:pPr>
      <w:r>
        <w:t>205ZHB.</w:t>
      </w:r>
      <w:r>
        <w:tab/>
        <w:t>Court to stay proceedings under this Division affected by criminal confiscation order etc. — FLA s. 79C</w:t>
      </w:r>
      <w:r>
        <w:tab/>
      </w:r>
      <w:r>
        <w:fldChar w:fldCharType="begin"/>
      </w:r>
      <w:r>
        <w:instrText xml:space="preserve"> PAGEREF _Toc114576151 \h </w:instrText>
      </w:r>
      <w:r>
        <w:fldChar w:fldCharType="separate"/>
      </w:r>
      <w:r>
        <w:t>258</w:t>
      </w:r>
      <w:r>
        <w:fldChar w:fldCharType="end"/>
      </w:r>
    </w:p>
    <w:p>
      <w:pPr>
        <w:pStyle w:val="TOC8"/>
        <w:rPr>
          <w:rFonts w:asciiTheme="minorHAnsi" w:eastAsiaTheme="minorEastAsia" w:hAnsiTheme="minorHAnsi" w:cstheme="minorBidi"/>
          <w:szCs w:val="22"/>
        </w:rPr>
      </w:pPr>
      <w:r>
        <w:t>205ZHC.</w:t>
      </w:r>
      <w:r>
        <w:tab/>
        <w:t>Lifting a stay — FLA s. 79D</w:t>
      </w:r>
      <w:r>
        <w:tab/>
      </w:r>
      <w:r>
        <w:fldChar w:fldCharType="begin"/>
      </w:r>
      <w:r>
        <w:instrText xml:space="preserve"> PAGEREF _Toc114576152 \h </w:instrText>
      </w:r>
      <w:r>
        <w:fldChar w:fldCharType="separate"/>
      </w:r>
      <w:r>
        <w:t>259</w:t>
      </w:r>
      <w:r>
        <w:fldChar w:fldCharType="end"/>
      </w:r>
    </w:p>
    <w:p>
      <w:pPr>
        <w:pStyle w:val="TOC8"/>
        <w:rPr>
          <w:rFonts w:asciiTheme="minorHAnsi" w:eastAsiaTheme="minorEastAsia" w:hAnsiTheme="minorHAnsi" w:cstheme="minorBidi"/>
          <w:szCs w:val="22"/>
        </w:rPr>
      </w:pPr>
      <w:r>
        <w:t>205ZHD.</w:t>
      </w:r>
      <w:r>
        <w:tab/>
        <w:t>Intervention by DPP — FLA s. 79E</w:t>
      </w:r>
      <w:r>
        <w:tab/>
      </w:r>
      <w:r>
        <w:fldChar w:fldCharType="begin"/>
      </w:r>
      <w:r>
        <w:instrText xml:space="preserve"> PAGEREF _Toc114576153 \h </w:instrText>
      </w:r>
      <w:r>
        <w:fldChar w:fldCharType="separate"/>
      </w:r>
      <w:r>
        <w:t>259</w:t>
      </w:r>
      <w:r>
        <w:fldChar w:fldCharType="end"/>
      </w:r>
    </w:p>
    <w:p>
      <w:pPr>
        <w:pStyle w:val="TOC8"/>
        <w:rPr>
          <w:rFonts w:asciiTheme="minorHAnsi" w:eastAsiaTheme="minorEastAsia" w:hAnsiTheme="minorHAnsi" w:cstheme="minorBidi"/>
          <w:szCs w:val="22"/>
        </w:rPr>
      </w:pPr>
      <w:r>
        <w:t>205ZHE.</w:t>
      </w:r>
      <w:r>
        <w:tab/>
        <w:t>Notifying third parties about application — FLA s. 79F</w:t>
      </w:r>
      <w:r>
        <w:tab/>
      </w:r>
      <w:r>
        <w:fldChar w:fldCharType="begin"/>
      </w:r>
      <w:r>
        <w:instrText xml:space="preserve"> PAGEREF _Toc114576154 \h </w:instrText>
      </w:r>
      <w:r>
        <w:fldChar w:fldCharType="separate"/>
      </w:r>
      <w:r>
        <w:t>260</w:t>
      </w:r>
      <w:r>
        <w:fldChar w:fldCharType="end"/>
      </w:r>
    </w:p>
    <w:p>
      <w:pPr>
        <w:pStyle w:val="TOC8"/>
        <w:rPr>
          <w:rFonts w:asciiTheme="minorHAnsi" w:eastAsiaTheme="minorEastAsia" w:hAnsiTheme="minorHAnsi" w:cstheme="minorBidi"/>
          <w:szCs w:val="22"/>
        </w:rPr>
      </w:pPr>
      <w:r>
        <w:t>205ZHF.</w:t>
      </w:r>
      <w:r>
        <w:tab/>
        <w:t>Notifying bankruptcy trustee etc. about application under section 205ZA, 205ZCA, 205ZG or 205ZH — FLA s. 79G</w:t>
      </w:r>
      <w:r>
        <w:tab/>
      </w:r>
      <w:r>
        <w:fldChar w:fldCharType="begin"/>
      </w:r>
      <w:r>
        <w:instrText xml:space="preserve"> PAGEREF _Toc114576155 \h </w:instrText>
      </w:r>
      <w:r>
        <w:fldChar w:fldCharType="separate"/>
      </w:r>
      <w:r>
        <w:t>260</w:t>
      </w:r>
      <w:r>
        <w:fldChar w:fldCharType="end"/>
      </w:r>
    </w:p>
    <w:p>
      <w:pPr>
        <w:pStyle w:val="TOC8"/>
        <w:rPr>
          <w:rFonts w:asciiTheme="minorHAnsi" w:eastAsiaTheme="minorEastAsia" w:hAnsiTheme="minorHAnsi" w:cstheme="minorBidi"/>
          <w:szCs w:val="22"/>
        </w:rPr>
      </w:pPr>
      <w:r>
        <w:t>205ZHG.</w:t>
      </w:r>
      <w:r>
        <w:tab/>
        <w:t>Notifying court about bankruptcy etc. — FLA s. 79H</w:t>
      </w:r>
      <w:r>
        <w:tab/>
      </w:r>
      <w:r>
        <w:fldChar w:fldCharType="begin"/>
      </w:r>
      <w:r>
        <w:instrText xml:space="preserve"> PAGEREF _Toc114576156 \h </w:instrText>
      </w:r>
      <w:r>
        <w:fldChar w:fldCharType="separate"/>
      </w:r>
      <w:r>
        <w:t>260</w:t>
      </w:r>
      <w:r>
        <w:fldChar w:fldCharType="end"/>
      </w:r>
    </w:p>
    <w:p>
      <w:pPr>
        <w:pStyle w:val="TOC8"/>
        <w:rPr>
          <w:rFonts w:asciiTheme="minorHAnsi" w:eastAsiaTheme="minorEastAsia" w:hAnsiTheme="minorHAnsi" w:cstheme="minorBidi"/>
          <w:szCs w:val="22"/>
        </w:rPr>
      </w:pPr>
      <w:r>
        <w:t>205ZHH.</w:t>
      </w:r>
      <w:r>
        <w:tab/>
        <w:t>Notifying non</w:t>
      </w:r>
      <w:r>
        <w:noBreakHyphen/>
        <w:t>bankrupt de facto partner about application under Bankruptcy Act section 139A — FLA s. 79J</w:t>
      </w:r>
      <w:r>
        <w:tab/>
      </w:r>
      <w:r>
        <w:fldChar w:fldCharType="begin"/>
      </w:r>
      <w:r>
        <w:instrText xml:space="preserve"> PAGEREF _Toc114576157 \h </w:instrText>
      </w:r>
      <w:r>
        <w:fldChar w:fldCharType="separate"/>
      </w:r>
      <w:r>
        <w:t>262</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_Toc114576158 \h </w:instrText>
      </w:r>
      <w:r>
        <w:fldChar w:fldCharType="separate"/>
      </w:r>
      <w:r>
        <w:t>263</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_Toc114576159 \h </w:instrText>
      </w:r>
      <w:r>
        <w:fldChar w:fldCharType="separate"/>
      </w:r>
      <w:r>
        <w:t>264</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_Toc114576160 \h </w:instrText>
      </w:r>
      <w:r>
        <w:fldChar w:fldCharType="separate"/>
      </w:r>
      <w:r>
        <w:t>265</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_Toc114576161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2A — Orders and injunctions binding third parties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 xml:space="preserve"> Object of Division — FLA s. 90AA</w:t>
      </w:r>
      <w:r>
        <w:tab/>
      </w:r>
      <w:r>
        <w:fldChar w:fldCharType="begin"/>
      </w:r>
      <w:r>
        <w:instrText xml:space="preserve"> PAGEREF _Toc114576164 \h </w:instrText>
      </w:r>
      <w:r>
        <w:fldChar w:fldCharType="separate"/>
      </w:r>
      <w:r>
        <w:t>268</w:t>
      </w:r>
      <w:r>
        <w:fldChar w:fldCharType="end"/>
      </w:r>
    </w:p>
    <w:p>
      <w:pPr>
        <w:pStyle w:val="TOC8"/>
        <w:rPr>
          <w:rFonts w:asciiTheme="minorHAnsi" w:eastAsiaTheme="minorEastAsia" w:hAnsiTheme="minorHAnsi" w:cstheme="minorBidi"/>
          <w:szCs w:val="22"/>
        </w:rPr>
      </w:pPr>
      <w:r>
        <w:t>205ZLB.</w:t>
      </w:r>
      <w:r>
        <w:tab/>
        <w:t xml:space="preserve"> Term used: third party — FLA s. 90AB</w:t>
      </w:r>
      <w:r>
        <w:tab/>
      </w:r>
      <w:r>
        <w:fldChar w:fldCharType="begin"/>
      </w:r>
      <w:r>
        <w:instrText xml:space="preserve"> PAGEREF _Toc114576165 \h </w:instrText>
      </w:r>
      <w:r>
        <w:fldChar w:fldCharType="separate"/>
      </w:r>
      <w:r>
        <w:t>268</w:t>
      </w:r>
      <w:r>
        <w:fldChar w:fldCharType="end"/>
      </w:r>
    </w:p>
    <w:p>
      <w:pPr>
        <w:pStyle w:val="TOC8"/>
        <w:rPr>
          <w:rFonts w:asciiTheme="minorHAnsi" w:eastAsiaTheme="minorEastAsia" w:hAnsiTheme="minorHAnsi" w:cstheme="minorBidi"/>
          <w:szCs w:val="22"/>
        </w:rPr>
      </w:pPr>
      <w:r>
        <w:t>205ZLC.</w:t>
      </w:r>
      <w:r>
        <w:tab/>
        <w:t xml:space="preserve"> This Division overrides other laws, trust deeds, etc. — FLA s. 90AC</w:t>
      </w:r>
      <w:r>
        <w:tab/>
      </w:r>
      <w:r>
        <w:fldChar w:fldCharType="begin"/>
      </w:r>
      <w:r>
        <w:instrText xml:space="preserve"> PAGEREF _Toc114576166 \h </w:instrText>
      </w:r>
      <w:r>
        <w:fldChar w:fldCharType="separate"/>
      </w:r>
      <w:r>
        <w:t>269</w:t>
      </w:r>
      <w:r>
        <w:fldChar w:fldCharType="end"/>
      </w:r>
    </w:p>
    <w:p>
      <w:pPr>
        <w:pStyle w:val="TOC8"/>
        <w:rPr>
          <w:rFonts w:asciiTheme="minorHAnsi" w:eastAsiaTheme="minorEastAsia" w:hAnsiTheme="minorHAnsi" w:cstheme="minorBidi"/>
          <w:szCs w:val="22"/>
        </w:rPr>
      </w:pPr>
      <w:r>
        <w:lastRenderedPageBreak/>
        <w:t>205ZLD.</w:t>
      </w:r>
      <w:r>
        <w:tab/>
        <w:t xml:space="preserve"> Extended meaning of </w:t>
      </w:r>
      <w:r>
        <w:rPr>
          <w:i/>
        </w:rPr>
        <w:t>property</w:t>
      </w:r>
      <w:r>
        <w:t> — FLA s. 90AD</w:t>
      </w:r>
      <w:r>
        <w:tab/>
      </w:r>
      <w:r>
        <w:fldChar w:fldCharType="begin"/>
      </w:r>
      <w:r>
        <w:instrText xml:space="preserve"> PAGEREF _Toc114576167 \h </w:instrText>
      </w:r>
      <w:r>
        <w:fldChar w:fldCharType="separate"/>
      </w:r>
      <w:r>
        <w:t>269</w:t>
      </w:r>
      <w:r>
        <w:fldChar w:fldCharType="end"/>
      </w:r>
    </w:p>
    <w:p>
      <w:pPr>
        <w:pStyle w:val="TOC8"/>
        <w:rPr>
          <w:rFonts w:asciiTheme="minorHAnsi" w:eastAsiaTheme="minorEastAsia" w:hAnsiTheme="minorHAnsi" w:cstheme="minorBidi"/>
          <w:szCs w:val="22"/>
        </w:rPr>
      </w:pPr>
      <w:r>
        <w:t>205ZLE.</w:t>
      </w:r>
      <w:r>
        <w:tab/>
        <w:t xml:space="preserve"> Other provisions of this Act not affected by this Division — FLA s. 90ADA</w:t>
      </w:r>
      <w:r>
        <w:tab/>
      </w:r>
      <w:r>
        <w:fldChar w:fldCharType="begin"/>
      </w:r>
      <w:r>
        <w:instrText xml:space="preserve"> PAGEREF _Toc114576168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 xml:space="preserve"> Court may make an order under section 205ZG binding a third party — FLA s. 90AE</w:t>
      </w:r>
      <w:r>
        <w:tab/>
      </w:r>
      <w:r>
        <w:fldChar w:fldCharType="begin"/>
      </w:r>
      <w:r>
        <w:instrText xml:space="preserve"> PAGEREF _Toc114576170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 xml:space="preserve"> Court may make an order or injunction under section 235A binding a third party — FLA s. 90AF</w:t>
      </w:r>
      <w:r>
        <w:tab/>
      </w:r>
      <w:r>
        <w:fldChar w:fldCharType="begin"/>
      </w:r>
      <w:r>
        <w:instrText xml:space="preserve"> PAGEREF _Toc114576172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205ZLH.</w:t>
      </w:r>
      <w:r>
        <w:tab/>
        <w:t xml:space="preserve"> Orders and injunctions binding on trustees — FLA s. 90AG</w:t>
      </w:r>
      <w:r>
        <w:tab/>
      </w:r>
      <w:r>
        <w:fldChar w:fldCharType="begin"/>
      </w:r>
      <w:r>
        <w:instrText xml:space="preserve"> PAGEREF _Toc114576174 \h </w:instrText>
      </w:r>
      <w:r>
        <w:fldChar w:fldCharType="separate"/>
      </w:r>
      <w:r>
        <w:t>274</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_Toc114576175 \h </w:instrText>
      </w:r>
      <w:r>
        <w:fldChar w:fldCharType="separate"/>
      </w:r>
      <w:r>
        <w:t>274</w:t>
      </w:r>
      <w:r>
        <w:fldChar w:fldCharType="end"/>
      </w:r>
    </w:p>
    <w:p>
      <w:pPr>
        <w:pStyle w:val="TOC8"/>
        <w:rPr>
          <w:rFonts w:asciiTheme="minorHAnsi" w:eastAsiaTheme="minorEastAsia" w:hAnsiTheme="minorHAnsi" w:cstheme="minorBidi"/>
          <w:szCs w:val="22"/>
        </w:rPr>
      </w:pPr>
      <w:r>
        <w:t>205ZLJ.</w:t>
      </w:r>
      <w:r>
        <w:tab/>
        <w:t xml:space="preserve"> Service of documents on third party — FLA s. 90AI</w:t>
      </w:r>
      <w:r>
        <w:tab/>
      </w:r>
      <w:r>
        <w:fldChar w:fldCharType="begin"/>
      </w:r>
      <w:r>
        <w:instrText xml:space="preserve"> PAGEREF _Toc114576176 \h </w:instrText>
      </w:r>
      <w:r>
        <w:fldChar w:fldCharType="separate"/>
      </w:r>
      <w:r>
        <w:t>274</w:t>
      </w:r>
      <w:r>
        <w:fldChar w:fldCharType="end"/>
      </w:r>
    </w:p>
    <w:p>
      <w:pPr>
        <w:pStyle w:val="TOC8"/>
        <w:rPr>
          <w:rFonts w:asciiTheme="minorHAnsi" w:eastAsiaTheme="minorEastAsia" w:hAnsiTheme="minorHAnsi" w:cstheme="minorBidi"/>
          <w:szCs w:val="22"/>
        </w:rPr>
      </w:pPr>
      <w:r>
        <w:t>205ZLK.</w:t>
      </w:r>
      <w:r>
        <w:tab/>
        <w:t xml:space="preserve"> Expenses of third party — FLA s. 90AJ</w:t>
      </w:r>
      <w:r>
        <w:tab/>
      </w:r>
      <w:r>
        <w:fldChar w:fldCharType="begin"/>
      </w:r>
      <w:r>
        <w:instrText xml:space="preserve"> PAGEREF _Toc114576177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_Toc114576179 \h </w:instrText>
      </w:r>
      <w:r>
        <w:fldChar w:fldCharType="separate"/>
      </w:r>
      <w:r>
        <w:t>275</w:t>
      </w:r>
      <w:r>
        <w:fldChar w:fldCharType="end"/>
      </w:r>
    </w:p>
    <w:p>
      <w:pPr>
        <w:pStyle w:val="TOC8"/>
        <w:rPr>
          <w:rFonts w:asciiTheme="minorHAnsi" w:eastAsiaTheme="minorEastAsia" w:hAnsiTheme="minorHAnsi" w:cstheme="minorBidi"/>
          <w:szCs w:val="22"/>
        </w:rPr>
      </w:pPr>
      <w:r>
        <w:t>205ZN.</w:t>
      </w:r>
      <w:r>
        <w:tab/>
        <w:t>Financial agreements before beginning de facto relationship — FLA s. 90B</w:t>
      </w:r>
      <w:r>
        <w:tab/>
      </w:r>
      <w:r>
        <w:fldChar w:fldCharType="begin"/>
      </w:r>
      <w:r>
        <w:instrText xml:space="preserve"> PAGEREF _Toc114576180 \h </w:instrText>
      </w:r>
      <w:r>
        <w:fldChar w:fldCharType="separate"/>
      </w:r>
      <w:r>
        <w:t>276</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_Toc114576181 \h </w:instrText>
      </w:r>
      <w:r>
        <w:fldChar w:fldCharType="separate"/>
      </w:r>
      <w:r>
        <w:t>277</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_Toc114576182 \h </w:instrText>
      </w:r>
      <w:r>
        <w:fldChar w:fldCharType="separate"/>
      </w:r>
      <w:r>
        <w:t>278</w:t>
      </w:r>
      <w:r>
        <w:fldChar w:fldCharType="end"/>
      </w:r>
    </w:p>
    <w:p>
      <w:pPr>
        <w:pStyle w:val="TOC8"/>
        <w:rPr>
          <w:rFonts w:asciiTheme="minorHAnsi" w:eastAsiaTheme="minorEastAsia" w:hAnsiTheme="minorHAnsi" w:cstheme="minorBidi"/>
          <w:szCs w:val="22"/>
        </w:rPr>
      </w:pPr>
      <w:r>
        <w:t>205ZPA.</w:t>
      </w:r>
      <w:r>
        <w:tab/>
        <w:t>Financial agreement may include agreement that deals with superannuation</w:t>
      </w:r>
      <w:r>
        <w:tab/>
      </w:r>
      <w:r>
        <w:fldChar w:fldCharType="begin"/>
      </w:r>
      <w:r>
        <w:instrText xml:space="preserve"> PAGEREF _Toc114576183 \h </w:instrText>
      </w:r>
      <w:r>
        <w:fldChar w:fldCharType="separate"/>
      </w:r>
      <w:r>
        <w:t>279</w:t>
      </w:r>
      <w:r>
        <w:fldChar w:fldCharType="end"/>
      </w:r>
    </w:p>
    <w:p>
      <w:pPr>
        <w:pStyle w:val="TOC8"/>
        <w:rPr>
          <w:rFonts w:asciiTheme="minorHAnsi" w:eastAsiaTheme="minorEastAsia" w:hAnsiTheme="minorHAnsi" w:cstheme="minorBidi"/>
          <w:szCs w:val="22"/>
        </w:rPr>
      </w:pPr>
      <w:r>
        <w:t>205ZPB.</w:t>
      </w:r>
      <w:r>
        <w:tab/>
        <w:t>Need for separation declaration for certain provisions of financial agreement or former financial agreement to take effect — FLA s. 90DA</w:t>
      </w:r>
      <w:r>
        <w:tab/>
      </w:r>
      <w:r>
        <w:fldChar w:fldCharType="begin"/>
      </w:r>
      <w:r>
        <w:instrText xml:space="preserve"> PAGEREF _Toc114576184 \h </w:instrText>
      </w:r>
      <w:r>
        <w:fldChar w:fldCharType="separate"/>
      </w:r>
      <w:r>
        <w:t>279</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_Toc114576185 \h </w:instrText>
      </w:r>
      <w:r>
        <w:fldChar w:fldCharType="separate"/>
      </w:r>
      <w:r>
        <w:t>280</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_Toc114576186 \h </w:instrText>
      </w:r>
      <w:r>
        <w:fldChar w:fldCharType="separate"/>
      </w:r>
      <w:r>
        <w:t>281</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_Toc114576187 \h </w:instrText>
      </w:r>
      <w:r>
        <w:fldChar w:fldCharType="separate"/>
      </w:r>
      <w:r>
        <w:t>281</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_Toc114576188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205ZU.</w:t>
      </w:r>
      <w:r>
        <w:tab/>
        <w:t>Termination of financial agreement and former financial agreement — FLA s. 90J</w:t>
      </w:r>
      <w:r>
        <w:tab/>
      </w:r>
      <w:r>
        <w:fldChar w:fldCharType="begin"/>
      </w:r>
      <w:r>
        <w:instrText xml:space="preserve"> PAGEREF _Toc114576189 \h </w:instrText>
      </w:r>
      <w:r>
        <w:fldChar w:fldCharType="separate"/>
      </w:r>
      <w:r>
        <w:t>283</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_Toc114576190 \h </w:instrText>
      </w:r>
      <w:r>
        <w:fldChar w:fldCharType="separate"/>
      </w:r>
      <w:r>
        <w:t>284</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_Toc114576191 \h </w:instrText>
      </w:r>
      <w:r>
        <w:fldChar w:fldCharType="separate"/>
      </w:r>
      <w:r>
        <w:t>287</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_Toc114576192 \h </w:instrText>
      </w:r>
      <w:r>
        <w:fldChar w:fldCharType="separate"/>
      </w:r>
      <w:r>
        <w:t>288</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_Toc114576193 \h </w:instrText>
      </w:r>
      <w:r>
        <w:fldChar w:fldCharType="separate"/>
      </w:r>
      <w:r>
        <w:t>289</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_Toc114576194 \h </w:instrText>
      </w:r>
      <w:r>
        <w:fldChar w:fldCharType="separate"/>
      </w:r>
      <w:r>
        <w:t>290</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_Toc114576195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_Toc114576197 \h </w:instrText>
      </w:r>
      <w:r>
        <w:fldChar w:fldCharType="separate"/>
      </w:r>
      <w:r>
        <w:t>292</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_Toc114576198 \h </w:instrText>
      </w:r>
      <w:r>
        <w:fldChar w:fldCharType="separate"/>
      </w:r>
      <w:r>
        <w:t>292</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_Toc114576199 \h </w:instrText>
      </w:r>
      <w:r>
        <w:fldChar w:fldCharType="separate"/>
      </w:r>
      <w:r>
        <w:t>293</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_Toc114576200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_Toc114576202 \h </w:instrText>
      </w:r>
      <w:r>
        <w:fldChar w:fldCharType="separate"/>
      </w:r>
      <w:r>
        <w:t>294</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_Toc114576203 \h </w:instrText>
      </w:r>
      <w:r>
        <w:fldChar w:fldCharType="separate"/>
      </w:r>
      <w:r>
        <w:t>294</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_Toc114576204 \h </w:instrText>
      </w:r>
      <w:r>
        <w:fldChar w:fldCharType="separate"/>
      </w:r>
      <w:r>
        <w:t>294</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_Toc114576205 \h </w:instrText>
      </w:r>
      <w:r>
        <w:fldChar w:fldCharType="separate"/>
      </w:r>
      <w:r>
        <w:t>297</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_Toc114576206 \h </w:instrText>
      </w:r>
      <w:r>
        <w:fldChar w:fldCharType="separate"/>
      </w:r>
      <w:r>
        <w:t>297</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_Toc114576207 \h </w:instrText>
      </w:r>
      <w:r>
        <w:fldChar w:fldCharType="separate"/>
      </w:r>
      <w:r>
        <w:t>297</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_Toc114576208 \h </w:instrText>
      </w:r>
      <w:r>
        <w:fldChar w:fldCharType="separate"/>
      </w:r>
      <w:r>
        <w:t>299</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_Toc114576209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Procedure and evidence</w:t>
      </w:r>
    </w:p>
    <w:p>
      <w:pPr>
        <w:pStyle w:val="TOC4"/>
        <w:tabs>
          <w:tab w:val="right" w:leader="dot" w:pos="7077"/>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_Toc114576212 \h </w:instrText>
      </w:r>
      <w:r>
        <w:fldChar w:fldCharType="separate"/>
      </w:r>
      <w:r>
        <w:t>300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_Toc114576213 \h </w:instrText>
      </w:r>
      <w:r>
        <w:fldChar w:fldCharType="separate"/>
      </w:r>
      <w:r>
        <w:t>301</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_Toc114576214 \h </w:instrText>
      </w:r>
      <w:r>
        <w:fldChar w:fldCharType="separate"/>
      </w:r>
      <w:r>
        <w:t>301</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_Toc114576215 \h </w:instrText>
      </w:r>
      <w:r>
        <w:fldChar w:fldCharType="separate"/>
      </w:r>
      <w:r>
        <w:t>301</w:t>
      </w:r>
      <w:r>
        <w:fldChar w:fldCharType="end"/>
      </w:r>
    </w:p>
    <w:p>
      <w:pPr>
        <w:pStyle w:val="TOC8"/>
        <w:rPr>
          <w:rFonts w:asciiTheme="minorHAnsi" w:eastAsiaTheme="minorEastAsia" w:hAnsiTheme="minorHAnsi" w:cstheme="minorBidi"/>
          <w:szCs w:val="22"/>
        </w:rPr>
      </w:pPr>
      <w:r>
        <w:t>214C.</w:t>
      </w:r>
      <w:r>
        <w:tab/>
        <w:t>Swearing of affidavits etc.</w:t>
      </w:r>
      <w:r>
        <w:tab/>
      </w:r>
      <w:r>
        <w:fldChar w:fldCharType="begin"/>
      </w:r>
      <w:r>
        <w:instrText xml:space="preserve"> PAGEREF _Toc114576216 \h </w:instrText>
      </w:r>
      <w:r>
        <w:fldChar w:fldCharType="separate"/>
      </w:r>
      <w:r>
        <w:t>302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_Toc114576217 \h </w:instrText>
      </w:r>
      <w:r>
        <w:fldChar w:fldCharType="separate"/>
      </w:r>
      <w:r>
        <w:t>303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_Toc114576218 \h </w:instrText>
      </w:r>
      <w:r>
        <w:fldChar w:fldCharType="separate"/>
      </w:r>
      <w:r>
        <w:t>303</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_Toc114576219 \h </w:instrText>
      </w:r>
      <w:r>
        <w:fldChar w:fldCharType="separate"/>
      </w:r>
      <w:r>
        <w:t>304</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Leave for child to be examined medically etc. — FLA s. 102A(3)</w:t>
      </w:r>
      <w:r>
        <w:tab/>
      </w:r>
      <w:r>
        <w:fldChar w:fldCharType="begin"/>
      </w:r>
      <w:r>
        <w:instrText xml:space="preserve"> PAGEREF _Toc114576220 \h </w:instrText>
      </w:r>
      <w:r>
        <w:fldChar w:fldCharType="separate"/>
      </w:r>
      <w:r>
        <w:t>305</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Assessors — FLA s. 102B</w:t>
      </w:r>
      <w:r>
        <w:tab/>
      </w:r>
      <w:r>
        <w:fldChar w:fldCharType="begin"/>
      </w:r>
      <w:r>
        <w:instrText xml:space="preserve"> PAGEREF _Toc114576221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_Toc114576223 \h </w:instrText>
      </w:r>
      <w:r>
        <w:fldChar w:fldCharType="separate"/>
      </w:r>
      <w:r>
        <w:t>306</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_Toc114576224 \h </w:instrText>
      </w:r>
      <w:r>
        <w:fldChar w:fldCharType="separate"/>
      </w:r>
      <w:r>
        <w:t>306</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_Toc114576225 \h </w:instrText>
      </w:r>
      <w:r>
        <w:fldChar w:fldCharType="separate"/>
      </w:r>
      <w:r>
        <w:t>307</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_Toc114576226 \h </w:instrText>
      </w:r>
      <w:r>
        <w:fldChar w:fldCharType="separate"/>
      </w:r>
      <w:r>
        <w:t>307</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_Toc114576227 \h </w:instrText>
      </w:r>
      <w:r>
        <w:fldChar w:fldCharType="separate"/>
      </w:r>
      <w:r>
        <w:t>308</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_Toc114576228 \h </w:instrText>
      </w:r>
      <w:r>
        <w:fldChar w:fldCharType="separate"/>
      </w:r>
      <w:r>
        <w:t>310</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_Toc114576229 \h </w:instrText>
      </w:r>
      <w:r>
        <w:fldChar w:fldCharType="separate"/>
      </w:r>
      <w:r>
        <w:t>311</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_Toc114576230 \h </w:instrText>
      </w:r>
      <w:r>
        <w:fldChar w:fldCharType="separate"/>
      </w:r>
      <w:r>
        <w:t>312</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_Toc114576231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3 — Cross</w:t>
      </w:r>
      <w:r>
        <w:noBreakHyphen/>
        <w:t>examination of parties where allegations of family violence</w:t>
      </w:r>
    </w:p>
    <w:p>
      <w:pPr>
        <w:pStyle w:val="TOC8"/>
        <w:rPr>
          <w:rFonts w:asciiTheme="minorHAnsi" w:eastAsiaTheme="minorEastAsia" w:hAnsiTheme="minorHAnsi" w:cstheme="minorBidi"/>
          <w:szCs w:val="22"/>
        </w:rPr>
      </w:pPr>
      <w:r>
        <w:t>219AJ.</w:t>
      </w:r>
      <w:r>
        <w:tab/>
        <w:t>Application of Division</w:t>
      </w:r>
      <w:r>
        <w:tab/>
      </w:r>
      <w:r>
        <w:fldChar w:fldCharType="begin"/>
      </w:r>
      <w:r>
        <w:instrText xml:space="preserve"> PAGEREF _Toc114576233 \h </w:instrText>
      </w:r>
      <w:r>
        <w:fldChar w:fldCharType="separate"/>
      </w:r>
      <w:r>
        <w:t>312</w:t>
      </w:r>
      <w:r>
        <w:fldChar w:fldCharType="end"/>
      </w:r>
    </w:p>
    <w:p>
      <w:pPr>
        <w:pStyle w:val="TOC8"/>
        <w:rPr>
          <w:rFonts w:asciiTheme="minorHAnsi" w:eastAsiaTheme="minorEastAsia" w:hAnsiTheme="minorHAnsi" w:cstheme="minorBidi"/>
          <w:szCs w:val="22"/>
        </w:rPr>
      </w:pPr>
      <w:r>
        <w:t>219AK.</w:t>
      </w:r>
      <w:r>
        <w:tab/>
        <w:t>Mandatory protections for parties in certain cases — FLA s. 102NA</w:t>
      </w:r>
      <w:r>
        <w:tab/>
      </w:r>
      <w:r>
        <w:fldChar w:fldCharType="begin"/>
      </w:r>
      <w:r>
        <w:instrText xml:space="preserve"> PAGEREF _Toc114576234 \h </w:instrText>
      </w:r>
      <w:r>
        <w:fldChar w:fldCharType="separate"/>
      </w:r>
      <w:r>
        <w:t>313</w:t>
      </w:r>
      <w:r>
        <w:fldChar w:fldCharType="end"/>
      </w:r>
    </w:p>
    <w:p>
      <w:pPr>
        <w:pStyle w:val="TOC8"/>
        <w:rPr>
          <w:rFonts w:asciiTheme="minorHAnsi" w:eastAsiaTheme="minorEastAsia" w:hAnsiTheme="minorHAnsi" w:cstheme="minorBidi"/>
          <w:szCs w:val="22"/>
        </w:rPr>
      </w:pPr>
      <w:r>
        <w:lastRenderedPageBreak/>
        <w:t>219AL.</w:t>
      </w:r>
      <w:r>
        <w:tab/>
        <w:t>Court</w:t>
      </w:r>
      <w:r>
        <w:noBreakHyphen/>
        <w:t>ordered protections in other cases — FLA s. 102NB</w:t>
      </w:r>
      <w:r>
        <w:tab/>
      </w:r>
      <w:r>
        <w:fldChar w:fldCharType="begin"/>
      </w:r>
      <w:r>
        <w:instrText xml:space="preserve"> PAGEREF _Toc114576235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_Toc114576237 \h </w:instrText>
      </w:r>
      <w:r>
        <w:fldChar w:fldCharType="separate"/>
      </w:r>
      <w:r>
        <w:t>315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_Toc114576238 \h </w:instrText>
      </w:r>
      <w:r>
        <w:fldChar w:fldCharType="separate"/>
      </w:r>
      <w:r>
        <w:t>315</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_Toc114576239 \h </w:instrText>
      </w:r>
      <w:r>
        <w:fldChar w:fldCharType="separate"/>
      </w:r>
      <w:r>
        <w:t>315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_Toc114576240 \h </w:instrText>
      </w:r>
      <w:r>
        <w:fldChar w:fldCharType="separate"/>
      </w:r>
      <w:r>
        <w:t>318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_Toc114576241 \h </w:instrText>
      </w:r>
      <w:r>
        <w:fldChar w:fldCharType="separate"/>
      </w:r>
      <w:r>
        <w:t>318</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_Toc114576242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Part 10 — Sanctions for failure to comply with orders, and other obligations, that do not affect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_Toc114576245 \h </w:instrText>
      </w:r>
      <w:r>
        <w:fldChar w:fldCharType="separate"/>
      </w:r>
      <w:r>
        <w:t>322</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_Toc114576246 \h </w:instrText>
      </w:r>
      <w:r>
        <w:fldChar w:fldCharType="separate"/>
      </w:r>
      <w:r>
        <w:t>323</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_Toc114576247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_Toc114576249 \h </w:instrText>
      </w:r>
      <w:r>
        <w:fldChar w:fldCharType="separate"/>
      </w:r>
      <w:r>
        <w:t>324</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_Toc114576250 \h </w:instrText>
      </w:r>
      <w:r>
        <w:fldChar w:fldCharType="separate"/>
      </w:r>
      <w:r>
        <w:t>325</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_Toc114576251 \h </w:instrText>
      </w:r>
      <w:r>
        <w:fldChar w:fldCharType="separate"/>
      </w:r>
      <w:r>
        <w:t>327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_Toc114576252 \h </w:instrText>
      </w:r>
      <w:r>
        <w:fldChar w:fldCharType="separate"/>
      </w:r>
      <w:r>
        <w:t>327</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Failure to comply with sentencing alternative imposed under s. 226(3)(b) — FLA s. 112AH</w:t>
      </w:r>
      <w:r>
        <w:tab/>
      </w:r>
      <w:r>
        <w:fldChar w:fldCharType="begin"/>
      </w:r>
      <w:r>
        <w:instrText xml:space="preserve"> PAGEREF _Toc114576253 \h </w:instrText>
      </w:r>
      <w:r>
        <w:fldChar w:fldCharType="separate"/>
      </w:r>
      <w:r>
        <w:t>329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_Toc114576254 \h </w:instrText>
      </w:r>
      <w:r>
        <w:fldChar w:fldCharType="separate"/>
      </w:r>
      <w:r>
        <w:t>330</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_Toc114576255 \h </w:instrText>
      </w:r>
      <w:r>
        <w:fldChar w:fldCharType="separate"/>
      </w:r>
      <w:r>
        <w:t>331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_Toc114576256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_Toc114576258 \h </w:instrText>
      </w:r>
      <w:r>
        <w:fldChar w:fldCharType="separate"/>
      </w:r>
      <w:r>
        <w:t>332</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_Toc114576259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_Toc114576261 \h </w:instrText>
      </w:r>
      <w:r>
        <w:fldChar w:fldCharType="separate"/>
      </w:r>
      <w:r>
        <w:t>334</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_Toc114576262 \h </w:instrText>
      </w:r>
      <w:r>
        <w:fldChar w:fldCharType="separate"/>
      </w:r>
      <w:r>
        <w:t>335</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_Toc114576263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_Toc114576265 \h </w:instrText>
      </w:r>
      <w:r>
        <w:fldChar w:fldCharType="separate"/>
      </w:r>
      <w:r>
        <w:t>339</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Reparation for certain losses and expenses relating to children — FLA s. 117A</w:t>
      </w:r>
      <w:r>
        <w:tab/>
      </w:r>
      <w:r>
        <w:fldChar w:fldCharType="begin"/>
      </w:r>
      <w:r>
        <w:instrText xml:space="preserve"> PAGEREF _Toc114576266 \h </w:instrText>
      </w:r>
      <w:r>
        <w:fldChar w:fldCharType="separate"/>
      </w:r>
      <w:r>
        <w:t>341</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Interest on moneys ordered to be paid — FLA s. 117B</w:t>
      </w:r>
      <w:r>
        <w:tab/>
      </w:r>
      <w:r>
        <w:fldChar w:fldCharType="begin"/>
      </w:r>
      <w:r>
        <w:instrText xml:space="preserve"> PAGEREF _Toc114576267 \h </w:instrText>
      </w:r>
      <w:r>
        <w:fldChar w:fldCharType="separate"/>
      </w:r>
      <w:r>
        <w:t>342</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_Toc114576268 \h </w:instrText>
      </w:r>
      <w:r>
        <w:fldChar w:fldCharType="separate"/>
      </w:r>
      <w:r>
        <w:t>343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_Toc114576269 \h </w:instrText>
      </w:r>
      <w:r>
        <w:fldChar w:fldCharType="separate"/>
      </w:r>
      <w:r>
        <w:t>344</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Frivolous or vexatious proceedings — FLA s. 118</w:t>
      </w:r>
      <w:r>
        <w:tab/>
      </w:r>
      <w:r>
        <w:fldChar w:fldCharType="begin"/>
      </w:r>
      <w:r>
        <w:instrText xml:space="preserve"> PAGEREF _Toc114576270 \h </w:instrText>
      </w:r>
      <w:r>
        <w:fldChar w:fldCharType="separate"/>
      </w:r>
      <w:r>
        <w:t>344</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Restriction on publication of court proceedings — FLA s. 121</w:t>
      </w:r>
      <w:r>
        <w:tab/>
      </w:r>
      <w:r>
        <w:fldChar w:fldCharType="begin"/>
      </w:r>
      <w:r>
        <w:instrText xml:space="preserve"> PAGEREF _Toc114576271 \h </w:instrText>
      </w:r>
      <w:r>
        <w:fldChar w:fldCharType="separate"/>
      </w:r>
      <w:r>
        <w:t>345</w:t>
      </w:r>
      <w:r>
        <w:fldChar w:fldCharType="end"/>
      </w:r>
    </w:p>
    <w:p>
      <w:pPr>
        <w:pStyle w:val="TOC8"/>
        <w:rPr>
          <w:rFonts w:asciiTheme="minorHAnsi" w:eastAsiaTheme="minorEastAsia" w:hAnsiTheme="minorHAnsi" w:cstheme="minorBidi"/>
          <w:szCs w:val="22"/>
        </w:rPr>
      </w:pPr>
      <w:r>
        <w:t>243A.</w:t>
      </w:r>
      <w:r>
        <w:tab/>
        <w:t>Use of reasonable force in arresting persons — FLA s. 122AA</w:t>
      </w:r>
      <w:r>
        <w:tab/>
      </w:r>
      <w:r>
        <w:fldChar w:fldCharType="begin"/>
      </w:r>
      <w:r>
        <w:instrText xml:space="preserve"> PAGEREF _Toc114576272 \h </w:instrText>
      </w:r>
      <w:r>
        <w:fldChar w:fldCharType="separate"/>
      </w:r>
      <w:r>
        <w:t>349</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_Toc114576273 \h </w:instrText>
      </w:r>
      <w:r>
        <w:fldChar w:fldCharType="separate"/>
      </w:r>
      <w:r>
        <w:t>350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_Toc114576274 \h </w:instrText>
      </w:r>
      <w:r>
        <w:fldChar w:fldCharType="separate"/>
      </w:r>
      <w:r>
        <w:t>356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_Toc114576275 \h </w:instrText>
      </w:r>
      <w:r>
        <w:fldChar w:fldCharType="separate"/>
      </w:r>
      <w:r>
        <w:t>357</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_Toc114576276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4"/>
        <w:tabs>
          <w:tab w:val="right" w:leader="dot" w:pos="7077"/>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_Toc114576280 \h </w:instrText>
      </w:r>
      <w:r>
        <w:fldChar w:fldCharType="separate"/>
      </w:r>
      <w:r>
        <w:t>360</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_Toc114576281 \h </w:instrText>
      </w:r>
      <w:r>
        <w:fldChar w:fldCharType="separate"/>
      </w:r>
      <w:r>
        <w:t>360</w:t>
      </w:r>
      <w:r>
        <w:fldChar w:fldCharType="end"/>
      </w:r>
    </w:p>
    <w:p>
      <w:pPr>
        <w:pStyle w:val="TOC8"/>
        <w:rPr>
          <w:rFonts w:asciiTheme="minorHAnsi" w:eastAsiaTheme="minorEastAsia" w:hAnsiTheme="minorHAnsi" w:cstheme="minorBidi"/>
          <w:szCs w:val="22"/>
        </w:rPr>
      </w:pPr>
      <w:r>
        <w:lastRenderedPageBreak/>
        <w:t>3.</w:t>
      </w:r>
      <w:r>
        <w:tab/>
        <w:t>Persons holding offices under, or employed or engaged for purposes of, the repealed Act</w:t>
      </w:r>
      <w:r>
        <w:tab/>
      </w:r>
      <w:r>
        <w:fldChar w:fldCharType="begin"/>
      </w:r>
      <w:r>
        <w:instrText xml:space="preserve"> PAGEREF _Toc114576282 \h </w:instrText>
      </w:r>
      <w:r>
        <w:fldChar w:fldCharType="separate"/>
      </w:r>
      <w:r>
        <w:t>360</w:t>
      </w:r>
      <w:r>
        <w:fldChar w:fldCharType="end"/>
      </w:r>
    </w:p>
    <w:p>
      <w:pPr>
        <w:pStyle w:val="TOC8"/>
        <w:rPr>
          <w:rFonts w:asciiTheme="minorHAnsi" w:eastAsiaTheme="minorEastAsia" w:hAnsiTheme="minorHAnsi" w:cstheme="minorBidi"/>
          <w:szCs w:val="22"/>
        </w:rPr>
      </w:pPr>
      <w:r>
        <w:t>4.</w:t>
      </w:r>
      <w:r>
        <w:tab/>
        <w:t>Setting aside of orders made under repealed s. 30 altering property interests</w:t>
      </w:r>
      <w:r>
        <w:tab/>
      </w:r>
      <w:r>
        <w:fldChar w:fldCharType="begin"/>
      </w:r>
      <w:r>
        <w:instrText xml:space="preserve"> PAGEREF _Toc114576283 \h </w:instrText>
      </w:r>
      <w:r>
        <w:fldChar w:fldCharType="separate"/>
      </w:r>
      <w:r>
        <w:t>362</w:t>
      </w:r>
      <w:r>
        <w:fldChar w:fldCharType="end"/>
      </w:r>
    </w:p>
    <w:p>
      <w:pPr>
        <w:pStyle w:val="TOC8"/>
        <w:rPr>
          <w:rFonts w:asciiTheme="minorHAnsi" w:eastAsiaTheme="minorEastAsia" w:hAnsiTheme="minorHAnsi" w:cstheme="minorBidi"/>
          <w:szCs w:val="22"/>
        </w:rPr>
      </w:pPr>
      <w:r>
        <w:t>5.</w:t>
      </w:r>
      <w:r>
        <w:tab/>
        <w:t>Treatment of orders as to custody, guardianship, access or maintenance or other payments</w:t>
      </w:r>
      <w:r>
        <w:tab/>
      </w:r>
      <w:r>
        <w:fldChar w:fldCharType="begin"/>
      </w:r>
      <w:r>
        <w:instrText xml:space="preserve"> PAGEREF _Toc114576284 \h </w:instrText>
      </w:r>
      <w:r>
        <w:fldChar w:fldCharType="separate"/>
      </w:r>
      <w:r>
        <w:t>362</w:t>
      </w:r>
      <w:r>
        <w:fldChar w:fldCharType="end"/>
      </w:r>
    </w:p>
    <w:p>
      <w:pPr>
        <w:pStyle w:val="TOC8"/>
        <w:rPr>
          <w:rFonts w:asciiTheme="minorHAnsi" w:eastAsiaTheme="minorEastAsia" w:hAnsiTheme="minorHAnsi" w:cstheme="minorBidi"/>
          <w:szCs w:val="22"/>
        </w:rPr>
      </w:pPr>
      <w:r>
        <w:t>6.</w:t>
      </w:r>
      <w:r>
        <w:tab/>
        <w:t>Treatment of applications for orders as to custody, guardianship, access or maintenance or other payments</w:t>
      </w:r>
      <w:r>
        <w:tab/>
      </w:r>
      <w:r>
        <w:fldChar w:fldCharType="begin"/>
      </w:r>
      <w:r>
        <w:instrText xml:space="preserve"> PAGEREF _Toc114576285 \h </w:instrText>
      </w:r>
      <w:r>
        <w:fldChar w:fldCharType="separate"/>
      </w:r>
      <w:r>
        <w:t>364</w:t>
      </w:r>
      <w:r>
        <w:fldChar w:fldCharType="end"/>
      </w:r>
    </w:p>
    <w:p>
      <w:pPr>
        <w:pStyle w:val="TOC8"/>
        <w:rPr>
          <w:rFonts w:asciiTheme="minorHAnsi" w:eastAsiaTheme="minorEastAsia" w:hAnsiTheme="minorHAnsi" w:cstheme="minorBidi"/>
          <w:szCs w:val="22"/>
        </w:rPr>
      </w:pPr>
      <w:r>
        <w:t>7.</w:t>
      </w:r>
      <w:r>
        <w:tab/>
        <w:t>Treatment of agreements relating to child welfare matters</w:t>
      </w:r>
      <w:r>
        <w:tab/>
      </w:r>
      <w:r>
        <w:fldChar w:fldCharType="begin"/>
      </w:r>
      <w:r>
        <w:instrText xml:space="preserve"> PAGEREF _Toc114576286 \h </w:instrText>
      </w:r>
      <w:r>
        <w:fldChar w:fldCharType="separate"/>
      </w:r>
      <w:r>
        <w:t>364</w:t>
      </w:r>
      <w:r>
        <w:fldChar w:fldCharType="end"/>
      </w:r>
    </w:p>
    <w:p>
      <w:pPr>
        <w:pStyle w:val="TOC8"/>
        <w:rPr>
          <w:rFonts w:asciiTheme="minorHAnsi" w:eastAsiaTheme="minorEastAsia" w:hAnsiTheme="minorHAnsi" w:cstheme="minorBidi"/>
          <w:szCs w:val="22"/>
        </w:rPr>
      </w:pPr>
      <w:r>
        <w:t>8.</w:t>
      </w:r>
      <w:r>
        <w:tab/>
        <w:t>Treatment of warrants</w:t>
      </w:r>
      <w:r>
        <w:tab/>
      </w:r>
      <w:r>
        <w:fldChar w:fldCharType="begin"/>
      </w:r>
      <w:r>
        <w:instrText xml:space="preserve"> PAGEREF _Toc114576287 \h </w:instrText>
      </w:r>
      <w:r>
        <w:fldChar w:fldCharType="separate"/>
      </w:r>
      <w:r>
        <w:t>365</w:t>
      </w:r>
      <w:r>
        <w:fldChar w:fldCharType="end"/>
      </w:r>
    </w:p>
    <w:p>
      <w:pPr>
        <w:pStyle w:val="TOC8"/>
        <w:rPr>
          <w:rFonts w:asciiTheme="minorHAnsi" w:eastAsiaTheme="minorEastAsia" w:hAnsiTheme="minorHAnsi" w:cstheme="minorBidi"/>
          <w:szCs w:val="22"/>
        </w:rPr>
      </w:pPr>
      <w:r>
        <w:t>9.</w:t>
      </w:r>
      <w:r>
        <w:tab/>
        <w:t>Treatment of orders as to information</w:t>
      </w:r>
      <w:r>
        <w:tab/>
      </w:r>
      <w:r>
        <w:fldChar w:fldCharType="begin"/>
      </w:r>
      <w:r>
        <w:instrText xml:space="preserve"> PAGEREF _Toc114576288 \h </w:instrText>
      </w:r>
      <w:r>
        <w:fldChar w:fldCharType="separate"/>
      </w:r>
      <w:r>
        <w:t>365</w:t>
      </w:r>
      <w:r>
        <w:fldChar w:fldCharType="end"/>
      </w:r>
    </w:p>
    <w:p>
      <w:pPr>
        <w:pStyle w:val="TOC8"/>
        <w:rPr>
          <w:rFonts w:asciiTheme="minorHAnsi" w:eastAsiaTheme="minorEastAsia" w:hAnsiTheme="minorHAnsi" w:cstheme="minorBidi"/>
          <w:szCs w:val="22"/>
        </w:rPr>
      </w:pPr>
      <w:r>
        <w:t>10.</w:t>
      </w:r>
      <w:r>
        <w:tab/>
        <w:t>Other things done for purposes of provisions of repealed Act</w:t>
      </w:r>
      <w:r>
        <w:tab/>
      </w:r>
      <w:r>
        <w:fldChar w:fldCharType="begin"/>
      </w:r>
      <w:r>
        <w:instrText xml:space="preserve"> PAGEREF _Toc114576289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_Toc114576291 \h </w:instrText>
      </w:r>
      <w:r>
        <w:fldChar w:fldCharType="separate"/>
      </w:r>
      <w:r>
        <w:t>366</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_Toc114576292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for </w:t>
      </w:r>
      <w:r>
        <w:rPr>
          <w:i/>
        </w:rPr>
        <w:t>Family Court Amendment Act 2022</w:t>
      </w:r>
    </w:p>
    <w:p>
      <w:pPr>
        <w:pStyle w:val="TOC8"/>
        <w:rPr>
          <w:rFonts w:asciiTheme="minorHAnsi" w:eastAsiaTheme="minorEastAsia" w:hAnsiTheme="minorHAnsi" w:cstheme="minorBidi"/>
          <w:szCs w:val="22"/>
        </w:rPr>
      </w:pPr>
      <w:r>
        <w:t>13.</w:t>
      </w:r>
      <w:r>
        <w:tab/>
        <w:t>Application of amendments</w:t>
      </w:r>
      <w:r>
        <w:tab/>
      </w:r>
      <w:r>
        <w:fldChar w:fldCharType="begin"/>
      </w:r>
      <w:r>
        <w:instrText xml:space="preserve"> PAGEREF _Toc114576294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_Toc114576296 \h </w:instrText>
      </w:r>
      <w:r>
        <w:fldChar w:fldCharType="separate"/>
      </w:r>
      <w:r>
        <w:t>370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_Toc114576297 \h </w:instrText>
      </w:r>
      <w:r>
        <w:fldChar w:fldCharType="separate"/>
      </w:r>
      <w:r>
        <w:t>372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_Toc114576298 \h </w:instrText>
      </w:r>
      <w:r>
        <w:fldChar w:fldCharType="separate"/>
      </w:r>
      <w:r>
        <w:t>372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3" w:name="_Toc114559089"/>
      <w:bookmarkStart w:id="4" w:name="_Toc114563075"/>
      <w:bookmarkStart w:id="5" w:name="_Toc114575760"/>
      <w:r>
        <w:rPr>
          <w:rStyle w:val="CharPartNo"/>
        </w:rPr>
        <w:lastRenderedPageBreak/>
        <w:t>Part 1</w:t>
      </w:r>
      <w:r>
        <w:t xml:space="preserve"> — </w:t>
      </w:r>
      <w:r>
        <w:rPr>
          <w:rStyle w:val="CharPartText"/>
        </w:rPr>
        <w:t>Preliminary</w:t>
      </w:r>
      <w:bookmarkEnd w:id="3"/>
      <w:bookmarkEnd w:id="4"/>
      <w:bookmarkEnd w:id="5"/>
    </w:p>
    <w:p>
      <w:pPr>
        <w:pStyle w:val="Heading5"/>
        <w:rPr>
          <w:snapToGrid w:val="0"/>
        </w:rPr>
      </w:pPr>
      <w:bookmarkStart w:id="6" w:name="_Toc11457576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7" w:name="_Toc11457576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8" w:name="_Toc114575763"/>
      <w:r>
        <w:rPr>
          <w:rStyle w:val="CharSectno"/>
        </w:rPr>
        <w:t>3</w:t>
      </w:r>
      <w:r>
        <w:rPr>
          <w:snapToGrid w:val="0"/>
        </w:rPr>
        <w:t>.</w:t>
      </w:r>
      <w:r>
        <w:rPr>
          <w:snapToGrid w:val="0"/>
        </w:rPr>
        <w:tab/>
        <w:t>Contents of this Act</w:t>
      </w:r>
      <w:bookmarkEnd w:id="8"/>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9" w:name="_Toc114575764"/>
      <w:r>
        <w:rPr>
          <w:rStyle w:val="CharSectno"/>
        </w:rPr>
        <w:t>4</w:t>
      </w:r>
      <w:r>
        <w:rPr>
          <w:snapToGrid w:val="0"/>
        </w:rPr>
        <w:t>.</w:t>
      </w:r>
      <w:r>
        <w:rPr>
          <w:snapToGrid w:val="0"/>
        </w:rPr>
        <w:tab/>
        <w:t>References in section headings and definitions to comparable provisions of Commonwealth Family Law Act</w:t>
      </w:r>
      <w:bookmarkEnd w:id="9"/>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0" w:name="_Toc114575765"/>
      <w:r>
        <w:rPr>
          <w:rStyle w:val="CharSectno"/>
        </w:rPr>
        <w:lastRenderedPageBreak/>
        <w:t>5</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tab/>
      </w:r>
      <w:r>
        <w:rPr>
          <w:rStyle w:val="CharDefText"/>
        </w:rPr>
        <w:t>bankrupt</w:t>
      </w:r>
      <w:r>
        <w:t xml:space="preserve"> has the same meaning as in the Family Law Act;</w:t>
      </w:r>
    </w:p>
    <w:p>
      <w:pPr>
        <w:pStyle w:val="Defstart"/>
      </w:pPr>
      <w:r>
        <w:lastRenderedPageBreak/>
        <w:tab/>
      </w:r>
      <w:r>
        <w:rPr>
          <w:rStyle w:val="CharDefText"/>
        </w:rPr>
        <w:t>Bankruptcy Act</w:t>
      </w:r>
      <w:r>
        <w:t xml:space="preserve"> means the </w:t>
      </w:r>
      <w:r>
        <w:rPr>
          <w:i/>
          <w:iCs/>
        </w:rPr>
        <w:t>Bankruptcy Act 1966</w:t>
      </w:r>
      <w:r>
        <w:t xml:space="preserve"> (Commonwealth);</w:t>
      </w:r>
    </w:p>
    <w:p>
      <w:pPr>
        <w:pStyle w:val="MiscellaneousBody"/>
      </w:pPr>
      <w:r>
        <w:rPr>
          <w:b/>
        </w:rPr>
        <w:tab/>
        <w:t>(FLA s. 4(1))</w:t>
      </w:r>
    </w:p>
    <w:p>
      <w:pPr>
        <w:pStyle w:val="Defstart"/>
      </w:pPr>
      <w:r>
        <w:rPr>
          <w:b/>
        </w:rPr>
        <w:tab/>
      </w:r>
      <w:r>
        <w:rPr>
          <w:rStyle w:val="CharDefText"/>
        </w:rPr>
        <w:t>bankruptcy trustee</w:t>
      </w:r>
      <w:r>
        <w:t>, in relation to a bankrupt, means the trustee of the bankrupt’s estate;</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lastRenderedPageBreak/>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lastRenderedPageBreak/>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lastRenderedPageBreak/>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pPr>
      <w:r>
        <w:rPr>
          <w:b/>
        </w:rPr>
        <w:tab/>
        <w:t>(FLA s. 4(1))</w:t>
      </w:r>
    </w:p>
    <w:p>
      <w:pPr>
        <w:pStyle w:val="Defstart"/>
      </w:pPr>
      <w:r>
        <w:rPr>
          <w:b/>
        </w:rPr>
        <w:tab/>
      </w:r>
      <w:r>
        <w:rPr>
          <w:rStyle w:val="CharDefText"/>
        </w:rPr>
        <w:t>debtor subject to a personal insolvency agreement</w:t>
      </w:r>
      <w:r>
        <w:t xml:space="preserve"> has the meaning given in section 7B;</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lastRenderedPageBreak/>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lastRenderedPageBreak/>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lastRenderedPageBreak/>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pending</w:t>
      </w:r>
      <w:r>
        <w:t>, in Part 5 Division 6 Subdivision 5, has a meaning affected by section 106(2);</w:t>
      </w:r>
    </w:p>
    <w:p>
      <w:pPr>
        <w:pStyle w:val="MiscellaneousBody"/>
      </w:pPr>
      <w:r>
        <w:rPr>
          <w:b/>
        </w:rPr>
        <w:tab/>
        <w:t>(FLA s. 4(1))</w:t>
      </w:r>
    </w:p>
    <w:p>
      <w:pPr>
        <w:pStyle w:val="Defstart"/>
      </w:pPr>
      <w:r>
        <w:rPr>
          <w:b/>
        </w:rPr>
        <w:tab/>
      </w:r>
      <w:r>
        <w:rPr>
          <w:rStyle w:val="CharDefText"/>
        </w:rPr>
        <w:t>personal insolvency agreement</w:t>
      </w:r>
      <w:r>
        <w:t xml:space="preserve"> has the meaning given in the Bankruptcy Act section 5(1);</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pPr>
      <w:r>
        <w:rPr>
          <w:b/>
        </w:rPr>
        <w:lastRenderedPageBreak/>
        <w:tab/>
        <w:t>(FLA s. 4(1))</w:t>
      </w:r>
    </w:p>
    <w:p>
      <w:pPr>
        <w:pStyle w:val="Defstart"/>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MiscellaneousBody"/>
      </w:pPr>
      <w:r>
        <w:rPr>
          <w:b/>
        </w:rPr>
        <w:tab/>
        <w:t>(FLA s. 4(1))</w:t>
      </w:r>
    </w:p>
    <w:p>
      <w:pPr>
        <w:pStyle w:val="Defstart"/>
      </w:pPr>
      <w:r>
        <w:rPr>
          <w:b/>
        </w:rPr>
        <w:tab/>
      </w:r>
      <w:r>
        <w:rPr>
          <w:rStyle w:val="CharDefText"/>
        </w:rPr>
        <w:t>property settlement proceedings</w:t>
      </w:r>
      <w:r>
        <w:t xml:space="preserve"> means proceedings with respect to — </w:t>
      </w:r>
    </w:p>
    <w:p>
      <w:pPr>
        <w:pStyle w:val="Defpara"/>
      </w:pPr>
      <w:r>
        <w:tab/>
        <w:t>(a)</w:t>
      </w:r>
      <w:r>
        <w:tab/>
        <w:t>the property of de facto partners, or either of them; or</w:t>
      </w:r>
    </w:p>
    <w:p>
      <w:pPr>
        <w:pStyle w:val="Defpara"/>
      </w:pPr>
      <w:r>
        <w:tab/>
        <w:t>(b)</w:t>
      </w:r>
      <w:r>
        <w:tab/>
        <w:t>the vested bankruptcy property in relation to a bankrupt de facto partner;</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 xml:space="preserve">however it is expressed, has the effect of providing for contact between a child who is under 18 and another </w:t>
      </w:r>
      <w:r>
        <w:lastRenderedPageBreak/>
        <w:t>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pPr>
      <w:r>
        <w:rPr>
          <w:b/>
        </w:rPr>
        <w:tab/>
        <w:t>(FLA s. 4(1))</w:t>
      </w:r>
    </w:p>
    <w:p>
      <w:pPr>
        <w:pStyle w:val="Defstart"/>
      </w:pPr>
      <w:r>
        <w:rPr>
          <w:b/>
        </w:rPr>
        <w:tab/>
      </w:r>
      <w:r>
        <w:rPr>
          <w:rStyle w:val="CharDefText"/>
        </w:rPr>
        <w:t>trustee</w:t>
      </w:r>
      <w:r>
        <w:t>, in relation to a personal insolvency agreement, has the same meaning as in the Bankruptcy Act;</w:t>
      </w:r>
    </w:p>
    <w:p>
      <w:pPr>
        <w:pStyle w:val="MiscellaneousBody"/>
      </w:pPr>
      <w:r>
        <w:rPr>
          <w:b/>
        </w:rPr>
        <w:tab/>
        <w:t>(FLA s. 4(1))</w:t>
      </w:r>
    </w:p>
    <w:p>
      <w:pPr>
        <w:pStyle w:val="Defstart"/>
      </w:pPr>
      <w:r>
        <w:rPr>
          <w:b/>
        </w:rPr>
        <w:tab/>
      </w:r>
      <w:r>
        <w:rPr>
          <w:rStyle w:val="CharDefText"/>
        </w:rPr>
        <w:t>vested bankruptcy property</w:t>
      </w:r>
      <w:r>
        <w:t>, in relation to a bankrupt, means property, as defined in the Bankruptcy Act section 5(1), of the bankrupt that has vested in the bankruptcy trustee under that Act;</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 No. 28 of 2022 s. 4.]</w:t>
      </w:r>
    </w:p>
    <w:p>
      <w:pPr>
        <w:pStyle w:val="Heading5"/>
        <w:spacing w:before="240"/>
      </w:pPr>
      <w:bookmarkStart w:id="11" w:name="_Toc114575766"/>
      <w:r>
        <w:rPr>
          <w:rStyle w:val="CharSectno"/>
        </w:rPr>
        <w:t>6</w:t>
      </w:r>
      <w:r>
        <w:t>.</w:t>
      </w:r>
      <w:r>
        <w:tab/>
        <w:t xml:space="preserve">Meaning of </w:t>
      </w:r>
      <w:r>
        <w:rPr>
          <w:i/>
        </w:rPr>
        <w:t>member of the family</w:t>
      </w:r>
      <w:r>
        <w:t> — FLA s. 4(1AB)</w:t>
      </w:r>
      <w:bookmarkEnd w:id="11"/>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lastRenderedPageBreak/>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lastRenderedPageBreak/>
        <w:tab/>
        <w:t>(i)</w:t>
      </w:r>
      <w:r>
        <w:tab/>
        <w:t>the first person is or has been a member of the family of a child of the second person.</w:t>
      </w:r>
    </w:p>
    <w:p>
      <w:pPr>
        <w:pStyle w:val="Footnotesection"/>
      </w:pPr>
      <w:r>
        <w:tab/>
        <w:t>[Section 6 inserted: No. 35 of 2006 s. 171; amended: No. 13 of 2013 s. 5.]</w:t>
      </w:r>
    </w:p>
    <w:p>
      <w:pPr>
        <w:pStyle w:val="Heading5"/>
      </w:pPr>
      <w:bookmarkStart w:id="12" w:name="_Toc114575767"/>
      <w:r>
        <w:rPr>
          <w:rStyle w:val="CharSectno"/>
        </w:rPr>
        <w:t>7</w:t>
      </w:r>
      <w:r>
        <w:t>.</w:t>
      </w:r>
      <w:r>
        <w:tab/>
        <w:t xml:space="preserve">Meaning of </w:t>
      </w:r>
      <w:r>
        <w:rPr>
          <w:i/>
        </w:rPr>
        <w:t>relative</w:t>
      </w:r>
      <w:r>
        <w:t> — FLA s. 4(1AC)</w:t>
      </w:r>
      <w:bookmarkEnd w:id="12"/>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13" w:name="_Toc114575768"/>
      <w:r>
        <w:rPr>
          <w:rStyle w:val="CharSectno"/>
        </w:rPr>
        <w:t>7A</w:t>
      </w:r>
      <w:r>
        <w:t>.</w:t>
      </w:r>
      <w:r>
        <w:tab/>
        <w:t xml:space="preserve">Meaning of </w:t>
      </w:r>
      <w:r>
        <w:rPr>
          <w:i/>
        </w:rPr>
        <w:t>major long</w:t>
      </w:r>
      <w:r>
        <w:rPr>
          <w:i/>
        </w:rPr>
        <w:noBreakHyphen/>
        <w:t>term issues</w:t>
      </w:r>
      <w:r>
        <w:t> — FLA s. 4(1)</w:t>
      </w:r>
      <w:bookmarkEnd w:id="13"/>
    </w:p>
    <w:p>
      <w:pPr>
        <w:pStyle w:val="Subsection"/>
      </w:pPr>
      <w:r>
        <w:tab/>
        <w:t>(1)</w:t>
      </w:r>
      <w:r>
        <w:tab/>
        <w:t xml:space="preserve">For the purposes of this Act — </w:t>
      </w:r>
    </w:p>
    <w:p>
      <w:pPr>
        <w:pStyle w:val="Defstart"/>
        <w:keepNext/>
      </w:pPr>
      <w:r>
        <w:rPr>
          <w:b/>
        </w:rPr>
        <w:tab/>
      </w:r>
      <w:r>
        <w:rPr>
          <w:rStyle w:val="CharDefText"/>
        </w:rPr>
        <w:t>major long</w:t>
      </w:r>
      <w:r>
        <w:rPr>
          <w:rStyle w:val="CharDefText"/>
        </w:rPr>
        <w:noBreakHyphen/>
        <w:t>term issues</w:t>
      </w:r>
      <w:r>
        <w:t xml:space="preserve">, in relation to a child, means issues about the care, welfare and development of the child of a </w:t>
      </w:r>
      <w:r>
        <w:lastRenderedPageBreak/>
        <w:t>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pPr>
      <w:bookmarkStart w:id="14" w:name="_Toc112422749"/>
      <w:bookmarkStart w:id="15" w:name="_Toc112914445"/>
      <w:bookmarkStart w:id="16" w:name="_Toc114575769"/>
      <w:r>
        <w:rPr>
          <w:rStyle w:val="CharSectno"/>
        </w:rPr>
        <w:t>7B</w:t>
      </w:r>
      <w:r>
        <w:t>.</w:t>
      </w:r>
      <w:r>
        <w:tab/>
        <w:t xml:space="preserve">Meaning of </w:t>
      </w:r>
      <w:r>
        <w:rPr>
          <w:i/>
        </w:rPr>
        <w:t>debtor subject to a personal insolvency agreement</w:t>
      </w:r>
      <w:r>
        <w:t> — FLA s. 5</w:t>
      </w:r>
      <w:bookmarkEnd w:id="14"/>
      <w:bookmarkEnd w:id="15"/>
      <w:bookmarkEnd w:id="16"/>
    </w:p>
    <w:p>
      <w:pPr>
        <w:pStyle w:val="Subsection"/>
      </w:pPr>
      <w:r>
        <w:tab/>
      </w:r>
      <w:r>
        <w:tab/>
        <w:t xml:space="preserve">For the purposes of this Act, a person is a </w:t>
      </w:r>
      <w:r>
        <w:rPr>
          <w:rStyle w:val="CharDefText"/>
        </w:rPr>
        <w:t>debtor subject to a personal insolvency agreement</w:t>
      </w:r>
      <w:r>
        <w:t xml:space="preserve"> if — </w:t>
      </w:r>
    </w:p>
    <w:p>
      <w:pPr>
        <w:pStyle w:val="Indenta"/>
      </w:pPr>
      <w:r>
        <w:tab/>
        <w:t>(a)</w:t>
      </w:r>
      <w:r>
        <w:tab/>
        <w:t>the person is a debtor (within the meaning of the Bankruptcy Act Part X); and</w:t>
      </w:r>
    </w:p>
    <w:p>
      <w:pPr>
        <w:pStyle w:val="Indenta"/>
      </w:pPr>
      <w:r>
        <w:tab/>
        <w:t>(b)</w:t>
      </w:r>
      <w:r>
        <w:tab/>
        <w:t xml:space="preserve">the person executes a personal insolvency agreement; and </w:t>
      </w:r>
    </w:p>
    <w:p>
      <w:pPr>
        <w:pStyle w:val="Indenta"/>
      </w:pPr>
      <w:r>
        <w:tab/>
        <w:t>(c)</w:t>
      </w:r>
      <w:r>
        <w:tab/>
        <w:t>the agreement has not come to an end (as defined in the Bankruptcy Act section 5(1)).</w:t>
      </w:r>
    </w:p>
    <w:p>
      <w:pPr>
        <w:pStyle w:val="Footnotesection"/>
        <w:spacing w:before="100"/>
      </w:pPr>
      <w:r>
        <w:tab/>
        <w:t>[Section 7B inserted: No. 28 of 2022 s. 5.]</w:t>
      </w:r>
    </w:p>
    <w:p>
      <w:pPr>
        <w:pStyle w:val="Heading5"/>
        <w:spacing w:before="200"/>
        <w:rPr>
          <w:snapToGrid w:val="0"/>
        </w:rPr>
      </w:pPr>
      <w:bookmarkStart w:id="17" w:name="_Toc114575770"/>
      <w:r>
        <w:rPr>
          <w:rStyle w:val="CharSectno"/>
        </w:rPr>
        <w:lastRenderedPageBreak/>
        <w:t>8</w:t>
      </w:r>
      <w:r>
        <w:rPr>
          <w:snapToGrid w:val="0"/>
        </w:rPr>
        <w:t>.</w:t>
      </w:r>
      <w:r>
        <w:rPr>
          <w:snapToGrid w:val="0"/>
        </w:rPr>
        <w:tab/>
        <w:t xml:space="preserve">Meaning of </w:t>
      </w:r>
      <w:r>
        <w:rPr>
          <w:i/>
        </w:rPr>
        <w:t>court</w:t>
      </w:r>
      <w:bookmarkEnd w:id="17"/>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18" w:name="_Toc114575771"/>
      <w:r>
        <w:rPr>
          <w:rStyle w:val="CharSectno"/>
        </w:rPr>
        <w:t>9A</w:t>
      </w:r>
      <w:r>
        <w:t>.</w:t>
      </w:r>
      <w:r>
        <w:tab/>
        <w:t xml:space="preserve">Meaning of </w:t>
      </w:r>
      <w:r>
        <w:rPr>
          <w:i/>
        </w:rPr>
        <w:t>family violence</w:t>
      </w:r>
      <w:r>
        <w:t xml:space="preserve"> etc. — FLA s. 4AB</w:t>
      </w:r>
      <w:bookmarkEnd w:id="18"/>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lastRenderedPageBreak/>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19" w:name="_Toc114575772"/>
      <w:r>
        <w:rPr>
          <w:rStyle w:val="CharSectno"/>
        </w:rPr>
        <w:t>9B</w:t>
      </w:r>
      <w:r>
        <w:t>.</w:t>
      </w:r>
      <w:r>
        <w:tab/>
      </w:r>
      <w:r>
        <w:rPr>
          <w:i/>
        </w:rPr>
        <w:t>Courts and Tribunals (Electronic Processes Facilitation) Act 2013</w:t>
      </w:r>
      <w:r>
        <w:t xml:space="preserve"> Pt. 2 applies</w:t>
      </w:r>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20" w:name="_Toc114559101"/>
      <w:bookmarkStart w:id="21" w:name="_Toc114563088"/>
      <w:bookmarkStart w:id="22" w:name="_Toc114575773"/>
      <w:r>
        <w:rPr>
          <w:rStyle w:val="CharPartNo"/>
        </w:rPr>
        <w:lastRenderedPageBreak/>
        <w:t>Part 2</w:t>
      </w:r>
      <w:r>
        <w:t> — </w:t>
      </w:r>
      <w:r>
        <w:rPr>
          <w:rStyle w:val="CharPartText"/>
        </w:rPr>
        <w:t>Family Court of Western Australia</w:t>
      </w:r>
      <w:bookmarkEnd w:id="20"/>
      <w:bookmarkEnd w:id="21"/>
      <w:bookmarkEnd w:id="22"/>
      <w:r>
        <w:rPr>
          <w:rStyle w:val="CharPartText"/>
        </w:rPr>
        <w:t xml:space="preserve"> </w:t>
      </w:r>
    </w:p>
    <w:p>
      <w:pPr>
        <w:pStyle w:val="Heading3"/>
        <w:rPr>
          <w:snapToGrid w:val="0"/>
        </w:rPr>
      </w:pPr>
      <w:bookmarkStart w:id="23" w:name="_Toc114559102"/>
      <w:bookmarkStart w:id="24" w:name="_Toc114563089"/>
      <w:bookmarkStart w:id="25" w:name="_Toc114575774"/>
      <w:r>
        <w:rPr>
          <w:rStyle w:val="CharDivNo"/>
        </w:rPr>
        <w:t>Division 1</w:t>
      </w:r>
      <w:r>
        <w:rPr>
          <w:snapToGrid w:val="0"/>
        </w:rPr>
        <w:t> — </w:t>
      </w:r>
      <w:r>
        <w:rPr>
          <w:rStyle w:val="CharDivText"/>
        </w:rPr>
        <w:t>The Family Court</w:t>
      </w:r>
      <w:bookmarkEnd w:id="23"/>
      <w:bookmarkEnd w:id="24"/>
      <w:bookmarkEnd w:id="25"/>
      <w:r>
        <w:rPr>
          <w:rStyle w:val="CharDivText"/>
        </w:rPr>
        <w:t xml:space="preserve"> </w:t>
      </w:r>
    </w:p>
    <w:p>
      <w:pPr>
        <w:pStyle w:val="Heading5"/>
        <w:rPr>
          <w:snapToGrid w:val="0"/>
        </w:rPr>
      </w:pPr>
      <w:bookmarkStart w:id="26" w:name="_Toc114575775"/>
      <w:r>
        <w:rPr>
          <w:rStyle w:val="CharSectno"/>
        </w:rPr>
        <w:t>9</w:t>
      </w:r>
      <w:r>
        <w:rPr>
          <w:snapToGrid w:val="0"/>
        </w:rPr>
        <w:t>.</w:t>
      </w:r>
      <w:r>
        <w:rPr>
          <w:snapToGrid w:val="0"/>
        </w:rPr>
        <w:tab/>
        <w:t>Family Court continued</w:t>
      </w:r>
      <w:bookmarkEnd w:id="26"/>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7" w:name="_Toc114575776"/>
      <w:r>
        <w:rPr>
          <w:rStyle w:val="CharSectno"/>
        </w:rPr>
        <w:t>10</w:t>
      </w:r>
      <w:r>
        <w:rPr>
          <w:snapToGrid w:val="0"/>
        </w:rPr>
        <w:t>.</w:t>
      </w:r>
      <w:r>
        <w:rPr>
          <w:snapToGrid w:val="0"/>
        </w:rPr>
        <w:tab/>
        <w:t>Constitution etc. of Court</w:t>
      </w:r>
      <w:bookmarkEnd w:id="27"/>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8" w:name="_Toc114559105"/>
      <w:bookmarkStart w:id="29" w:name="_Toc114563092"/>
      <w:bookmarkStart w:id="30" w:name="_Toc114575777"/>
      <w:r>
        <w:rPr>
          <w:rStyle w:val="CharDivNo"/>
        </w:rPr>
        <w:t>Division 2</w:t>
      </w:r>
      <w:r>
        <w:rPr>
          <w:snapToGrid w:val="0"/>
        </w:rPr>
        <w:t> — </w:t>
      </w:r>
      <w:r>
        <w:rPr>
          <w:rStyle w:val="CharDivText"/>
        </w:rPr>
        <w:t>Judges</w:t>
      </w:r>
      <w:bookmarkEnd w:id="28"/>
      <w:bookmarkEnd w:id="29"/>
      <w:bookmarkEnd w:id="30"/>
      <w:r>
        <w:rPr>
          <w:rStyle w:val="CharDivText"/>
        </w:rPr>
        <w:t xml:space="preserve"> </w:t>
      </w:r>
    </w:p>
    <w:p>
      <w:pPr>
        <w:pStyle w:val="Heading5"/>
        <w:rPr>
          <w:snapToGrid w:val="0"/>
        </w:rPr>
      </w:pPr>
      <w:bookmarkStart w:id="31" w:name="_Toc114575778"/>
      <w:r>
        <w:rPr>
          <w:rStyle w:val="CharSectno"/>
        </w:rPr>
        <w:t>11</w:t>
      </w:r>
      <w:r>
        <w:rPr>
          <w:snapToGrid w:val="0"/>
        </w:rPr>
        <w:t>.</w:t>
      </w:r>
      <w:r>
        <w:rPr>
          <w:snapToGrid w:val="0"/>
        </w:rPr>
        <w:tab/>
        <w:t>Appointment of judges</w:t>
      </w:r>
      <w:bookmarkEnd w:id="3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lastRenderedPageBreak/>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32" w:name="_Toc114575779"/>
      <w:r>
        <w:rPr>
          <w:rStyle w:val="CharSectno"/>
        </w:rPr>
        <w:t>12</w:t>
      </w:r>
      <w:r>
        <w:rPr>
          <w:snapToGrid w:val="0"/>
        </w:rPr>
        <w:t>.</w:t>
      </w:r>
      <w:r>
        <w:rPr>
          <w:snapToGrid w:val="0"/>
        </w:rPr>
        <w:tab/>
        <w:t>Seniority</w:t>
      </w:r>
      <w:bookmarkEnd w:id="32"/>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33" w:name="_Toc114575780"/>
      <w:r>
        <w:rPr>
          <w:rStyle w:val="CharSectno"/>
        </w:rPr>
        <w:t>13</w:t>
      </w:r>
      <w:r>
        <w:t>.</w:t>
      </w:r>
      <w:r>
        <w:tab/>
        <w:t>Oath of office</w:t>
      </w:r>
      <w:bookmarkEnd w:id="33"/>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lastRenderedPageBreak/>
        <w:tab/>
        <w:t>[Section 13 inserted: No. 24 of 2005 s. 22.]</w:t>
      </w:r>
    </w:p>
    <w:p>
      <w:pPr>
        <w:pStyle w:val="Heading5"/>
        <w:keepLines w:val="0"/>
        <w:rPr>
          <w:snapToGrid w:val="0"/>
        </w:rPr>
      </w:pPr>
      <w:bookmarkStart w:id="34" w:name="_Toc114575781"/>
      <w:r>
        <w:rPr>
          <w:rStyle w:val="CharSectno"/>
        </w:rPr>
        <w:t>14</w:t>
      </w:r>
      <w:r>
        <w:rPr>
          <w:snapToGrid w:val="0"/>
        </w:rPr>
        <w:t>.</w:t>
      </w:r>
      <w:r>
        <w:rPr>
          <w:snapToGrid w:val="0"/>
        </w:rPr>
        <w:tab/>
        <w:t>Style and title of judges</w:t>
      </w:r>
      <w:bookmarkEnd w:id="34"/>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35" w:name="_Toc114575782"/>
      <w:r>
        <w:rPr>
          <w:rStyle w:val="CharSectno"/>
        </w:rPr>
        <w:t>15</w:t>
      </w:r>
      <w:r>
        <w:rPr>
          <w:snapToGrid w:val="0"/>
        </w:rPr>
        <w:t>.</w:t>
      </w:r>
      <w:r>
        <w:rPr>
          <w:snapToGrid w:val="0"/>
        </w:rPr>
        <w:tab/>
        <w:t>Salaries and allowances of judges</w:t>
      </w:r>
      <w:bookmarkEnd w:id="35"/>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36" w:name="_Toc114575783"/>
      <w:r>
        <w:rPr>
          <w:rStyle w:val="CharSectno"/>
        </w:rPr>
        <w:t>16</w:t>
      </w:r>
      <w:r>
        <w:rPr>
          <w:snapToGrid w:val="0"/>
        </w:rPr>
        <w:t>.</w:t>
      </w:r>
      <w:r>
        <w:rPr>
          <w:snapToGrid w:val="0"/>
        </w:rPr>
        <w:tab/>
        <w:t>Leave of judge</w:t>
      </w:r>
      <w:bookmarkEnd w:id="36"/>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37" w:name="_Toc114575784"/>
      <w:r>
        <w:rPr>
          <w:rStyle w:val="CharSectno"/>
        </w:rPr>
        <w:t>17</w:t>
      </w:r>
      <w:r>
        <w:rPr>
          <w:snapToGrid w:val="0"/>
        </w:rPr>
        <w:t>.</w:t>
      </w:r>
      <w:r>
        <w:rPr>
          <w:snapToGrid w:val="0"/>
        </w:rPr>
        <w:tab/>
        <w:t>Judges may continue certain superannuation scheme</w:t>
      </w:r>
      <w:bookmarkEnd w:id="37"/>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38" w:name="_Toc114575785"/>
      <w:r>
        <w:rPr>
          <w:rStyle w:val="CharSectno"/>
        </w:rPr>
        <w:t>18</w:t>
      </w:r>
      <w:r>
        <w:rPr>
          <w:snapToGrid w:val="0"/>
        </w:rPr>
        <w:t>.</w:t>
      </w:r>
      <w:r>
        <w:rPr>
          <w:snapToGrid w:val="0"/>
        </w:rPr>
        <w:tab/>
        <w:t>Tenure of office</w:t>
      </w:r>
      <w:bookmarkEnd w:id="38"/>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lastRenderedPageBreak/>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39" w:name="_Toc114575786"/>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39"/>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40" w:name="_Toc114575787"/>
      <w:r>
        <w:rPr>
          <w:rStyle w:val="CharSectno"/>
        </w:rPr>
        <w:t>20</w:t>
      </w:r>
      <w:r>
        <w:rPr>
          <w:snapToGrid w:val="0"/>
        </w:rPr>
        <w:t>.</w:t>
      </w:r>
      <w:r>
        <w:rPr>
          <w:snapToGrid w:val="0"/>
        </w:rPr>
        <w:tab/>
        <w:t>Next senior judge may act if Chief Judge unable to act, or office vacant</w:t>
      </w:r>
      <w:bookmarkEnd w:id="40"/>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 xml:space="preserve">and no judge has been specifically appointed under section 21 to act in the office of Chief Judge for the period of such inability </w:t>
      </w:r>
      <w:r>
        <w:rPr>
          <w:snapToGrid w:val="0"/>
        </w:rPr>
        <w:lastRenderedPageBreak/>
        <w:t>or vacancy, the next senior judge who is able and willing to do so is to perform the Chief Judge’s functions and may exercise the Chief Judge’s powers.</w:t>
      </w:r>
    </w:p>
    <w:p>
      <w:pPr>
        <w:pStyle w:val="Heading5"/>
        <w:rPr>
          <w:snapToGrid w:val="0"/>
        </w:rPr>
      </w:pPr>
      <w:bookmarkStart w:id="41" w:name="_Toc114575788"/>
      <w:r>
        <w:rPr>
          <w:rStyle w:val="CharSectno"/>
        </w:rPr>
        <w:t>21</w:t>
      </w:r>
      <w:r>
        <w:rPr>
          <w:snapToGrid w:val="0"/>
        </w:rPr>
        <w:t>.</w:t>
      </w:r>
      <w:r>
        <w:rPr>
          <w:snapToGrid w:val="0"/>
        </w:rPr>
        <w:tab/>
        <w:t>Acting Chief Judge</w:t>
      </w:r>
      <w:bookmarkEnd w:id="4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42" w:name="_Toc114575789"/>
      <w:r>
        <w:rPr>
          <w:rStyle w:val="CharSectno"/>
        </w:rPr>
        <w:t>22</w:t>
      </w:r>
      <w:r>
        <w:rPr>
          <w:snapToGrid w:val="0"/>
        </w:rPr>
        <w:t>.</w:t>
      </w:r>
      <w:r>
        <w:rPr>
          <w:snapToGrid w:val="0"/>
        </w:rPr>
        <w:tab/>
        <w:t>Acting judges</w:t>
      </w:r>
      <w:bookmarkEnd w:id="42"/>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 xml:space="preserve">If for any reason the conduct of the business of the Court, in the opinion of the Governor, requires the appointment of an acting judge then the Governor may appoint a person who is eligible to be appointed as a judge to act as a judge for such period as the </w:t>
      </w:r>
      <w:r>
        <w:rPr>
          <w:snapToGrid w:val="0"/>
        </w:rPr>
        <w:lastRenderedPageBreak/>
        <w:t>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43" w:name="_Toc114575790"/>
      <w:r>
        <w:rPr>
          <w:rStyle w:val="CharSectno"/>
        </w:rPr>
        <w:t>23</w:t>
      </w:r>
      <w:r>
        <w:rPr>
          <w:snapToGrid w:val="0"/>
        </w:rPr>
        <w:t>.</w:t>
      </w:r>
      <w:r>
        <w:rPr>
          <w:snapToGrid w:val="0"/>
        </w:rPr>
        <w:tab/>
        <w:t>Effect of acting as judge</w:t>
      </w:r>
      <w:bookmarkEnd w:id="43"/>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lastRenderedPageBreak/>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44" w:name="_Toc114575791"/>
      <w:r>
        <w:rPr>
          <w:rStyle w:val="CharSectno"/>
        </w:rPr>
        <w:t>24</w:t>
      </w:r>
      <w:r>
        <w:rPr>
          <w:snapToGrid w:val="0"/>
        </w:rPr>
        <w:t>.</w:t>
      </w:r>
      <w:r>
        <w:rPr>
          <w:snapToGrid w:val="0"/>
        </w:rPr>
        <w:tab/>
        <w:t>Dual appointments</w:t>
      </w:r>
      <w:bookmarkEnd w:id="44"/>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w:t>
      </w:r>
      <w:r>
        <w:rPr>
          <w:snapToGrid w:val="0"/>
        </w:rPr>
        <w:lastRenderedPageBreak/>
        <w:t xml:space="preserve">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45" w:name="_Toc114559120"/>
      <w:bookmarkStart w:id="46" w:name="_Toc114563107"/>
      <w:bookmarkStart w:id="47" w:name="_Toc114575792"/>
      <w:r>
        <w:rPr>
          <w:rStyle w:val="CharDivNo"/>
        </w:rPr>
        <w:t>Division 3</w:t>
      </w:r>
      <w:r>
        <w:rPr>
          <w:snapToGrid w:val="0"/>
        </w:rPr>
        <w:t> — </w:t>
      </w:r>
      <w:r>
        <w:rPr>
          <w:rStyle w:val="CharDivText"/>
        </w:rPr>
        <w:t>Officers of the Court and staff</w:t>
      </w:r>
      <w:bookmarkEnd w:id="45"/>
      <w:bookmarkEnd w:id="46"/>
      <w:bookmarkEnd w:id="47"/>
      <w:r>
        <w:rPr>
          <w:rStyle w:val="CharDivText"/>
        </w:rPr>
        <w:t xml:space="preserve"> </w:t>
      </w:r>
    </w:p>
    <w:p>
      <w:pPr>
        <w:pStyle w:val="Heading5"/>
        <w:rPr>
          <w:snapToGrid w:val="0"/>
        </w:rPr>
      </w:pPr>
      <w:bookmarkStart w:id="48" w:name="_Toc114575793"/>
      <w:r>
        <w:rPr>
          <w:rStyle w:val="CharSectno"/>
        </w:rPr>
        <w:t>25</w:t>
      </w:r>
      <w:r>
        <w:rPr>
          <w:snapToGrid w:val="0"/>
        </w:rPr>
        <w:t>.</w:t>
      </w:r>
      <w:r>
        <w:rPr>
          <w:snapToGrid w:val="0"/>
        </w:rPr>
        <w:tab/>
        <w:t>Officers of Court</w:t>
      </w:r>
      <w:bookmarkEnd w:id="48"/>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 xml:space="preserve">the Collector of Maintenance of the Court and assistant collectors of maintenance of the Court in such number </w:t>
      </w:r>
      <w:r>
        <w:rPr>
          <w:snapToGrid w:val="0"/>
        </w:rPr>
        <w:lastRenderedPageBreak/>
        <w:t>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lastRenderedPageBreak/>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49" w:name="_Toc114575794"/>
      <w:r>
        <w:rPr>
          <w:rStyle w:val="CharSectno"/>
        </w:rPr>
        <w:t>26</w:t>
      </w:r>
      <w:r>
        <w:rPr>
          <w:snapToGrid w:val="0"/>
        </w:rPr>
        <w:t>.</w:t>
      </w:r>
      <w:r>
        <w:rPr>
          <w:snapToGrid w:val="0"/>
        </w:rPr>
        <w:tab/>
        <w:t>Principal Registrar and registrars may be magistrates</w:t>
      </w:r>
      <w:bookmarkEnd w:id="49"/>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lastRenderedPageBreak/>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50" w:name="_Toc114575795"/>
      <w:r>
        <w:rPr>
          <w:rStyle w:val="CharSectno"/>
        </w:rPr>
        <w:t>27</w:t>
      </w:r>
      <w:r>
        <w:rPr>
          <w:snapToGrid w:val="0"/>
        </w:rPr>
        <w:t>.</w:t>
      </w:r>
      <w:r>
        <w:rPr>
          <w:snapToGrid w:val="0"/>
        </w:rPr>
        <w:tab/>
        <w:t>Personal staff for judges</w:t>
      </w:r>
      <w:bookmarkEnd w:id="50"/>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51" w:name="_Toc114575796"/>
      <w:r>
        <w:rPr>
          <w:rStyle w:val="CharSectno"/>
        </w:rPr>
        <w:t>28</w:t>
      </w:r>
      <w:r>
        <w:rPr>
          <w:snapToGrid w:val="0"/>
        </w:rPr>
        <w:t>.</w:t>
      </w:r>
      <w:r>
        <w:rPr>
          <w:snapToGrid w:val="0"/>
        </w:rPr>
        <w:tab/>
        <w:t>Other Court staff</w:t>
      </w:r>
      <w:bookmarkEnd w:id="51"/>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52" w:name="_Toc114575797"/>
      <w:r>
        <w:rPr>
          <w:rStyle w:val="CharSectno"/>
        </w:rPr>
        <w:t>29</w:t>
      </w:r>
      <w:r>
        <w:rPr>
          <w:snapToGrid w:val="0"/>
        </w:rPr>
        <w:t>.</w:t>
      </w:r>
      <w:r>
        <w:rPr>
          <w:snapToGrid w:val="0"/>
        </w:rPr>
        <w:tab/>
        <w:t>Marshal</w:t>
      </w:r>
      <w:bookmarkEnd w:id="52"/>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lastRenderedPageBreak/>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53" w:name="_Toc114575798"/>
      <w:r>
        <w:rPr>
          <w:rStyle w:val="CharSectno"/>
        </w:rPr>
        <w:t>30</w:t>
      </w:r>
      <w:r>
        <w:rPr>
          <w:snapToGrid w:val="0"/>
        </w:rPr>
        <w:t>.</w:t>
      </w:r>
      <w:r>
        <w:rPr>
          <w:snapToGrid w:val="0"/>
        </w:rPr>
        <w:tab/>
        <w:t>Functions under federal jurisdiction</w:t>
      </w:r>
      <w:bookmarkEnd w:id="53"/>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54" w:name="_Toc114575799"/>
      <w:r>
        <w:rPr>
          <w:rStyle w:val="CharSectno"/>
        </w:rPr>
        <w:t>31</w:t>
      </w:r>
      <w:r>
        <w:rPr>
          <w:snapToGrid w:val="0"/>
        </w:rPr>
        <w:t>.</w:t>
      </w:r>
      <w:r>
        <w:rPr>
          <w:snapToGrid w:val="0"/>
        </w:rPr>
        <w:tab/>
        <w:t>Functions under non</w:t>
      </w:r>
      <w:r>
        <w:rPr>
          <w:snapToGrid w:val="0"/>
        </w:rPr>
        <w:noBreakHyphen/>
        <w:t>federal jurisdictions</w:t>
      </w:r>
      <w:bookmarkEnd w:id="54"/>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55" w:name="_Toc114575800"/>
      <w:r>
        <w:rPr>
          <w:rStyle w:val="CharSectno"/>
        </w:rPr>
        <w:t>32</w:t>
      </w:r>
      <w:r>
        <w:rPr>
          <w:snapToGrid w:val="0"/>
        </w:rPr>
        <w:t>.</w:t>
      </w:r>
      <w:r>
        <w:rPr>
          <w:snapToGrid w:val="0"/>
        </w:rPr>
        <w:tab/>
        <w:t>Judicial notice of signatures</w:t>
      </w:r>
      <w:bookmarkEnd w:id="55"/>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56" w:name="_Toc114575801"/>
      <w:r>
        <w:rPr>
          <w:rStyle w:val="CharSectno"/>
        </w:rPr>
        <w:t>33</w:t>
      </w:r>
      <w:r>
        <w:rPr>
          <w:snapToGrid w:val="0"/>
        </w:rPr>
        <w:t>.</w:t>
      </w:r>
      <w:r>
        <w:rPr>
          <w:snapToGrid w:val="0"/>
        </w:rPr>
        <w:tab/>
        <w:t>Delegation of powers to registrars — FLA s. 37A</w:t>
      </w:r>
      <w:bookmarkEnd w:id="56"/>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lastRenderedPageBreak/>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lastRenderedPageBreak/>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lastRenderedPageBreak/>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57" w:name="_Toc114575802"/>
      <w:r>
        <w:rPr>
          <w:rStyle w:val="CharSectno"/>
        </w:rPr>
        <w:t>33A</w:t>
      </w:r>
      <w:r>
        <w:t>.</w:t>
      </w:r>
      <w:r>
        <w:tab/>
        <w:t>Engagement of consultants etc. — FLA s. 38R</w:t>
      </w:r>
      <w:bookmarkEnd w:id="57"/>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58" w:name="_Toc114559131"/>
      <w:bookmarkStart w:id="59" w:name="_Toc114563118"/>
      <w:bookmarkStart w:id="60" w:name="_Toc114575803"/>
      <w:r>
        <w:rPr>
          <w:rStyle w:val="CharDivNo"/>
        </w:rPr>
        <w:t>Division 4</w:t>
      </w:r>
      <w:r>
        <w:t> — </w:t>
      </w:r>
      <w:r>
        <w:rPr>
          <w:rStyle w:val="CharDivText"/>
        </w:rPr>
        <w:t>Administration of Court’s family services</w:t>
      </w:r>
      <w:bookmarkEnd w:id="58"/>
      <w:bookmarkEnd w:id="59"/>
      <w:bookmarkEnd w:id="60"/>
    </w:p>
    <w:p>
      <w:pPr>
        <w:pStyle w:val="Footnoteheading"/>
        <w:spacing w:before="100"/>
      </w:pPr>
      <w:r>
        <w:tab/>
        <w:t>[Heading inserted: No. 35 of 2006 s. 112.]</w:t>
      </w:r>
    </w:p>
    <w:p>
      <w:pPr>
        <w:pStyle w:val="Heading5"/>
        <w:spacing w:before="200"/>
      </w:pPr>
      <w:bookmarkStart w:id="61" w:name="_Toc114575804"/>
      <w:r>
        <w:rPr>
          <w:rStyle w:val="CharSectno"/>
        </w:rPr>
        <w:t>34</w:t>
      </w:r>
      <w:r>
        <w:t>.</w:t>
      </w:r>
      <w:r>
        <w:tab/>
        <w:t>Director of Court Counselling has functions of family consultants — FLA s. 38BA</w:t>
      </w:r>
      <w:bookmarkEnd w:id="61"/>
    </w:p>
    <w:p>
      <w:pPr>
        <w:pStyle w:val="Subsection"/>
        <w:spacing w:before="120"/>
      </w:pPr>
      <w:r>
        <w:tab/>
        <w:t>(1)</w:t>
      </w:r>
      <w:r>
        <w:tab/>
        <w:t>The Director of Court Counselling has all of the functions conferred on family consultants by section 60 and any associated powers and duties.</w:t>
      </w:r>
    </w:p>
    <w:p>
      <w:pPr>
        <w:pStyle w:val="Subsection"/>
      </w:pPr>
      <w:r>
        <w:lastRenderedPageBreak/>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62" w:name="_Toc114575805"/>
      <w:r>
        <w:rPr>
          <w:rStyle w:val="CharSectno"/>
        </w:rPr>
        <w:t>34A</w:t>
      </w:r>
      <w:r>
        <w:t>.</w:t>
      </w:r>
      <w:r>
        <w:tab/>
        <w:t>Director of Court Counselling may delegate powers and functions that relate to family consultants — FLA s. 38BB</w:t>
      </w:r>
      <w:bookmarkEnd w:id="62"/>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63" w:name="_Toc114575806"/>
      <w:r>
        <w:rPr>
          <w:rStyle w:val="CharSectno"/>
        </w:rPr>
        <w:t>34B</w:t>
      </w:r>
      <w:r>
        <w:t>.</w:t>
      </w:r>
      <w:r>
        <w:tab/>
        <w:t>Director of Court Counselling may give directions that relate to family services functions — FLA s. 38BC</w:t>
      </w:r>
      <w:bookmarkEnd w:id="63"/>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64" w:name="_Toc114575807"/>
      <w:r>
        <w:rPr>
          <w:rStyle w:val="CharSectno"/>
        </w:rPr>
        <w:lastRenderedPageBreak/>
        <w:t>34C</w:t>
      </w:r>
      <w:r>
        <w:t>.</w:t>
      </w:r>
      <w:r>
        <w:tab/>
        <w:t>Director of Court Counselling may authorise officer or staff member to act as family counsellor or family dispute resolution practitioner — FLA s. 38BD</w:t>
      </w:r>
      <w:bookmarkEnd w:id="64"/>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65" w:name="_Toc114575808"/>
      <w:r>
        <w:rPr>
          <w:rStyle w:val="CharSectno"/>
        </w:rPr>
        <w:t>34D</w:t>
      </w:r>
      <w:r>
        <w:t>.</w:t>
      </w:r>
      <w:r>
        <w:tab/>
        <w:t>Director of Court Counselling may engage persons to perform family counselling services or family dispute resolution services — FLA s. 38R(1A)</w:t>
      </w:r>
      <w:bookmarkEnd w:id="65"/>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66" w:name="_Toc114559137"/>
      <w:bookmarkStart w:id="67" w:name="_Toc114563124"/>
      <w:bookmarkStart w:id="68" w:name="_Toc114575809"/>
      <w:r>
        <w:rPr>
          <w:rStyle w:val="CharPartNo"/>
        </w:rPr>
        <w:lastRenderedPageBreak/>
        <w:t>Part 3</w:t>
      </w:r>
      <w:r>
        <w:t> — </w:t>
      </w:r>
      <w:r>
        <w:rPr>
          <w:rStyle w:val="CharPartText"/>
        </w:rPr>
        <w:t>Jurisdiction of courts and transfer, staying and dismissal of proceedings</w:t>
      </w:r>
      <w:bookmarkEnd w:id="66"/>
      <w:bookmarkEnd w:id="67"/>
      <w:bookmarkEnd w:id="68"/>
      <w:r>
        <w:rPr>
          <w:rStyle w:val="CharPartText"/>
        </w:rPr>
        <w:t xml:space="preserve"> </w:t>
      </w:r>
    </w:p>
    <w:p>
      <w:pPr>
        <w:pStyle w:val="Heading3"/>
        <w:rPr>
          <w:snapToGrid w:val="0"/>
        </w:rPr>
      </w:pPr>
      <w:bookmarkStart w:id="69" w:name="_Toc114559138"/>
      <w:bookmarkStart w:id="70" w:name="_Toc114563125"/>
      <w:bookmarkStart w:id="71" w:name="_Toc114575810"/>
      <w:r>
        <w:rPr>
          <w:rStyle w:val="CharDivNo"/>
        </w:rPr>
        <w:t>Division 1</w:t>
      </w:r>
      <w:r>
        <w:rPr>
          <w:snapToGrid w:val="0"/>
        </w:rPr>
        <w:t> — </w:t>
      </w:r>
      <w:r>
        <w:rPr>
          <w:rStyle w:val="CharDivText"/>
        </w:rPr>
        <w:t>Jurisdiction of the Family Court</w:t>
      </w:r>
      <w:bookmarkEnd w:id="69"/>
      <w:bookmarkEnd w:id="70"/>
      <w:bookmarkEnd w:id="71"/>
      <w:r>
        <w:rPr>
          <w:rStyle w:val="CharDivText"/>
        </w:rPr>
        <w:t xml:space="preserve"> </w:t>
      </w:r>
    </w:p>
    <w:p>
      <w:pPr>
        <w:pStyle w:val="Heading5"/>
        <w:rPr>
          <w:snapToGrid w:val="0"/>
        </w:rPr>
      </w:pPr>
      <w:bookmarkStart w:id="72" w:name="_Toc114575811"/>
      <w:r>
        <w:rPr>
          <w:rStyle w:val="CharSectno"/>
        </w:rPr>
        <w:t>35</w:t>
      </w:r>
      <w:r>
        <w:rPr>
          <w:snapToGrid w:val="0"/>
        </w:rPr>
        <w:t>.</w:t>
      </w:r>
      <w:r>
        <w:rPr>
          <w:snapToGrid w:val="0"/>
        </w:rPr>
        <w:tab/>
        <w:t>Federal jurisdiction of Court</w:t>
      </w:r>
      <w:bookmarkEnd w:id="72"/>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73" w:name="_Toc114575812"/>
      <w:r>
        <w:rPr>
          <w:rStyle w:val="CharSectno"/>
        </w:rPr>
        <w:t>36</w:t>
      </w:r>
      <w:r>
        <w:rPr>
          <w:snapToGrid w:val="0"/>
        </w:rPr>
        <w:t>.</w:t>
      </w:r>
      <w:r>
        <w:rPr>
          <w:snapToGrid w:val="0"/>
        </w:rPr>
        <w:tab/>
        <w:t>Non</w:t>
      </w:r>
      <w:r>
        <w:rPr>
          <w:snapToGrid w:val="0"/>
        </w:rPr>
        <w:noBreakHyphen/>
        <w:t>federal jurisdictions of Court</w:t>
      </w:r>
      <w:bookmarkEnd w:id="73"/>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lastRenderedPageBreak/>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(ca)</w:t>
      </w:r>
      <w:r>
        <w:tab/>
        <w:t>applications for orders under this Act with respect to vested bankruptcy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 xml:space="preserve">federal jurisdiction to make an order under this Act whether or not the facts or circumstances, or any of them, the existence or occurrence of which is necessary for the making of the order took place or </w:t>
      </w:r>
      <w:r>
        <w:rPr>
          <w:snapToGrid w:val="0"/>
        </w:rPr>
        <w:lastRenderedPageBreak/>
        <w:t>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 No. 28 of 2022 s. 6.]</w:t>
      </w:r>
    </w:p>
    <w:p>
      <w:pPr>
        <w:pStyle w:val="Heading5"/>
        <w:rPr>
          <w:snapToGrid w:val="0"/>
        </w:rPr>
      </w:pPr>
      <w:bookmarkStart w:id="74" w:name="_Toc114575813"/>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74"/>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lastRenderedPageBreak/>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75" w:name="_Toc114559142"/>
      <w:bookmarkStart w:id="76" w:name="_Toc114563129"/>
      <w:bookmarkStart w:id="77" w:name="_Toc114575814"/>
      <w:r>
        <w:rPr>
          <w:rStyle w:val="CharDivNo"/>
        </w:rPr>
        <w:t>Division 2</w:t>
      </w:r>
      <w:r>
        <w:rPr>
          <w:snapToGrid w:val="0"/>
        </w:rPr>
        <w:t> — </w:t>
      </w:r>
      <w:r>
        <w:rPr>
          <w:rStyle w:val="CharDivText"/>
        </w:rPr>
        <w:t>Jurisdiction of courts of summary jurisdiction</w:t>
      </w:r>
      <w:bookmarkEnd w:id="75"/>
      <w:bookmarkEnd w:id="76"/>
      <w:bookmarkEnd w:id="77"/>
      <w:r>
        <w:rPr>
          <w:rStyle w:val="CharDivText"/>
        </w:rPr>
        <w:t xml:space="preserve"> </w:t>
      </w:r>
    </w:p>
    <w:p>
      <w:pPr>
        <w:pStyle w:val="Heading5"/>
        <w:rPr>
          <w:snapToGrid w:val="0"/>
        </w:rPr>
      </w:pPr>
      <w:bookmarkStart w:id="78" w:name="_Toc114575815"/>
      <w:r>
        <w:rPr>
          <w:rStyle w:val="CharSectno"/>
        </w:rPr>
        <w:t>38</w:t>
      </w:r>
      <w:r>
        <w:rPr>
          <w:snapToGrid w:val="0"/>
        </w:rPr>
        <w:t>.</w:t>
      </w:r>
      <w:r>
        <w:rPr>
          <w:snapToGrid w:val="0"/>
        </w:rPr>
        <w:tab/>
        <w:t>Federal jurisdiction of courts of summary jurisdiction</w:t>
      </w:r>
      <w:bookmarkEnd w:id="78"/>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79" w:name="_Toc114575816"/>
      <w:r>
        <w:rPr>
          <w:rStyle w:val="CharSectno"/>
        </w:rPr>
        <w:t>39</w:t>
      </w:r>
      <w:r>
        <w:rPr>
          <w:snapToGrid w:val="0"/>
        </w:rPr>
        <w:t>.</w:t>
      </w:r>
      <w:r>
        <w:rPr>
          <w:snapToGrid w:val="0"/>
        </w:rPr>
        <w:tab/>
        <w:t>Non</w:t>
      </w:r>
      <w:r>
        <w:rPr>
          <w:snapToGrid w:val="0"/>
        </w:rPr>
        <w:noBreakHyphen/>
        <w:t>federal jurisdictions of courts of summary jurisdiction</w:t>
      </w:r>
      <w:bookmarkEnd w:id="79"/>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80" w:name="_Toc114575817"/>
      <w:r>
        <w:rPr>
          <w:rStyle w:val="CharSectno"/>
        </w:rPr>
        <w:lastRenderedPageBreak/>
        <w:t>40</w:t>
      </w:r>
      <w:r>
        <w:rPr>
          <w:snapToGrid w:val="0"/>
        </w:rPr>
        <w:t>.</w:t>
      </w:r>
      <w:r>
        <w:rPr>
          <w:snapToGrid w:val="0"/>
        </w:rPr>
        <w:tab/>
        <w:t>Functions of officers of courts of summary jurisdiction</w:t>
      </w:r>
      <w:bookmarkEnd w:id="80"/>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81" w:name="_Toc114559146"/>
      <w:bookmarkStart w:id="82" w:name="_Toc114563133"/>
      <w:bookmarkStart w:id="83" w:name="_Toc114575818"/>
      <w:r>
        <w:rPr>
          <w:rStyle w:val="CharDivNo"/>
        </w:rPr>
        <w:t>Division 3</w:t>
      </w:r>
      <w:r>
        <w:rPr>
          <w:snapToGrid w:val="0"/>
        </w:rPr>
        <w:t> — </w:t>
      </w:r>
      <w:r>
        <w:rPr>
          <w:rStyle w:val="CharDivText"/>
        </w:rPr>
        <w:t>Jurisdiction of other courts</w:t>
      </w:r>
      <w:bookmarkEnd w:id="81"/>
      <w:bookmarkEnd w:id="82"/>
      <w:bookmarkEnd w:id="83"/>
      <w:r>
        <w:rPr>
          <w:rStyle w:val="CharDivText"/>
        </w:rPr>
        <w:t xml:space="preserve"> </w:t>
      </w:r>
    </w:p>
    <w:p>
      <w:pPr>
        <w:pStyle w:val="Heading5"/>
        <w:rPr>
          <w:snapToGrid w:val="0"/>
        </w:rPr>
      </w:pPr>
      <w:bookmarkStart w:id="84" w:name="_Toc114575819"/>
      <w:r>
        <w:rPr>
          <w:rStyle w:val="CharSectno"/>
        </w:rPr>
        <w:t>41</w:t>
      </w:r>
      <w:r>
        <w:rPr>
          <w:snapToGrid w:val="0"/>
        </w:rPr>
        <w:t>.</w:t>
      </w:r>
      <w:r>
        <w:rPr>
          <w:snapToGrid w:val="0"/>
        </w:rPr>
        <w:tab/>
        <w:t>Courts making family violence orders have certain jurisdiction under this Act</w:t>
      </w:r>
      <w:bookmarkEnd w:id="84"/>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85" w:name="_Toc114559148"/>
      <w:bookmarkStart w:id="86" w:name="_Toc114563135"/>
      <w:bookmarkStart w:id="87" w:name="_Toc114575820"/>
      <w:r>
        <w:rPr>
          <w:rStyle w:val="CharDivNo"/>
        </w:rPr>
        <w:t>Division 4</w:t>
      </w:r>
      <w:r>
        <w:rPr>
          <w:snapToGrid w:val="0"/>
        </w:rPr>
        <w:t> — </w:t>
      </w:r>
      <w:r>
        <w:rPr>
          <w:rStyle w:val="CharDivText"/>
        </w:rPr>
        <w:t>Transfer, staying and dismissal of proceedings</w:t>
      </w:r>
      <w:bookmarkEnd w:id="85"/>
      <w:bookmarkEnd w:id="86"/>
      <w:bookmarkEnd w:id="87"/>
      <w:r>
        <w:rPr>
          <w:rStyle w:val="CharDivText"/>
        </w:rPr>
        <w:t xml:space="preserve"> </w:t>
      </w:r>
    </w:p>
    <w:p>
      <w:pPr>
        <w:pStyle w:val="Ednotesection"/>
        <w:keepLines/>
        <w:spacing w:before="180"/>
      </w:pPr>
      <w:r>
        <w:t>[</w:t>
      </w:r>
      <w:r>
        <w:rPr>
          <w:b/>
        </w:rPr>
        <w:t>42.</w:t>
      </w:r>
      <w:r>
        <w:tab/>
        <w:t>Deleted: No. 59 of 2004 s. 95.]</w:t>
      </w:r>
    </w:p>
    <w:p>
      <w:pPr>
        <w:pStyle w:val="Heading5"/>
        <w:spacing w:before="180"/>
        <w:rPr>
          <w:snapToGrid w:val="0"/>
        </w:rPr>
      </w:pPr>
      <w:bookmarkStart w:id="88" w:name="_Toc114575821"/>
      <w:r>
        <w:rPr>
          <w:rStyle w:val="CharSectno"/>
        </w:rPr>
        <w:lastRenderedPageBreak/>
        <w:t>43</w:t>
      </w:r>
      <w:r>
        <w:rPr>
          <w:snapToGrid w:val="0"/>
        </w:rPr>
        <w:t>.</w:t>
      </w:r>
      <w:r>
        <w:rPr>
          <w:snapToGrid w:val="0"/>
        </w:rPr>
        <w:tab/>
        <w:t>Transfer of proceedings from courts of summary jurisdiction in certain cases — FLA s. 69N</w:t>
      </w:r>
      <w:bookmarkEnd w:id="88"/>
      <w:r>
        <w:rPr>
          <w:snapToGrid w:val="0"/>
        </w:rPr>
        <w:t xml:space="preserve"> </w:t>
      </w:r>
    </w:p>
    <w:p>
      <w:pPr>
        <w:pStyle w:val="Subsection"/>
        <w:keepNext/>
        <w:keepLines/>
      </w:pPr>
      <w:r>
        <w:tab/>
        <w:t>(1)</w:t>
      </w:r>
      <w:r>
        <w:tab/>
        <w:t xml:space="preserve">This section applies — </w:t>
      </w:r>
    </w:p>
    <w:p>
      <w:pPr>
        <w:pStyle w:val="Indenta"/>
        <w:keepNext/>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keepNext/>
        <w:rPr>
          <w:snapToGrid w:val="0"/>
        </w:rPr>
      </w:pPr>
      <w:r>
        <w:rPr>
          <w:snapToGrid w:val="0"/>
        </w:rPr>
        <w:lastRenderedPageBreak/>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89" w:name="_Toc114575822"/>
      <w:r>
        <w:rPr>
          <w:rStyle w:val="CharSectno"/>
        </w:rPr>
        <w:lastRenderedPageBreak/>
        <w:t>43A</w:t>
      </w:r>
      <w:r>
        <w:t>.</w:t>
      </w:r>
      <w:r>
        <w:tab/>
        <w:t>Transfer of proceedings from Magistrates Court in other cases</w:t>
      </w:r>
      <w:bookmarkEnd w:id="89"/>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lastRenderedPageBreak/>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90" w:name="_Toc114575823"/>
      <w:r>
        <w:rPr>
          <w:rStyle w:val="CharSectno"/>
        </w:rPr>
        <w:t>44</w:t>
      </w:r>
      <w:r>
        <w:rPr>
          <w:snapToGrid w:val="0"/>
        </w:rPr>
        <w:t>.</w:t>
      </w:r>
      <w:r>
        <w:rPr>
          <w:snapToGrid w:val="0"/>
        </w:rPr>
        <w:tab/>
        <w:t>Transfer of proceedings to another court — FLA s. 45(2)</w:t>
      </w:r>
      <w:bookmarkEnd w:id="90"/>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91" w:name="_Toc114575824"/>
      <w:r>
        <w:rPr>
          <w:rStyle w:val="CharSectno"/>
        </w:rPr>
        <w:t>45</w:t>
      </w:r>
      <w:r>
        <w:rPr>
          <w:snapToGrid w:val="0"/>
        </w:rPr>
        <w:t>.</w:t>
      </w:r>
      <w:r>
        <w:rPr>
          <w:snapToGrid w:val="0"/>
        </w:rPr>
        <w:tab/>
        <w:t>Stay or dismissal of proceedings</w:t>
      </w:r>
      <w:bookmarkEnd w:id="91"/>
      <w:r>
        <w:rPr>
          <w:snapToGrid w:val="0"/>
        </w:rPr>
        <w:t xml:space="preserve"> </w:t>
      </w:r>
    </w:p>
    <w:p>
      <w:pPr>
        <w:pStyle w:val="Subsection"/>
        <w:rPr>
          <w:snapToGrid w:val="0"/>
        </w:rPr>
      </w:pPr>
      <w:r>
        <w:rPr>
          <w:snapToGrid w:val="0"/>
        </w:rPr>
        <w:tab/>
      </w:r>
      <w:r>
        <w:t>(1)</w:t>
      </w:r>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lastRenderedPageBreak/>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pPr>
        <w:pStyle w:val="Footnotesection"/>
      </w:pPr>
      <w:r>
        <w:tab/>
        <w:t>[Section 45 amended: No. 59 of 2004 s. 95; No. 28 of 2022 s. 7.]</w:t>
      </w:r>
    </w:p>
    <w:p>
      <w:pPr>
        <w:pStyle w:val="Heading5"/>
        <w:rPr>
          <w:snapToGrid w:val="0"/>
        </w:rPr>
      </w:pPr>
      <w:bookmarkStart w:id="92" w:name="_Toc114575825"/>
      <w:r>
        <w:rPr>
          <w:rStyle w:val="CharSectno"/>
        </w:rPr>
        <w:t>46</w:t>
      </w:r>
      <w:r>
        <w:rPr>
          <w:snapToGrid w:val="0"/>
        </w:rPr>
        <w:t>.</w:t>
      </w:r>
      <w:r>
        <w:rPr>
          <w:snapToGrid w:val="0"/>
        </w:rPr>
        <w:tab/>
        <w:t>Orders on transfer or staying proceedings</w:t>
      </w:r>
      <w:bookmarkEnd w:id="92"/>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lastRenderedPageBreak/>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93" w:name="_Toc114575826"/>
      <w:r>
        <w:rPr>
          <w:rStyle w:val="CharSectno"/>
        </w:rPr>
        <w:t>46A</w:t>
      </w:r>
      <w:r>
        <w:t>.</w:t>
      </w:r>
      <w:r>
        <w:tab/>
        <w:t>Change of venue — FLA s. 27A</w:t>
      </w:r>
      <w:bookmarkEnd w:id="93"/>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94" w:name="_Toc114559155"/>
      <w:bookmarkStart w:id="95" w:name="_Toc114563142"/>
      <w:bookmarkStart w:id="96" w:name="_Toc114575827"/>
      <w:r>
        <w:rPr>
          <w:rStyle w:val="CharPartNo"/>
        </w:rPr>
        <w:lastRenderedPageBreak/>
        <w:t>Part 4</w:t>
      </w:r>
      <w:r>
        <w:rPr>
          <w:b w:val="0"/>
        </w:rPr>
        <w:t> </w:t>
      </w:r>
      <w:r>
        <w:t>—</w:t>
      </w:r>
      <w:r>
        <w:rPr>
          <w:b w:val="0"/>
        </w:rPr>
        <w:t> </w:t>
      </w:r>
      <w:r>
        <w:rPr>
          <w:rStyle w:val="CharPartText"/>
        </w:rPr>
        <w:t>Non</w:t>
      </w:r>
      <w:r>
        <w:rPr>
          <w:rStyle w:val="CharPartText"/>
        </w:rPr>
        <w:noBreakHyphen/>
        <w:t>court based family services</w:t>
      </w:r>
      <w:bookmarkEnd w:id="94"/>
      <w:bookmarkEnd w:id="95"/>
      <w:bookmarkEnd w:id="96"/>
    </w:p>
    <w:p>
      <w:pPr>
        <w:pStyle w:val="Footnoteheading"/>
      </w:pPr>
      <w:r>
        <w:tab/>
        <w:t>[Heading inserted: No. 35 of 2006 s. 115.]</w:t>
      </w:r>
    </w:p>
    <w:p>
      <w:pPr>
        <w:pStyle w:val="Heading3"/>
      </w:pPr>
      <w:bookmarkStart w:id="97" w:name="_Toc114559156"/>
      <w:bookmarkStart w:id="98" w:name="_Toc114563143"/>
      <w:bookmarkStart w:id="99" w:name="_Toc114575828"/>
      <w:r>
        <w:rPr>
          <w:rStyle w:val="CharDivNo"/>
        </w:rPr>
        <w:t>Division 1</w:t>
      </w:r>
      <w:r>
        <w:t> — </w:t>
      </w:r>
      <w:r>
        <w:rPr>
          <w:rStyle w:val="CharDivText"/>
        </w:rPr>
        <w:t>Family counselling</w:t>
      </w:r>
      <w:bookmarkEnd w:id="97"/>
      <w:bookmarkEnd w:id="98"/>
      <w:bookmarkEnd w:id="99"/>
    </w:p>
    <w:p>
      <w:pPr>
        <w:pStyle w:val="Footnoteheading"/>
      </w:pPr>
      <w:r>
        <w:tab/>
        <w:t>[Heading inserted: No. 35 of 2006 s. 115.]</w:t>
      </w:r>
    </w:p>
    <w:p>
      <w:pPr>
        <w:pStyle w:val="Heading5"/>
      </w:pPr>
      <w:bookmarkStart w:id="100" w:name="_Toc114575829"/>
      <w:r>
        <w:rPr>
          <w:rStyle w:val="CharSectno"/>
        </w:rPr>
        <w:t>47</w:t>
      </w:r>
      <w:r>
        <w:t>.</w:t>
      </w:r>
      <w:r>
        <w:tab/>
        <w:t>Term used: family counselling — FLA s. 10B</w:t>
      </w:r>
      <w:bookmarkEnd w:id="100"/>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101" w:name="_Toc114575830"/>
      <w:r>
        <w:rPr>
          <w:rStyle w:val="CharSectno"/>
        </w:rPr>
        <w:t>48</w:t>
      </w:r>
      <w:r>
        <w:t>.</w:t>
      </w:r>
      <w:r>
        <w:tab/>
        <w:t>Term used: family counsellor — FLA s. 10C</w:t>
      </w:r>
      <w:bookmarkEnd w:id="101"/>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102" w:name="_Toc114575831"/>
      <w:r>
        <w:rPr>
          <w:rStyle w:val="CharSectno"/>
        </w:rPr>
        <w:lastRenderedPageBreak/>
        <w:t>49</w:t>
      </w:r>
      <w:r>
        <w:t>.</w:t>
      </w:r>
      <w:r>
        <w:tab/>
        <w:t>Confidentiality of communications in family counselling — FLA s. 10D</w:t>
      </w:r>
      <w:bookmarkEnd w:id="102"/>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lastRenderedPageBreak/>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03" w:name="_Toc114575832"/>
      <w:r>
        <w:rPr>
          <w:rStyle w:val="CharSectno"/>
        </w:rPr>
        <w:t>50</w:t>
      </w:r>
      <w:r>
        <w:t>.</w:t>
      </w:r>
      <w:r>
        <w:tab/>
        <w:t>Admissibility of communications in family counselling and in referrals from family counselling — FLA s. 10E</w:t>
      </w:r>
      <w:bookmarkEnd w:id="103"/>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lastRenderedPageBreak/>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04" w:name="_Toc114559161"/>
      <w:bookmarkStart w:id="105" w:name="_Toc114563148"/>
      <w:bookmarkStart w:id="106" w:name="_Toc114575833"/>
      <w:r>
        <w:rPr>
          <w:rStyle w:val="CharDivNo"/>
        </w:rPr>
        <w:t>Division 2</w:t>
      </w:r>
      <w:r>
        <w:t> — </w:t>
      </w:r>
      <w:r>
        <w:rPr>
          <w:rStyle w:val="CharDivText"/>
        </w:rPr>
        <w:t>Family dispute resolution</w:t>
      </w:r>
      <w:bookmarkEnd w:id="104"/>
      <w:bookmarkEnd w:id="105"/>
      <w:bookmarkEnd w:id="106"/>
    </w:p>
    <w:p>
      <w:pPr>
        <w:pStyle w:val="Footnoteheading"/>
      </w:pPr>
      <w:r>
        <w:tab/>
        <w:t>[Heading inserted: No. 35 of 2006 s. 115.]</w:t>
      </w:r>
    </w:p>
    <w:p>
      <w:pPr>
        <w:pStyle w:val="Heading5"/>
      </w:pPr>
      <w:bookmarkStart w:id="107" w:name="_Toc114575834"/>
      <w:r>
        <w:rPr>
          <w:rStyle w:val="CharSectno"/>
        </w:rPr>
        <w:t>51</w:t>
      </w:r>
      <w:r>
        <w:t>.</w:t>
      </w:r>
      <w:r>
        <w:tab/>
        <w:t>Term used: family dispute resolution — FLA s. 10F</w:t>
      </w:r>
      <w:bookmarkEnd w:id="107"/>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108" w:name="_Toc114575835"/>
      <w:r>
        <w:rPr>
          <w:rStyle w:val="CharSectno"/>
        </w:rPr>
        <w:lastRenderedPageBreak/>
        <w:t>52</w:t>
      </w:r>
      <w:r>
        <w:t>.</w:t>
      </w:r>
      <w:r>
        <w:tab/>
        <w:t>Term used: family dispute resolution practitioner — FLA s. 10G</w:t>
      </w:r>
      <w:bookmarkEnd w:id="108"/>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109" w:name="_Toc114575836"/>
      <w:r>
        <w:rPr>
          <w:rStyle w:val="CharSectno"/>
        </w:rPr>
        <w:t>53</w:t>
      </w:r>
      <w:r>
        <w:t>.</w:t>
      </w:r>
      <w:r>
        <w:tab/>
        <w:t>Confidentiality of communications in family dispute resolution — FLA s. 10H</w:t>
      </w:r>
      <w:bookmarkEnd w:id="109"/>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lastRenderedPageBreak/>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110" w:name="_Toc114575837"/>
      <w:r>
        <w:rPr>
          <w:rStyle w:val="CharSectno"/>
        </w:rPr>
        <w:lastRenderedPageBreak/>
        <w:t>54</w:t>
      </w:r>
      <w:r>
        <w:t>.</w:t>
      </w:r>
      <w:r>
        <w:tab/>
        <w:t>Admissibility of communications in family dispute resolution and in referrals from family dispute resolution — FLA s. 10J</w:t>
      </w:r>
      <w:bookmarkEnd w:id="110"/>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111" w:name="_Toc114575838"/>
      <w:r>
        <w:rPr>
          <w:rStyle w:val="CharSectno"/>
        </w:rPr>
        <w:lastRenderedPageBreak/>
        <w:t>55</w:t>
      </w:r>
      <w:r>
        <w:t>.</w:t>
      </w:r>
      <w:r>
        <w:tab/>
        <w:t>Family dispute resolution practitioners must comply with regulations — FLA s. 10K</w:t>
      </w:r>
      <w:bookmarkEnd w:id="111"/>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112" w:name="_Toc114559167"/>
      <w:bookmarkStart w:id="113" w:name="_Toc114563154"/>
      <w:bookmarkStart w:id="114" w:name="_Toc114575839"/>
      <w:r>
        <w:rPr>
          <w:rStyle w:val="CharDivNo"/>
        </w:rPr>
        <w:t>Division 3</w:t>
      </w:r>
      <w:r>
        <w:t> — </w:t>
      </w:r>
      <w:r>
        <w:rPr>
          <w:rStyle w:val="CharDivText"/>
        </w:rPr>
        <w:t>Arbitration</w:t>
      </w:r>
      <w:bookmarkEnd w:id="112"/>
      <w:bookmarkEnd w:id="113"/>
      <w:bookmarkEnd w:id="114"/>
    </w:p>
    <w:p>
      <w:pPr>
        <w:pStyle w:val="Footnoteheading"/>
      </w:pPr>
      <w:r>
        <w:tab/>
        <w:t>[Heading inserted: No. 35 of 2006 s. 115.]</w:t>
      </w:r>
    </w:p>
    <w:p>
      <w:pPr>
        <w:pStyle w:val="Heading5"/>
      </w:pPr>
      <w:bookmarkStart w:id="115" w:name="_Toc114575840"/>
      <w:r>
        <w:rPr>
          <w:rStyle w:val="CharSectno"/>
        </w:rPr>
        <w:t>56</w:t>
      </w:r>
      <w:r>
        <w:t>.</w:t>
      </w:r>
      <w:r>
        <w:tab/>
        <w:t xml:space="preserve">Meaning of </w:t>
      </w:r>
      <w:r>
        <w:rPr>
          <w:i/>
        </w:rPr>
        <w:t>arbitration</w:t>
      </w:r>
      <w:r>
        <w:t> — FLA s. 10L</w:t>
      </w:r>
      <w:bookmarkEnd w:id="115"/>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116" w:name="_Toc114575841"/>
      <w:r>
        <w:rPr>
          <w:rStyle w:val="CharSectno"/>
        </w:rPr>
        <w:lastRenderedPageBreak/>
        <w:t>57</w:t>
      </w:r>
      <w:r>
        <w:t>.</w:t>
      </w:r>
      <w:r>
        <w:tab/>
        <w:t xml:space="preserve">Meaning of </w:t>
      </w:r>
      <w:r>
        <w:rPr>
          <w:i/>
        </w:rPr>
        <w:t>arbitrator</w:t>
      </w:r>
      <w:r>
        <w:t> — FLA s. 10M</w:t>
      </w:r>
      <w:bookmarkEnd w:id="116"/>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117" w:name="_Toc114575842"/>
      <w:r>
        <w:rPr>
          <w:rStyle w:val="CharSectno"/>
        </w:rPr>
        <w:t>58</w:t>
      </w:r>
      <w:r>
        <w:rPr>
          <w:bCs/>
        </w:rPr>
        <w:t>.</w:t>
      </w:r>
      <w:r>
        <w:rPr>
          <w:bCs/>
        </w:rPr>
        <w:tab/>
        <w:t>Arbitrators may charge fees for their services — FLA s. 10N</w:t>
      </w:r>
      <w:bookmarkEnd w:id="117"/>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118" w:name="_Toc114575843"/>
      <w:r>
        <w:rPr>
          <w:rStyle w:val="CharSectno"/>
        </w:rPr>
        <w:t>59</w:t>
      </w:r>
      <w:r>
        <w:t>.</w:t>
      </w:r>
      <w:r>
        <w:tab/>
        <w:t>Immunity of arbitrators — FLA s. 10P</w:t>
      </w:r>
      <w:bookmarkEnd w:id="118"/>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119" w:name="_Toc114559172"/>
      <w:bookmarkStart w:id="120" w:name="_Toc114563159"/>
      <w:bookmarkStart w:id="121" w:name="_Toc114575844"/>
      <w:r>
        <w:rPr>
          <w:rStyle w:val="CharPartNo"/>
        </w:rPr>
        <w:lastRenderedPageBreak/>
        <w:t>Part 4A</w:t>
      </w:r>
      <w:r>
        <w:rPr>
          <w:b w:val="0"/>
        </w:rPr>
        <w:t> </w:t>
      </w:r>
      <w:r>
        <w:t>—</w:t>
      </w:r>
      <w:r>
        <w:rPr>
          <w:b w:val="0"/>
        </w:rPr>
        <w:t> </w:t>
      </w:r>
      <w:r>
        <w:rPr>
          <w:rStyle w:val="CharPartText"/>
        </w:rPr>
        <w:t>Family consultants</w:t>
      </w:r>
      <w:bookmarkEnd w:id="119"/>
      <w:bookmarkEnd w:id="120"/>
      <w:bookmarkEnd w:id="121"/>
    </w:p>
    <w:p>
      <w:pPr>
        <w:pStyle w:val="Footnoteheading"/>
      </w:pPr>
      <w:r>
        <w:tab/>
        <w:t>[Heading inserted: No. 35 of 2006 s. 115.]</w:t>
      </w:r>
    </w:p>
    <w:p>
      <w:pPr>
        <w:pStyle w:val="Heading3"/>
      </w:pPr>
      <w:bookmarkStart w:id="122" w:name="_Toc114559173"/>
      <w:bookmarkStart w:id="123" w:name="_Toc114563160"/>
      <w:bookmarkStart w:id="124" w:name="_Toc114575845"/>
      <w:r>
        <w:rPr>
          <w:rStyle w:val="CharDivNo"/>
        </w:rPr>
        <w:t>Division 1</w:t>
      </w:r>
      <w:r>
        <w:t> — </w:t>
      </w:r>
      <w:r>
        <w:rPr>
          <w:rStyle w:val="CharDivText"/>
        </w:rPr>
        <w:t>About family consultants</w:t>
      </w:r>
      <w:bookmarkEnd w:id="122"/>
      <w:bookmarkEnd w:id="123"/>
      <w:bookmarkEnd w:id="124"/>
    </w:p>
    <w:p>
      <w:pPr>
        <w:pStyle w:val="Footnoteheading"/>
      </w:pPr>
      <w:r>
        <w:tab/>
        <w:t>[Heading inserted: No. 35 of 2006 s. 115.]</w:t>
      </w:r>
    </w:p>
    <w:p>
      <w:pPr>
        <w:pStyle w:val="Heading5"/>
      </w:pPr>
      <w:bookmarkStart w:id="125" w:name="_Toc114575846"/>
      <w:r>
        <w:rPr>
          <w:rStyle w:val="CharSectno"/>
        </w:rPr>
        <w:t>60</w:t>
      </w:r>
      <w:r>
        <w:rPr>
          <w:bCs/>
        </w:rPr>
        <w:t>.</w:t>
      </w:r>
      <w:r>
        <w:rPr>
          <w:bCs/>
        </w:rPr>
        <w:tab/>
        <w:t>Functions of family consultants — FLA s. 11A</w:t>
      </w:r>
      <w:bookmarkEnd w:id="125"/>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126" w:name="_Toc114575847"/>
      <w:r>
        <w:t>61.</w:t>
      </w:r>
      <w:r>
        <w:tab/>
        <w:t>Term used: family consultant — FLA s. 11B</w:t>
      </w:r>
      <w:bookmarkEnd w:id="126"/>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127" w:name="_Toc114575848"/>
      <w:r>
        <w:rPr>
          <w:rStyle w:val="CharSectno"/>
        </w:rPr>
        <w:lastRenderedPageBreak/>
        <w:t>62</w:t>
      </w:r>
      <w:r>
        <w:t>.</w:t>
      </w:r>
      <w:r>
        <w:tab/>
        <w:t>Admissibility of communications with family consultants and referrals from family consultants — FLA s. 11C</w:t>
      </w:r>
      <w:bookmarkEnd w:id="127"/>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128" w:name="_Toc114575849"/>
      <w:r>
        <w:rPr>
          <w:rStyle w:val="CharSectno"/>
        </w:rPr>
        <w:lastRenderedPageBreak/>
        <w:t>63</w:t>
      </w:r>
      <w:r>
        <w:t>.</w:t>
      </w:r>
      <w:r>
        <w:tab/>
        <w:t>Immunity of family consultants — FLA s. 11D</w:t>
      </w:r>
      <w:bookmarkEnd w:id="128"/>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129" w:name="_Toc114559178"/>
      <w:bookmarkStart w:id="130" w:name="_Toc114563165"/>
      <w:bookmarkStart w:id="131" w:name="_Toc114575850"/>
      <w:r>
        <w:rPr>
          <w:rStyle w:val="CharDivNo"/>
        </w:rPr>
        <w:t>Division 2</w:t>
      </w:r>
      <w:r>
        <w:t> — </w:t>
      </w:r>
      <w:r>
        <w:rPr>
          <w:rStyle w:val="CharDivText"/>
        </w:rPr>
        <w:t>Courts’ use of family consultants</w:t>
      </w:r>
      <w:bookmarkEnd w:id="129"/>
      <w:bookmarkEnd w:id="130"/>
      <w:bookmarkEnd w:id="131"/>
    </w:p>
    <w:p>
      <w:pPr>
        <w:pStyle w:val="Footnoteheading"/>
      </w:pPr>
      <w:r>
        <w:tab/>
        <w:t>[Heading inserted: No. 35 of 2006 s. 115.]</w:t>
      </w:r>
    </w:p>
    <w:p>
      <w:pPr>
        <w:pStyle w:val="Heading5"/>
      </w:pPr>
      <w:bookmarkStart w:id="132" w:name="_Toc114575851"/>
      <w:r>
        <w:rPr>
          <w:rStyle w:val="CharSectno"/>
        </w:rPr>
        <w:t>64</w:t>
      </w:r>
      <w:r>
        <w:t>.</w:t>
      </w:r>
      <w:r>
        <w:tab/>
        <w:t>Courts to consider seeking advice from family consultants — FLA s. 11E</w:t>
      </w:r>
      <w:bookmarkEnd w:id="132"/>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lastRenderedPageBreak/>
        <w:tab/>
        <w:t>(b)</w:t>
      </w:r>
      <w:r>
        <w:tab/>
        <w:t>the nature of the advice the court is seeking.</w:t>
      </w:r>
    </w:p>
    <w:p>
      <w:pPr>
        <w:pStyle w:val="Footnotesection"/>
      </w:pPr>
      <w:r>
        <w:tab/>
        <w:t>[Section 64 inserted: No. 35 of 2006 s. 115.]</w:t>
      </w:r>
    </w:p>
    <w:p>
      <w:pPr>
        <w:pStyle w:val="Heading5"/>
      </w:pPr>
      <w:bookmarkStart w:id="133" w:name="_Toc114575852"/>
      <w:r>
        <w:rPr>
          <w:rStyle w:val="CharSectno"/>
        </w:rPr>
        <w:t>65</w:t>
      </w:r>
      <w:r>
        <w:t>.</w:t>
      </w:r>
      <w:r>
        <w:tab/>
        <w:t>Court may order parties to attend, or arrange for child to attend, appointments with family consultant — FLA s. 11F</w:t>
      </w:r>
      <w:bookmarkEnd w:id="133"/>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134" w:name="_Toc114575853"/>
      <w:r>
        <w:rPr>
          <w:rStyle w:val="CharSectno"/>
        </w:rPr>
        <w:t>65A</w:t>
      </w:r>
      <w:r>
        <w:t>.</w:t>
      </w:r>
      <w:r>
        <w:tab/>
        <w:t>Consequences of failure to comply with order under section 65 — FLA s. 11G</w:t>
      </w:r>
      <w:bookmarkEnd w:id="134"/>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lastRenderedPageBreak/>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135" w:name="_Toc114559182"/>
      <w:bookmarkStart w:id="136" w:name="_Toc114563169"/>
      <w:bookmarkStart w:id="137" w:name="_Toc114575854"/>
      <w:r>
        <w:rPr>
          <w:rStyle w:val="CharPartNo"/>
        </w:rPr>
        <w:lastRenderedPageBreak/>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35"/>
      <w:bookmarkEnd w:id="136"/>
      <w:bookmarkEnd w:id="137"/>
    </w:p>
    <w:p>
      <w:pPr>
        <w:pStyle w:val="Footnoteheading"/>
      </w:pPr>
      <w:r>
        <w:tab/>
        <w:t>[Heading inserted: No. 35 of 2006 s. 115.]</w:t>
      </w:r>
    </w:p>
    <w:p>
      <w:pPr>
        <w:pStyle w:val="Heading3"/>
        <w:spacing w:before="260"/>
      </w:pPr>
      <w:bookmarkStart w:id="138" w:name="_Toc114559183"/>
      <w:bookmarkStart w:id="139" w:name="_Toc114563170"/>
      <w:bookmarkStart w:id="140" w:name="_Toc114575855"/>
      <w:r>
        <w:rPr>
          <w:rStyle w:val="CharDivNo"/>
        </w:rPr>
        <w:t>Division 1</w:t>
      </w:r>
      <w:r>
        <w:t> — </w:t>
      </w:r>
      <w:r>
        <w:rPr>
          <w:rStyle w:val="CharDivText"/>
        </w:rPr>
        <w:t>Introduction</w:t>
      </w:r>
      <w:bookmarkEnd w:id="138"/>
      <w:bookmarkEnd w:id="139"/>
      <w:bookmarkEnd w:id="140"/>
    </w:p>
    <w:p>
      <w:pPr>
        <w:pStyle w:val="Footnoteheading"/>
      </w:pPr>
      <w:r>
        <w:tab/>
        <w:t>[Heading inserted: No. 35 of 2006 s. 115.]</w:t>
      </w:r>
    </w:p>
    <w:p>
      <w:pPr>
        <w:pStyle w:val="Heading5"/>
        <w:spacing w:before="240"/>
      </w:pPr>
      <w:bookmarkStart w:id="141" w:name="_Toc114575856"/>
      <w:r>
        <w:rPr>
          <w:rStyle w:val="CharSectno"/>
        </w:rPr>
        <w:t>65B</w:t>
      </w:r>
      <w:r>
        <w:t>.</w:t>
      </w:r>
      <w:r>
        <w:tab/>
        <w:t>Objects of this Part — FLA s. 12A</w:t>
      </w:r>
      <w:bookmarkEnd w:id="141"/>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142" w:name="_Toc114559185"/>
      <w:bookmarkStart w:id="143" w:name="_Toc114563172"/>
      <w:bookmarkStart w:id="144" w:name="_Toc114575857"/>
      <w:r>
        <w:rPr>
          <w:rStyle w:val="CharDivNo"/>
        </w:rPr>
        <w:lastRenderedPageBreak/>
        <w:t>Division 2</w:t>
      </w:r>
      <w:r>
        <w:t> — </w:t>
      </w:r>
      <w:r>
        <w:rPr>
          <w:rStyle w:val="CharDivText"/>
        </w:rPr>
        <w:t>Kind of information to be provided</w:t>
      </w:r>
      <w:bookmarkEnd w:id="142"/>
      <w:bookmarkEnd w:id="143"/>
      <w:bookmarkEnd w:id="144"/>
    </w:p>
    <w:p>
      <w:pPr>
        <w:pStyle w:val="Footnoteheading"/>
        <w:keepNext/>
        <w:keepLines/>
      </w:pPr>
      <w:r>
        <w:tab/>
        <w:t>[Heading inserted: No. 35 of 2006 s. 115.]</w:t>
      </w:r>
    </w:p>
    <w:p>
      <w:pPr>
        <w:pStyle w:val="Heading5"/>
      </w:pPr>
      <w:bookmarkStart w:id="145" w:name="_Toc114575858"/>
      <w:r>
        <w:rPr>
          <w:rStyle w:val="CharSectno"/>
        </w:rPr>
        <w:t>65C</w:t>
      </w:r>
      <w:r>
        <w:t>.</w:t>
      </w:r>
      <w:r>
        <w:tab/>
        <w:t>Prescribed information about non</w:t>
      </w:r>
      <w:r>
        <w:noBreakHyphen/>
        <w:t>court based family services and court’s processes and services — FLA s. 12B</w:t>
      </w:r>
      <w:bookmarkEnd w:id="145"/>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146" w:name="_Toc114575859"/>
      <w:r>
        <w:rPr>
          <w:rStyle w:val="CharSectno"/>
        </w:rPr>
        <w:t>65D</w:t>
      </w:r>
      <w:r>
        <w:t>.</w:t>
      </w:r>
      <w:r>
        <w:tab/>
        <w:t>Prescribed information about reconciliation — FLA s. 12C</w:t>
      </w:r>
      <w:bookmarkEnd w:id="146"/>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147" w:name="_Toc114575860"/>
      <w:r>
        <w:rPr>
          <w:rStyle w:val="CharSectno"/>
        </w:rPr>
        <w:lastRenderedPageBreak/>
        <w:t>65E</w:t>
      </w:r>
      <w:r>
        <w:t>.</w:t>
      </w:r>
      <w:r>
        <w:tab/>
        <w:t>Prescribed information about Part 5 proceedings —FLA s. 12D</w:t>
      </w:r>
      <w:bookmarkEnd w:id="147"/>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148" w:name="_Toc114559189"/>
      <w:bookmarkStart w:id="149" w:name="_Toc114563176"/>
      <w:bookmarkStart w:id="150" w:name="_Toc114575861"/>
      <w:r>
        <w:rPr>
          <w:rStyle w:val="CharDivNo"/>
        </w:rPr>
        <w:t>Division 3</w:t>
      </w:r>
      <w:r>
        <w:t> — </w:t>
      </w:r>
      <w:r>
        <w:rPr>
          <w:rStyle w:val="CharDivText"/>
        </w:rPr>
        <w:t>Who must provide information and when</w:t>
      </w:r>
      <w:bookmarkEnd w:id="148"/>
      <w:bookmarkEnd w:id="149"/>
      <w:bookmarkEnd w:id="150"/>
    </w:p>
    <w:p>
      <w:pPr>
        <w:pStyle w:val="Footnoteheading"/>
      </w:pPr>
      <w:r>
        <w:tab/>
        <w:t>[Heading inserted: No. 35 of 2006 s. 115.]</w:t>
      </w:r>
    </w:p>
    <w:p>
      <w:pPr>
        <w:pStyle w:val="Heading5"/>
      </w:pPr>
      <w:bookmarkStart w:id="151" w:name="_Toc114575862"/>
      <w:r>
        <w:rPr>
          <w:rStyle w:val="CharSectno"/>
        </w:rPr>
        <w:t>65F</w:t>
      </w:r>
      <w:r>
        <w:t>.</w:t>
      </w:r>
      <w:r>
        <w:tab/>
        <w:t>Obligations on legal practitioners — FLA s. 12E</w:t>
      </w:r>
      <w:bookmarkEnd w:id="151"/>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lastRenderedPageBreak/>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152" w:name="_Toc114575863"/>
      <w:r>
        <w:rPr>
          <w:rStyle w:val="CharSectno"/>
        </w:rPr>
        <w:t>65G</w:t>
      </w:r>
      <w:r>
        <w:t>.</w:t>
      </w:r>
      <w:r>
        <w:tab/>
        <w:t>Obligations on executive manager — FLA s. 12F</w:t>
      </w:r>
      <w:bookmarkEnd w:id="152"/>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153" w:name="_Toc114575864"/>
      <w:r>
        <w:rPr>
          <w:rStyle w:val="CharSectno"/>
        </w:rPr>
        <w:t>65H</w:t>
      </w:r>
      <w:r>
        <w:t>.</w:t>
      </w:r>
      <w:r>
        <w:tab/>
        <w:t>Obligations on family counsellors, family dispute resolution practitioners and arbitrators — FLA s. 12G</w:t>
      </w:r>
      <w:bookmarkEnd w:id="153"/>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lastRenderedPageBreak/>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154" w:name="_Toc114559193"/>
      <w:bookmarkStart w:id="155" w:name="_Toc114563180"/>
      <w:bookmarkStart w:id="156" w:name="_Toc114575865"/>
      <w:r>
        <w:rPr>
          <w:rStyle w:val="CharPartNo"/>
        </w:rPr>
        <w:lastRenderedPageBreak/>
        <w:t>Part 4C</w:t>
      </w:r>
      <w:r>
        <w:t> —</w:t>
      </w:r>
      <w:r>
        <w:rPr>
          <w:b w:val="0"/>
        </w:rPr>
        <w:t> </w:t>
      </w:r>
      <w:r>
        <w:rPr>
          <w:rStyle w:val="CharPartText"/>
        </w:rPr>
        <w:t>Court’s powers in relation to court and non</w:t>
      </w:r>
      <w:r>
        <w:rPr>
          <w:rStyle w:val="CharPartText"/>
        </w:rPr>
        <w:noBreakHyphen/>
        <w:t>court based family services</w:t>
      </w:r>
      <w:bookmarkEnd w:id="154"/>
      <w:bookmarkEnd w:id="155"/>
      <w:bookmarkEnd w:id="156"/>
    </w:p>
    <w:p>
      <w:pPr>
        <w:pStyle w:val="Footnoteheading"/>
      </w:pPr>
      <w:r>
        <w:tab/>
        <w:t>[Heading inserted: No. 35 of 2006 s. 115.]</w:t>
      </w:r>
    </w:p>
    <w:p>
      <w:pPr>
        <w:pStyle w:val="Heading3"/>
      </w:pPr>
      <w:bookmarkStart w:id="157" w:name="_Toc114559194"/>
      <w:bookmarkStart w:id="158" w:name="_Toc114563181"/>
      <w:bookmarkStart w:id="159" w:name="_Toc114575866"/>
      <w:r>
        <w:rPr>
          <w:rStyle w:val="CharDivNo"/>
        </w:rPr>
        <w:t>Division 1</w:t>
      </w:r>
      <w:r>
        <w:t> — </w:t>
      </w:r>
      <w:r>
        <w:rPr>
          <w:rStyle w:val="CharDivText"/>
        </w:rPr>
        <w:t>Introduction</w:t>
      </w:r>
      <w:bookmarkEnd w:id="157"/>
      <w:bookmarkEnd w:id="158"/>
      <w:bookmarkEnd w:id="159"/>
    </w:p>
    <w:p>
      <w:pPr>
        <w:pStyle w:val="Footnoteheading"/>
      </w:pPr>
      <w:r>
        <w:tab/>
        <w:t>[Heading inserted: No. 35 of 2006 s. 115.]</w:t>
      </w:r>
    </w:p>
    <w:p>
      <w:pPr>
        <w:pStyle w:val="Heading5"/>
      </w:pPr>
      <w:bookmarkStart w:id="160" w:name="_Toc114575867"/>
      <w:r>
        <w:rPr>
          <w:rStyle w:val="CharSectno"/>
        </w:rPr>
        <w:t>65I</w:t>
      </w:r>
      <w:r>
        <w:t>.</w:t>
      </w:r>
      <w:r>
        <w:tab/>
        <w:t>Objects of this Part — FLA s. 13A</w:t>
      </w:r>
      <w:bookmarkEnd w:id="160"/>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 xml:space="preserve">The object mentioned in subsection (1)(b) also lies behind the general requirement in section 66H for family dispute resolution </w:t>
      </w:r>
      <w:r>
        <w:lastRenderedPageBreak/>
        <w:t>services to be used before an application for a Part 5 Order is made.</w:t>
      </w:r>
    </w:p>
    <w:p>
      <w:pPr>
        <w:pStyle w:val="Footnotesection"/>
      </w:pPr>
      <w:r>
        <w:tab/>
        <w:t>[Section 65I inserted: No. 35 of 2006 s. 115.]</w:t>
      </w:r>
    </w:p>
    <w:p>
      <w:pPr>
        <w:pStyle w:val="Heading3"/>
      </w:pPr>
      <w:bookmarkStart w:id="161" w:name="_Toc114559196"/>
      <w:bookmarkStart w:id="162" w:name="_Toc114563183"/>
      <w:bookmarkStart w:id="163" w:name="_Toc114575868"/>
      <w:r>
        <w:rPr>
          <w:rStyle w:val="CharDivNo"/>
        </w:rPr>
        <w:t>Division 2</w:t>
      </w:r>
      <w:r>
        <w:t> — </w:t>
      </w:r>
      <w:r>
        <w:rPr>
          <w:rStyle w:val="CharDivText"/>
        </w:rPr>
        <w:t>Help with reconciliation</w:t>
      </w:r>
      <w:bookmarkEnd w:id="161"/>
      <w:bookmarkEnd w:id="162"/>
      <w:bookmarkEnd w:id="163"/>
    </w:p>
    <w:p>
      <w:pPr>
        <w:pStyle w:val="Footnoteheading"/>
        <w:spacing w:before="100"/>
      </w:pPr>
      <w:r>
        <w:tab/>
        <w:t>[Heading inserted: No. 35 of 2006 s. 115.]</w:t>
      </w:r>
    </w:p>
    <w:p>
      <w:pPr>
        <w:pStyle w:val="Heading5"/>
      </w:pPr>
      <w:bookmarkStart w:id="164" w:name="_Toc114575869"/>
      <w:r>
        <w:rPr>
          <w:rStyle w:val="CharSectno"/>
        </w:rPr>
        <w:t>65J</w:t>
      </w:r>
      <w:r>
        <w:t>.</w:t>
      </w:r>
      <w:r>
        <w:tab/>
        <w:t>Court to accommodate possible reconciliations — FLA s. 13B</w:t>
      </w:r>
      <w:bookmarkEnd w:id="164"/>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165" w:name="_Toc114559198"/>
      <w:bookmarkStart w:id="166" w:name="_Toc114563185"/>
      <w:bookmarkStart w:id="167" w:name="_Toc114575870"/>
      <w:r>
        <w:rPr>
          <w:rStyle w:val="CharDivNo"/>
        </w:rPr>
        <w:t>Division 3 </w:t>
      </w:r>
      <w:r>
        <w:t>— </w:t>
      </w:r>
      <w:r>
        <w:rPr>
          <w:rStyle w:val="CharDivText"/>
        </w:rPr>
        <w:t>Referrals to family counselling, family dispute resolution and other family services</w:t>
      </w:r>
      <w:bookmarkEnd w:id="165"/>
      <w:bookmarkEnd w:id="166"/>
      <w:bookmarkEnd w:id="167"/>
    </w:p>
    <w:p>
      <w:pPr>
        <w:pStyle w:val="Footnoteheading"/>
        <w:spacing w:before="100"/>
      </w:pPr>
      <w:r>
        <w:tab/>
        <w:t>[Heading inserted: No. 35 of 2006 s. 115.]</w:t>
      </w:r>
    </w:p>
    <w:p>
      <w:pPr>
        <w:pStyle w:val="Heading5"/>
        <w:spacing w:before="180"/>
      </w:pPr>
      <w:bookmarkStart w:id="168" w:name="_Toc114575871"/>
      <w:r>
        <w:rPr>
          <w:rStyle w:val="CharSectno"/>
        </w:rPr>
        <w:t>65K</w:t>
      </w:r>
      <w:r>
        <w:t>.</w:t>
      </w:r>
      <w:r>
        <w:tab/>
        <w:t>Court may refer parties to family counselling, family dispute resolution and other family services — FLA s. 13C</w:t>
      </w:r>
      <w:bookmarkEnd w:id="168"/>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lastRenderedPageBreak/>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169" w:name="_Toc114575872"/>
      <w:r>
        <w:rPr>
          <w:rStyle w:val="CharSectno"/>
        </w:rPr>
        <w:t>65L</w:t>
      </w:r>
      <w:r>
        <w:t>.</w:t>
      </w:r>
      <w:r>
        <w:tab/>
        <w:t>Consequences of failure to comply with order under section 65K — FLA s. 13D</w:t>
      </w:r>
      <w:bookmarkEnd w:id="169"/>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lastRenderedPageBreak/>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170" w:name="_Toc114559201"/>
      <w:bookmarkStart w:id="171" w:name="_Toc114563188"/>
      <w:bookmarkStart w:id="172" w:name="_Toc114575873"/>
      <w:r>
        <w:rPr>
          <w:rStyle w:val="CharDivNo"/>
        </w:rPr>
        <w:t>Division 4</w:t>
      </w:r>
      <w:r>
        <w:t> — </w:t>
      </w:r>
      <w:r>
        <w:rPr>
          <w:rStyle w:val="CharDivText"/>
        </w:rPr>
        <w:t>Court’s role in relation to arbitration of disputes</w:t>
      </w:r>
      <w:bookmarkEnd w:id="170"/>
      <w:bookmarkEnd w:id="171"/>
      <w:bookmarkEnd w:id="172"/>
    </w:p>
    <w:p>
      <w:pPr>
        <w:pStyle w:val="Footnoteheading"/>
      </w:pPr>
      <w:r>
        <w:tab/>
        <w:t>[Heading inserted: No. 35 of 2006 s. 115.]</w:t>
      </w:r>
    </w:p>
    <w:p>
      <w:pPr>
        <w:pStyle w:val="Heading5"/>
      </w:pPr>
      <w:bookmarkStart w:id="173" w:name="_Toc114575874"/>
      <w:r>
        <w:rPr>
          <w:rStyle w:val="CharSectno"/>
        </w:rPr>
        <w:t>65M</w:t>
      </w:r>
      <w:r>
        <w:t>.</w:t>
      </w:r>
      <w:r>
        <w:tab/>
        <w:t>Court may refer Part 5A proceedings to arbitration — FLA s. 13E</w:t>
      </w:r>
      <w:bookmarkEnd w:id="173"/>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174" w:name="_Toc114575875"/>
      <w:r>
        <w:rPr>
          <w:rStyle w:val="CharSectno"/>
        </w:rPr>
        <w:t>65N</w:t>
      </w:r>
      <w:r>
        <w:t>.</w:t>
      </w:r>
      <w:r>
        <w:tab/>
        <w:t>Court may make orders to facilitate arbitration of certain disputes — FLA s. 13F</w:t>
      </w:r>
      <w:bookmarkEnd w:id="174"/>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175" w:name="_Toc114575876"/>
      <w:r>
        <w:rPr>
          <w:rStyle w:val="CharSectno"/>
        </w:rPr>
        <w:t>65O</w:t>
      </w:r>
      <w:r>
        <w:t>.</w:t>
      </w:r>
      <w:r>
        <w:tab/>
        <w:t>Court may determine questions of law referred by arbitrator — FLA s. 13G</w:t>
      </w:r>
      <w:bookmarkEnd w:id="175"/>
    </w:p>
    <w:p>
      <w:pPr>
        <w:pStyle w:val="Subsection"/>
      </w:pPr>
      <w:r>
        <w:tab/>
        <w:t>(1)</w:t>
      </w:r>
      <w:r>
        <w:tab/>
        <w:t xml:space="preserve">An arbitrator of section 65M arbitration or relevant property or financial arbitration may, at any time before making an award in </w:t>
      </w:r>
      <w:r>
        <w:lastRenderedPageBreak/>
        <w:t>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176" w:name="_Toc114575877"/>
      <w:r>
        <w:rPr>
          <w:rStyle w:val="CharSectno"/>
        </w:rPr>
        <w:t>65P</w:t>
      </w:r>
      <w:r>
        <w:t>.</w:t>
      </w:r>
      <w:r>
        <w:tab/>
        <w:t>Awards made in arbitration may be registered in court — FLA s. 13H</w:t>
      </w:r>
      <w:bookmarkEnd w:id="176"/>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177" w:name="_Toc114575878"/>
      <w:r>
        <w:rPr>
          <w:rStyle w:val="CharSectno"/>
        </w:rPr>
        <w:t>65Q</w:t>
      </w:r>
      <w:r>
        <w:t>.</w:t>
      </w:r>
      <w:r>
        <w:tab/>
        <w:t>Court can review registered awards — FLA s. 13J</w:t>
      </w:r>
      <w:bookmarkEnd w:id="177"/>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lastRenderedPageBreak/>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178" w:name="_Toc114575879"/>
      <w:r>
        <w:rPr>
          <w:rStyle w:val="CharSectno"/>
        </w:rPr>
        <w:t>65R</w:t>
      </w:r>
      <w:r>
        <w:t>.</w:t>
      </w:r>
      <w:r>
        <w:tab/>
        <w:t>Court may set aside registered awards — FLA s. 13K</w:t>
      </w:r>
      <w:bookmarkEnd w:id="178"/>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179" w:name="_Toc114559208"/>
      <w:bookmarkStart w:id="180" w:name="_Toc114563195"/>
      <w:bookmarkStart w:id="181" w:name="_Toc114575880"/>
      <w:r>
        <w:rPr>
          <w:rStyle w:val="CharPartNo"/>
        </w:rPr>
        <w:lastRenderedPageBreak/>
        <w:t>Part 5</w:t>
      </w:r>
      <w:r>
        <w:t> — </w:t>
      </w:r>
      <w:r>
        <w:rPr>
          <w:rStyle w:val="CharPartText"/>
        </w:rPr>
        <w:t>Children</w:t>
      </w:r>
      <w:bookmarkEnd w:id="179"/>
      <w:bookmarkEnd w:id="180"/>
      <w:bookmarkEnd w:id="181"/>
    </w:p>
    <w:p>
      <w:pPr>
        <w:pStyle w:val="Heading3"/>
        <w:rPr>
          <w:snapToGrid w:val="0"/>
        </w:rPr>
      </w:pPr>
      <w:bookmarkStart w:id="182" w:name="_Toc114559209"/>
      <w:bookmarkStart w:id="183" w:name="_Toc114563196"/>
      <w:bookmarkStart w:id="184" w:name="_Toc114575881"/>
      <w:r>
        <w:rPr>
          <w:rStyle w:val="CharDivNo"/>
        </w:rPr>
        <w:t>Division 1</w:t>
      </w:r>
      <w:r>
        <w:rPr>
          <w:snapToGrid w:val="0"/>
        </w:rPr>
        <w:t> — </w:t>
      </w:r>
      <w:r>
        <w:rPr>
          <w:rStyle w:val="CharDivText"/>
        </w:rPr>
        <w:t>Introductory</w:t>
      </w:r>
      <w:bookmarkEnd w:id="182"/>
      <w:bookmarkEnd w:id="183"/>
      <w:bookmarkEnd w:id="184"/>
      <w:r>
        <w:rPr>
          <w:b w:val="0"/>
          <w:sz w:val="24"/>
        </w:rPr>
        <w:t xml:space="preserve"> </w:t>
      </w:r>
    </w:p>
    <w:p>
      <w:pPr>
        <w:pStyle w:val="Heading4"/>
      </w:pPr>
      <w:bookmarkStart w:id="185" w:name="_Toc114559210"/>
      <w:bookmarkStart w:id="186" w:name="_Toc114563197"/>
      <w:bookmarkStart w:id="187" w:name="_Toc114575882"/>
      <w:r>
        <w:t>Subdivision 1 — Objects and principles</w:t>
      </w:r>
      <w:bookmarkEnd w:id="185"/>
      <w:bookmarkEnd w:id="186"/>
      <w:bookmarkEnd w:id="187"/>
    </w:p>
    <w:p>
      <w:pPr>
        <w:pStyle w:val="Footnoteheading"/>
      </w:pPr>
      <w:r>
        <w:tab/>
        <w:t>[Heading inserted: No. 35 of 2006 s. 81.]</w:t>
      </w:r>
    </w:p>
    <w:p>
      <w:pPr>
        <w:pStyle w:val="Heading5"/>
      </w:pPr>
      <w:bookmarkStart w:id="188" w:name="_Toc114575883"/>
      <w:r>
        <w:rPr>
          <w:rStyle w:val="CharSectno"/>
        </w:rPr>
        <w:t>66</w:t>
      </w:r>
      <w:r>
        <w:t>.</w:t>
      </w:r>
      <w:r>
        <w:tab/>
        <w:t>Object of Part and principles underlying it — FLA s. 60B</w:t>
      </w:r>
      <w:bookmarkEnd w:id="188"/>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lastRenderedPageBreak/>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189" w:name="_Toc114559212"/>
      <w:bookmarkStart w:id="190" w:name="_Toc114563199"/>
      <w:bookmarkStart w:id="191" w:name="_Toc114575884"/>
      <w:r>
        <w:t>Subdivision 2 — Best interests of the child: court proceedings</w:t>
      </w:r>
      <w:bookmarkEnd w:id="189"/>
      <w:bookmarkEnd w:id="190"/>
      <w:bookmarkEnd w:id="191"/>
    </w:p>
    <w:p>
      <w:pPr>
        <w:pStyle w:val="Footnoteheading"/>
        <w:spacing w:before="80"/>
      </w:pPr>
      <w:r>
        <w:tab/>
        <w:t>[Heading inserted: No. 13 of 2013 s. 9.]</w:t>
      </w:r>
    </w:p>
    <w:p>
      <w:pPr>
        <w:pStyle w:val="Heading5"/>
      </w:pPr>
      <w:bookmarkStart w:id="192" w:name="_Toc114575885"/>
      <w:r>
        <w:rPr>
          <w:rStyle w:val="CharSectno"/>
        </w:rPr>
        <w:t>66A</w:t>
      </w:r>
      <w:r>
        <w:t>.</w:t>
      </w:r>
      <w:r>
        <w:tab/>
        <w:t>Child’s best interests paramount consideration in making parenting order — FLA s. 60CA</w:t>
      </w:r>
      <w:bookmarkEnd w:id="192"/>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193" w:name="_Toc114575886"/>
      <w:r>
        <w:rPr>
          <w:rStyle w:val="CharSectno"/>
        </w:rPr>
        <w:lastRenderedPageBreak/>
        <w:t>66B</w:t>
      </w:r>
      <w:r>
        <w:t>.</w:t>
      </w:r>
      <w:r>
        <w:tab/>
        <w:t>Proceedings to which Subdivision applies — FLA s. 60CB</w:t>
      </w:r>
      <w:bookmarkEnd w:id="193"/>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194" w:name="_Toc114575887"/>
      <w:r>
        <w:rPr>
          <w:rStyle w:val="CharSectno"/>
        </w:rPr>
        <w:t>66C</w:t>
      </w:r>
      <w:r>
        <w:t>.</w:t>
      </w:r>
      <w:r>
        <w:tab/>
        <w:t>How a court determines what is in child’s best interests — FLA s. 60CC</w:t>
      </w:r>
      <w:bookmarkEnd w:id="194"/>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lastRenderedPageBreak/>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lastRenderedPageBreak/>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lastRenderedPageBreak/>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195" w:name="_Toc114575888"/>
      <w:r>
        <w:rPr>
          <w:rStyle w:val="CharSectno"/>
        </w:rPr>
        <w:t>66D</w:t>
      </w:r>
      <w:r>
        <w:t>.</w:t>
      </w:r>
      <w:r>
        <w:tab/>
        <w:t>How views of child are expressed — FLA s. 60CD</w:t>
      </w:r>
      <w:bookmarkEnd w:id="195"/>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196" w:name="_Toc114575889"/>
      <w:r>
        <w:rPr>
          <w:rStyle w:val="CharSectno"/>
        </w:rPr>
        <w:lastRenderedPageBreak/>
        <w:t>66E</w:t>
      </w:r>
      <w:r>
        <w:t>.</w:t>
      </w:r>
      <w:r>
        <w:tab/>
        <w:t>Children not required to express views — FLA s. 60CE</w:t>
      </w:r>
      <w:bookmarkEnd w:id="196"/>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197" w:name="_Toc114575890"/>
      <w:r>
        <w:rPr>
          <w:rStyle w:val="CharSectno"/>
        </w:rPr>
        <w:t>66F</w:t>
      </w:r>
      <w:r>
        <w:t>.</w:t>
      </w:r>
      <w:r>
        <w:tab/>
        <w:t>Informing court of relevant family violence orders — FLA</w:t>
      </w:r>
      <w:r>
        <w:rPr>
          <w:b w:val="0"/>
        </w:rPr>
        <w:t> </w:t>
      </w:r>
      <w:r>
        <w:t>s. 60CF</w:t>
      </w:r>
      <w:bookmarkEnd w:id="197"/>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198" w:name="_Toc114575891"/>
      <w:r>
        <w:rPr>
          <w:rStyle w:val="CharSectno"/>
        </w:rPr>
        <w:t>66G</w:t>
      </w:r>
      <w:r>
        <w:t>.</w:t>
      </w:r>
      <w:r>
        <w:tab/>
        <w:t>Court to consider risk of family violence — FLA s. 60CG</w:t>
      </w:r>
      <w:bookmarkEnd w:id="198"/>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199" w:name="_Toc114575892"/>
      <w:r>
        <w:rPr>
          <w:rStyle w:val="CharSectno"/>
        </w:rPr>
        <w:lastRenderedPageBreak/>
        <w:t>66HA</w:t>
      </w:r>
      <w:r>
        <w:t>.</w:t>
      </w:r>
      <w:r>
        <w:tab/>
        <w:t>Informing court of care arrangements under child welfare laws — FLA s. 60CH</w:t>
      </w:r>
      <w:bookmarkEnd w:id="199"/>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200" w:name="_Toc114575893"/>
      <w:r>
        <w:rPr>
          <w:rStyle w:val="CharSectno"/>
        </w:rPr>
        <w:t>66HB</w:t>
      </w:r>
      <w:r>
        <w:t>.</w:t>
      </w:r>
      <w:r>
        <w:tab/>
        <w:t>Informing court of notifications to, and investigations by, prescribed government agencies — FLA s. 60CI</w:t>
      </w:r>
      <w:bookmarkEnd w:id="200"/>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lastRenderedPageBreak/>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201" w:name="_Toc114559222"/>
      <w:bookmarkStart w:id="202" w:name="_Toc114563209"/>
      <w:bookmarkStart w:id="203" w:name="_Toc114575894"/>
      <w:r>
        <w:t>Subdivision 3A — Best interests of the child: adviser’s obligations</w:t>
      </w:r>
      <w:bookmarkEnd w:id="201"/>
      <w:bookmarkEnd w:id="202"/>
      <w:bookmarkEnd w:id="203"/>
    </w:p>
    <w:p>
      <w:pPr>
        <w:pStyle w:val="Footnoteheading"/>
      </w:pPr>
      <w:r>
        <w:tab/>
        <w:t>[Heading inserted: No. 13 of 2013 s. 12.]</w:t>
      </w:r>
    </w:p>
    <w:p>
      <w:pPr>
        <w:pStyle w:val="Heading5"/>
      </w:pPr>
      <w:bookmarkStart w:id="204" w:name="_Toc114575895"/>
      <w:r>
        <w:rPr>
          <w:rStyle w:val="CharSectno"/>
        </w:rPr>
        <w:t>66HC</w:t>
      </w:r>
      <w:r>
        <w:t>.</w:t>
      </w:r>
      <w:r>
        <w:tab/>
        <w:t>Adviser’s obligations in relation to best interests of child — FLA s. 60D</w:t>
      </w:r>
      <w:bookmarkEnd w:id="204"/>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lastRenderedPageBreak/>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205" w:name="_Toc114559224"/>
      <w:bookmarkStart w:id="206" w:name="_Toc114563211"/>
      <w:bookmarkStart w:id="207" w:name="_Toc114575896"/>
      <w:r>
        <w:t>Subdivision 3 — Family dispute resolution</w:t>
      </w:r>
      <w:bookmarkEnd w:id="205"/>
      <w:bookmarkEnd w:id="206"/>
      <w:bookmarkEnd w:id="207"/>
    </w:p>
    <w:p>
      <w:pPr>
        <w:pStyle w:val="Footnoteheading"/>
      </w:pPr>
      <w:r>
        <w:tab/>
        <w:t>[Heading inserted: No. 35 of 2006 s. 83.]</w:t>
      </w:r>
    </w:p>
    <w:p>
      <w:pPr>
        <w:pStyle w:val="Heading5"/>
      </w:pPr>
      <w:bookmarkStart w:id="208" w:name="_Toc114575897"/>
      <w:r>
        <w:rPr>
          <w:rStyle w:val="CharSectno"/>
        </w:rPr>
        <w:t>66H</w:t>
      </w:r>
      <w:r>
        <w:t>.</w:t>
      </w:r>
      <w:r>
        <w:tab/>
        <w:t>Attending family dispute resolution before applying for Part 5 Order — FLA s. 60I</w:t>
      </w:r>
      <w:bookmarkEnd w:id="208"/>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lastRenderedPageBreak/>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lastRenderedPageBreak/>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lastRenderedPageBreak/>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lastRenderedPageBreak/>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209" w:name="_Toc114575898"/>
      <w:r>
        <w:rPr>
          <w:rStyle w:val="CharSectno"/>
        </w:rPr>
        <w:t>66I</w:t>
      </w:r>
      <w:r>
        <w:t>.</w:t>
      </w:r>
      <w:r>
        <w:tab/>
        <w:t>Family dispute resolution not attended because of child abuse or family violence — FLA s. 60J</w:t>
      </w:r>
      <w:bookmarkEnd w:id="209"/>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lastRenderedPageBreak/>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210" w:name="_Toc114559227"/>
      <w:bookmarkStart w:id="211" w:name="_Toc114563214"/>
      <w:bookmarkStart w:id="212" w:name="_Toc114575899"/>
      <w:r>
        <w:rPr>
          <w:rStyle w:val="CharDivNo"/>
        </w:rPr>
        <w:t>Division 2</w:t>
      </w:r>
      <w:r>
        <w:rPr>
          <w:snapToGrid w:val="0"/>
        </w:rPr>
        <w:t> — </w:t>
      </w:r>
      <w:r>
        <w:rPr>
          <w:rStyle w:val="CharDivText"/>
        </w:rPr>
        <w:t>Parental responsibility</w:t>
      </w:r>
      <w:bookmarkEnd w:id="210"/>
      <w:bookmarkEnd w:id="211"/>
      <w:bookmarkEnd w:id="212"/>
      <w:r>
        <w:rPr>
          <w:rStyle w:val="CharDivText"/>
        </w:rPr>
        <w:t xml:space="preserve"> </w:t>
      </w:r>
    </w:p>
    <w:p>
      <w:pPr>
        <w:pStyle w:val="Heading5"/>
        <w:rPr>
          <w:snapToGrid w:val="0"/>
        </w:rPr>
      </w:pPr>
      <w:bookmarkStart w:id="213" w:name="_Toc114575900"/>
      <w:r>
        <w:rPr>
          <w:rStyle w:val="CharSectno"/>
        </w:rPr>
        <w:t>67</w:t>
      </w:r>
      <w:r>
        <w:rPr>
          <w:snapToGrid w:val="0"/>
        </w:rPr>
        <w:t>.</w:t>
      </w:r>
      <w:r>
        <w:rPr>
          <w:snapToGrid w:val="0"/>
        </w:rPr>
        <w:tab/>
        <w:t>What this Division does — FLA s. 61A</w:t>
      </w:r>
      <w:bookmarkEnd w:id="213"/>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214" w:name="_Toc114575901"/>
      <w:r>
        <w:rPr>
          <w:rStyle w:val="CharSectno"/>
        </w:rPr>
        <w:lastRenderedPageBreak/>
        <w:t>68</w:t>
      </w:r>
      <w:r>
        <w:rPr>
          <w:snapToGrid w:val="0"/>
        </w:rPr>
        <w:t>.</w:t>
      </w:r>
      <w:r>
        <w:rPr>
          <w:snapToGrid w:val="0"/>
        </w:rPr>
        <w:tab/>
        <w:t>Term used: parental responsibility — FLA s. 61B</w:t>
      </w:r>
      <w:bookmarkEnd w:id="214"/>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15" w:name="_Toc114575902"/>
      <w:r>
        <w:rPr>
          <w:rStyle w:val="CharSectno"/>
        </w:rPr>
        <w:t>69</w:t>
      </w:r>
      <w:r>
        <w:rPr>
          <w:snapToGrid w:val="0"/>
        </w:rPr>
        <w:t>.</w:t>
      </w:r>
      <w:r>
        <w:rPr>
          <w:snapToGrid w:val="0"/>
        </w:rPr>
        <w:tab/>
        <w:t>Each parent has parental responsibility (subject to court orders) — FLA s. 61C</w:t>
      </w:r>
      <w:bookmarkEnd w:id="215"/>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16" w:name="_Toc114575903"/>
      <w:r>
        <w:rPr>
          <w:rStyle w:val="CharSectno"/>
        </w:rPr>
        <w:t>70</w:t>
      </w:r>
      <w:r>
        <w:rPr>
          <w:snapToGrid w:val="0"/>
        </w:rPr>
        <w:t>.</w:t>
      </w:r>
      <w:r>
        <w:rPr>
          <w:snapToGrid w:val="0"/>
        </w:rPr>
        <w:tab/>
        <w:t>Parenting orders and parental responsibility — FLA s. 61D</w:t>
      </w:r>
      <w:bookmarkEnd w:id="216"/>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217" w:name="_Toc114575904"/>
      <w:r>
        <w:rPr>
          <w:rStyle w:val="CharSectno"/>
        </w:rPr>
        <w:t>70A</w:t>
      </w:r>
      <w:r>
        <w:t>.</w:t>
      </w:r>
      <w:r>
        <w:tab/>
        <w:t>Presumption of equal shared parental responsibility when making parenting orders — FLA s. 61DA</w:t>
      </w:r>
      <w:bookmarkEnd w:id="217"/>
    </w:p>
    <w:p>
      <w:pPr>
        <w:pStyle w:val="Subsection"/>
        <w:spacing w:before="120"/>
      </w:pPr>
      <w:r>
        <w:tab/>
        <w:t>(1)</w:t>
      </w:r>
      <w:r>
        <w:tab/>
        <w:t xml:space="preserve">When making a parenting order in relation to a child, the court must apply a presumption that it is in the best interests of the </w:t>
      </w:r>
      <w:r>
        <w:lastRenderedPageBreak/>
        <w:t>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218" w:name="_Toc114575905"/>
      <w:r>
        <w:rPr>
          <w:rStyle w:val="CharSectno"/>
        </w:rPr>
        <w:t>70B</w:t>
      </w:r>
      <w:r>
        <w:t>.</w:t>
      </w:r>
      <w:r>
        <w:tab/>
        <w:t>Application of presumption of equal shared parental responsibility after interim parenting order made — FLA s. 61DB</w:t>
      </w:r>
      <w:bookmarkEnd w:id="218"/>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219" w:name="_Toc114575906"/>
      <w:r>
        <w:rPr>
          <w:rStyle w:val="CharSectno"/>
        </w:rPr>
        <w:t>71</w:t>
      </w:r>
      <w:r>
        <w:rPr>
          <w:snapToGrid w:val="0"/>
        </w:rPr>
        <w:t>.</w:t>
      </w:r>
      <w:r>
        <w:rPr>
          <w:snapToGrid w:val="0"/>
        </w:rPr>
        <w:tab/>
        <w:t>Appointment and responsibilities of guardian</w:t>
      </w:r>
      <w:bookmarkEnd w:id="219"/>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lastRenderedPageBreak/>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220" w:name="_Toc114575907"/>
      <w:r>
        <w:rPr>
          <w:rStyle w:val="CharSectno"/>
        </w:rPr>
        <w:lastRenderedPageBreak/>
        <w:t>71A</w:t>
      </w:r>
      <w:r>
        <w:t>.</w:t>
      </w:r>
      <w:r>
        <w:tab/>
        <w:t>Application to Aboriginal or Torres Strait Islander children — FLA s. 61F</w:t>
      </w:r>
      <w:bookmarkEnd w:id="220"/>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221" w:name="_Toc114559236"/>
      <w:bookmarkStart w:id="222" w:name="_Toc114563223"/>
      <w:bookmarkStart w:id="223" w:name="_Toc114575908"/>
      <w:r>
        <w:rPr>
          <w:rStyle w:val="CharDivNo"/>
        </w:rPr>
        <w:t>Division 3</w:t>
      </w:r>
      <w:r>
        <w:t> — </w:t>
      </w:r>
      <w:r>
        <w:rPr>
          <w:rStyle w:val="CharDivText"/>
        </w:rPr>
        <w:t>Reports relating to children under 18</w:t>
      </w:r>
      <w:bookmarkEnd w:id="221"/>
      <w:bookmarkEnd w:id="222"/>
      <w:bookmarkEnd w:id="223"/>
    </w:p>
    <w:p>
      <w:pPr>
        <w:pStyle w:val="Footnoteheading"/>
      </w:pPr>
      <w:r>
        <w:tab/>
        <w:t>[Heading inserted: No. 35 of 2006 s. 116.]</w:t>
      </w:r>
    </w:p>
    <w:p>
      <w:pPr>
        <w:pStyle w:val="Heading5"/>
      </w:pPr>
      <w:bookmarkStart w:id="224" w:name="_Toc114575909"/>
      <w:r>
        <w:rPr>
          <w:rStyle w:val="CharSectno"/>
        </w:rPr>
        <w:t>72</w:t>
      </w:r>
      <w:r>
        <w:t>.</w:t>
      </w:r>
      <w:r>
        <w:tab/>
        <w:t>Court’s obligation to inform people to whom orders under this Part apply about family counselling, family dispute resolution and other family services — FLA s. 62B</w:t>
      </w:r>
      <w:bookmarkEnd w:id="224"/>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225" w:name="_Toc114575910"/>
      <w:r>
        <w:rPr>
          <w:rStyle w:val="CharSectno"/>
        </w:rPr>
        <w:t>73</w:t>
      </w:r>
      <w:r>
        <w:rPr>
          <w:snapToGrid w:val="0"/>
        </w:rPr>
        <w:t>.</w:t>
      </w:r>
      <w:r>
        <w:rPr>
          <w:snapToGrid w:val="0"/>
        </w:rPr>
        <w:tab/>
        <w:t>Reports by family consultants — FLA s. 62G</w:t>
      </w:r>
      <w:bookmarkEnd w:id="225"/>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lastRenderedPageBreak/>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lastRenderedPageBreak/>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226" w:name="_Toc114559239"/>
      <w:bookmarkStart w:id="227" w:name="_Toc114563226"/>
      <w:bookmarkStart w:id="228" w:name="_Toc114575911"/>
      <w:r>
        <w:rPr>
          <w:rStyle w:val="CharDivNo"/>
        </w:rPr>
        <w:t>Division 4</w:t>
      </w:r>
      <w:r>
        <w:rPr>
          <w:snapToGrid w:val="0"/>
        </w:rPr>
        <w:t> — </w:t>
      </w:r>
      <w:r>
        <w:rPr>
          <w:rStyle w:val="CharDivText"/>
        </w:rPr>
        <w:t>Parenting plans</w:t>
      </w:r>
      <w:bookmarkEnd w:id="226"/>
      <w:bookmarkEnd w:id="227"/>
      <w:bookmarkEnd w:id="228"/>
      <w:r>
        <w:rPr>
          <w:rStyle w:val="CharDivText"/>
        </w:rPr>
        <w:t xml:space="preserve"> </w:t>
      </w:r>
    </w:p>
    <w:p>
      <w:pPr>
        <w:pStyle w:val="Heading5"/>
        <w:rPr>
          <w:snapToGrid w:val="0"/>
        </w:rPr>
      </w:pPr>
      <w:bookmarkStart w:id="229" w:name="_Toc114575912"/>
      <w:r>
        <w:rPr>
          <w:rStyle w:val="CharSectno"/>
        </w:rPr>
        <w:t>74</w:t>
      </w:r>
      <w:r>
        <w:rPr>
          <w:snapToGrid w:val="0"/>
        </w:rPr>
        <w:t>.</w:t>
      </w:r>
      <w:r>
        <w:rPr>
          <w:snapToGrid w:val="0"/>
        </w:rPr>
        <w:tab/>
        <w:t>What this Division does — FLA s. 63A</w:t>
      </w:r>
      <w:bookmarkEnd w:id="229"/>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230" w:name="_Toc114575913"/>
      <w:r>
        <w:rPr>
          <w:rStyle w:val="CharSectno"/>
        </w:rPr>
        <w:t>75</w:t>
      </w:r>
      <w:r>
        <w:t>.</w:t>
      </w:r>
      <w:r>
        <w:tab/>
        <w:t>Parents encouraged to reach agreement — FLA s. 63B</w:t>
      </w:r>
      <w:bookmarkEnd w:id="230"/>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231" w:name="_Toc114575914"/>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231"/>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lastRenderedPageBreak/>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lastRenderedPageBreak/>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232" w:name="_Toc114575915"/>
      <w:r>
        <w:rPr>
          <w:rStyle w:val="CharSectno"/>
        </w:rPr>
        <w:t>77</w:t>
      </w:r>
      <w:r>
        <w:rPr>
          <w:snapToGrid w:val="0"/>
        </w:rPr>
        <w:t>.</w:t>
      </w:r>
      <w:r>
        <w:rPr>
          <w:snapToGrid w:val="0"/>
        </w:rPr>
        <w:tab/>
        <w:t>Parenting plans may include child support provisions —FLA s. 63CAA</w:t>
      </w:r>
      <w:bookmarkEnd w:id="232"/>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lastRenderedPageBreak/>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33" w:name="_Toc114575916"/>
      <w:r>
        <w:rPr>
          <w:rStyle w:val="CharSectno"/>
        </w:rPr>
        <w:t>78</w:t>
      </w:r>
      <w:r>
        <w:t>.</w:t>
      </w:r>
      <w:r>
        <w:tab/>
        <w:t>Parenting plan may be varied or revoked by further written agreement — FLA s. 63D</w:t>
      </w:r>
      <w:bookmarkEnd w:id="233"/>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234" w:name="_Toc114575917"/>
      <w:r>
        <w:rPr>
          <w:rStyle w:val="CharSectno"/>
        </w:rPr>
        <w:t>78A</w:t>
      </w:r>
      <w:r>
        <w:t>.</w:t>
      </w:r>
      <w:r>
        <w:tab/>
        <w:t>Obligations of advisers — FLA s. 63DA</w:t>
      </w:r>
      <w:bookmarkEnd w:id="234"/>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w:t>
      </w:r>
      <w:r>
        <w:lastRenderedPageBreak/>
        <w:t xml:space="preserve">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 xml:space="preserve">inform them that section 89AB requires the court to have regard to the terms of the most recent parenting </w:t>
      </w:r>
      <w:r>
        <w:lastRenderedPageBreak/>
        <w:t>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235" w:name="_Toc114575918"/>
      <w:r>
        <w:rPr>
          <w:rStyle w:val="CharSectno"/>
        </w:rPr>
        <w:lastRenderedPageBreak/>
        <w:t>78B</w:t>
      </w:r>
      <w:r>
        <w:t>.</w:t>
      </w:r>
      <w:r>
        <w:tab/>
        <w:t>Registered parenting plans — FLA s. 63DB</w:t>
      </w:r>
      <w:bookmarkEnd w:id="235"/>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236" w:name="_Toc114575919"/>
      <w:r>
        <w:rPr>
          <w:rStyle w:val="CharSectno"/>
        </w:rPr>
        <w:t>79</w:t>
      </w:r>
      <w:r>
        <w:t>.</w:t>
      </w:r>
      <w:r>
        <w:tab/>
        <w:t>Registration of revocation of registered parenting plan — FLA s. 63E</w:t>
      </w:r>
      <w:bookmarkEnd w:id="236"/>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 xml:space="preserve">a statement, in relation to each party, that is to the effect that the party has been provided with independent legal advice as to the meaning and effect of the revocation agreement and that is </w:t>
      </w:r>
      <w:r>
        <w:lastRenderedPageBreak/>
        <w:t>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237" w:name="_Toc114575920"/>
      <w:r>
        <w:rPr>
          <w:rStyle w:val="CharSectno"/>
        </w:rPr>
        <w:t>80</w:t>
      </w:r>
      <w:r>
        <w:rPr>
          <w:snapToGrid w:val="0"/>
        </w:rPr>
        <w:t>.</w:t>
      </w:r>
      <w:r>
        <w:rPr>
          <w:snapToGrid w:val="0"/>
        </w:rPr>
        <w:tab/>
        <w:t>Child welfare provisions of registered parenting plans — FLA s. 63F</w:t>
      </w:r>
      <w:bookmarkEnd w:id="237"/>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lastRenderedPageBreak/>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238" w:name="_Toc114575921"/>
      <w:r>
        <w:rPr>
          <w:rStyle w:val="CharSectno"/>
        </w:rPr>
        <w:t>81</w:t>
      </w:r>
      <w:r>
        <w:rPr>
          <w:snapToGrid w:val="0"/>
        </w:rPr>
        <w:t>.</w:t>
      </w:r>
      <w:r>
        <w:rPr>
          <w:snapToGrid w:val="0"/>
        </w:rPr>
        <w:tab/>
        <w:t>Child maintenance provisions of registered parenting plans — FLA s. 63G</w:t>
      </w:r>
      <w:bookmarkEnd w:id="238"/>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lastRenderedPageBreak/>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239" w:name="_Toc114575922"/>
      <w:r>
        <w:rPr>
          <w:rStyle w:val="CharSectno"/>
        </w:rPr>
        <w:t>82</w:t>
      </w:r>
      <w:r>
        <w:rPr>
          <w:snapToGrid w:val="0"/>
        </w:rPr>
        <w:t>.</w:t>
      </w:r>
      <w:r>
        <w:rPr>
          <w:snapToGrid w:val="0"/>
        </w:rPr>
        <w:tab/>
        <w:t>Court’s powers to set aside, discharge, vary, suspend or revive registered parenting plans — FLA s. 63H</w:t>
      </w:r>
      <w:bookmarkEnd w:id="239"/>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lastRenderedPageBreak/>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240" w:name="_Toc114559251"/>
      <w:bookmarkStart w:id="241" w:name="_Toc114563238"/>
      <w:bookmarkStart w:id="242" w:name="_Toc114575923"/>
      <w:r>
        <w:rPr>
          <w:rStyle w:val="CharDivNo"/>
        </w:rPr>
        <w:t>Division 5</w:t>
      </w:r>
      <w:r>
        <w:rPr>
          <w:snapToGrid w:val="0"/>
        </w:rPr>
        <w:t> — </w:t>
      </w:r>
      <w:r>
        <w:rPr>
          <w:rStyle w:val="CharDivText"/>
        </w:rPr>
        <w:t>Parenting orders — what they are</w:t>
      </w:r>
      <w:bookmarkEnd w:id="240"/>
      <w:bookmarkEnd w:id="241"/>
      <w:bookmarkEnd w:id="242"/>
      <w:r>
        <w:rPr>
          <w:rStyle w:val="CharDivText"/>
        </w:rPr>
        <w:t xml:space="preserve"> </w:t>
      </w:r>
    </w:p>
    <w:p>
      <w:pPr>
        <w:pStyle w:val="Heading5"/>
        <w:rPr>
          <w:snapToGrid w:val="0"/>
        </w:rPr>
      </w:pPr>
      <w:bookmarkStart w:id="243" w:name="_Toc114575924"/>
      <w:r>
        <w:rPr>
          <w:rStyle w:val="CharSectno"/>
        </w:rPr>
        <w:t>83</w:t>
      </w:r>
      <w:r>
        <w:rPr>
          <w:snapToGrid w:val="0"/>
        </w:rPr>
        <w:t>.</w:t>
      </w:r>
      <w:r>
        <w:rPr>
          <w:snapToGrid w:val="0"/>
        </w:rPr>
        <w:tab/>
        <w:t>What this Division does — FLA s. 64A</w:t>
      </w:r>
      <w:bookmarkEnd w:id="243"/>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244" w:name="_Toc114575925"/>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44"/>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lastRenderedPageBreak/>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lastRenderedPageBreak/>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245" w:name="_Toc114575926"/>
      <w:r>
        <w:rPr>
          <w:rStyle w:val="CharSectno"/>
        </w:rPr>
        <w:t>85</w:t>
      </w:r>
      <w:r>
        <w:rPr>
          <w:snapToGrid w:val="0"/>
        </w:rPr>
        <w:t>.</w:t>
      </w:r>
      <w:r>
        <w:rPr>
          <w:snapToGrid w:val="0"/>
        </w:rPr>
        <w:tab/>
        <w:t>Parenting orders may be made in favour of parents or other persons — FLA s. 64C</w:t>
      </w:r>
      <w:bookmarkEnd w:id="245"/>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46" w:name="_Toc114575927"/>
      <w:r>
        <w:rPr>
          <w:rStyle w:val="CharSectno"/>
        </w:rPr>
        <w:t>85A</w:t>
      </w:r>
      <w:r>
        <w:t>.</w:t>
      </w:r>
      <w:r>
        <w:tab/>
        <w:t>Parenting orders subject to later parenting plans — FLA s. 64D</w:t>
      </w:r>
      <w:bookmarkEnd w:id="246"/>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 xml:space="preserve">The court may, in exceptional circumstances, include in a parenting order a provision that the parenting order, or a </w:t>
      </w:r>
      <w:r>
        <w:lastRenderedPageBreak/>
        <w:t>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247" w:name="_Toc114559256"/>
      <w:bookmarkStart w:id="248" w:name="_Toc114563243"/>
      <w:bookmarkStart w:id="249" w:name="_Toc114575928"/>
      <w:r>
        <w:rPr>
          <w:rStyle w:val="CharDivNo"/>
        </w:rPr>
        <w:t>Division 6</w:t>
      </w:r>
      <w:r>
        <w:rPr>
          <w:snapToGrid w:val="0"/>
        </w:rPr>
        <w:t> — </w:t>
      </w:r>
      <w:r>
        <w:rPr>
          <w:rStyle w:val="CharDivText"/>
        </w:rPr>
        <w:t>Parenting orders other than child maintenance orders</w:t>
      </w:r>
      <w:bookmarkEnd w:id="247"/>
      <w:bookmarkEnd w:id="248"/>
      <w:bookmarkEnd w:id="249"/>
      <w:r>
        <w:rPr>
          <w:rStyle w:val="CharDivText"/>
        </w:rPr>
        <w:t xml:space="preserve"> </w:t>
      </w:r>
    </w:p>
    <w:p>
      <w:pPr>
        <w:pStyle w:val="Heading4"/>
        <w:rPr>
          <w:snapToGrid w:val="0"/>
        </w:rPr>
      </w:pPr>
      <w:bookmarkStart w:id="250" w:name="_Toc114559257"/>
      <w:bookmarkStart w:id="251" w:name="_Toc114563244"/>
      <w:bookmarkStart w:id="252" w:name="_Toc114575929"/>
      <w:r>
        <w:rPr>
          <w:snapToGrid w:val="0"/>
        </w:rPr>
        <w:t>Subdivision 1 — Introductory</w:t>
      </w:r>
      <w:bookmarkEnd w:id="250"/>
      <w:bookmarkEnd w:id="251"/>
      <w:bookmarkEnd w:id="252"/>
      <w:r>
        <w:rPr>
          <w:snapToGrid w:val="0"/>
        </w:rPr>
        <w:t xml:space="preserve"> </w:t>
      </w:r>
    </w:p>
    <w:p>
      <w:pPr>
        <w:pStyle w:val="Heading5"/>
        <w:rPr>
          <w:snapToGrid w:val="0"/>
        </w:rPr>
      </w:pPr>
      <w:bookmarkStart w:id="253" w:name="_Toc114575930"/>
      <w:r>
        <w:rPr>
          <w:rStyle w:val="CharSectno"/>
        </w:rPr>
        <w:t>86</w:t>
      </w:r>
      <w:r>
        <w:rPr>
          <w:snapToGrid w:val="0"/>
        </w:rPr>
        <w:t>.</w:t>
      </w:r>
      <w:r>
        <w:rPr>
          <w:snapToGrid w:val="0"/>
        </w:rPr>
        <w:tab/>
        <w:t>What this Division does — FLA s. 65A</w:t>
      </w:r>
      <w:bookmarkEnd w:id="253"/>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 xml:space="preserve">Measures designed to improve communication between separated parents and to educate parents about their respective </w:t>
      </w:r>
      <w:r>
        <w:lastRenderedPageBreak/>
        <w:t>responsibilities in relation to their children are contained in this Division (see section 89A).</w:t>
      </w:r>
    </w:p>
    <w:p>
      <w:pPr>
        <w:pStyle w:val="Footnotesection"/>
      </w:pPr>
      <w:r>
        <w:tab/>
        <w:t>[Section 86 amended: No. 35 of 2006 s. 92.]</w:t>
      </w:r>
    </w:p>
    <w:p>
      <w:pPr>
        <w:pStyle w:val="Heading5"/>
      </w:pPr>
      <w:bookmarkStart w:id="254" w:name="_Toc114575931"/>
      <w:r>
        <w:rPr>
          <w:rStyle w:val="CharSectno"/>
        </w:rPr>
        <w:t>86A</w:t>
      </w:r>
      <w:r>
        <w:t>.</w:t>
      </w:r>
      <w:r>
        <w:tab/>
        <w:t>Child’s best interests paramount consideration in making a parenting order — FLA s. 65AA</w:t>
      </w:r>
      <w:bookmarkEnd w:id="254"/>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255" w:name="_Toc114575932"/>
      <w:r>
        <w:rPr>
          <w:rStyle w:val="CharSectno"/>
        </w:rPr>
        <w:t>87</w:t>
      </w:r>
      <w:r>
        <w:rPr>
          <w:snapToGrid w:val="0"/>
        </w:rPr>
        <w:t>.</w:t>
      </w:r>
      <w:r>
        <w:rPr>
          <w:snapToGrid w:val="0"/>
        </w:rPr>
        <w:tab/>
        <w:t>Division does not apply to child maintenance orders — FLA s. 65B</w:t>
      </w:r>
      <w:bookmarkEnd w:id="255"/>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56" w:name="_Toc114559261"/>
      <w:bookmarkStart w:id="257" w:name="_Toc114563248"/>
      <w:bookmarkStart w:id="258" w:name="_Toc114575933"/>
      <w:r>
        <w:rPr>
          <w:snapToGrid w:val="0"/>
        </w:rPr>
        <w:t>Subdivision 2 — Applying for and making parenting orders</w:t>
      </w:r>
      <w:bookmarkEnd w:id="256"/>
      <w:bookmarkEnd w:id="257"/>
      <w:bookmarkEnd w:id="258"/>
      <w:r>
        <w:rPr>
          <w:snapToGrid w:val="0"/>
        </w:rPr>
        <w:t xml:space="preserve"> </w:t>
      </w:r>
    </w:p>
    <w:p>
      <w:pPr>
        <w:pStyle w:val="Heading5"/>
        <w:rPr>
          <w:snapToGrid w:val="0"/>
        </w:rPr>
      </w:pPr>
      <w:bookmarkStart w:id="259" w:name="_Toc114575934"/>
      <w:r>
        <w:rPr>
          <w:rStyle w:val="CharSectno"/>
        </w:rPr>
        <w:t>88</w:t>
      </w:r>
      <w:r>
        <w:rPr>
          <w:snapToGrid w:val="0"/>
        </w:rPr>
        <w:t>.</w:t>
      </w:r>
      <w:r>
        <w:rPr>
          <w:snapToGrid w:val="0"/>
        </w:rPr>
        <w:tab/>
        <w:t>Who may apply for a parenting order — FLA s. 65C</w:t>
      </w:r>
      <w:bookmarkEnd w:id="259"/>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keepNext/>
        <w:rPr>
          <w:snapToGrid w:val="0"/>
        </w:rPr>
      </w:pPr>
      <w:r>
        <w:rPr>
          <w:snapToGrid w:val="0"/>
        </w:rPr>
        <w:tab/>
        <w:t>(e)</w:t>
      </w:r>
      <w:r>
        <w:rPr>
          <w:snapToGrid w:val="0"/>
        </w:rPr>
        <w:tab/>
        <w:t xml:space="preserve">any person acting in a fiduciary capacity who is, under any will, gift, settlement, or otherwise by law, possessed of any fund for the maintenance or education of the </w:t>
      </w:r>
      <w:r>
        <w:rPr>
          <w:snapToGrid w:val="0"/>
        </w:rPr>
        <w:lastRenderedPageBreak/>
        <w:t>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260" w:name="_Toc114575935"/>
      <w:r>
        <w:rPr>
          <w:rStyle w:val="CharSectno"/>
        </w:rPr>
        <w:t>89</w:t>
      </w:r>
      <w:r>
        <w:rPr>
          <w:snapToGrid w:val="0"/>
        </w:rPr>
        <w:t>.</w:t>
      </w:r>
      <w:r>
        <w:rPr>
          <w:snapToGrid w:val="0"/>
        </w:rPr>
        <w:tab/>
        <w:t>Court’s power to make parenting order — FLA s. 65D</w:t>
      </w:r>
      <w:bookmarkEnd w:id="260"/>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261" w:name="_Toc114575936"/>
      <w:r>
        <w:rPr>
          <w:rStyle w:val="CharSectno"/>
        </w:rPr>
        <w:t>89AA</w:t>
      </w:r>
      <w:r>
        <w:t>.</w:t>
      </w:r>
      <w:r>
        <w:tab/>
        <w:t>Court to consider child spending equal time or substantial and significant time with each parent in certain circumstances — FLA s. 65DAA</w:t>
      </w:r>
      <w:bookmarkEnd w:id="261"/>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lastRenderedPageBreak/>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lastRenderedPageBreak/>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262" w:name="_Toc114575937"/>
      <w:r>
        <w:rPr>
          <w:rStyle w:val="CharSectno"/>
        </w:rPr>
        <w:t>89AB</w:t>
      </w:r>
      <w:r>
        <w:t>.</w:t>
      </w:r>
      <w:r>
        <w:tab/>
        <w:t>Court to have regard to parenting plans — FLA s. 65DAB</w:t>
      </w:r>
      <w:bookmarkEnd w:id="262"/>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263" w:name="_Toc114575938"/>
      <w:r>
        <w:rPr>
          <w:rStyle w:val="CharSectno"/>
        </w:rPr>
        <w:lastRenderedPageBreak/>
        <w:t>89AC</w:t>
      </w:r>
      <w:r>
        <w:t>.</w:t>
      </w:r>
      <w:r>
        <w:tab/>
        <w:t>Effect of parenting order that provides for shared parental responsibility — FLA s. 65DAC</w:t>
      </w:r>
      <w:bookmarkEnd w:id="263"/>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264" w:name="_Toc114575939"/>
      <w:r>
        <w:rPr>
          <w:rStyle w:val="CharSectno"/>
        </w:rPr>
        <w:t>89AD</w:t>
      </w:r>
      <w:r>
        <w:t>.</w:t>
      </w:r>
      <w:r>
        <w:tab/>
        <w:t>No need to consult on issues that are not major long</w:t>
      </w:r>
      <w:r>
        <w:noBreakHyphen/>
        <w:t>term issues — FLA s. 65DAE</w:t>
      </w:r>
      <w:bookmarkEnd w:id="264"/>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lastRenderedPageBreak/>
        <w:tab/>
        <w:t>(2)</w:t>
      </w:r>
      <w:r>
        <w:tab/>
        <w:t>Subsection (1) applies subject to any provision to the contrary made by a parenting order.</w:t>
      </w:r>
    </w:p>
    <w:p>
      <w:pPr>
        <w:pStyle w:val="Footnotesection"/>
      </w:pPr>
      <w:r>
        <w:tab/>
        <w:t>[Section 89AD inserted: No. 35 of 2006 s. 95.]</w:t>
      </w:r>
    </w:p>
    <w:p>
      <w:pPr>
        <w:pStyle w:val="Heading5"/>
      </w:pPr>
      <w:bookmarkStart w:id="265" w:name="_Toc114575940"/>
      <w:r>
        <w:rPr>
          <w:rStyle w:val="CharSectno"/>
        </w:rPr>
        <w:t>89A</w:t>
      </w:r>
      <w:r>
        <w:t>.</w:t>
      </w:r>
      <w:r>
        <w:tab/>
        <w:t>Parenting orders — FLA s. 65DA</w:t>
      </w:r>
      <w:bookmarkEnd w:id="265"/>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lastRenderedPageBreak/>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266" w:name="_Toc114575941"/>
      <w:r>
        <w:rPr>
          <w:rStyle w:val="CharSectno"/>
        </w:rPr>
        <w:t>91</w:t>
      </w:r>
      <w:r>
        <w:rPr>
          <w:snapToGrid w:val="0"/>
        </w:rPr>
        <w:t>.</w:t>
      </w:r>
      <w:r>
        <w:rPr>
          <w:snapToGrid w:val="0"/>
        </w:rPr>
        <w:tab/>
        <w:t>General requirements for counselling before parenting order made — FLA s. 65F</w:t>
      </w:r>
      <w:bookmarkEnd w:id="26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lastRenderedPageBreak/>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267" w:name="_Toc114575942"/>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267"/>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lastRenderedPageBreak/>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268" w:name="_Toc114575943"/>
      <w:r>
        <w:rPr>
          <w:rStyle w:val="CharSectno"/>
        </w:rPr>
        <w:t>93</w:t>
      </w:r>
      <w:r>
        <w:rPr>
          <w:snapToGrid w:val="0"/>
        </w:rPr>
        <w:t>.</w:t>
      </w:r>
      <w:r>
        <w:rPr>
          <w:snapToGrid w:val="0"/>
        </w:rPr>
        <w:tab/>
        <w:t>Children who are 18 or over or who have married or entered de facto relationships — FLA s. 65H</w:t>
      </w:r>
      <w:bookmarkEnd w:id="268"/>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69" w:name="_Toc114575944"/>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26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lastRenderedPageBreak/>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270" w:name="_Toc114575945"/>
      <w:r>
        <w:rPr>
          <w:rStyle w:val="CharSectno"/>
        </w:rPr>
        <w:t>95</w:t>
      </w:r>
      <w:r>
        <w:rPr>
          <w:snapToGrid w:val="0"/>
        </w:rPr>
        <w:t>.</w:t>
      </w:r>
      <w:r>
        <w:rPr>
          <w:snapToGrid w:val="0"/>
        </w:rPr>
        <w:tab/>
        <w:t>Family consultants may be required to supervise or assist compliance with parenting orders — FLA s. 65L</w:t>
      </w:r>
      <w:bookmarkEnd w:id="270"/>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271" w:name="_Toc114575946"/>
      <w:r>
        <w:rPr>
          <w:rStyle w:val="CharSectno"/>
        </w:rPr>
        <w:t>95A</w:t>
      </w:r>
      <w:r>
        <w:t>.</w:t>
      </w:r>
      <w:r>
        <w:tab/>
        <w:t>Court may order attendance at post</w:t>
      </w:r>
      <w:r>
        <w:noBreakHyphen/>
        <w:t>separation parenting program — FLA s. 65LA</w:t>
      </w:r>
      <w:bookmarkEnd w:id="271"/>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lastRenderedPageBreak/>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272" w:name="_Toc114575947"/>
      <w:r>
        <w:rPr>
          <w:rStyle w:val="CharSectno"/>
        </w:rPr>
        <w:t>95B</w:t>
      </w:r>
      <w:r>
        <w:t>.</w:t>
      </w:r>
      <w:r>
        <w:tab/>
        <w:t>Conditions for providers of post</w:t>
      </w:r>
      <w:r>
        <w:noBreakHyphen/>
        <w:t>separation parenting programs — FLA s. 65LB</w:t>
      </w:r>
      <w:bookmarkEnd w:id="272"/>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 xml:space="preserve">the organisation receives, or has been approved to receive, funding under a program or a part of a program designated under section 65LB(4) of the </w:t>
      </w:r>
      <w:r>
        <w:lastRenderedPageBreak/>
        <w:t>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273" w:name="_Toc114559276"/>
      <w:bookmarkStart w:id="274" w:name="_Toc114563263"/>
      <w:bookmarkStart w:id="275" w:name="_Toc114575948"/>
      <w:r>
        <w:t>Subdivision 3 — General obligations created by certain parenting orders</w:t>
      </w:r>
      <w:bookmarkEnd w:id="273"/>
      <w:bookmarkEnd w:id="274"/>
      <w:bookmarkEnd w:id="275"/>
    </w:p>
    <w:p>
      <w:pPr>
        <w:pStyle w:val="Footnoteheading"/>
      </w:pPr>
      <w:r>
        <w:tab/>
        <w:t>[Heading inserted: No. 35 of 2006 s. 150.]</w:t>
      </w:r>
    </w:p>
    <w:p>
      <w:pPr>
        <w:pStyle w:val="Heading5"/>
        <w:keepNext w:val="0"/>
        <w:keepLines w:val="0"/>
        <w:rPr>
          <w:snapToGrid w:val="0"/>
        </w:rPr>
      </w:pPr>
      <w:bookmarkStart w:id="276" w:name="_Toc114575949"/>
      <w:r>
        <w:rPr>
          <w:rStyle w:val="CharSectno"/>
        </w:rPr>
        <w:t>96</w:t>
      </w:r>
      <w:r>
        <w:rPr>
          <w:snapToGrid w:val="0"/>
        </w:rPr>
        <w:t>.</w:t>
      </w:r>
      <w:r>
        <w:rPr>
          <w:snapToGrid w:val="0"/>
        </w:rPr>
        <w:tab/>
        <w:t>General obligations created by parenting order that deals with whom child lives with — FLA s. 65M</w:t>
      </w:r>
      <w:bookmarkEnd w:id="276"/>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277" w:name="_Toc114575950"/>
      <w:r>
        <w:rPr>
          <w:rStyle w:val="CharSectno"/>
        </w:rPr>
        <w:lastRenderedPageBreak/>
        <w:t>97</w:t>
      </w:r>
      <w:r>
        <w:t>.</w:t>
      </w:r>
      <w:r>
        <w:tab/>
        <w:t>General obligations created by parenting order that deals with whom child spends time with — FLA s. 65N</w:t>
      </w:r>
      <w:bookmarkEnd w:id="277"/>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278" w:name="_Toc114575951"/>
      <w:r>
        <w:rPr>
          <w:rStyle w:val="CharSectno"/>
        </w:rPr>
        <w:t>98</w:t>
      </w:r>
      <w:r>
        <w:t>.</w:t>
      </w:r>
      <w:r>
        <w:tab/>
        <w:t>General obligations created by parenting order that deals with whom child communicates with — FLA s. 65NA</w:t>
      </w:r>
      <w:bookmarkEnd w:id="278"/>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279" w:name="_Toc114575952"/>
      <w:r>
        <w:rPr>
          <w:rStyle w:val="CharSectno"/>
        </w:rPr>
        <w:t>98A</w:t>
      </w:r>
      <w:r>
        <w:t>.</w:t>
      </w:r>
      <w:r>
        <w:tab/>
        <w:t>General obligations created by parenting order that allocates parental responsibility — FLA s. 65P</w:t>
      </w:r>
      <w:bookmarkEnd w:id="279"/>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lastRenderedPageBreak/>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280" w:name="_Toc114575953"/>
      <w:r>
        <w:rPr>
          <w:rStyle w:val="CharSectno"/>
        </w:rPr>
        <w:t>99</w:t>
      </w:r>
      <w:r>
        <w:rPr>
          <w:snapToGrid w:val="0"/>
        </w:rPr>
        <w:t>.</w:t>
      </w:r>
      <w:r>
        <w:rPr>
          <w:snapToGrid w:val="0"/>
        </w:rPr>
        <w:tab/>
        <w:t>Court may issue warrant for arrest of alleged offender — FLA s. 65Q</w:t>
      </w:r>
      <w:bookmarkEnd w:id="280"/>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lastRenderedPageBreak/>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281" w:name="_Toc114559282"/>
      <w:bookmarkStart w:id="282" w:name="_Toc114563269"/>
      <w:bookmarkStart w:id="283" w:name="_Toc114575954"/>
      <w:r>
        <w:rPr>
          <w:snapToGrid w:val="0"/>
        </w:rPr>
        <w:t>Subdivision 4 — Dealing with people who have been arrested</w:t>
      </w:r>
      <w:bookmarkEnd w:id="281"/>
      <w:bookmarkEnd w:id="282"/>
      <w:bookmarkEnd w:id="283"/>
      <w:r>
        <w:rPr>
          <w:snapToGrid w:val="0"/>
        </w:rPr>
        <w:t xml:space="preserve"> </w:t>
      </w:r>
    </w:p>
    <w:p>
      <w:pPr>
        <w:pStyle w:val="Heading5"/>
        <w:spacing w:before="240"/>
        <w:rPr>
          <w:snapToGrid w:val="0"/>
        </w:rPr>
      </w:pPr>
      <w:bookmarkStart w:id="284" w:name="_Toc114575955"/>
      <w:r>
        <w:rPr>
          <w:rStyle w:val="CharSectno"/>
        </w:rPr>
        <w:t>100</w:t>
      </w:r>
      <w:r>
        <w:rPr>
          <w:snapToGrid w:val="0"/>
        </w:rPr>
        <w:t>.</w:t>
      </w:r>
      <w:r>
        <w:rPr>
          <w:snapToGrid w:val="0"/>
        </w:rPr>
        <w:tab/>
        <w:t>Situation to which Subdivision applies — FLA s. 65R</w:t>
      </w:r>
      <w:bookmarkEnd w:id="284"/>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285" w:name="_Toc114575956"/>
      <w:r>
        <w:rPr>
          <w:rStyle w:val="CharSectno"/>
        </w:rPr>
        <w:t>101</w:t>
      </w:r>
      <w:r>
        <w:rPr>
          <w:snapToGrid w:val="0"/>
        </w:rPr>
        <w:t>.</w:t>
      </w:r>
      <w:r>
        <w:rPr>
          <w:snapToGrid w:val="0"/>
        </w:rPr>
        <w:tab/>
        <w:t>Arrested person to be brought before court — FLA s. 65S</w:t>
      </w:r>
      <w:bookmarkEnd w:id="285"/>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lastRenderedPageBreak/>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286" w:name="_Toc114575957"/>
      <w:r>
        <w:rPr>
          <w:rStyle w:val="CharSectno"/>
        </w:rPr>
        <w:t>102</w:t>
      </w:r>
      <w:r>
        <w:rPr>
          <w:snapToGrid w:val="0"/>
        </w:rPr>
        <w:t>.</w:t>
      </w:r>
      <w:r>
        <w:rPr>
          <w:snapToGrid w:val="0"/>
        </w:rPr>
        <w:tab/>
        <w:t>Obligation of court where application before it to deal with contravention — FLA s. 65T</w:t>
      </w:r>
      <w:bookmarkEnd w:id="286"/>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287" w:name="_Toc114575958"/>
      <w:r>
        <w:rPr>
          <w:rStyle w:val="CharSectno"/>
        </w:rPr>
        <w:t>103</w:t>
      </w:r>
      <w:r>
        <w:rPr>
          <w:snapToGrid w:val="0"/>
        </w:rPr>
        <w:t>.</w:t>
      </w:r>
      <w:r>
        <w:rPr>
          <w:snapToGrid w:val="0"/>
        </w:rPr>
        <w:tab/>
        <w:t>Obligation of court where no application before it, but application before another court, to deal with contravention — FLA s. 65U</w:t>
      </w:r>
      <w:bookmarkEnd w:id="287"/>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lastRenderedPageBreak/>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288" w:name="_Toc114575959"/>
      <w:r>
        <w:rPr>
          <w:rStyle w:val="CharSectno"/>
        </w:rPr>
        <w:lastRenderedPageBreak/>
        <w:t>104</w:t>
      </w:r>
      <w:r>
        <w:rPr>
          <w:snapToGrid w:val="0"/>
        </w:rPr>
        <w:t>.</w:t>
      </w:r>
      <w:r>
        <w:rPr>
          <w:snapToGrid w:val="0"/>
        </w:rPr>
        <w:tab/>
        <w:t>Obligation of court where no application before any court to deal with contravention — FLA s. 65V</w:t>
      </w:r>
      <w:bookmarkEnd w:id="288"/>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289" w:name="_Toc114575960"/>
      <w:r>
        <w:rPr>
          <w:rStyle w:val="CharSectno"/>
        </w:rPr>
        <w:t>105</w:t>
      </w:r>
      <w:r>
        <w:rPr>
          <w:snapToGrid w:val="0"/>
        </w:rPr>
        <w:t>.</w:t>
      </w:r>
      <w:r>
        <w:rPr>
          <w:snapToGrid w:val="0"/>
        </w:rPr>
        <w:tab/>
        <w:t>Applications heard as required by section 102(2) or section </w:t>
      </w:r>
      <w:r>
        <w:t>103(3)(b) — FLA s. </w:t>
      </w:r>
      <w:r>
        <w:rPr>
          <w:snapToGrid w:val="0"/>
        </w:rPr>
        <w:t>65W</w:t>
      </w:r>
      <w:bookmarkEnd w:id="289"/>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290" w:name="_Toc114559289"/>
      <w:bookmarkStart w:id="291" w:name="_Toc114563276"/>
      <w:bookmarkStart w:id="292" w:name="_Toc114575961"/>
      <w:r>
        <w:rPr>
          <w:snapToGrid w:val="0"/>
        </w:rPr>
        <w:lastRenderedPageBreak/>
        <w:t>Subdivision 5 — Obligations under parenting orders relating to taking or sending children from Western Australia to places outside Australia</w:t>
      </w:r>
      <w:bookmarkEnd w:id="290"/>
      <w:bookmarkEnd w:id="291"/>
      <w:bookmarkEnd w:id="292"/>
      <w:r>
        <w:rPr>
          <w:snapToGrid w:val="0"/>
        </w:rPr>
        <w:t xml:space="preserve"> </w:t>
      </w:r>
    </w:p>
    <w:p>
      <w:pPr>
        <w:pStyle w:val="Heading5"/>
        <w:rPr>
          <w:snapToGrid w:val="0"/>
        </w:rPr>
      </w:pPr>
      <w:bookmarkStart w:id="293" w:name="_Toc114575962"/>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293"/>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294" w:name="_Toc114575963"/>
      <w:r>
        <w:rPr>
          <w:rStyle w:val="CharSectno"/>
        </w:rPr>
        <w:t>107</w:t>
      </w:r>
      <w:r>
        <w:rPr>
          <w:snapToGrid w:val="0"/>
        </w:rPr>
        <w:t>.</w:t>
      </w:r>
      <w:r>
        <w:rPr>
          <w:snapToGrid w:val="0"/>
        </w:rPr>
        <w:tab/>
        <w:t>Obligations if certain parenting orders have been made — FLA s. 65Y</w:t>
      </w:r>
      <w:bookmarkEnd w:id="294"/>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keepNext/>
        <w:spacing w:before="120"/>
        <w:rPr>
          <w:snapToGrid w:val="0"/>
        </w:rPr>
      </w:pPr>
      <w:r>
        <w:rPr>
          <w:snapToGrid w:val="0"/>
        </w:rPr>
        <w:lastRenderedPageBreak/>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295" w:name="_Toc114575964"/>
      <w:r>
        <w:rPr>
          <w:rStyle w:val="CharSectno"/>
        </w:rPr>
        <w:t>108</w:t>
      </w:r>
      <w:r>
        <w:rPr>
          <w:snapToGrid w:val="0"/>
        </w:rPr>
        <w:t>.</w:t>
      </w:r>
      <w:r>
        <w:rPr>
          <w:snapToGrid w:val="0"/>
        </w:rPr>
        <w:tab/>
        <w:t>Obligations if proceedings for the making of certain parenting orders are pending — FLA s. 65Z</w:t>
      </w:r>
      <w:bookmarkEnd w:id="295"/>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lastRenderedPageBreak/>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296" w:name="_Toc114575965"/>
      <w:r>
        <w:rPr>
          <w:rStyle w:val="CharSectno"/>
        </w:rPr>
        <w:t>109</w:t>
      </w:r>
      <w:r>
        <w:rPr>
          <w:snapToGrid w:val="0"/>
        </w:rPr>
        <w:t>.</w:t>
      </w:r>
      <w:r>
        <w:rPr>
          <w:snapToGrid w:val="0"/>
        </w:rPr>
        <w:tab/>
        <w:t>Obligations of owners etc. of aircraft and vessels if certain parenting orders made — FLA s. 65ZA</w:t>
      </w:r>
      <w:bookmarkEnd w:id="296"/>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lastRenderedPageBreak/>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297" w:name="_Toc114575966"/>
      <w:r>
        <w:rPr>
          <w:rStyle w:val="CharSectno"/>
        </w:rPr>
        <w:lastRenderedPageBreak/>
        <w:t>110</w:t>
      </w:r>
      <w:r>
        <w:rPr>
          <w:snapToGrid w:val="0"/>
        </w:rPr>
        <w:t>.</w:t>
      </w:r>
      <w:r>
        <w:rPr>
          <w:snapToGrid w:val="0"/>
        </w:rPr>
        <w:tab/>
        <w:t>Obligations of owners etc. of aircraft and vessels if proceedings for making of certain parenting orders are pending — FLA s. 65ZB</w:t>
      </w:r>
      <w:bookmarkEnd w:id="297"/>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lastRenderedPageBreak/>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298" w:name="_Toc114575967"/>
      <w:r>
        <w:rPr>
          <w:rStyle w:val="CharSectno"/>
        </w:rPr>
        <w:t>111</w:t>
      </w:r>
      <w:r>
        <w:rPr>
          <w:snapToGrid w:val="0"/>
        </w:rPr>
        <w:t>.</w:t>
      </w:r>
      <w:r>
        <w:rPr>
          <w:snapToGrid w:val="0"/>
        </w:rPr>
        <w:tab/>
        <w:t>General provisions applicable to sections 109 and 110 — FLA s. 65ZC(1) and (2)</w:t>
      </w:r>
      <w:bookmarkEnd w:id="298"/>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 xml:space="preserve">The captain, owner or charterer of an aircraft or vessel, or the agent of the owner of an aircraft or vessel, is not liable in any civil or criminal proceedings in respect of anything done in </w:t>
      </w:r>
      <w:r>
        <w:rPr>
          <w:snapToGrid w:val="0"/>
        </w:rPr>
        <w:lastRenderedPageBreak/>
        <w:t>good faith for the purpose of complying with section 109 or 110.</w:t>
      </w:r>
    </w:p>
    <w:p>
      <w:pPr>
        <w:pStyle w:val="Heading5"/>
        <w:rPr>
          <w:snapToGrid w:val="0"/>
        </w:rPr>
      </w:pPr>
      <w:bookmarkStart w:id="299" w:name="_Toc114575968"/>
      <w:r>
        <w:rPr>
          <w:rStyle w:val="CharSectno"/>
        </w:rPr>
        <w:t>112</w:t>
      </w:r>
      <w:r>
        <w:rPr>
          <w:snapToGrid w:val="0"/>
        </w:rPr>
        <w:t>.</w:t>
      </w:r>
      <w:r>
        <w:rPr>
          <w:snapToGrid w:val="0"/>
        </w:rPr>
        <w:tab/>
        <w:t>No double jeopardy — FLA s. 65ZC(3)</w:t>
      </w:r>
      <w:bookmarkEnd w:id="299"/>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00" w:name="_Toc114559297"/>
      <w:bookmarkStart w:id="301" w:name="_Toc114563284"/>
      <w:bookmarkStart w:id="302" w:name="_Toc114575969"/>
      <w:r>
        <w:rPr>
          <w:rStyle w:val="CharDivNo"/>
          <w:rFonts w:ascii="Times" w:hAnsi="Times"/>
        </w:rPr>
        <w:t>Division 7</w:t>
      </w:r>
      <w:r>
        <w:rPr>
          <w:rFonts w:ascii="Times" w:hAnsi="Times"/>
          <w:snapToGrid w:val="0"/>
        </w:rPr>
        <w:t> — </w:t>
      </w:r>
      <w:r>
        <w:rPr>
          <w:rStyle w:val="CharDivText"/>
          <w:rFonts w:ascii="Times" w:hAnsi="Times"/>
        </w:rPr>
        <w:t>Child maintenance orders</w:t>
      </w:r>
      <w:bookmarkEnd w:id="300"/>
      <w:bookmarkEnd w:id="301"/>
      <w:bookmarkEnd w:id="302"/>
      <w:r>
        <w:rPr>
          <w:rStyle w:val="CharDivText"/>
          <w:rFonts w:ascii="Times" w:hAnsi="Times"/>
        </w:rPr>
        <w:t xml:space="preserve"> </w:t>
      </w:r>
    </w:p>
    <w:p>
      <w:pPr>
        <w:pStyle w:val="Heading4"/>
        <w:rPr>
          <w:rFonts w:ascii="Times" w:hAnsi="Times"/>
          <w:snapToGrid w:val="0"/>
        </w:rPr>
      </w:pPr>
      <w:bookmarkStart w:id="303" w:name="_Toc114559298"/>
      <w:bookmarkStart w:id="304" w:name="_Toc114563285"/>
      <w:bookmarkStart w:id="305" w:name="_Toc114575970"/>
      <w:r>
        <w:rPr>
          <w:rFonts w:ascii="Times" w:hAnsi="Times"/>
          <w:snapToGrid w:val="0"/>
        </w:rPr>
        <w:t>Subdivision 1 — What this Division does</w:t>
      </w:r>
      <w:bookmarkEnd w:id="303"/>
      <w:bookmarkEnd w:id="304"/>
      <w:bookmarkEnd w:id="305"/>
      <w:r>
        <w:rPr>
          <w:rFonts w:ascii="Times" w:hAnsi="Times"/>
          <w:snapToGrid w:val="0"/>
        </w:rPr>
        <w:t xml:space="preserve"> </w:t>
      </w:r>
    </w:p>
    <w:p>
      <w:pPr>
        <w:pStyle w:val="Heading5"/>
        <w:spacing w:before="180"/>
        <w:rPr>
          <w:rFonts w:ascii="Times" w:hAnsi="Times"/>
          <w:snapToGrid w:val="0"/>
        </w:rPr>
      </w:pPr>
      <w:bookmarkStart w:id="306" w:name="_Toc114575971"/>
      <w:r>
        <w:rPr>
          <w:rStyle w:val="CharSectno"/>
          <w:rFonts w:ascii="Times" w:hAnsi="Times"/>
        </w:rPr>
        <w:t>113</w:t>
      </w:r>
      <w:r>
        <w:rPr>
          <w:rFonts w:ascii="Times" w:hAnsi="Times"/>
          <w:snapToGrid w:val="0"/>
        </w:rPr>
        <w:t>.</w:t>
      </w:r>
      <w:r>
        <w:rPr>
          <w:rFonts w:ascii="Times" w:hAnsi="Times"/>
          <w:snapToGrid w:val="0"/>
        </w:rPr>
        <w:tab/>
        <w:t>What this Division does — FLA s. 66A</w:t>
      </w:r>
      <w:bookmarkEnd w:id="306"/>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307" w:name="_Toc114559300"/>
      <w:bookmarkStart w:id="308" w:name="_Toc114563287"/>
      <w:bookmarkStart w:id="309" w:name="_Toc114575972"/>
      <w:r>
        <w:rPr>
          <w:rFonts w:ascii="Times" w:hAnsi="Times"/>
          <w:snapToGrid w:val="0"/>
        </w:rPr>
        <w:lastRenderedPageBreak/>
        <w:t>Subdivision 2 — Objects and principles</w:t>
      </w:r>
      <w:bookmarkEnd w:id="307"/>
      <w:bookmarkEnd w:id="308"/>
      <w:bookmarkEnd w:id="309"/>
      <w:r>
        <w:rPr>
          <w:rFonts w:ascii="Times" w:hAnsi="Times"/>
          <w:snapToGrid w:val="0"/>
        </w:rPr>
        <w:t xml:space="preserve"> </w:t>
      </w:r>
    </w:p>
    <w:p>
      <w:pPr>
        <w:pStyle w:val="Heading5"/>
        <w:spacing w:before="180"/>
        <w:rPr>
          <w:rFonts w:ascii="Times" w:hAnsi="Times"/>
          <w:snapToGrid w:val="0"/>
        </w:rPr>
      </w:pPr>
      <w:bookmarkStart w:id="310" w:name="_Toc114575973"/>
      <w:r>
        <w:rPr>
          <w:rStyle w:val="CharSectno"/>
          <w:rFonts w:ascii="Times" w:hAnsi="Times"/>
        </w:rPr>
        <w:t>114</w:t>
      </w:r>
      <w:r>
        <w:rPr>
          <w:rFonts w:ascii="Times" w:hAnsi="Times"/>
          <w:snapToGrid w:val="0"/>
        </w:rPr>
        <w:t>.</w:t>
      </w:r>
      <w:r>
        <w:rPr>
          <w:rFonts w:ascii="Times" w:hAnsi="Times"/>
          <w:snapToGrid w:val="0"/>
        </w:rPr>
        <w:tab/>
        <w:t>Objects — FLA s. 66B</w:t>
      </w:r>
      <w:bookmarkEnd w:id="310"/>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11" w:name="_Toc114575974"/>
      <w:r>
        <w:rPr>
          <w:rStyle w:val="CharSectno"/>
        </w:rPr>
        <w:t>115</w:t>
      </w:r>
      <w:r>
        <w:rPr>
          <w:snapToGrid w:val="0"/>
        </w:rPr>
        <w:t>.</w:t>
      </w:r>
      <w:r>
        <w:rPr>
          <w:snapToGrid w:val="0"/>
        </w:rPr>
        <w:tab/>
        <w:t>Principles: parents have primary duty to maintain — FLA s. 66C</w:t>
      </w:r>
      <w:bookmarkEnd w:id="311"/>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12" w:name="_Toc114575975"/>
      <w:r>
        <w:rPr>
          <w:rStyle w:val="CharSectno"/>
        </w:rPr>
        <w:lastRenderedPageBreak/>
        <w:t>116</w:t>
      </w:r>
      <w:r>
        <w:rPr>
          <w:snapToGrid w:val="0"/>
        </w:rPr>
        <w:t>.</w:t>
      </w:r>
      <w:r>
        <w:rPr>
          <w:snapToGrid w:val="0"/>
        </w:rPr>
        <w:tab/>
        <w:t>Principles: when step</w:t>
      </w:r>
      <w:r>
        <w:rPr>
          <w:snapToGrid w:val="0"/>
        </w:rPr>
        <w:noBreakHyphen/>
        <w:t>parents have duty to maintain — FLA s. 66D</w:t>
      </w:r>
      <w:bookmarkEnd w:id="312"/>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13" w:name="_Toc114559304"/>
      <w:bookmarkStart w:id="314" w:name="_Toc114563291"/>
      <w:bookmarkStart w:id="315" w:name="_Toc114575976"/>
      <w:r>
        <w:rPr>
          <w:snapToGrid w:val="0"/>
        </w:rPr>
        <w:t>Subdivision 3 — Relationship with Child Support (Assessment) Act</w:t>
      </w:r>
      <w:bookmarkEnd w:id="313"/>
      <w:bookmarkEnd w:id="314"/>
      <w:bookmarkEnd w:id="315"/>
      <w:r>
        <w:rPr>
          <w:snapToGrid w:val="0"/>
        </w:rPr>
        <w:t xml:space="preserve"> </w:t>
      </w:r>
    </w:p>
    <w:p>
      <w:pPr>
        <w:pStyle w:val="Heading5"/>
        <w:keepNext w:val="0"/>
        <w:keepLines w:val="0"/>
        <w:spacing w:before="240"/>
        <w:rPr>
          <w:snapToGrid w:val="0"/>
        </w:rPr>
      </w:pPr>
      <w:bookmarkStart w:id="316" w:name="_Toc114575977"/>
      <w:r>
        <w:rPr>
          <w:rStyle w:val="CharSectno"/>
        </w:rPr>
        <w:t>117</w:t>
      </w:r>
      <w:r>
        <w:rPr>
          <w:snapToGrid w:val="0"/>
        </w:rPr>
        <w:t>.</w:t>
      </w:r>
      <w:r>
        <w:rPr>
          <w:snapToGrid w:val="0"/>
        </w:rPr>
        <w:tab/>
        <w:t>Child maintenance order not to be made etc. if application for administrative assessment of child support could be made — FLA s. 66E</w:t>
      </w:r>
      <w:bookmarkEnd w:id="316"/>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17" w:name="_Toc114559306"/>
      <w:bookmarkStart w:id="318" w:name="_Toc114563293"/>
      <w:bookmarkStart w:id="319" w:name="_Toc114575978"/>
      <w:r>
        <w:rPr>
          <w:snapToGrid w:val="0"/>
        </w:rPr>
        <w:lastRenderedPageBreak/>
        <w:t>Subdivision 4 — Applying for and making child maintenance orders</w:t>
      </w:r>
      <w:bookmarkEnd w:id="317"/>
      <w:bookmarkEnd w:id="318"/>
      <w:bookmarkEnd w:id="319"/>
      <w:r>
        <w:rPr>
          <w:snapToGrid w:val="0"/>
        </w:rPr>
        <w:t xml:space="preserve"> </w:t>
      </w:r>
    </w:p>
    <w:p>
      <w:pPr>
        <w:pStyle w:val="Heading5"/>
        <w:rPr>
          <w:snapToGrid w:val="0"/>
        </w:rPr>
      </w:pPr>
      <w:bookmarkStart w:id="320" w:name="_Toc114575979"/>
      <w:r>
        <w:rPr>
          <w:rStyle w:val="CharSectno"/>
        </w:rPr>
        <w:t>118</w:t>
      </w:r>
      <w:r>
        <w:rPr>
          <w:snapToGrid w:val="0"/>
        </w:rPr>
        <w:t>.</w:t>
      </w:r>
      <w:r>
        <w:rPr>
          <w:snapToGrid w:val="0"/>
        </w:rPr>
        <w:tab/>
        <w:t>Who may apply for child maintenance order — FLA s. 66F</w:t>
      </w:r>
      <w:bookmarkEnd w:id="320"/>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321" w:name="_Toc114575980"/>
      <w:r>
        <w:rPr>
          <w:rStyle w:val="CharSectno"/>
        </w:rPr>
        <w:t>119</w:t>
      </w:r>
      <w:r>
        <w:rPr>
          <w:snapToGrid w:val="0"/>
        </w:rPr>
        <w:t>.</w:t>
      </w:r>
      <w:r>
        <w:rPr>
          <w:snapToGrid w:val="0"/>
        </w:rPr>
        <w:tab/>
        <w:t>Court’s power to make child maintenance order — FLA s. 66G</w:t>
      </w:r>
      <w:bookmarkEnd w:id="321"/>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22" w:name="_Toc114575981"/>
      <w:r>
        <w:rPr>
          <w:rStyle w:val="CharSectno"/>
        </w:rPr>
        <w:lastRenderedPageBreak/>
        <w:t>120</w:t>
      </w:r>
      <w:r>
        <w:rPr>
          <w:snapToGrid w:val="0"/>
        </w:rPr>
        <w:t>.</w:t>
      </w:r>
      <w:r>
        <w:rPr>
          <w:snapToGrid w:val="0"/>
        </w:rPr>
        <w:tab/>
        <w:t>Approach to be taken in proceedings for child maintenance order — FLA s. 66H</w:t>
      </w:r>
      <w:bookmarkEnd w:id="322"/>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23" w:name="_Toc114575982"/>
      <w:r>
        <w:rPr>
          <w:rStyle w:val="CharSectno"/>
        </w:rPr>
        <w:t>121</w:t>
      </w:r>
      <w:r>
        <w:rPr>
          <w:snapToGrid w:val="0"/>
        </w:rPr>
        <w:t>.</w:t>
      </w:r>
      <w:r>
        <w:rPr>
          <w:snapToGrid w:val="0"/>
        </w:rPr>
        <w:tab/>
        <w:t>Matters to be taken into account in considering financial support necessary for maintenance of child — FLA s. 66J</w:t>
      </w:r>
      <w:bookmarkEnd w:id="323"/>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24" w:name="_Toc114575983"/>
      <w:r>
        <w:rPr>
          <w:rStyle w:val="CharSectno"/>
        </w:rPr>
        <w:t>122</w:t>
      </w:r>
      <w:r>
        <w:rPr>
          <w:snapToGrid w:val="0"/>
        </w:rPr>
        <w:t>.</w:t>
      </w:r>
      <w:r>
        <w:rPr>
          <w:snapToGrid w:val="0"/>
        </w:rPr>
        <w:tab/>
        <w:t>Matters to be taken into account in determining contribution that should be made by party etc. — FLA s. 66K</w:t>
      </w:r>
      <w:bookmarkEnd w:id="324"/>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lastRenderedPageBreak/>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lastRenderedPageBreak/>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25" w:name="_Toc114575984"/>
      <w:r>
        <w:rPr>
          <w:rStyle w:val="CharSectno"/>
        </w:rPr>
        <w:t>123</w:t>
      </w:r>
      <w:r>
        <w:rPr>
          <w:snapToGrid w:val="0"/>
        </w:rPr>
        <w:t>.</w:t>
      </w:r>
      <w:r>
        <w:rPr>
          <w:snapToGrid w:val="0"/>
        </w:rPr>
        <w:tab/>
        <w:t>Children who are 18 or over — FLA s. 66L</w:t>
      </w:r>
      <w:bookmarkEnd w:id="325"/>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lastRenderedPageBreak/>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326" w:name="_Toc114575985"/>
      <w:r>
        <w:rPr>
          <w:rStyle w:val="CharSectno"/>
        </w:rPr>
        <w:t>124</w:t>
      </w:r>
      <w:r>
        <w:rPr>
          <w:snapToGrid w:val="0"/>
        </w:rPr>
        <w:t>.</w:t>
      </w:r>
      <w:r>
        <w:rPr>
          <w:snapToGrid w:val="0"/>
        </w:rPr>
        <w:tab/>
        <w:t>When step</w:t>
      </w:r>
      <w:r>
        <w:rPr>
          <w:snapToGrid w:val="0"/>
        </w:rPr>
        <w:noBreakHyphen/>
        <w:t>parents have duty to maintain — FLA s. 66M</w:t>
      </w:r>
      <w:bookmarkEnd w:id="326"/>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327" w:name="_Toc114575986"/>
      <w:r>
        <w:rPr>
          <w:rStyle w:val="CharSectno"/>
        </w:rPr>
        <w:t>125</w:t>
      </w:r>
      <w:r>
        <w:rPr>
          <w:snapToGrid w:val="0"/>
        </w:rPr>
        <w:t>.</w:t>
      </w:r>
      <w:r>
        <w:rPr>
          <w:snapToGrid w:val="0"/>
        </w:rPr>
        <w:tab/>
        <w:t>Determining financial contribution of step</w:t>
      </w:r>
      <w:r>
        <w:rPr>
          <w:snapToGrid w:val="0"/>
        </w:rPr>
        <w:noBreakHyphen/>
        <w:t>parent — FLA s. 66N</w:t>
      </w:r>
      <w:bookmarkEnd w:id="327"/>
      <w:r>
        <w:rPr>
          <w:snapToGrid w:val="0"/>
        </w:rPr>
        <w:t xml:space="preserve"> </w:t>
      </w:r>
    </w:p>
    <w:p>
      <w:pPr>
        <w:pStyle w:val="Subsection"/>
        <w:rPr>
          <w:snapToGrid w:val="0"/>
        </w:rPr>
      </w:pPr>
      <w:r>
        <w:rPr>
          <w:snapToGrid w:val="0"/>
        </w:rPr>
        <w:tab/>
      </w:r>
      <w:r>
        <w:rPr>
          <w:snapToGrid w:val="0"/>
        </w:rPr>
        <w:tab/>
        <w:t xml:space="preserve">In determining the financial contribution towards the financial support necessary for the maintenance of the child that should </w:t>
      </w:r>
      <w:r>
        <w:rPr>
          <w:snapToGrid w:val="0"/>
        </w:rPr>
        <w:lastRenderedPageBreak/>
        <w:t>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28" w:name="_Toc114559315"/>
      <w:bookmarkStart w:id="329" w:name="_Toc114563302"/>
      <w:bookmarkStart w:id="330" w:name="_Toc114575987"/>
      <w:r>
        <w:rPr>
          <w:snapToGrid w:val="0"/>
        </w:rPr>
        <w:t>Subdivision 5 — Other aspects of court powers</w:t>
      </w:r>
      <w:bookmarkEnd w:id="328"/>
      <w:bookmarkEnd w:id="329"/>
      <w:bookmarkEnd w:id="330"/>
      <w:r>
        <w:rPr>
          <w:snapToGrid w:val="0"/>
        </w:rPr>
        <w:t xml:space="preserve"> </w:t>
      </w:r>
    </w:p>
    <w:p>
      <w:pPr>
        <w:pStyle w:val="Heading5"/>
        <w:rPr>
          <w:snapToGrid w:val="0"/>
        </w:rPr>
      </w:pPr>
      <w:bookmarkStart w:id="331" w:name="_Toc114575988"/>
      <w:r>
        <w:rPr>
          <w:rStyle w:val="CharSectno"/>
        </w:rPr>
        <w:t>126</w:t>
      </w:r>
      <w:r>
        <w:rPr>
          <w:snapToGrid w:val="0"/>
        </w:rPr>
        <w:t>.</w:t>
      </w:r>
      <w:r>
        <w:rPr>
          <w:snapToGrid w:val="0"/>
        </w:rPr>
        <w:tab/>
        <w:t>General powers of court — FLA s. 66P</w:t>
      </w:r>
      <w:bookmarkEnd w:id="331"/>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lastRenderedPageBreak/>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32" w:name="_Toc114575989"/>
      <w:r>
        <w:rPr>
          <w:rStyle w:val="CharSectno"/>
        </w:rPr>
        <w:t>127</w:t>
      </w:r>
      <w:r>
        <w:rPr>
          <w:snapToGrid w:val="0"/>
        </w:rPr>
        <w:t>.</w:t>
      </w:r>
      <w:r>
        <w:rPr>
          <w:snapToGrid w:val="0"/>
        </w:rPr>
        <w:tab/>
        <w:t>Urgent child maintenance orders — FLA s. 66Q</w:t>
      </w:r>
      <w:bookmarkEnd w:id="332"/>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33" w:name="_Toc114575990"/>
      <w:r>
        <w:rPr>
          <w:rStyle w:val="CharSectno"/>
        </w:rPr>
        <w:t>128</w:t>
      </w:r>
      <w:r>
        <w:rPr>
          <w:snapToGrid w:val="0"/>
        </w:rPr>
        <w:t>.</w:t>
      </w:r>
      <w:r>
        <w:rPr>
          <w:snapToGrid w:val="0"/>
        </w:rPr>
        <w:tab/>
        <w:t>Modification of child maintenance orders — FLA s. 66S</w:t>
      </w:r>
      <w:bookmarkEnd w:id="33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lastRenderedPageBreak/>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lastRenderedPageBreak/>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 xml:space="preserve">that material facts were withheld from the court that made the first order or from a court that varied the order, </w:t>
      </w:r>
      <w:r>
        <w:rPr>
          <w:snapToGrid w:val="0"/>
        </w:rPr>
        <w:lastRenderedPageBreak/>
        <w:t>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334" w:name="_Toc114559319"/>
      <w:bookmarkStart w:id="335" w:name="_Toc114563306"/>
      <w:bookmarkStart w:id="336" w:name="_Toc114575991"/>
      <w:r>
        <w:lastRenderedPageBreak/>
        <w:t>Subdivision 5A — Varying the maintenance of certain children</w:t>
      </w:r>
      <w:bookmarkEnd w:id="334"/>
      <w:bookmarkEnd w:id="335"/>
      <w:bookmarkEnd w:id="336"/>
    </w:p>
    <w:p>
      <w:pPr>
        <w:pStyle w:val="Footnoteheading"/>
        <w:keepNext/>
        <w:tabs>
          <w:tab w:val="left" w:pos="851"/>
        </w:tabs>
      </w:pPr>
      <w:r>
        <w:tab/>
        <w:t>[Heading inserted: No. 25 of 2002 s. 60.]</w:t>
      </w:r>
    </w:p>
    <w:p>
      <w:pPr>
        <w:pStyle w:val="Heading5"/>
        <w:spacing w:before="240"/>
      </w:pPr>
      <w:bookmarkStart w:id="337" w:name="_Toc114575992"/>
      <w:r>
        <w:rPr>
          <w:rStyle w:val="CharSectno"/>
        </w:rPr>
        <w:t>128A</w:t>
      </w:r>
      <w:r>
        <w:t>.</w:t>
      </w:r>
      <w:r>
        <w:tab/>
        <w:t>Varying maintenance of certain children — FLA s. 66SA</w:t>
      </w:r>
      <w:bookmarkEnd w:id="337"/>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lastRenderedPageBreak/>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338" w:name="_Toc114559321"/>
      <w:bookmarkStart w:id="339" w:name="_Toc114563308"/>
      <w:bookmarkStart w:id="340" w:name="_Toc114575993"/>
      <w:r>
        <w:rPr>
          <w:snapToGrid w:val="0"/>
        </w:rPr>
        <w:t>Subdivision 6 — When child maintenance orders stop being in force</w:t>
      </w:r>
      <w:bookmarkEnd w:id="338"/>
      <w:bookmarkEnd w:id="339"/>
      <w:bookmarkEnd w:id="340"/>
      <w:r>
        <w:rPr>
          <w:snapToGrid w:val="0"/>
        </w:rPr>
        <w:t xml:space="preserve"> </w:t>
      </w:r>
    </w:p>
    <w:p>
      <w:pPr>
        <w:pStyle w:val="Heading5"/>
        <w:rPr>
          <w:snapToGrid w:val="0"/>
        </w:rPr>
      </w:pPr>
      <w:bookmarkStart w:id="341" w:name="_Toc114575994"/>
      <w:r>
        <w:rPr>
          <w:rStyle w:val="CharSectno"/>
        </w:rPr>
        <w:t>129</w:t>
      </w:r>
      <w:r>
        <w:rPr>
          <w:snapToGrid w:val="0"/>
        </w:rPr>
        <w:t>.</w:t>
      </w:r>
      <w:r>
        <w:rPr>
          <w:snapToGrid w:val="0"/>
        </w:rPr>
        <w:tab/>
        <w:t>Effect of child turning 18 — FLA s. 66T</w:t>
      </w:r>
      <w:bookmarkEnd w:id="341"/>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42" w:name="_Toc114575995"/>
      <w:r>
        <w:rPr>
          <w:rStyle w:val="CharSectno"/>
        </w:rPr>
        <w:t>130</w:t>
      </w:r>
      <w:r>
        <w:rPr>
          <w:snapToGrid w:val="0"/>
        </w:rPr>
        <w:t>.</w:t>
      </w:r>
      <w:r>
        <w:rPr>
          <w:snapToGrid w:val="0"/>
        </w:rPr>
        <w:tab/>
        <w:t>Effect of death of child, person liable to pay or person entitled to receive — FLA s. 66U</w:t>
      </w:r>
      <w:bookmarkEnd w:id="342"/>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43" w:name="_Toc114575996"/>
      <w:r>
        <w:rPr>
          <w:rStyle w:val="CharSectno"/>
        </w:rPr>
        <w:t>131</w:t>
      </w:r>
      <w:r>
        <w:rPr>
          <w:snapToGrid w:val="0"/>
        </w:rPr>
        <w:t>.</w:t>
      </w:r>
      <w:r>
        <w:rPr>
          <w:snapToGrid w:val="0"/>
        </w:rPr>
        <w:tab/>
        <w:t>Effect of adoption, marriage or entering into de facto relationship — FLA s. 66V</w:t>
      </w:r>
      <w:bookmarkEnd w:id="343"/>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lastRenderedPageBreak/>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44" w:name="_Toc114575997"/>
      <w:r>
        <w:rPr>
          <w:rStyle w:val="CharSectno"/>
        </w:rPr>
        <w:t>131A</w:t>
      </w:r>
      <w:r>
        <w:t>.</w:t>
      </w:r>
      <w:r>
        <w:tab/>
        <w:t>Children who are 18 or over: change of circumstances — FLA s. 66VA</w:t>
      </w:r>
      <w:bookmarkEnd w:id="344"/>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345" w:name="_Toc114575998"/>
      <w:r>
        <w:rPr>
          <w:rStyle w:val="CharSectno"/>
        </w:rPr>
        <w:t>132</w:t>
      </w:r>
      <w:r>
        <w:t>.</w:t>
      </w:r>
      <w:r>
        <w:tab/>
        <w:t>Recovery of arrears — FLA s. 66W</w:t>
      </w:r>
      <w:bookmarkEnd w:id="345"/>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lastRenderedPageBreak/>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346" w:name="_Toc114559327"/>
      <w:bookmarkStart w:id="347" w:name="_Toc114563314"/>
      <w:bookmarkStart w:id="348" w:name="_Toc114575999"/>
      <w:r>
        <w:t>Subdivision 7 — Recovery of amounts paid under maintenance orders</w:t>
      </w:r>
      <w:bookmarkEnd w:id="346"/>
      <w:bookmarkEnd w:id="347"/>
      <w:bookmarkEnd w:id="348"/>
    </w:p>
    <w:p>
      <w:pPr>
        <w:pStyle w:val="Footnotesection"/>
      </w:pPr>
      <w:r>
        <w:tab/>
        <w:t>[Heading inserted: No. 35 of 2006 s. 62.]</w:t>
      </w:r>
    </w:p>
    <w:p>
      <w:pPr>
        <w:pStyle w:val="Heading5"/>
        <w:spacing w:before="180"/>
      </w:pPr>
      <w:bookmarkStart w:id="349" w:name="_Toc114576000"/>
      <w:r>
        <w:rPr>
          <w:rStyle w:val="CharSectno"/>
        </w:rPr>
        <w:t>132A</w:t>
      </w:r>
      <w:r>
        <w:t>.</w:t>
      </w:r>
      <w:r>
        <w:tab/>
        <w:t>Recovery of amounts paid, and property transferred or settled, under maintenance orders — FLA s. 66X</w:t>
      </w:r>
      <w:bookmarkEnd w:id="349"/>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lastRenderedPageBreak/>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lastRenderedPageBreak/>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350" w:name="_Toc114559329"/>
      <w:bookmarkStart w:id="351" w:name="_Toc114563316"/>
      <w:bookmarkStart w:id="352" w:name="_Toc114576001"/>
      <w:r>
        <w:rPr>
          <w:rStyle w:val="CharDivNo"/>
        </w:rPr>
        <w:t>Division 8</w:t>
      </w:r>
      <w:r>
        <w:rPr>
          <w:snapToGrid w:val="0"/>
        </w:rPr>
        <w:t> — </w:t>
      </w:r>
      <w:r>
        <w:rPr>
          <w:rStyle w:val="CharDivText"/>
        </w:rPr>
        <w:t>Other matters relating to children</w:t>
      </w:r>
      <w:bookmarkEnd w:id="350"/>
      <w:bookmarkEnd w:id="351"/>
      <w:bookmarkEnd w:id="352"/>
      <w:r>
        <w:rPr>
          <w:rStyle w:val="CharDivText"/>
        </w:rPr>
        <w:t xml:space="preserve"> </w:t>
      </w:r>
    </w:p>
    <w:p>
      <w:pPr>
        <w:pStyle w:val="Heading4"/>
        <w:rPr>
          <w:snapToGrid w:val="0"/>
        </w:rPr>
      </w:pPr>
      <w:bookmarkStart w:id="353" w:name="_Toc114559330"/>
      <w:bookmarkStart w:id="354" w:name="_Toc114563317"/>
      <w:bookmarkStart w:id="355" w:name="_Toc114576002"/>
      <w:r>
        <w:rPr>
          <w:snapToGrid w:val="0"/>
        </w:rPr>
        <w:t>Subdivision 1 — What this Division does</w:t>
      </w:r>
      <w:bookmarkEnd w:id="353"/>
      <w:bookmarkEnd w:id="354"/>
      <w:bookmarkEnd w:id="355"/>
      <w:r>
        <w:rPr>
          <w:snapToGrid w:val="0"/>
        </w:rPr>
        <w:t xml:space="preserve"> </w:t>
      </w:r>
    </w:p>
    <w:p>
      <w:pPr>
        <w:pStyle w:val="Heading5"/>
        <w:rPr>
          <w:snapToGrid w:val="0"/>
        </w:rPr>
      </w:pPr>
      <w:bookmarkStart w:id="356" w:name="_Toc114576003"/>
      <w:r>
        <w:rPr>
          <w:rStyle w:val="CharSectno"/>
        </w:rPr>
        <w:t>133</w:t>
      </w:r>
      <w:r>
        <w:rPr>
          <w:snapToGrid w:val="0"/>
        </w:rPr>
        <w:t>.</w:t>
      </w:r>
      <w:r>
        <w:rPr>
          <w:snapToGrid w:val="0"/>
        </w:rPr>
        <w:tab/>
        <w:t>What this Division does — FLA s. 67A</w:t>
      </w:r>
      <w:bookmarkEnd w:id="356"/>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keepNext/>
        <w:rPr>
          <w:snapToGrid w:val="0"/>
        </w:rPr>
      </w:pPr>
      <w:r>
        <w:rPr>
          <w:snapToGrid w:val="0"/>
        </w:rPr>
        <w:lastRenderedPageBreak/>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357" w:name="_Toc114559332"/>
      <w:bookmarkStart w:id="358" w:name="_Toc114563319"/>
      <w:bookmarkStart w:id="359" w:name="_Toc114576004"/>
      <w:r>
        <w:rPr>
          <w:snapToGrid w:val="0"/>
        </w:rPr>
        <w:t>Subdivision 2 — </w:t>
      </w:r>
      <w:r>
        <w:t>Liability of parent not married to child’s mother to contribute towards child bearing expenses</w:t>
      </w:r>
      <w:bookmarkEnd w:id="357"/>
      <w:bookmarkEnd w:id="358"/>
      <w:bookmarkEnd w:id="359"/>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360" w:name="_Toc114576005"/>
      <w:r>
        <w:rPr>
          <w:rStyle w:val="CharSectno"/>
        </w:rPr>
        <w:t>135</w:t>
      </w:r>
      <w:r>
        <w:rPr>
          <w:snapToGrid w:val="0"/>
        </w:rPr>
        <w:t>.</w:t>
      </w:r>
      <w:r>
        <w:rPr>
          <w:snapToGrid w:val="0"/>
        </w:rPr>
        <w:tab/>
        <w:t>Father liable to contribute towards maintenance and expenses of mother — FLA s. 67B</w:t>
      </w:r>
      <w:bookmarkEnd w:id="360"/>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361" w:name="_Toc114576006"/>
      <w:r>
        <w:rPr>
          <w:rStyle w:val="CharSectno"/>
        </w:rPr>
        <w:t>136</w:t>
      </w:r>
      <w:r>
        <w:rPr>
          <w:snapToGrid w:val="0"/>
        </w:rPr>
        <w:t>.</w:t>
      </w:r>
      <w:r>
        <w:rPr>
          <w:snapToGrid w:val="0"/>
        </w:rPr>
        <w:tab/>
        <w:t>Matters to be taken into account in proceedings under Subdivision — FLA s. 67C</w:t>
      </w:r>
      <w:bookmarkEnd w:id="361"/>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w:t>
      </w:r>
      <w:r>
        <w:lastRenderedPageBreak/>
        <w:t xml:space="preserve">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362" w:name="_Toc114576007"/>
      <w:r>
        <w:rPr>
          <w:rStyle w:val="CharSectno"/>
        </w:rPr>
        <w:t>137</w:t>
      </w:r>
      <w:r>
        <w:rPr>
          <w:snapToGrid w:val="0"/>
        </w:rPr>
        <w:t>.</w:t>
      </w:r>
      <w:r>
        <w:rPr>
          <w:snapToGrid w:val="0"/>
        </w:rPr>
        <w:tab/>
        <w:t>Powers of court in proceedings under Subdivision — FLA s. 67D</w:t>
      </w:r>
      <w:bookmarkEnd w:id="362"/>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lastRenderedPageBreak/>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63" w:name="_Toc114576008"/>
      <w:r>
        <w:rPr>
          <w:rStyle w:val="CharSectno"/>
        </w:rPr>
        <w:lastRenderedPageBreak/>
        <w:t>138</w:t>
      </w:r>
      <w:r>
        <w:rPr>
          <w:snapToGrid w:val="0"/>
        </w:rPr>
        <w:t>.</w:t>
      </w:r>
      <w:r>
        <w:rPr>
          <w:snapToGrid w:val="0"/>
        </w:rPr>
        <w:tab/>
        <w:t>Urgent orders — FLA s. 67E</w:t>
      </w:r>
      <w:bookmarkEnd w:id="363"/>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64" w:name="_Toc114576009"/>
      <w:r>
        <w:rPr>
          <w:rStyle w:val="CharSectno"/>
        </w:rPr>
        <w:t>139</w:t>
      </w:r>
      <w:r>
        <w:rPr>
          <w:snapToGrid w:val="0"/>
        </w:rPr>
        <w:t>.</w:t>
      </w:r>
      <w:r>
        <w:rPr>
          <w:snapToGrid w:val="0"/>
        </w:rPr>
        <w:tab/>
        <w:t>Who may institute proceedings — FLA s. 67F</w:t>
      </w:r>
      <w:bookmarkEnd w:id="364"/>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65" w:name="_Toc114576010"/>
      <w:r>
        <w:rPr>
          <w:rStyle w:val="CharSectno"/>
        </w:rPr>
        <w:t>140</w:t>
      </w:r>
      <w:r>
        <w:rPr>
          <w:snapToGrid w:val="0"/>
        </w:rPr>
        <w:t>.</w:t>
      </w:r>
      <w:r>
        <w:rPr>
          <w:snapToGrid w:val="0"/>
        </w:rPr>
        <w:tab/>
        <w:t>Time limit for institution of proceedings — FLA s. 67G</w:t>
      </w:r>
      <w:bookmarkEnd w:id="365"/>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66" w:name="_Toc114576011"/>
      <w:r>
        <w:rPr>
          <w:rStyle w:val="CharSectno"/>
        </w:rPr>
        <w:t>141</w:t>
      </w:r>
      <w:r>
        <w:rPr>
          <w:snapToGrid w:val="0"/>
        </w:rPr>
        <w:t>.</w:t>
      </w:r>
      <w:r>
        <w:rPr>
          <w:snapToGrid w:val="0"/>
        </w:rPr>
        <w:tab/>
        <w:t>Orders for, and unspent, child bearing expenses</w:t>
      </w:r>
      <w:bookmarkEnd w:id="366"/>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w:t>
      </w:r>
      <w:r>
        <w:lastRenderedPageBreak/>
        <w:t xml:space="preserve">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367" w:name="_Toc114559340"/>
      <w:bookmarkStart w:id="368" w:name="_Toc114563327"/>
      <w:bookmarkStart w:id="369" w:name="_Toc114576012"/>
      <w:r>
        <w:rPr>
          <w:snapToGrid w:val="0"/>
        </w:rPr>
        <w:t>Subdivision 3 — Location and recovery of children</w:t>
      </w:r>
      <w:bookmarkEnd w:id="367"/>
      <w:bookmarkEnd w:id="368"/>
      <w:bookmarkEnd w:id="369"/>
      <w:r>
        <w:rPr>
          <w:snapToGrid w:val="0"/>
        </w:rPr>
        <w:t xml:space="preserve"> </w:t>
      </w:r>
    </w:p>
    <w:p>
      <w:pPr>
        <w:pStyle w:val="Ednotesection"/>
      </w:pPr>
      <w:r>
        <w:t>[</w:t>
      </w:r>
      <w:r>
        <w:rPr>
          <w:b/>
          <w:bCs/>
        </w:rPr>
        <w:t>142.</w:t>
      </w:r>
      <w:r>
        <w:tab/>
        <w:t>Deleted: No. 35 of 2006 s. 175.]</w:t>
      </w:r>
    </w:p>
    <w:p>
      <w:pPr>
        <w:pStyle w:val="Heading5"/>
        <w:rPr>
          <w:snapToGrid w:val="0"/>
        </w:rPr>
      </w:pPr>
      <w:bookmarkStart w:id="370" w:name="_Toc114576013"/>
      <w:r>
        <w:rPr>
          <w:rStyle w:val="CharSectno"/>
        </w:rPr>
        <w:lastRenderedPageBreak/>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370"/>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71" w:name="_Toc114576014"/>
      <w:r>
        <w:rPr>
          <w:rStyle w:val="CharSectno"/>
        </w:rPr>
        <w:t>144</w:t>
      </w:r>
      <w:r>
        <w:rPr>
          <w:snapToGrid w:val="0"/>
        </w:rPr>
        <w:t>.</w:t>
      </w:r>
      <w:r>
        <w:rPr>
          <w:snapToGrid w:val="0"/>
        </w:rPr>
        <w:tab/>
        <w:t>Who may apply for location order — FLA s. 67K</w:t>
      </w:r>
      <w:bookmarkEnd w:id="371"/>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372" w:name="_Toc114576015"/>
      <w:r>
        <w:rPr>
          <w:rStyle w:val="CharSectno"/>
        </w:rPr>
        <w:lastRenderedPageBreak/>
        <w:t>145</w:t>
      </w:r>
      <w:r>
        <w:rPr>
          <w:snapToGrid w:val="0"/>
        </w:rPr>
        <w:t>.</w:t>
      </w:r>
      <w:r>
        <w:rPr>
          <w:snapToGrid w:val="0"/>
        </w:rPr>
        <w:tab/>
        <w:t>Child’s best interests paramount consideration in making location order — FLA s. 67L</w:t>
      </w:r>
      <w:bookmarkEnd w:id="372"/>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73" w:name="_Toc114576016"/>
      <w:r>
        <w:rPr>
          <w:rStyle w:val="CharSectno"/>
        </w:rPr>
        <w:t>146</w:t>
      </w:r>
      <w:r>
        <w:rPr>
          <w:snapToGrid w:val="0"/>
        </w:rPr>
        <w:t>.</w:t>
      </w:r>
      <w:r>
        <w:rPr>
          <w:snapToGrid w:val="0"/>
        </w:rPr>
        <w:tab/>
        <w:t>Provisions about location orders, other than State information orders — FLA s. 67M</w:t>
      </w:r>
      <w:bookmarkEnd w:id="373"/>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74" w:name="_Toc114576017"/>
      <w:r>
        <w:rPr>
          <w:rStyle w:val="CharSectno"/>
        </w:rPr>
        <w:t>147</w:t>
      </w:r>
      <w:r>
        <w:rPr>
          <w:snapToGrid w:val="0"/>
        </w:rPr>
        <w:t>.</w:t>
      </w:r>
      <w:r>
        <w:rPr>
          <w:snapToGrid w:val="0"/>
        </w:rPr>
        <w:tab/>
        <w:t>Provisions about State information orders — FLA s. 67N</w:t>
      </w:r>
      <w:bookmarkEnd w:id="374"/>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lastRenderedPageBreak/>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lastRenderedPageBreak/>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75" w:name="_Toc114576018"/>
      <w:r>
        <w:rPr>
          <w:rStyle w:val="CharSectno"/>
        </w:rPr>
        <w:t>148</w:t>
      </w:r>
      <w:r>
        <w:rPr>
          <w:snapToGrid w:val="0"/>
        </w:rPr>
        <w:t>.</w:t>
      </w:r>
      <w:r>
        <w:rPr>
          <w:snapToGrid w:val="0"/>
        </w:rPr>
        <w:tab/>
        <w:t>Information provided under location order not to be disclosed except to limited persons — FLA s. 67P</w:t>
      </w:r>
      <w:bookmarkEnd w:id="375"/>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lastRenderedPageBreak/>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376" w:name="_Toc114576019"/>
      <w:r>
        <w:rPr>
          <w:rStyle w:val="CharSectno"/>
        </w:rPr>
        <w:t>149</w:t>
      </w:r>
      <w:r>
        <w:rPr>
          <w:snapToGrid w:val="0"/>
        </w:rPr>
        <w:t>.</w:t>
      </w:r>
      <w:r>
        <w:rPr>
          <w:snapToGrid w:val="0"/>
        </w:rPr>
        <w:tab/>
        <w:t xml:space="preserve">Meaning of </w:t>
      </w:r>
      <w:r>
        <w:rPr>
          <w:i/>
        </w:rPr>
        <w:t>recovery order</w:t>
      </w:r>
      <w:r>
        <w:rPr>
          <w:snapToGrid w:val="0"/>
        </w:rPr>
        <w:t> — FLA s. 67Q</w:t>
      </w:r>
      <w:bookmarkEnd w:id="376"/>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lastRenderedPageBreak/>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377" w:name="_Toc114576020"/>
      <w:r>
        <w:rPr>
          <w:rStyle w:val="CharSectno"/>
        </w:rPr>
        <w:t>150</w:t>
      </w:r>
      <w:r>
        <w:rPr>
          <w:snapToGrid w:val="0"/>
        </w:rPr>
        <w:t>.</w:t>
      </w:r>
      <w:r>
        <w:rPr>
          <w:snapToGrid w:val="0"/>
        </w:rPr>
        <w:tab/>
        <w:t>How recovery orders authorise or direct people — FLA s. 67R</w:t>
      </w:r>
      <w:bookmarkEnd w:id="377"/>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78" w:name="_Toc114576021"/>
      <w:r>
        <w:rPr>
          <w:rStyle w:val="CharSectno"/>
        </w:rPr>
        <w:lastRenderedPageBreak/>
        <w:t>151</w:t>
      </w:r>
      <w:r>
        <w:rPr>
          <w:snapToGrid w:val="0"/>
        </w:rPr>
        <w:t>.</w:t>
      </w:r>
      <w:r>
        <w:rPr>
          <w:snapToGrid w:val="0"/>
        </w:rPr>
        <w:tab/>
        <w:t>How recovery orders to stop and search etc. name or describe vehicles, places etc. — FLA s. 67S</w:t>
      </w:r>
      <w:bookmarkEnd w:id="378"/>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379" w:name="_Toc114576022"/>
      <w:r>
        <w:rPr>
          <w:rStyle w:val="CharSectno"/>
        </w:rPr>
        <w:t>152</w:t>
      </w:r>
      <w:r>
        <w:rPr>
          <w:snapToGrid w:val="0"/>
        </w:rPr>
        <w:t>.</w:t>
      </w:r>
      <w:r>
        <w:rPr>
          <w:snapToGrid w:val="0"/>
        </w:rPr>
        <w:tab/>
        <w:t>Who may apply for recovery order — FLA s. 67T</w:t>
      </w:r>
      <w:bookmarkEnd w:id="379"/>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380" w:name="_Toc114576023"/>
      <w:r>
        <w:rPr>
          <w:rStyle w:val="CharSectno"/>
        </w:rPr>
        <w:t>153</w:t>
      </w:r>
      <w:r>
        <w:rPr>
          <w:snapToGrid w:val="0"/>
        </w:rPr>
        <w:t>.</w:t>
      </w:r>
      <w:r>
        <w:rPr>
          <w:snapToGrid w:val="0"/>
        </w:rPr>
        <w:tab/>
        <w:t>Court’s power to make recovery order — FLA s. 67U</w:t>
      </w:r>
      <w:bookmarkEnd w:id="380"/>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381" w:name="_Toc114576024"/>
      <w:r>
        <w:rPr>
          <w:rStyle w:val="CharSectno"/>
        </w:rPr>
        <w:t>154</w:t>
      </w:r>
      <w:r>
        <w:rPr>
          <w:snapToGrid w:val="0"/>
        </w:rPr>
        <w:t>.</w:t>
      </w:r>
      <w:r>
        <w:rPr>
          <w:snapToGrid w:val="0"/>
        </w:rPr>
        <w:tab/>
        <w:t>Child’s best interests paramount consideration in making recovery order — FLA s. 67V</w:t>
      </w:r>
      <w:bookmarkEnd w:id="381"/>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82" w:name="_Toc114576025"/>
      <w:r>
        <w:rPr>
          <w:rStyle w:val="CharSectno"/>
        </w:rPr>
        <w:lastRenderedPageBreak/>
        <w:t>155</w:t>
      </w:r>
      <w:r>
        <w:rPr>
          <w:snapToGrid w:val="0"/>
        </w:rPr>
        <w:t>.</w:t>
      </w:r>
      <w:r>
        <w:rPr>
          <w:snapToGrid w:val="0"/>
        </w:rPr>
        <w:tab/>
        <w:t>Duration of recovery order — FLA s. 67W</w:t>
      </w:r>
      <w:bookmarkEnd w:id="382"/>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383" w:name="_Toc114576026"/>
      <w:r>
        <w:rPr>
          <w:rStyle w:val="CharSectno"/>
        </w:rPr>
        <w:t>156</w:t>
      </w:r>
      <w:r>
        <w:rPr>
          <w:snapToGrid w:val="0"/>
        </w:rPr>
        <w:t>.</w:t>
      </w:r>
      <w:r>
        <w:rPr>
          <w:snapToGrid w:val="0"/>
        </w:rPr>
        <w:tab/>
        <w:t>Persons not to prevent or hinder taking of action under recovery order — FLA s. 67X</w:t>
      </w:r>
      <w:bookmarkEnd w:id="383"/>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384" w:name="_Toc114576027"/>
      <w:r>
        <w:rPr>
          <w:rStyle w:val="CharSectno"/>
        </w:rPr>
        <w:lastRenderedPageBreak/>
        <w:t>157</w:t>
      </w:r>
      <w:r>
        <w:rPr>
          <w:snapToGrid w:val="0"/>
        </w:rPr>
        <w:t>.</w:t>
      </w:r>
      <w:r>
        <w:rPr>
          <w:snapToGrid w:val="0"/>
        </w:rPr>
        <w:tab/>
        <w:t>Obligation to notify persons of child’s return — FLA s. 67Y</w:t>
      </w:r>
      <w:bookmarkEnd w:id="384"/>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385" w:name="_Toc114559356"/>
      <w:bookmarkStart w:id="386" w:name="_Toc114563343"/>
      <w:bookmarkStart w:id="387" w:name="_Toc114576028"/>
      <w:r>
        <w:t>Subdivision 4 — Allegations of child abuse and family violence</w:t>
      </w:r>
      <w:bookmarkEnd w:id="385"/>
      <w:bookmarkEnd w:id="386"/>
      <w:bookmarkEnd w:id="387"/>
    </w:p>
    <w:p>
      <w:pPr>
        <w:pStyle w:val="Footnoteheading"/>
        <w:spacing w:before="100"/>
      </w:pPr>
      <w:r>
        <w:tab/>
        <w:t xml:space="preserve">[Heading inserted: </w:t>
      </w:r>
      <w:r>
        <w:rPr>
          <w:spacing w:val="-6"/>
        </w:rPr>
        <w:t>No. 13 of 2013 s. </w:t>
      </w:r>
      <w:r>
        <w:t>16.]</w:t>
      </w:r>
    </w:p>
    <w:p>
      <w:pPr>
        <w:pStyle w:val="Heading5"/>
        <w:rPr>
          <w:snapToGrid w:val="0"/>
        </w:rPr>
      </w:pPr>
      <w:bookmarkStart w:id="388" w:name="_Toc114576029"/>
      <w:r>
        <w:rPr>
          <w:rStyle w:val="CharSectno"/>
        </w:rPr>
        <w:t>158</w:t>
      </w:r>
      <w:r>
        <w:rPr>
          <w:snapToGrid w:val="0"/>
        </w:rPr>
        <w:t>.</w:t>
      </w:r>
      <w:r>
        <w:rPr>
          <w:snapToGrid w:val="0"/>
        </w:rPr>
        <w:tab/>
        <w:t xml:space="preserve">Meaning of </w:t>
      </w:r>
      <w:r>
        <w:rPr>
          <w:i/>
          <w:snapToGrid w:val="0"/>
        </w:rPr>
        <w:t>registrar</w:t>
      </w:r>
      <w:bookmarkEnd w:id="388"/>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389" w:name="_Toc114576030"/>
      <w:r>
        <w:rPr>
          <w:rStyle w:val="CharSectno"/>
        </w:rPr>
        <w:t>159</w:t>
      </w:r>
      <w:r>
        <w:rPr>
          <w:snapToGrid w:val="0"/>
        </w:rPr>
        <w:t>.</w:t>
      </w:r>
      <w:r>
        <w:rPr>
          <w:snapToGrid w:val="0"/>
        </w:rPr>
        <w:tab/>
        <w:t>Where interested person in proceedings makes allegation of child abuse — FLA s. 67Z</w:t>
      </w:r>
      <w:bookmarkEnd w:id="389"/>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lastRenderedPageBreak/>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390" w:name="_Toc114576031"/>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390"/>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lastRenderedPageBreak/>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 xml:space="preserve">If a person referred to in subsection (1) notifies the CEO under this section the person may make such disclosures of other information as the person reasonably believes are necessary to </w:t>
      </w:r>
      <w:r>
        <w:rPr>
          <w:snapToGrid w:val="0"/>
        </w:rPr>
        <w:lastRenderedPageBreak/>
        <w:t>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391" w:name="_Toc114576032"/>
      <w:r>
        <w:rPr>
          <w:rStyle w:val="CharSectno"/>
        </w:rPr>
        <w:t>161</w:t>
      </w:r>
      <w:r>
        <w:rPr>
          <w:snapToGrid w:val="0"/>
        </w:rPr>
        <w:t>.</w:t>
      </w:r>
      <w:r>
        <w:rPr>
          <w:snapToGrid w:val="0"/>
        </w:rPr>
        <w:tab/>
        <w:t>No liability for notification under section 159 or 160 — FLA s. 67ZB</w:t>
      </w:r>
      <w:bookmarkEnd w:id="391"/>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392" w:name="_Toc114576033"/>
      <w:r>
        <w:rPr>
          <w:rStyle w:val="CharSectno"/>
        </w:rPr>
        <w:lastRenderedPageBreak/>
        <w:t>162A</w:t>
      </w:r>
      <w:r>
        <w:t>.</w:t>
      </w:r>
      <w:r>
        <w:tab/>
        <w:t>Where interested person makes allegation of family violence — FLA s. 67ZBA</w:t>
      </w:r>
      <w:bookmarkEnd w:id="392"/>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393" w:name="_Toc114576034"/>
      <w:r>
        <w:rPr>
          <w:rStyle w:val="CharSectno"/>
        </w:rPr>
        <w:lastRenderedPageBreak/>
        <w:t>162B</w:t>
      </w:r>
      <w:r>
        <w:t>.</w:t>
      </w:r>
      <w:r>
        <w:tab/>
        <w:t>Court to take prompt action in relation to allegations of child abuse or family violence — FLA s. 67ZBB</w:t>
      </w:r>
      <w:bookmarkEnd w:id="393"/>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lastRenderedPageBreak/>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394" w:name="_Toc114559363"/>
      <w:bookmarkStart w:id="395" w:name="_Toc114563350"/>
      <w:bookmarkStart w:id="396" w:name="_Toc114576035"/>
      <w:r>
        <w:rPr>
          <w:snapToGrid w:val="0"/>
        </w:rPr>
        <w:t>Subdivision 5 — Other orders about children</w:t>
      </w:r>
      <w:bookmarkEnd w:id="394"/>
      <w:bookmarkEnd w:id="395"/>
      <w:bookmarkEnd w:id="396"/>
      <w:r>
        <w:rPr>
          <w:snapToGrid w:val="0"/>
        </w:rPr>
        <w:t xml:space="preserve"> </w:t>
      </w:r>
    </w:p>
    <w:p>
      <w:pPr>
        <w:pStyle w:val="Heading5"/>
        <w:rPr>
          <w:snapToGrid w:val="0"/>
        </w:rPr>
      </w:pPr>
      <w:bookmarkStart w:id="397" w:name="_Toc114576036"/>
      <w:r>
        <w:rPr>
          <w:rStyle w:val="CharSectno"/>
        </w:rPr>
        <w:t>162</w:t>
      </w:r>
      <w:r>
        <w:rPr>
          <w:snapToGrid w:val="0"/>
        </w:rPr>
        <w:t>.</w:t>
      </w:r>
      <w:r>
        <w:rPr>
          <w:snapToGrid w:val="0"/>
        </w:rPr>
        <w:tab/>
        <w:t>Orders relating to welfare of children — FLA s. 67ZC</w:t>
      </w:r>
      <w:bookmarkEnd w:id="397"/>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398" w:name="_Toc114576037"/>
      <w:r>
        <w:rPr>
          <w:rStyle w:val="CharSectno"/>
        </w:rPr>
        <w:t>163</w:t>
      </w:r>
      <w:r>
        <w:rPr>
          <w:snapToGrid w:val="0"/>
        </w:rPr>
        <w:t>.</w:t>
      </w:r>
      <w:r>
        <w:rPr>
          <w:snapToGrid w:val="0"/>
        </w:rPr>
        <w:tab/>
        <w:t>Orders for delivery of passports — FLA s. 67ZD</w:t>
      </w:r>
      <w:bookmarkEnd w:id="398"/>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399" w:name="_Toc114559366"/>
      <w:bookmarkStart w:id="400" w:name="_Toc114563353"/>
      <w:bookmarkStart w:id="401" w:name="_Toc114576038"/>
      <w:r>
        <w:rPr>
          <w:rStyle w:val="CharDivNo"/>
        </w:rPr>
        <w:lastRenderedPageBreak/>
        <w:t>Division 9 </w:t>
      </w:r>
      <w:r>
        <w:t>— </w:t>
      </w:r>
      <w:r>
        <w:rPr>
          <w:rStyle w:val="CharDivText"/>
        </w:rPr>
        <w:t>Independent representation of child’s interests</w:t>
      </w:r>
      <w:bookmarkEnd w:id="399"/>
      <w:bookmarkEnd w:id="400"/>
      <w:bookmarkEnd w:id="401"/>
    </w:p>
    <w:p>
      <w:pPr>
        <w:pStyle w:val="Footnoteheading"/>
      </w:pPr>
      <w:r>
        <w:tab/>
        <w:t>[Heading inserted: No. 35 of 2006 s. 137.]</w:t>
      </w:r>
    </w:p>
    <w:p>
      <w:pPr>
        <w:pStyle w:val="Heading5"/>
      </w:pPr>
      <w:bookmarkStart w:id="402" w:name="_Toc114576039"/>
      <w:r>
        <w:rPr>
          <w:rStyle w:val="CharSectno"/>
        </w:rPr>
        <w:t>164</w:t>
      </w:r>
      <w:r>
        <w:t>.</w:t>
      </w:r>
      <w:r>
        <w:tab/>
        <w:t>Court order for independent representation of child’s interests — FLA s. 68L</w:t>
      </w:r>
      <w:bookmarkEnd w:id="402"/>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lastRenderedPageBreak/>
        <w:tab/>
        <w:t>(b)</w:t>
      </w:r>
      <w:r>
        <w:tab/>
        <w:t>some other special circumstance.</w:t>
      </w:r>
    </w:p>
    <w:p>
      <w:pPr>
        <w:pStyle w:val="Footnotesection"/>
      </w:pPr>
      <w:r>
        <w:tab/>
        <w:t>[Section 164 inserted: No. 35 of 2006 s. 137.]</w:t>
      </w:r>
    </w:p>
    <w:p>
      <w:pPr>
        <w:pStyle w:val="Heading5"/>
      </w:pPr>
      <w:bookmarkStart w:id="403" w:name="_Toc114576040"/>
      <w:r>
        <w:rPr>
          <w:rStyle w:val="CharSectno"/>
        </w:rPr>
        <w:t>165</w:t>
      </w:r>
      <w:r>
        <w:t>.</w:t>
      </w:r>
      <w:r>
        <w:tab/>
        <w:t>Role of independent children’s lawyer — FLA s. 68LA</w:t>
      </w:r>
      <w:bookmarkEnd w:id="403"/>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 xml:space="preserve">analyse the report or other document to identify those matters in the report or other document that the independent children’s lawyer considers to be </w:t>
      </w:r>
      <w:r>
        <w:lastRenderedPageBreak/>
        <w:t>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404" w:name="_Toc114576041"/>
      <w:r>
        <w:rPr>
          <w:rStyle w:val="CharSectno"/>
        </w:rPr>
        <w:t>166</w:t>
      </w:r>
      <w:r>
        <w:t>.</w:t>
      </w:r>
      <w:r>
        <w:tab/>
        <w:t>Order that child be made available for examination — FLA s. 68M</w:t>
      </w:r>
      <w:bookmarkEnd w:id="404"/>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 xml:space="preserve">A court may, on application by the independent children’s lawyer, order a person mentioned in subsection (3) to make the child available, as specified in the order, for an examination to be made for the purpose of preparing a report about the child for </w:t>
      </w:r>
      <w:r>
        <w:lastRenderedPageBreak/>
        <w:t>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405" w:name="_Toc114559370"/>
      <w:bookmarkStart w:id="406" w:name="_Toc114563357"/>
      <w:bookmarkStart w:id="407" w:name="_Toc114576042"/>
      <w:r>
        <w:rPr>
          <w:rStyle w:val="CharDivNo"/>
        </w:rPr>
        <w:t>Division 10</w:t>
      </w:r>
      <w:r>
        <w:t> — </w:t>
      </w:r>
      <w:r>
        <w:rPr>
          <w:rStyle w:val="CharDivText"/>
        </w:rPr>
        <w:t>Family violence</w:t>
      </w:r>
      <w:bookmarkEnd w:id="405"/>
      <w:bookmarkEnd w:id="406"/>
      <w:bookmarkEnd w:id="407"/>
    </w:p>
    <w:p>
      <w:pPr>
        <w:pStyle w:val="Footnoteheading"/>
      </w:pPr>
      <w:r>
        <w:tab/>
        <w:t>[Heading inserted: No. 35 of 2006 s. 142(1).]</w:t>
      </w:r>
    </w:p>
    <w:p>
      <w:pPr>
        <w:pStyle w:val="Heading5"/>
      </w:pPr>
      <w:bookmarkStart w:id="408" w:name="_Toc114576043"/>
      <w:r>
        <w:rPr>
          <w:rStyle w:val="CharSectno"/>
        </w:rPr>
        <w:t>173</w:t>
      </w:r>
      <w:r>
        <w:t>.</w:t>
      </w:r>
      <w:r>
        <w:tab/>
        <w:t>Purposes of this Division — FLA s. 68N</w:t>
      </w:r>
      <w:bookmarkEnd w:id="408"/>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409" w:name="_Toc114576044"/>
      <w:r>
        <w:rPr>
          <w:rStyle w:val="CharSectno"/>
        </w:rPr>
        <w:lastRenderedPageBreak/>
        <w:t>174</w:t>
      </w:r>
      <w:r>
        <w:t>.</w:t>
      </w:r>
      <w:r>
        <w:tab/>
        <w:t>Obligations of court making an order or granting an injunction under this Act that is inconsistent with an existing family violence order — FLA s. 68P</w:t>
      </w:r>
      <w:bookmarkEnd w:id="409"/>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lastRenderedPageBreak/>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lastRenderedPageBreak/>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410" w:name="_Toc114576045"/>
      <w:r>
        <w:rPr>
          <w:rStyle w:val="CharSectno"/>
        </w:rPr>
        <w:t>175</w:t>
      </w:r>
      <w:r>
        <w:t>.</w:t>
      </w:r>
      <w:r>
        <w:tab/>
        <w:t>Relationship of order or injunction made under this Act with existing inconsistent family violence order — FLA s. 68Q</w:t>
      </w:r>
      <w:bookmarkEnd w:id="410"/>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411" w:name="_Toc114576046"/>
      <w:r>
        <w:rPr>
          <w:rStyle w:val="CharSectno"/>
        </w:rPr>
        <w:lastRenderedPageBreak/>
        <w:t>176</w:t>
      </w:r>
      <w:r>
        <w:t>.</w:t>
      </w:r>
      <w:r>
        <w:tab/>
        <w:t>Power of court making family violence order to revive, vary, discharge or suspend an existing order, injunction or arrangement under this Act — FLA s. 68R</w:t>
      </w:r>
      <w:bookmarkEnd w:id="411"/>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 xml:space="preserve">if the court proposes to revive, vary, discharge or suspend an order or injunction mentioned in </w:t>
      </w:r>
      <w:r>
        <w:lastRenderedPageBreak/>
        <w:t>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412" w:name="_Toc114576047"/>
      <w:r>
        <w:rPr>
          <w:rStyle w:val="CharSectno"/>
        </w:rPr>
        <w:t>177</w:t>
      </w:r>
      <w:r>
        <w:t>.</w:t>
      </w:r>
      <w:r>
        <w:tab/>
        <w:t>Application of Act and rules when exercising section 176 power — FLA s. 68S</w:t>
      </w:r>
      <w:bookmarkEnd w:id="412"/>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lastRenderedPageBreak/>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413" w:name="_Toc114576048"/>
      <w:r>
        <w:rPr>
          <w:rStyle w:val="CharSectno"/>
        </w:rPr>
        <w:t>178</w:t>
      </w:r>
      <w:r>
        <w:t>.</w:t>
      </w:r>
      <w:r>
        <w:tab/>
        <w:t>Special provisions relating to proceedings to make interim (or interim variation of) family violence order — FLA s. 68T</w:t>
      </w:r>
      <w:bookmarkEnd w:id="413"/>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414" w:name="_Toc114559377"/>
      <w:bookmarkStart w:id="415" w:name="_Toc114563364"/>
      <w:bookmarkStart w:id="416" w:name="_Toc114576049"/>
      <w:r>
        <w:rPr>
          <w:rStyle w:val="CharDivNo"/>
        </w:rPr>
        <w:lastRenderedPageBreak/>
        <w:t>Division 11</w:t>
      </w:r>
      <w:r>
        <w:rPr>
          <w:snapToGrid w:val="0"/>
        </w:rPr>
        <w:t> — </w:t>
      </w:r>
      <w:r>
        <w:rPr>
          <w:rStyle w:val="CharDivText"/>
        </w:rPr>
        <w:t>Proceedings, parentage presumptions and evidence and jurisdiction as to child welfare laws</w:t>
      </w:r>
      <w:bookmarkEnd w:id="414"/>
      <w:bookmarkEnd w:id="415"/>
      <w:bookmarkEnd w:id="416"/>
      <w:r>
        <w:rPr>
          <w:rStyle w:val="CharDivText"/>
        </w:rPr>
        <w:t xml:space="preserve"> </w:t>
      </w:r>
    </w:p>
    <w:p>
      <w:pPr>
        <w:pStyle w:val="Heading4"/>
        <w:rPr>
          <w:snapToGrid w:val="0"/>
        </w:rPr>
      </w:pPr>
      <w:bookmarkStart w:id="417" w:name="_Toc114559378"/>
      <w:bookmarkStart w:id="418" w:name="_Toc114563365"/>
      <w:bookmarkStart w:id="419" w:name="_Toc114576050"/>
      <w:r>
        <w:rPr>
          <w:snapToGrid w:val="0"/>
        </w:rPr>
        <w:t>Subdivision 1 — What this Division does</w:t>
      </w:r>
      <w:bookmarkEnd w:id="417"/>
      <w:bookmarkEnd w:id="418"/>
      <w:bookmarkEnd w:id="419"/>
      <w:r>
        <w:rPr>
          <w:snapToGrid w:val="0"/>
        </w:rPr>
        <w:t xml:space="preserve"> </w:t>
      </w:r>
    </w:p>
    <w:p>
      <w:pPr>
        <w:pStyle w:val="Heading5"/>
        <w:spacing w:before="260"/>
        <w:rPr>
          <w:snapToGrid w:val="0"/>
        </w:rPr>
      </w:pPr>
      <w:bookmarkStart w:id="420" w:name="_Toc114576051"/>
      <w:r>
        <w:rPr>
          <w:rStyle w:val="CharSectno"/>
        </w:rPr>
        <w:t>183</w:t>
      </w:r>
      <w:r>
        <w:rPr>
          <w:snapToGrid w:val="0"/>
        </w:rPr>
        <w:t>.</w:t>
      </w:r>
      <w:r>
        <w:rPr>
          <w:snapToGrid w:val="0"/>
        </w:rPr>
        <w:tab/>
        <w:t>What this Division does — FLA s. 69A</w:t>
      </w:r>
      <w:bookmarkEnd w:id="420"/>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21" w:name="_Toc114559380"/>
      <w:bookmarkStart w:id="422" w:name="_Toc114563367"/>
      <w:bookmarkStart w:id="423" w:name="_Toc114576052"/>
      <w:r>
        <w:rPr>
          <w:snapToGrid w:val="0"/>
        </w:rPr>
        <w:t>Subdivision 2 — Institution of proceedings</w:t>
      </w:r>
      <w:bookmarkEnd w:id="421"/>
      <w:bookmarkEnd w:id="422"/>
      <w:bookmarkEnd w:id="423"/>
      <w:r>
        <w:rPr>
          <w:snapToGrid w:val="0"/>
        </w:rPr>
        <w:t xml:space="preserve"> </w:t>
      </w:r>
    </w:p>
    <w:p>
      <w:pPr>
        <w:pStyle w:val="Heading5"/>
        <w:spacing w:before="260"/>
        <w:rPr>
          <w:snapToGrid w:val="0"/>
        </w:rPr>
      </w:pPr>
      <w:bookmarkStart w:id="424" w:name="_Toc114576053"/>
      <w:r>
        <w:rPr>
          <w:rStyle w:val="CharSectno"/>
        </w:rPr>
        <w:t>184</w:t>
      </w:r>
      <w:r>
        <w:rPr>
          <w:snapToGrid w:val="0"/>
        </w:rPr>
        <w:t>.</w:t>
      </w:r>
      <w:r>
        <w:rPr>
          <w:snapToGrid w:val="0"/>
        </w:rPr>
        <w:tab/>
        <w:t>Certain proceedings to be instituted only under this Act — FLA s. 69B</w:t>
      </w:r>
      <w:bookmarkEnd w:id="424"/>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25" w:name="_Toc114576054"/>
      <w:r>
        <w:rPr>
          <w:rStyle w:val="CharSectno"/>
        </w:rPr>
        <w:t>185</w:t>
      </w:r>
      <w:r>
        <w:rPr>
          <w:snapToGrid w:val="0"/>
        </w:rPr>
        <w:t>.</w:t>
      </w:r>
      <w:r>
        <w:rPr>
          <w:snapToGrid w:val="0"/>
        </w:rPr>
        <w:tab/>
        <w:t>Who may institute proceedings — FLA s. 69C</w:t>
      </w:r>
      <w:bookmarkEnd w:id="425"/>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lastRenderedPageBreak/>
        <w:tab/>
        <w:t>(d)</w:t>
      </w:r>
      <w:r>
        <w:rPr>
          <w:snapToGrid w:val="0"/>
        </w:rPr>
        <w:tab/>
        <w:t>any other person concerned with the care, welfare or development of the child.</w:t>
      </w:r>
    </w:p>
    <w:p>
      <w:pPr>
        <w:pStyle w:val="Heading5"/>
        <w:rPr>
          <w:snapToGrid w:val="0"/>
        </w:rPr>
      </w:pPr>
      <w:bookmarkStart w:id="426" w:name="_Toc114576055"/>
      <w:r>
        <w:rPr>
          <w:rStyle w:val="CharSectno"/>
        </w:rPr>
        <w:t>186</w:t>
      </w:r>
      <w:r>
        <w:rPr>
          <w:snapToGrid w:val="0"/>
        </w:rPr>
        <w:t>.</w:t>
      </w:r>
      <w:r>
        <w:rPr>
          <w:snapToGrid w:val="0"/>
        </w:rPr>
        <w:tab/>
        <w:t>Institution of maintenance proceedings by certain persons — FLA s. 69D</w:t>
      </w:r>
      <w:bookmarkEnd w:id="426"/>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27" w:name="_Toc114576056"/>
      <w:r>
        <w:rPr>
          <w:rStyle w:val="CharSectno"/>
        </w:rPr>
        <w:t>187</w:t>
      </w:r>
      <w:r>
        <w:rPr>
          <w:snapToGrid w:val="0"/>
        </w:rPr>
        <w:t>.</w:t>
      </w:r>
      <w:r>
        <w:rPr>
          <w:snapToGrid w:val="0"/>
        </w:rPr>
        <w:tab/>
        <w:t>Applicant may be in contempt — FLA s. 69F</w:t>
      </w:r>
      <w:bookmarkEnd w:id="427"/>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28" w:name="_Toc114559385"/>
      <w:bookmarkStart w:id="429" w:name="_Toc114563372"/>
      <w:bookmarkStart w:id="430" w:name="_Toc114576057"/>
      <w:r>
        <w:rPr>
          <w:snapToGrid w:val="0"/>
        </w:rPr>
        <w:t>Subdivision 3 — Presumptions of parentage</w:t>
      </w:r>
      <w:bookmarkEnd w:id="428"/>
      <w:bookmarkEnd w:id="429"/>
      <w:bookmarkEnd w:id="430"/>
      <w:r>
        <w:rPr>
          <w:snapToGrid w:val="0"/>
        </w:rPr>
        <w:t xml:space="preserve"> </w:t>
      </w:r>
    </w:p>
    <w:p>
      <w:pPr>
        <w:pStyle w:val="Heading5"/>
        <w:rPr>
          <w:snapToGrid w:val="0"/>
        </w:rPr>
      </w:pPr>
      <w:bookmarkStart w:id="431" w:name="_Toc114576058"/>
      <w:r>
        <w:rPr>
          <w:rStyle w:val="CharSectno"/>
        </w:rPr>
        <w:t>188</w:t>
      </w:r>
      <w:r>
        <w:rPr>
          <w:snapToGrid w:val="0"/>
        </w:rPr>
        <w:t>.</w:t>
      </w:r>
      <w:r>
        <w:rPr>
          <w:snapToGrid w:val="0"/>
        </w:rPr>
        <w:tab/>
        <w:t>Presumptions of parentage arising from marriage — FLA s. 69P</w:t>
      </w:r>
      <w:bookmarkEnd w:id="431"/>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lastRenderedPageBreak/>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432" w:name="_Toc114576059"/>
      <w:r>
        <w:rPr>
          <w:rStyle w:val="CharSectno"/>
        </w:rPr>
        <w:t>189</w:t>
      </w:r>
      <w:r>
        <w:rPr>
          <w:snapToGrid w:val="0"/>
        </w:rPr>
        <w:t>.</w:t>
      </w:r>
      <w:r>
        <w:rPr>
          <w:snapToGrid w:val="0"/>
        </w:rPr>
        <w:tab/>
        <w:t>Presumption of paternity arising from cohabitation — FLA s. 69Q</w:t>
      </w:r>
      <w:bookmarkEnd w:id="432"/>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433" w:name="_Toc114576060"/>
      <w:r>
        <w:rPr>
          <w:rStyle w:val="CharSectno"/>
        </w:rPr>
        <w:t>190</w:t>
      </w:r>
      <w:r>
        <w:rPr>
          <w:snapToGrid w:val="0"/>
        </w:rPr>
        <w:t>.</w:t>
      </w:r>
      <w:r>
        <w:rPr>
          <w:snapToGrid w:val="0"/>
        </w:rPr>
        <w:tab/>
        <w:t>Presumption of parentage arising from registration of birth — FLA s. 69R</w:t>
      </w:r>
      <w:bookmarkEnd w:id="433"/>
      <w:r>
        <w:rPr>
          <w:snapToGrid w:val="0"/>
        </w:rPr>
        <w:t xml:space="preserve"> </w:t>
      </w:r>
    </w:p>
    <w:p>
      <w:pPr>
        <w:pStyle w:val="Subsection"/>
        <w:rPr>
          <w:snapToGrid w:val="0"/>
        </w:rPr>
      </w:pPr>
      <w:r>
        <w:rPr>
          <w:snapToGrid w:val="0"/>
        </w:rPr>
        <w:tab/>
      </w:r>
      <w:r>
        <w:rPr>
          <w:snapToGrid w:val="0"/>
        </w:rPr>
        <w:tab/>
        <w:t xml:space="preserve">If a person’s name is entered as a parent of a child in a register of births or parentage information kept under a law of the </w:t>
      </w:r>
      <w:r>
        <w:rPr>
          <w:snapToGrid w:val="0"/>
        </w:rPr>
        <w:lastRenderedPageBreak/>
        <w:t>Commonwealth or of a State, Territory or prescribed overseas jurisdiction, the person is presumed to be a parent of the child.</w:t>
      </w:r>
    </w:p>
    <w:p>
      <w:pPr>
        <w:pStyle w:val="Heading5"/>
        <w:rPr>
          <w:snapToGrid w:val="0"/>
        </w:rPr>
      </w:pPr>
      <w:bookmarkStart w:id="434" w:name="_Toc114576061"/>
      <w:r>
        <w:rPr>
          <w:rStyle w:val="CharSectno"/>
        </w:rPr>
        <w:t>191</w:t>
      </w:r>
      <w:r>
        <w:rPr>
          <w:snapToGrid w:val="0"/>
        </w:rPr>
        <w:t>.</w:t>
      </w:r>
      <w:r>
        <w:rPr>
          <w:snapToGrid w:val="0"/>
        </w:rPr>
        <w:tab/>
        <w:t>Presumptions of parentage arising from findings of courts — FLA s. 69S</w:t>
      </w:r>
      <w:bookmarkEnd w:id="434"/>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35" w:name="_Toc114576062"/>
      <w:r>
        <w:rPr>
          <w:rStyle w:val="CharSectno"/>
        </w:rPr>
        <w:t>192</w:t>
      </w:r>
      <w:r>
        <w:rPr>
          <w:snapToGrid w:val="0"/>
        </w:rPr>
        <w:t>.</w:t>
      </w:r>
      <w:r>
        <w:rPr>
          <w:snapToGrid w:val="0"/>
        </w:rPr>
        <w:tab/>
        <w:t>Presumption of paternity arising from acknowledgments — FLA s. 69T</w:t>
      </w:r>
      <w:bookmarkEnd w:id="43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under the law of the Commonwealth or of a State, Territory or prescribed overseas jurisdiction, a man has </w:t>
      </w:r>
      <w:r>
        <w:rPr>
          <w:snapToGrid w:val="0"/>
        </w:rPr>
        <w:lastRenderedPageBreak/>
        <w:t>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36" w:name="_Toc114576063"/>
      <w:r>
        <w:rPr>
          <w:rStyle w:val="CharSectno"/>
        </w:rPr>
        <w:t>193</w:t>
      </w:r>
      <w:r>
        <w:rPr>
          <w:snapToGrid w:val="0"/>
        </w:rPr>
        <w:t>.</w:t>
      </w:r>
      <w:r>
        <w:rPr>
          <w:snapToGrid w:val="0"/>
        </w:rPr>
        <w:tab/>
        <w:t>Rebuttal of presumptions etc. — FLA s. 69U</w:t>
      </w:r>
      <w:bookmarkEnd w:id="436"/>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37" w:name="_Toc114559392"/>
      <w:bookmarkStart w:id="438" w:name="_Toc114563379"/>
      <w:bookmarkStart w:id="439" w:name="_Toc114576064"/>
      <w:r>
        <w:rPr>
          <w:snapToGrid w:val="0"/>
        </w:rPr>
        <w:t>Subdivision 4 — Parentage evidence</w:t>
      </w:r>
      <w:bookmarkEnd w:id="437"/>
      <w:bookmarkEnd w:id="438"/>
      <w:bookmarkEnd w:id="439"/>
      <w:r>
        <w:rPr>
          <w:snapToGrid w:val="0"/>
        </w:rPr>
        <w:t xml:space="preserve"> </w:t>
      </w:r>
    </w:p>
    <w:p>
      <w:pPr>
        <w:pStyle w:val="Heading5"/>
        <w:rPr>
          <w:snapToGrid w:val="0"/>
        </w:rPr>
      </w:pPr>
      <w:bookmarkStart w:id="440" w:name="_Toc114576065"/>
      <w:r>
        <w:rPr>
          <w:rStyle w:val="CharSectno"/>
        </w:rPr>
        <w:t>194</w:t>
      </w:r>
      <w:r>
        <w:rPr>
          <w:snapToGrid w:val="0"/>
        </w:rPr>
        <w:t>.</w:t>
      </w:r>
      <w:r>
        <w:rPr>
          <w:snapToGrid w:val="0"/>
        </w:rPr>
        <w:tab/>
        <w:t>Evidence of parentage — FLA s. 69V</w:t>
      </w:r>
      <w:bookmarkEnd w:id="440"/>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41" w:name="_Toc114576066"/>
      <w:r>
        <w:rPr>
          <w:rStyle w:val="CharSectno"/>
        </w:rPr>
        <w:t>195</w:t>
      </w:r>
      <w:r>
        <w:rPr>
          <w:snapToGrid w:val="0"/>
        </w:rPr>
        <w:t>.</w:t>
      </w:r>
      <w:r>
        <w:rPr>
          <w:snapToGrid w:val="0"/>
        </w:rPr>
        <w:tab/>
        <w:t>Orders for conducting parentage testing procedures — FLA s. 69W</w:t>
      </w:r>
      <w:bookmarkEnd w:id="441"/>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xml:space="preserve">) requiring a parentage testing procedure to be conducted in relation to a person mentioned in </w:t>
      </w:r>
      <w:r>
        <w:rPr>
          <w:snapToGrid w:val="0"/>
        </w:rPr>
        <w:lastRenderedPageBreak/>
        <w:t>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442" w:name="_Toc114576067"/>
      <w:r>
        <w:rPr>
          <w:rStyle w:val="CharSectno"/>
        </w:rPr>
        <w:t>196</w:t>
      </w:r>
      <w:r>
        <w:rPr>
          <w:snapToGrid w:val="0"/>
        </w:rPr>
        <w:t>.</w:t>
      </w:r>
      <w:r>
        <w:rPr>
          <w:snapToGrid w:val="0"/>
        </w:rPr>
        <w:tab/>
        <w:t>Orders associated with parentage testing orders — FLA s. 69X</w:t>
      </w:r>
      <w:bookmarkEnd w:id="442"/>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lastRenderedPageBreak/>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43" w:name="_Toc114576068"/>
      <w:r>
        <w:rPr>
          <w:rStyle w:val="CharSectno"/>
        </w:rPr>
        <w:t>197</w:t>
      </w:r>
      <w:r>
        <w:rPr>
          <w:snapToGrid w:val="0"/>
        </w:rPr>
        <w:t>.</w:t>
      </w:r>
      <w:r>
        <w:rPr>
          <w:snapToGrid w:val="0"/>
        </w:rPr>
        <w:tab/>
        <w:t>Orders directed to persons 18 or over — FLA s. 69Y</w:t>
      </w:r>
      <w:bookmarkEnd w:id="443"/>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44" w:name="_Toc114576069"/>
      <w:r>
        <w:rPr>
          <w:rStyle w:val="CharSectno"/>
        </w:rPr>
        <w:t>198</w:t>
      </w:r>
      <w:r>
        <w:rPr>
          <w:snapToGrid w:val="0"/>
        </w:rPr>
        <w:t>.</w:t>
      </w:r>
      <w:r>
        <w:rPr>
          <w:snapToGrid w:val="0"/>
        </w:rPr>
        <w:tab/>
        <w:t>Orders directed to children under 18 — FLA s. 69Z</w:t>
      </w:r>
      <w:bookmarkEnd w:id="444"/>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lastRenderedPageBreak/>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445" w:name="_Toc114576070"/>
      <w:r>
        <w:rPr>
          <w:rStyle w:val="CharSectno"/>
        </w:rPr>
        <w:t>199</w:t>
      </w:r>
      <w:r>
        <w:rPr>
          <w:snapToGrid w:val="0"/>
        </w:rPr>
        <w:t>.</w:t>
      </w:r>
      <w:r>
        <w:rPr>
          <w:snapToGrid w:val="0"/>
        </w:rPr>
        <w:tab/>
        <w:t>No liability if parent etc. consents — FLA s. 69ZA</w:t>
      </w:r>
      <w:bookmarkEnd w:id="445"/>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446" w:name="_Toc114576071"/>
      <w:r>
        <w:rPr>
          <w:rStyle w:val="CharSectno"/>
        </w:rPr>
        <w:t>200</w:t>
      </w:r>
      <w:r>
        <w:rPr>
          <w:snapToGrid w:val="0"/>
        </w:rPr>
        <w:t>.</w:t>
      </w:r>
      <w:r>
        <w:rPr>
          <w:snapToGrid w:val="0"/>
        </w:rPr>
        <w:tab/>
        <w:t>Regulations about conducting, and reporting on, parentage testing procedures — FLA s. 69ZB</w:t>
      </w:r>
      <w:bookmarkEnd w:id="446"/>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47" w:name="_Toc114576072"/>
      <w:r>
        <w:rPr>
          <w:rStyle w:val="CharSectno"/>
        </w:rPr>
        <w:lastRenderedPageBreak/>
        <w:t>201</w:t>
      </w:r>
      <w:r>
        <w:rPr>
          <w:snapToGrid w:val="0"/>
        </w:rPr>
        <w:t>.</w:t>
      </w:r>
      <w:r>
        <w:rPr>
          <w:snapToGrid w:val="0"/>
        </w:rPr>
        <w:tab/>
        <w:t>Reports of information obtained may be received in evidence — FLA s. 69ZC</w:t>
      </w:r>
      <w:bookmarkEnd w:id="447"/>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448" w:name="_Toc114559401"/>
      <w:bookmarkStart w:id="449" w:name="_Toc114563388"/>
      <w:bookmarkStart w:id="450" w:name="_Toc114576073"/>
      <w:r>
        <w:rPr>
          <w:snapToGrid w:val="0"/>
        </w:rPr>
        <w:t>Subdivision 5 — Child welfare laws not affected</w:t>
      </w:r>
      <w:bookmarkEnd w:id="448"/>
      <w:bookmarkEnd w:id="449"/>
      <w:bookmarkEnd w:id="450"/>
      <w:r>
        <w:rPr>
          <w:snapToGrid w:val="0"/>
        </w:rPr>
        <w:t xml:space="preserve"> </w:t>
      </w:r>
    </w:p>
    <w:p>
      <w:pPr>
        <w:pStyle w:val="Heading5"/>
        <w:rPr>
          <w:snapToGrid w:val="0"/>
        </w:rPr>
      </w:pPr>
      <w:bookmarkStart w:id="451" w:name="_Toc114576074"/>
      <w:r>
        <w:rPr>
          <w:rStyle w:val="CharSectno"/>
        </w:rPr>
        <w:t>202</w:t>
      </w:r>
      <w:r>
        <w:rPr>
          <w:snapToGrid w:val="0"/>
        </w:rPr>
        <w:t>.</w:t>
      </w:r>
      <w:r>
        <w:rPr>
          <w:snapToGrid w:val="0"/>
        </w:rPr>
        <w:tab/>
        <w:t>Child welfare laws not affected — FLA s. 69ZK</w:t>
      </w:r>
      <w:bookmarkEnd w:id="451"/>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 xml:space="preserve">the order is made in proceedings relating to the child in respect of the institution or continuation of which the written consent has been obtained from a person who, </w:t>
      </w:r>
      <w:r>
        <w:rPr>
          <w:snapToGrid w:val="0"/>
        </w:rPr>
        <w:lastRenderedPageBreak/>
        <w:t>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52" w:name="_Toc114559403"/>
      <w:bookmarkStart w:id="453" w:name="_Toc114563390"/>
      <w:bookmarkStart w:id="454" w:name="_Toc114576075"/>
      <w:r>
        <w:rPr>
          <w:rStyle w:val="CharDivNo"/>
        </w:rPr>
        <w:t>Division 11A</w:t>
      </w:r>
      <w:r>
        <w:t> — </w:t>
      </w:r>
      <w:r>
        <w:rPr>
          <w:rStyle w:val="CharDivText"/>
        </w:rPr>
        <w:t>Principles for conducting child</w:t>
      </w:r>
      <w:r>
        <w:rPr>
          <w:rStyle w:val="CharDivText"/>
        </w:rPr>
        <w:noBreakHyphen/>
        <w:t>related proceedings</w:t>
      </w:r>
      <w:bookmarkEnd w:id="452"/>
      <w:bookmarkEnd w:id="453"/>
      <w:bookmarkEnd w:id="454"/>
    </w:p>
    <w:p>
      <w:pPr>
        <w:pStyle w:val="Footnoteheading"/>
        <w:keepNext/>
        <w:keepLines/>
      </w:pPr>
      <w:r>
        <w:tab/>
        <w:t>[Heading inserted: No. 35 of 2006 s. 105.]</w:t>
      </w:r>
    </w:p>
    <w:p>
      <w:pPr>
        <w:pStyle w:val="Heading4"/>
      </w:pPr>
      <w:bookmarkStart w:id="455" w:name="_Toc114559404"/>
      <w:bookmarkStart w:id="456" w:name="_Toc114563391"/>
      <w:bookmarkStart w:id="457" w:name="_Toc114576076"/>
      <w:r>
        <w:t>Subdivision 1 — Proceedings to which this Division applies</w:t>
      </w:r>
      <w:bookmarkEnd w:id="455"/>
      <w:bookmarkEnd w:id="456"/>
      <w:bookmarkEnd w:id="457"/>
    </w:p>
    <w:p>
      <w:pPr>
        <w:pStyle w:val="Footnoteheading"/>
      </w:pPr>
      <w:r>
        <w:tab/>
        <w:t>[Heading inserted: No. 35 of 2006 s. 105.]</w:t>
      </w:r>
    </w:p>
    <w:p>
      <w:pPr>
        <w:pStyle w:val="Heading5"/>
      </w:pPr>
      <w:bookmarkStart w:id="458" w:name="_Toc114576077"/>
      <w:r>
        <w:rPr>
          <w:rStyle w:val="CharSectno"/>
        </w:rPr>
        <w:t>202A</w:t>
      </w:r>
      <w:r>
        <w:t>.</w:t>
      </w:r>
      <w:r>
        <w:tab/>
        <w:t>Proceedings to which this Division applies — FLA s. 69ZM</w:t>
      </w:r>
      <w:bookmarkEnd w:id="458"/>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lastRenderedPageBreak/>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459" w:name="_Toc114559406"/>
      <w:bookmarkStart w:id="460" w:name="_Toc114563393"/>
      <w:bookmarkStart w:id="461" w:name="_Toc114576078"/>
      <w:r>
        <w:t>Subdivision 2 — Principles for conducting child</w:t>
      </w:r>
      <w:r>
        <w:noBreakHyphen/>
        <w:t>related proceedings</w:t>
      </w:r>
      <w:bookmarkEnd w:id="459"/>
      <w:bookmarkEnd w:id="460"/>
      <w:bookmarkEnd w:id="461"/>
    </w:p>
    <w:p>
      <w:pPr>
        <w:pStyle w:val="Footnoteheading"/>
        <w:keepNext/>
        <w:keepLines/>
      </w:pPr>
      <w:r>
        <w:tab/>
        <w:t>[Heading inserted: No. 35 of 2006 s. 105.]</w:t>
      </w:r>
    </w:p>
    <w:p>
      <w:pPr>
        <w:pStyle w:val="Heading5"/>
      </w:pPr>
      <w:bookmarkStart w:id="462" w:name="_Toc114576079"/>
      <w:r>
        <w:rPr>
          <w:rStyle w:val="CharSectno"/>
        </w:rPr>
        <w:t>202B</w:t>
      </w:r>
      <w:r>
        <w:t>.</w:t>
      </w:r>
      <w:r>
        <w:tab/>
        <w:t>Principles for conducting child</w:t>
      </w:r>
      <w:r>
        <w:noBreakHyphen/>
        <w:t>related proceedings — FLA s. 69ZN</w:t>
      </w:r>
      <w:bookmarkEnd w:id="462"/>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lastRenderedPageBreak/>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463" w:name="_Toc114576080"/>
      <w:r>
        <w:rPr>
          <w:rStyle w:val="CharSectno"/>
        </w:rPr>
        <w:t>202C</w:t>
      </w:r>
      <w:r>
        <w:t>.</w:t>
      </w:r>
      <w:r>
        <w:tab/>
        <w:t>This Division also applies to proceedings in Chambers — FLA s. 69ZO</w:t>
      </w:r>
      <w:bookmarkEnd w:id="463"/>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464" w:name="_Toc114576081"/>
      <w:r>
        <w:rPr>
          <w:rStyle w:val="CharSectno"/>
        </w:rPr>
        <w:t>202D</w:t>
      </w:r>
      <w:r>
        <w:t>.</w:t>
      </w:r>
      <w:r>
        <w:tab/>
        <w:t>Powers under this Division may be exercised on court’s own initiative — FLA s. 69ZP</w:t>
      </w:r>
      <w:bookmarkEnd w:id="464"/>
    </w:p>
    <w:p>
      <w:pPr>
        <w:pStyle w:val="Subsection"/>
      </w:pPr>
      <w:r>
        <w:tab/>
      </w:r>
      <w:r>
        <w:tab/>
        <w:t xml:space="preserve">A court may exercise a power under this Division — </w:t>
      </w:r>
    </w:p>
    <w:p>
      <w:pPr>
        <w:pStyle w:val="Indenta"/>
      </w:pPr>
      <w:r>
        <w:tab/>
        <w:t>(a)</w:t>
      </w:r>
      <w:r>
        <w:tab/>
        <w:t>on the court’s own initiative; or</w:t>
      </w:r>
    </w:p>
    <w:p>
      <w:pPr>
        <w:pStyle w:val="Indenta"/>
      </w:pPr>
      <w:r>
        <w:lastRenderedPageBreak/>
        <w:tab/>
        <w:t>(b)</w:t>
      </w:r>
      <w:r>
        <w:tab/>
        <w:t>at the request of one or more of the parties to the proceedings.</w:t>
      </w:r>
    </w:p>
    <w:p>
      <w:pPr>
        <w:pStyle w:val="Footnotesection"/>
      </w:pPr>
      <w:r>
        <w:tab/>
        <w:t>[Section 202D inserted: No. 35 of 2006 s. 105.]</w:t>
      </w:r>
    </w:p>
    <w:p>
      <w:pPr>
        <w:pStyle w:val="Heading4"/>
      </w:pPr>
      <w:bookmarkStart w:id="465" w:name="_Toc114559410"/>
      <w:bookmarkStart w:id="466" w:name="_Toc114563397"/>
      <w:bookmarkStart w:id="467" w:name="_Toc114576082"/>
      <w:r>
        <w:t>Subdivision 3 — Duties and powers related to giving effect to the principles</w:t>
      </w:r>
      <w:bookmarkEnd w:id="465"/>
      <w:bookmarkEnd w:id="466"/>
      <w:bookmarkEnd w:id="467"/>
    </w:p>
    <w:p>
      <w:pPr>
        <w:pStyle w:val="Footnoteheading"/>
      </w:pPr>
      <w:r>
        <w:tab/>
        <w:t>[Heading inserted: No. 35 of 2006 s. 105.]</w:t>
      </w:r>
    </w:p>
    <w:p>
      <w:pPr>
        <w:pStyle w:val="Heading5"/>
      </w:pPr>
      <w:bookmarkStart w:id="468" w:name="_Toc114576083"/>
      <w:r>
        <w:rPr>
          <w:rStyle w:val="CharSectno"/>
        </w:rPr>
        <w:t>202E</w:t>
      </w:r>
      <w:r>
        <w:t>.</w:t>
      </w:r>
      <w:r>
        <w:tab/>
        <w:t>General duties — FLA s. 69ZQ</w:t>
      </w:r>
      <w:bookmarkEnd w:id="468"/>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lastRenderedPageBreak/>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469" w:name="_Toc114576084"/>
      <w:r>
        <w:rPr>
          <w:rStyle w:val="CharSectno"/>
        </w:rPr>
        <w:t>202F</w:t>
      </w:r>
      <w:r>
        <w:t>.</w:t>
      </w:r>
      <w:r>
        <w:tab/>
        <w:t>Power to make determinations, findings and orders at any stage of proceedings — FLA s. 69ZR</w:t>
      </w:r>
      <w:bookmarkEnd w:id="469"/>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470" w:name="_Toc114576085"/>
      <w:r>
        <w:rPr>
          <w:rStyle w:val="CharSectno"/>
        </w:rPr>
        <w:lastRenderedPageBreak/>
        <w:t>202G</w:t>
      </w:r>
      <w:r>
        <w:t>.</w:t>
      </w:r>
      <w:r>
        <w:tab/>
        <w:t>Use of family consultants — FLA s. 69ZS</w:t>
      </w:r>
      <w:bookmarkEnd w:id="470"/>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471" w:name="_Toc114559414"/>
      <w:bookmarkStart w:id="472" w:name="_Toc114563401"/>
      <w:bookmarkStart w:id="473" w:name="_Toc114576086"/>
      <w:r>
        <w:t>Subdivision 4 — Matters relating to evidence</w:t>
      </w:r>
      <w:bookmarkEnd w:id="471"/>
      <w:bookmarkEnd w:id="472"/>
      <w:bookmarkEnd w:id="473"/>
    </w:p>
    <w:p>
      <w:pPr>
        <w:pStyle w:val="Footnoteheading"/>
      </w:pPr>
      <w:r>
        <w:tab/>
        <w:t>[Heading inserted: No. 35 of 2006 s. 105.]</w:t>
      </w:r>
    </w:p>
    <w:p>
      <w:pPr>
        <w:pStyle w:val="Heading5"/>
      </w:pPr>
      <w:bookmarkStart w:id="474" w:name="_Toc114576087"/>
      <w:r>
        <w:rPr>
          <w:rStyle w:val="CharSectno"/>
        </w:rPr>
        <w:t>202H</w:t>
      </w:r>
      <w:r>
        <w:t>.</w:t>
      </w:r>
      <w:r>
        <w:tab/>
        <w:t>Rules of evidence not to apply unless court decides — FLA s. 69ZT</w:t>
      </w:r>
      <w:bookmarkEnd w:id="474"/>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lastRenderedPageBreak/>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475" w:name="_Toc114576088"/>
      <w:r>
        <w:rPr>
          <w:rStyle w:val="CharSectno"/>
        </w:rPr>
        <w:t>202J</w:t>
      </w:r>
      <w:r>
        <w:t>.</w:t>
      </w:r>
      <w:r>
        <w:tab/>
        <w:t>Evidence of children — FLA s. 69ZV</w:t>
      </w:r>
      <w:bookmarkEnd w:id="475"/>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lastRenderedPageBreak/>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476" w:name="_Toc114576089"/>
      <w:r>
        <w:rPr>
          <w:rStyle w:val="CharSectno"/>
        </w:rPr>
        <w:t>202K</w:t>
      </w:r>
      <w:r>
        <w:t>.</w:t>
      </w:r>
      <w:r>
        <w:tab/>
        <w:t>Evidence relating to child abuse or family violence — FLA s. 69ZW</w:t>
      </w:r>
      <w:bookmarkEnd w:id="476"/>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lastRenderedPageBreak/>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477" w:name="_Toc114576090"/>
      <w:r>
        <w:rPr>
          <w:rStyle w:val="CharSectno"/>
        </w:rPr>
        <w:lastRenderedPageBreak/>
        <w:t>202L</w:t>
      </w:r>
      <w:r>
        <w:t>.</w:t>
      </w:r>
      <w:r>
        <w:tab/>
        <w:t>Court’s general duties and powers relating to evidence — FLA s. 69ZX</w:t>
      </w:r>
      <w:bookmarkEnd w:id="477"/>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lastRenderedPageBreak/>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478" w:name="_Toc114559419"/>
      <w:bookmarkStart w:id="479" w:name="_Toc114563406"/>
      <w:bookmarkStart w:id="480" w:name="_Toc114576091"/>
      <w:r>
        <w:rPr>
          <w:rStyle w:val="CharDivNo"/>
        </w:rPr>
        <w:t>Division 12</w:t>
      </w:r>
      <w:r>
        <w:rPr>
          <w:snapToGrid w:val="0"/>
        </w:rPr>
        <w:t> — </w:t>
      </w:r>
      <w:r>
        <w:rPr>
          <w:rStyle w:val="CharDivText"/>
        </w:rPr>
        <w:t>State and Territory orders relating to children</w:t>
      </w:r>
      <w:bookmarkEnd w:id="478"/>
      <w:bookmarkEnd w:id="479"/>
      <w:bookmarkEnd w:id="480"/>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481" w:name="_Toc114576092"/>
      <w:r>
        <w:rPr>
          <w:rStyle w:val="CharSectno"/>
        </w:rPr>
        <w:t>204</w:t>
      </w:r>
      <w:r>
        <w:rPr>
          <w:snapToGrid w:val="0"/>
        </w:rPr>
        <w:t>.</w:t>
      </w:r>
      <w:r>
        <w:rPr>
          <w:snapToGrid w:val="0"/>
        </w:rPr>
        <w:tab/>
        <w:t>Registration of State child orders — FLA s. 70C and 70D</w:t>
      </w:r>
      <w:bookmarkEnd w:id="481"/>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482" w:name="_Toc114576093"/>
      <w:r>
        <w:rPr>
          <w:rStyle w:val="CharSectno"/>
        </w:rPr>
        <w:t>205</w:t>
      </w:r>
      <w:r>
        <w:rPr>
          <w:snapToGrid w:val="0"/>
        </w:rPr>
        <w:t>.</w:t>
      </w:r>
      <w:r>
        <w:rPr>
          <w:snapToGrid w:val="0"/>
        </w:rPr>
        <w:tab/>
        <w:t>Effect of registration — FLA s. 70E</w:t>
      </w:r>
      <w:bookmarkEnd w:id="482"/>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483" w:name="_Toc114559422"/>
      <w:bookmarkStart w:id="484" w:name="_Toc114563409"/>
      <w:bookmarkStart w:id="485" w:name="_Toc114576094"/>
      <w:r>
        <w:rPr>
          <w:rStyle w:val="CharDivNo"/>
        </w:rPr>
        <w:lastRenderedPageBreak/>
        <w:t>Division 13</w:t>
      </w:r>
      <w:r>
        <w:t> — </w:t>
      </w:r>
      <w:r>
        <w:rPr>
          <w:rStyle w:val="CharDivText"/>
        </w:rPr>
        <w:t>Consequences of failure to comply with orders, and other obligations, that affect children</w:t>
      </w:r>
      <w:bookmarkEnd w:id="483"/>
      <w:bookmarkEnd w:id="484"/>
      <w:bookmarkEnd w:id="485"/>
    </w:p>
    <w:p>
      <w:pPr>
        <w:pStyle w:val="Footnoteheading"/>
      </w:pPr>
      <w:r>
        <w:tab/>
        <w:t>[Heading inserted: No. 35 of 2006 s. 101.]</w:t>
      </w:r>
    </w:p>
    <w:p>
      <w:pPr>
        <w:pStyle w:val="Heading4"/>
      </w:pPr>
      <w:bookmarkStart w:id="486" w:name="_Toc114559423"/>
      <w:bookmarkStart w:id="487" w:name="_Toc114563410"/>
      <w:bookmarkStart w:id="488" w:name="_Toc114576095"/>
      <w:r>
        <w:t>Subdivision 1 — Preliminary</w:t>
      </w:r>
      <w:bookmarkEnd w:id="486"/>
      <w:bookmarkEnd w:id="487"/>
      <w:bookmarkEnd w:id="488"/>
    </w:p>
    <w:p>
      <w:pPr>
        <w:pStyle w:val="Footnoteheading"/>
      </w:pPr>
      <w:r>
        <w:tab/>
        <w:t>[Heading inserted: No. 35 of 2006 s. 101.]</w:t>
      </w:r>
    </w:p>
    <w:p>
      <w:pPr>
        <w:pStyle w:val="Heading5"/>
      </w:pPr>
      <w:bookmarkStart w:id="489" w:name="_Toc114576096"/>
      <w:r>
        <w:rPr>
          <w:rStyle w:val="CharSectno"/>
        </w:rPr>
        <w:t>205A</w:t>
      </w:r>
      <w:r>
        <w:t>.</w:t>
      </w:r>
      <w:r>
        <w:tab/>
        <w:t>Simplified outline of Division — FLA s. 70NAA</w:t>
      </w:r>
      <w:bookmarkEnd w:id="489"/>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490" w:name="_Toc114576097"/>
      <w:r>
        <w:rPr>
          <w:rStyle w:val="CharSectno"/>
        </w:rPr>
        <w:t>205B</w:t>
      </w:r>
      <w:r>
        <w:t>.</w:t>
      </w:r>
      <w:r>
        <w:tab/>
        <w:t>Application of Division — FLA s. 70NAB</w:t>
      </w:r>
      <w:bookmarkEnd w:id="490"/>
    </w:p>
    <w:p>
      <w:pPr>
        <w:pStyle w:val="Subsection"/>
      </w:pPr>
      <w:r>
        <w:tab/>
      </w:r>
      <w:r>
        <w:tab/>
        <w:t xml:space="preserve">Despite anything contained in any other provision of this Division, this Division does not apply in respect of a contravention, committed before this Division commences, of an order under this Act affecting children if a court made an </w:t>
      </w:r>
      <w:r>
        <w:lastRenderedPageBreak/>
        <w:t>order, in respect of that contravention before this Division commences, under this Act as previously in force.</w:t>
      </w:r>
    </w:p>
    <w:p>
      <w:pPr>
        <w:pStyle w:val="Footnotesection"/>
      </w:pPr>
      <w:r>
        <w:tab/>
        <w:t>[Section 205B inserted: No. 35 of 2006 s. 101.]</w:t>
      </w:r>
    </w:p>
    <w:p>
      <w:pPr>
        <w:pStyle w:val="Heading5"/>
      </w:pPr>
      <w:bookmarkStart w:id="491" w:name="_Toc114576098"/>
      <w:r>
        <w:rPr>
          <w:rStyle w:val="CharSectno"/>
        </w:rPr>
        <w:t>205C</w:t>
      </w:r>
      <w:r>
        <w:t>.</w:t>
      </w:r>
      <w:r>
        <w:tab/>
        <w:t xml:space="preserve">Meaning of </w:t>
      </w:r>
      <w:r>
        <w:rPr>
          <w:i/>
        </w:rPr>
        <w:t>contravened an order</w:t>
      </w:r>
      <w:r>
        <w:t> — FLA s. 70NAC</w:t>
      </w:r>
      <w:bookmarkEnd w:id="491"/>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492" w:name="_Toc114576099"/>
      <w:r>
        <w:rPr>
          <w:rStyle w:val="CharSectno"/>
        </w:rPr>
        <w:t>205D</w:t>
      </w:r>
      <w:r>
        <w:t>.</w:t>
      </w:r>
      <w:r>
        <w:tab/>
        <w:t>Requirements taken to be included in certain orders — FLA s. 70NAD</w:t>
      </w:r>
      <w:bookmarkEnd w:id="492"/>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 xml:space="preserve">a parenting order that deals with whom a child is to communicate with is taken to include a requirement that </w:t>
      </w:r>
      <w:r>
        <w:lastRenderedPageBreak/>
        <w:t>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493" w:name="_Toc114576100"/>
      <w:r>
        <w:rPr>
          <w:rStyle w:val="CharSectno"/>
        </w:rPr>
        <w:t>205E</w:t>
      </w:r>
      <w:r>
        <w:t>.</w:t>
      </w:r>
      <w:r>
        <w:tab/>
        <w:t xml:space="preserve">Meaning of </w:t>
      </w:r>
      <w:r>
        <w:rPr>
          <w:i/>
        </w:rPr>
        <w:t>reasonable excuse for contravening</w:t>
      </w:r>
      <w:r>
        <w:t xml:space="preserve"> an order — FLA s. 70NAE</w:t>
      </w:r>
      <w:bookmarkEnd w:id="493"/>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w:t>
      </w:r>
      <w:r>
        <w:lastRenderedPageBreak/>
        <w:t xml:space="preserve">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lastRenderedPageBreak/>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494" w:name="_Toc114576101"/>
      <w:r>
        <w:rPr>
          <w:rStyle w:val="CharSectno"/>
        </w:rPr>
        <w:t>205F</w:t>
      </w:r>
      <w:r>
        <w:t>.</w:t>
      </w:r>
      <w:r>
        <w:tab/>
        <w:t>Standard of proof — FLA s. 70NAF</w:t>
      </w:r>
      <w:bookmarkEnd w:id="494"/>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lastRenderedPageBreak/>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495" w:name="_Toc114559430"/>
      <w:bookmarkStart w:id="496" w:name="_Toc114563417"/>
      <w:bookmarkStart w:id="497" w:name="_Toc114576102"/>
      <w:r>
        <w:t>Subdivision 2 — Court’s power to vary parenting order</w:t>
      </w:r>
      <w:bookmarkEnd w:id="495"/>
      <w:bookmarkEnd w:id="496"/>
      <w:bookmarkEnd w:id="497"/>
    </w:p>
    <w:p>
      <w:pPr>
        <w:pStyle w:val="Footnoteheading"/>
      </w:pPr>
      <w:r>
        <w:tab/>
        <w:t>[Heading inserted: No. 35 of 2006 s. 101.]</w:t>
      </w:r>
    </w:p>
    <w:p>
      <w:pPr>
        <w:pStyle w:val="Heading5"/>
      </w:pPr>
      <w:bookmarkStart w:id="498" w:name="_Toc114576103"/>
      <w:r>
        <w:rPr>
          <w:rStyle w:val="CharSectno"/>
        </w:rPr>
        <w:t>205G</w:t>
      </w:r>
      <w:r>
        <w:t>.</w:t>
      </w:r>
      <w:r>
        <w:tab/>
        <w:t>Variation of parenting order — FLA s. 70NBA</w:t>
      </w:r>
      <w:bookmarkEnd w:id="498"/>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lastRenderedPageBreak/>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499" w:name="_Toc114576104"/>
      <w:r>
        <w:rPr>
          <w:rStyle w:val="CharSectno"/>
        </w:rPr>
        <w:t>205H</w:t>
      </w:r>
      <w:r>
        <w:t>.</w:t>
      </w:r>
      <w:r>
        <w:tab/>
        <w:t>Effect of parenting plan — FLA s. 70NBB</w:t>
      </w:r>
      <w:bookmarkEnd w:id="499"/>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lastRenderedPageBreak/>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500" w:name="_Toc114559433"/>
      <w:bookmarkStart w:id="501" w:name="_Toc114563420"/>
      <w:bookmarkStart w:id="502" w:name="_Toc114576105"/>
      <w:r>
        <w:t>Subdivision 3 — Contravention alleged but not established</w:t>
      </w:r>
      <w:bookmarkEnd w:id="500"/>
      <w:bookmarkEnd w:id="501"/>
      <w:bookmarkEnd w:id="502"/>
    </w:p>
    <w:p>
      <w:pPr>
        <w:pStyle w:val="Footnoteheading"/>
      </w:pPr>
      <w:r>
        <w:tab/>
        <w:t>[Heading inserted: No. 35 of 2006 s. 101.]</w:t>
      </w:r>
    </w:p>
    <w:p>
      <w:pPr>
        <w:pStyle w:val="Heading5"/>
      </w:pPr>
      <w:bookmarkStart w:id="503" w:name="_Toc114576106"/>
      <w:r>
        <w:rPr>
          <w:rStyle w:val="CharSectno"/>
        </w:rPr>
        <w:t>205I</w:t>
      </w:r>
      <w:r>
        <w:t>.</w:t>
      </w:r>
      <w:r>
        <w:tab/>
        <w:t>Application of Subdivision — FLA s. 70NCA</w:t>
      </w:r>
      <w:bookmarkEnd w:id="503"/>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504" w:name="_Toc114576107"/>
      <w:r>
        <w:rPr>
          <w:rStyle w:val="CharSectno"/>
        </w:rPr>
        <w:t>205J</w:t>
      </w:r>
      <w:r>
        <w:t>.</w:t>
      </w:r>
      <w:r>
        <w:tab/>
        <w:t>Costs — FLA s. 70NCB</w:t>
      </w:r>
      <w:bookmarkEnd w:id="504"/>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 xml:space="preserve">the applicant has previously brought proceedings in relation to the primary order or another primary order in which the applicant alleged that the respondent </w:t>
      </w:r>
      <w:r>
        <w:lastRenderedPageBreak/>
        <w:t>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505" w:name="_Toc114559436"/>
      <w:bookmarkStart w:id="506" w:name="_Toc114563423"/>
      <w:bookmarkStart w:id="507" w:name="_Toc114576108"/>
      <w:r>
        <w:t>Subdivision 4 — Contravention established but reasonable excuse for contravention</w:t>
      </w:r>
      <w:bookmarkEnd w:id="505"/>
      <w:bookmarkEnd w:id="506"/>
      <w:bookmarkEnd w:id="507"/>
    </w:p>
    <w:p>
      <w:pPr>
        <w:pStyle w:val="Footnoteheading"/>
      </w:pPr>
      <w:r>
        <w:tab/>
        <w:t>[Heading inserted: No. 35 of 2006 s. 101.]</w:t>
      </w:r>
    </w:p>
    <w:p>
      <w:pPr>
        <w:pStyle w:val="Heading5"/>
      </w:pPr>
      <w:bookmarkStart w:id="508" w:name="_Toc114576109"/>
      <w:r>
        <w:rPr>
          <w:rStyle w:val="CharSectno"/>
        </w:rPr>
        <w:t>205K</w:t>
      </w:r>
      <w:r>
        <w:t>.</w:t>
      </w:r>
      <w:r>
        <w:tab/>
        <w:t>Application of Subdivision — FLA s. 70NDA</w:t>
      </w:r>
      <w:bookmarkEnd w:id="508"/>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509" w:name="_Toc114576110"/>
      <w:r>
        <w:rPr>
          <w:rStyle w:val="CharSectno"/>
        </w:rPr>
        <w:lastRenderedPageBreak/>
        <w:t>205L</w:t>
      </w:r>
      <w:r>
        <w:t>.</w:t>
      </w:r>
      <w:r>
        <w:tab/>
        <w:t>Order compensating person for time lost — FLA s. 70NDB</w:t>
      </w:r>
      <w:bookmarkEnd w:id="509"/>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510" w:name="_Toc114576111"/>
      <w:r>
        <w:rPr>
          <w:rStyle w:val="CharSectno"/>
        </w:rPr>
        <w:t>205M</w:t>
      </w:r>
      <w:r>
        <w:t>.</w:t>
      </w:r>
      <w:r>
        <w:tab/>
        <w:t>Costs — FLA s. 70NDC</w:t>
      </w:r>
      <w:bookmarkEnd w:id="510"/>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lastRenderedPageBreak/>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511" w:name="_Toc114559440"/>
      <w:bookmarkStart w:id="512" w:name="_Toc114563427"/>
      <w:bookmarkStart w:id="513" w:name="_Toc114576112"/>
      <w:r>
        <w:t>Subdivision 5 — Contravention without reasonable excuse (less serious contravention)</w:t>
      </w:r>
      <w:bookmarkEnd w:id="511"/>
      <w:bookmarkEnd w:id="512"/>
      <w:bookmarkEnd w:id="513"/>
    </w:p>
    <w:p>
      <w:pPr>
        <w:pStyle w:val="Footnoteheading"/>
      </w:pPr>
      <w:r>
        <w:tab/>
        <w:t>[Heading inserted: No. 35 of 2006 s. 101.]</w:t>
      </w:r>
    </w:p>
    <w:p>
      <w:pPr>
        <w:pStyle w:val="Heading5"/>
      </w:pPr>
      <w:bookmarkStart w:id="514" w:name="_Toc114576113"/>
      <w:r>
        <w:rPr>
          <w:rStyle w:val="CharSectno"/>
        </w:rPr>
        <w:t>205N</w:t>
      </w:r>
      <w:r>
        <w:t>.</w:t>
      </w:r>
      <w:r>
        <w:tab/>
        <w:t>Application of Subdivision — FLA s. 70NEA</w:t>
      </w:r>
      <w:bookmarkEnd w:id="514"/>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lastRenderedPageBreak/>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515" w:name="_Toc114576114"/>
      <w:r>
        <w:rPr>
          <w:rStyle w:val="CharSectno"/>
        </w:rPr>
        <w:t>205O</w:t>
      </w:r>
      <w:r>
        <w:t>.</w:t>
      </w:r>
      <w:r>
        <w:tab/>
        <w:t>Powers of court — FLA s. 70NEB</w:t>
      </w:r>
      <w:bookmarkEnd w:id="515"/>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lastRenderedPageBreak/>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lastRenderedPageBreak/>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 xml:space="preserve">a court must consider making an order under subsection (1)(b) to compensate the person for the time the person did not spend </w:t>
      </w:r>
      <w:r>
        <w:lastRenderedPageBreak/>
        <w:t>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 xml:space="preserve">was satisfied that the respondent had committed a contravention of the primary order or that other </w:t>
      </w:r>
      <w:r>
        <w:lastRenderedPageBreak/>
        <w:t>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516" w:name="_Toc114576115"/>
      <w:r>
        <w:rPr>
          <w:rStyle w:val="CharSectno"/>
        </w:rPr>
        <w:t>205P</w:t>
      </w:r>
      <w:r>
        <w:t>.</w:t>
      </w:r>
      <w:r>
        <w:tab/>
        <w:t>Bonds — FLA s. 70NEC</w:t>
      </w:r>
      <w:bookmarkEnd w:id="516"/>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517" w:name="_Toc114576116"/>
      <w:r>
        <w:rPr>
          <w:rStyle w:val="CharSectno"/>
        </w:rPr>
        <w:lastRenderedPageBreak/>
        <w:t>205QA</w:t>
      </w:r>
      <w:r>
        <w:t>.</w:t>
      </w:r>
      <w:r>
        <w:tab/>
        <w:t>Procedure for enforcing bonds — FLA s. 70NECA</w:t>
      </w:r>
      <w:bookmarkEnd w:id="517"/>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518" w:name="_Toc114576117"/>
      <w:r>
        <w:rPr>
          <w:rStyle w:val="CharSectno"/>
        </w:rPr>
        <w:lastRenderedPageBreak/>
        <w:t>205Q</w:t>
      </w:r>
      <w:r>
        <w:t>.</w:t>
      </w:r>
      <w:r>
        <w:tab/>
        <w:t>Duties of provider of post</w:t>
      </w:r>
      <w:r>
        <w:noBreakHyphen/>
        <w:t>separation parenting program — FLA s. 70NED</w:t>
      </w:r>
      <w:bookmarkEnd w:id="518"/>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519" w:name="_Toc114576118"/>
      <w:r>
        <w:rPr>
          <w:rStyle w:val="CharSectno"/>
        </w:rPr>
        <w:t>205R</w:t>
      </w:r>
      <w:r>
        <w:t>.</w:t>
      </w:r>
      <w:r>
        <w:tab/>
        <w:t>Evidence — FLA s. 70NEF</w:t>
      </w:r>
      <w:bookmarkEnd w:id="519"/>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520" w:name="_Toc114576119"/>
      <w:r>
        <w:rPr>
          <w:rStyle w:val="CharSectno"/>
        </w:rPr>
        <w:lastRenderedPageBreak/>
        <w:t>205S</w:t>
      </w:r>
      <w:r>
        <w:t>.</w:t>
      </w:r>
      <w:r>
        <w:tab/>
        <w:t>Court may make further orders in relation to attendance at program — FLA s. 70NEG</w:t>
      </w:r>
      <w:bookmarkEnd w:id="520"/>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521" w:name="_Toc114559448"/>
      <w:bookmarkStart w:id="522" w:name="_Toc114563435"/>
      <w:bookmarkStart w:id="523" w:name="_Toc114576120"/>
      <w:r>
        <w:t>Subdivision 6 — Contravention without reasonable excuse (more serious contravention)</w:t>
      </w:r>
      <w:bookmarkEnd w:id="521"/>
      <w:bookmarkEnd w:id="522"/>
      <w:bookmarkEnd w:id="523"/>
    </w:p>
    <w:p>
      <w:pPr>
        <w:pStyle w:val="Footnoteheading"/>
      </w:pPr>
      <w:r>
        <w:tab/>
        <w:t>[Heading inserted: No. 35 of 2006 s. 101.]</w:t>
      </w:r>
    </w:p>
    <w:p>
      <w:pPr>
        <w:pStyle w:val="Heading5"/>
        <w:spacing w:before="240"/>
      </w:pPr>
      <w:bookmarkStart w:id="524" w:name="_Toc114576121"/>
      <w:r>
        <w:rPr>
          <w:rStyle w:val="CharSectno"/>
        </w:rPr>
        <w:t>205SA</w:t>
      </w:r>
      <w:r>
        <w:t>.</w:t>
      </w:r>
      <w:r>
        <w:tab/>
        <w:t>Application of Subdivision — FLA s. 70NFA</w:t>
      </w:r>
      <w:bookmarkEnd w:id="524"/>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lastRenderedPageBreak/>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525" w:name="_Toc114576122"/>
      <w:r>
        <w:rPr>
          <w:rStyle w:val="CharSectno"/>
        </w:rPr>
        <w:t>205SB</w:t>
      </w:r>
      <w:r>
        <w:t>.</w:t>
      </w:r>
      <w:r>
        <w:tab/>
        <w:t>Powers of court — FLA s. 70NFB</w:t>
      </w:r>
      <w:bookmarkEnd w:id="525"/>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 xml:space="preserve">if the court makes an order under subsection (2)(g), consider making another order (or other orders) under subsection (2) that the court considers to be the most </w:t>
      </w:r>
      <w:r>
        <w:lastRenderedPageBreak/>
        <w:t>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lastRenderedPageBreak/>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 xml:space="preserve">a contravention of an order made by a court under Division 4 of Part 7 of that Act for a departure from such </w:t>
      </w:r>
      <w:r>
        <w:lastRenderedPageBreak/>
        <w:t>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526" w:name="_Toc114576123"/>
      <w:r>
        <w:rPr>
          <w:rStyle w:val="CharSectno"/>
        </w:rPr>
        <w:t>205SC</w:t>
      </w:r>
      <w:r>
        <w:t>.</w:t>
      </w:r>
      <w:r>
        <w:tab/>
        <w:t>When court is empowered to make community service order — FLA s. 70NFC</w:t>
      </w:r>
      <w:bookmarkEnd w:id="526"/>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 xml:space="preserve">a reference in Part 9 or 10 of the Sentencing Act to an offender’s criminal behaviour is a reference to the </w:t>
      </w:r>
      <w:r>
        <w:lastRenderedPageBreak/>
        <w:t>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527" w:name="_Toc114576124"/>
      <w:r>
        <w:rPr>
          <w:rStyle w:val="CharSectno"/>
        </w:rPr>
        <w:lastRenderedPageBreak/>
        <w:t>205SD</w:t>
      </w:r>
      <w:r>
        <w:t>.</w:t>
      </w:r>
      <w:r>
        <w:tab/>
        <w:t>Variation and discharge of community service orders — FLA s. 70NFD</w:t>
      </w:r>
      <w:bookmarkEnd w:id="527"/>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528" w:name="_Toc114576125"/>
      <w:r>
        <w:rPr>
          <w:rStyle w:val="CharSectno"/>
        </w:rPr>
        <w:t>205SE</w:t>
      </w:r>
      <w:r>
        <w:t>.</w:t>
      </w:r>
      <w:r>
        <w:tab/>
        <w:t>Bonds — FLA s. 70NFE</w:t>
      </w:r>
      <w:bookmarkEnd w:id="528"/>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lastRenderedPageBreak/>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529" w:name="_Toc114576126"/>
      <w:r>
        <w:rPr>
          <w:rStyle w:val="CharSectno"/>
        </w:rPr>
        <w:t>205SF</w:t>
      </w:r>
      <w:r>
        <w:t>.</w:t>
      </w:r>
      <w:r>
        <w:tab/>
        <w:t>Procedure for enforcing community service orders or bonds — FLA s. 70NFF</w:t>
      </w:r>
      <w:bookmarkEnd w:id="529"/>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lastRenderedPageBreak/>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530" w:name="_Toc114576127"/>
      <w:r>
        <w:rPr>
          <w:rStyle w:val="CharSectno"/>
        </w:rPr>
        <w:t>205SG</w:t>
      </w:r>
      <w:r>
        <w:t>.</w:t>
      </w:r>
      <w:r>
        <w:tab/>
        <w:t>Sentences of imprisonment — FLA s. 70NFG</w:t>
      </w:r>
      <w:bookmarkEnd w:id="530"/>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lastRenderedPageBreak/>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531" w:name="_Toc114576128"/>
      <w:r>
        <w:rPr>
          <w:rStyle w:val="CharSectno"/>
        </w:rPr>
        <w:lastRenderedPageBreak/>
        <w:t>205SH</w:t>
      </w:r>
      <w:r>
        <w:t>.</w:t>
      </w:r>
      <w:r>
        <w:tab/>
        <w:t>Relationship between Subdivision and other laws — FLA s. 70NFH</w:t>
      </w:r>
      <w:bookmarkEnd w:id="531"/>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532" w:name="_Toc114559457"/>
      <w:bookmarkStart w:id="533" w:name="_Toc114563444"/>
      <w:bookmarkStart w:id="534" w:name="_Toc114576129"/>
      <w:r>
        <w:rPr>
          <w:rStyle w:val="CharPartNo"/>
        </w:rPr>
        <w:lastRenderedPageBreak/>
        <w:t>Part 5A </w:t>
      </w:r>
      <w:r>
        <w:t>— </w:t>
      </w:r>
      <w:r>
        <w:rPr>
          <w:rStyle w:val="CharPartText"/>
        </w:rPr>
        <w:t>De facto relationships</w:t>
      </w:r>
      <w:bookmarkEnd w:id="532"/>
      <w:bookmarkEnd w:id="533"/>
      <w:bookmarkEnd w:id="534"/>
    </w:p>
    <w:p>
      <w:pPr>
        <w:pStyle w:val="Footnoteheading"/>
      </w:pPr>
      <w:r>
        <w:tab/>
        <w:t>[Heading inserted: No. 25 of 2002 s. 47.]</w:t>
      </w:r>
    </w:p>
    <w:p>
      <w:pPr>
        <w:pStyle w:val="Heading3"/>
      </w:pPr>
      <w:bookmarkStart w:id="535" w:name="_Toc114559458"/>
      <w:bookmarkStart w:id="536" w:name="_Toc114563445"/>
      <w:bookmarkStart w:id="537" w:name="_Toc114576130"/>
      <w:r>
        <w:rPr>
          <w:rStyle w:val="CharDivNo"/>
        </w:rPr>
        <w:t>Division 1</w:t>
      </w:r>
      <w:r>
        <w:t> — </w:t>
      </w:r>
      <w:r>
        <w:rPr>
          <w:rStyle w:val="CharDivText"/>
        </w:rPr>
        <w:t>Introductory</w:t>
      </w:r>
      <w:bookmarkEnd w:id="535"/>
      <w:bookmarkEnd w:id="536"/>
      <w:bookmarkEnd w:id="537"/>
    </w:p>
    <w:p>
      <w:pPr>
        <w:pStyle w:val="Footnoteheading"/>
      </w:pPr>
      <w:r>
        <w:tab/>
        <w:t>[Heading inserted: No. 25 of 2002 s. 47.]</w:t>
      </w:r>
    </w:p>
    <w:p>
      <w:pPr>
        <w:pStyle w:val="Heading5"/>
      </w:pPr>
      <w:bookmarkStart w:id="538" w:name="_Toc114576131"/>
      <w:r>
        <w:rPr>
          <w:rStyle w:val="CharSectno"/>
        </w:rPr>
        <w:t>205T</w:t>
      </w:r>
      <w:r>
        <w:t>.</w:t>
      </w:r>
      <w:r>
        <w:tab/>
        <w:t>Terms used</w:t>
      </w:r>
      <w:bookmarkEnd w:id="538"/>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lastRenderedPageBreak/>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Footnotesection"/>
      </w:pPr>
      <w:r>
        <w:tab/>
        <w:t>[Section 205T inserted: No. 25 of 2002 s. 47; amended: No. 47 of 2008 s. 62; No. 28 of 2022 s. 8.]</w:t>
      </w:r>
    </w:p>
    <w:p>
      <w:pPr>
        <w:pStyle w:val="Heading5"/>
      </w:pPr>
      <w:bookmarkStart w:id="539" w:name="_Toc114576132"/>
      <w:r>
        <w:rPr>
          <w:rStyle w:val="CharSectno"/>
        </w:rPr>
        <w:t>205U</w:t>
      </w:r>
      <w:r>
        <w:t>.</w:t>
      </w:r>
      <w:r>
        <w:tab/>
        <w:t>Application of Part generally</w:t>
      </w:r>
      <w:bookmarkEnd w:id="539"/>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540" w:name="_Toc114576133"/>
      <w:r>
        <w:rPr>
          <w:rStyle w:val="CharSectno"/>
        </w:rPr>
        <w:t>205V</w:t>
      </w:r>
      <w:r>
        <w:t>.</w:t>
      </w:r>
      <w:r>
        <w:tab/>
        <w:t>Right to certain civil proceedings limited</w:t>
      </w:r>
      <w:bookmarkEnd w:id="540"/>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541" w:name="_Toc114559462"/>
      <w:bookmarkStart w:id="542" w:name="_Toc114563449"/>
      <w:bookmarkStart w:id="543" w:name="_Toc114576134"/>
      <w:r>
        <w:rPr>
          <w:rStyle w:val="CharDivNo"/>
        </w:rPr>
        <w:lastRenderedPageBreak/>
        <w:t>Division 2</w:t>
      </w:r>
      <w:r>
        <w:t> — </w:t>
      </w:r>
      <w:r>
        <w:rPr>
          <w:rStyle w:val="CharDivText"/>
        </w:rPr>
        <w:t>Property adjustment orders and maintenance orders</w:t>
      </w:r>
      <w:bookmarkEnd w:id="541"/>
      <w:bookmarkEnd w:id="542"/>
      <w:bookmarkEnd w:id="543"/>
    </w:p>
    <w:p>
      <w:pPr>
        <w:pStyle w:val="Footnoteheading"/>
        <w:keepNext/>
      </w:pPr>
      <w:r>
        <w:tab/>
        <w:t>[Heading inserted: No. 25 of 2002 s. 47.]</w:t>
      </w:r>
    </w:p>
    <w:p>
      <w:pPr>
        <w:pStyle w:val="Heading4"/>
      </w:pPr>
      <w:bookmarkStart w:id="544" w:name="_Toc114559463"/>
      <w:bookmarkStart w:id="545" w:name="_Toc114563450"/>
      <w:bookmarkStart w:id="546" w:name="_Toc114576135"/>
      <w:r>
        <w:t>Subdivision 1 — Introductory</w:t>
      </w:r>
      <w:bookmarkEnd w:id="544"/>
      <w:bookmarkEnd w:id="545"/>
      <w:bookmarkEnd w:id="546"/>
    </w:p>
    <w:p>
      <w:pPr>
        <w:pStyle w:val="Footnoteheading"/>
      </w:pPr>
      <w:r>
        <w:tab/>
        <w:t>[Heading inserted: No. 25 of 2002 s. 47.]</w:t>
      </w:r>
    </w:p>
    <w:p>
      <w:pPr>
        <w:pStyle w:val="Heading5"/>
        <w:spacing w:before="180"/>
      </w:pPr>
      <w:bookmarkStart w:id="547" w:name="_Toc114576136"/>
      <w:r>
        <w:rPr>
          <w:rStyle w:val="CharSectno"/>
        </w:rPr>
        <w:t>205W</w:t>
      </w:r>
      <w:r>
        <w:t>.</w:t>
      </w:r>
      <w:r>
        <w:tab/>
        <w:t>This Division does not apply to certain matters covered by binding financial agreements or former financial agreements — FLA s. 71A</w:t>
      </w:r>
      <w:bookmarkEnd w:id="547"/>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Subsection"/>
      </w:pPr>
      <w:r>
        <w:tab/>
        <w:t>(3)</w:t>
      </w:r>
      <w:r>
        <w:tab/>
        <w:t xml:space="preserve">Subsections (1) and (2) do not apply in relation to — </w:t>
      </w:r>
    </w:p>
    <w:p>
      <w:pPr>
        <w:pStyle w:val="Indenta"/>
      </w:pPr>
      <w:r>
        <w:tab/>
        <w:t>(a)</w:t>
      </w:r>
      <w:r>
        <w:tab/>
        <w:t xml:space="preserve">proceedings between the following persons with respect to the maintenance of the person referred to in subparagraph (i) — </w:t>
      </w:r>
    </w:p>
    <w:p>
      <w:pPr>
        <w:pStyle w:val="Indenti"/>
      </w:pPr>
      <w:r>
        <w:tab/>
        <w:t>(i)</w:t>
      </w:r>
      <w:r>
        <w:tab/>
        <w:t xml:space="preserve">a de facto partner; and </w:t>
      </w:r>
    </w:p>
    <w:p>
      <w:pPr>
        <w:pStyle w:val="Indenti"/>
      </w:pPr>
      <w:r>
        <w:tab/>
        <w:t>(ii)</w:t>
      </w:r>
      <w:r>
        <w:tab/>
        <w:t>the bankruptcy trustee of a bankrupt de facto partner;</w:t>
      </w:r>
    </w:p>
    <w:p>
      <w:pPr>
        <w:pStyle w:val="Indenta"/>
      </w:pPr>
      <w:r>
        <w:tab/>
      </w:r>
      <w:r>
        <w:tab/>
        <w:t>or</w:t>
      </w:r>
    </w:p>
    <w:p>
      <w:pPr>
        <w:pStyle w:val="Indenta"/>
      </w:pPr>
      <w:r>
        <w:tab/>
        <w:t>(b)</w:t>
      </w:r>
      <w:r>
        <w:tab/>
        <w:t xml:space="preserve">proceedings between a de facto partner and the bankruptcy trustee of a bankrupt de facto partner, with respect to any vested bankruptcy property in relation to </w:t>
      </w:r>
      <w:r>
        <w:lastRenderedPageBreak/>
        <w:t>the bankrupt partner, being proceedings arising out of the de facto relationship.</w:t>
      </w:r>
    </w:p>
    <w:p>
      <w:pPr>
        <w:pStyle w:val="Footnotesection"/>
        <w:spacing w:before="100"/>
        <w:ind w:left="890" w:hanging="890"/>
      </w:pPr>
      <w:r>
        <w:tab/>
        <w:t>[Section 205W inserted: No. 25 of 2002 s. 47; amended No. 28 of 2022 s. 9.]</w:t>
      </w:r>
    </w:p>
    <w:p>
      <w:pPr>
        <w:pStyle w:val="Heading5"/>
      </w:pPr>
      <w:bookmarkStart w:id="548" w:name="_Toc114576137"/>
      <w:r>
        <w:rPr>
          <w:rStyle w:val="CharSectno"/>
        </w:rPr>
        <w:t>205X</w:t>
      </w:r>
      <w:r>
        <w:t>.</w:t>
      </w:r>
      <w:r>
        <w:tab/>
        <w:t>People to whom this Part applies — connection with WA</w:t>
      </w:r>
      <w:bookmarkEnd w:id="548"/>
    </w:p>
    <w:p>
      <w:pPr>
        <w:pStyle w:val="Subsection"/>
      </w:pPr>
      <w:r>
        <w:tab/>
      </w:r>
      <w:r>
        <w:tab/>
        <w:t>Despite section 36(5), before making an order under section 205ZCA, 205ZE or 205ZG, or a declaration under section 205ZA(1), a court must be satisfied — </w:t>
      </w:r>
    </w:p>
    <w:p>
      <w:pPr>
        <w:pStyle w:val="Indenta"/>
      </w:pPr>
      <w:r>
        <w:tab/>
        <w:t>(a)</w:t>
      </w:r>
      <w:r>
        <w:tab/>
        <w:t>that one or both of the de facto partners to whom the application relates were resident in Western Australia on the day on which the application was made; and</w:t>
      </w:r>
    </w:p>
    <w:p>
      <w:pPr>
        <w:pStyle w:val="Indenta"/>
      </w:pPr>
      <w:r>
        <w:tab/>
        <w:t>(b)</w:t>
      </w:r>
      <w:r>
        <w:tab/>
        <w:t>that — </w:t>
      </w:r>
    </w:p>
    <w:p>
      <w:pPr>
        <w:pStyle w:val="Indenti"/>
      </w:pPr>
      <w:r>
        <w:tab/>
        <w:t>(i)</w:t>
      </w:r>
      <w:r>
        <w:tab/>
        <w:t>both de facto partners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 amended: No. 28 of 2022 s. 10.]</w:t>
      </w:r>
    </w:p>
    <w:p>
      <w:pPr>
        <w:pStyle w:val="Heading5"/>
      </w:pPr>
      <w:bookmarkStart w:id="549" w:name="_Toc114576138"/>
      <w:r>
        <w:rPr>
          <w:rStyle w:val="CharSectno"/>
        </w:rPr>
        <w:t>205Y</w:t>
      </w:r>
      <w:r>
        <w:t>.</w:t>
      </w:r>
      <w:r>
        <w:tab/>
        <w:t>Court not otherwise limited by connection with WA referred to in section 205X</w:t>
      </w:r>
      <w:bookmarkEnd w:id="549"/>
    </w:p>
    <w:p>
      <w:pPr>
        <w:pStyle w:val="Subsection"/>
        <w:spacing w:before="120"/>
      </w:pPr>
      <w:r>
        <w:tab/>
      </w:r>
      <w:r>
        <w:tab/>
        <w:t>Where a court is satisfied as to the matters specified in section 205X(a) and (b), it may make an order or declaration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 amended: No. 28 of 2022 s. 11.]</w:t>
      </w:r>
    </w:p>
    <w:p>
      <w:pPr>
        <w:pStyle w:val="Heading5"/>
      </w:pPr>
      <w:bookmarkStart w:id="550" w:name="_Toc114576139"/>
      <w:r>
        <w:rPr>
          <w:rStyle w:val="CharSectno"/>
        </w:rPr>
        <w:lastRenderedPageBreak/>
        <w:t>205Z</w:t>
      </w:r>
      <w:r>
        <w:t>.</w:t>
      </w:r>
      <w:r>
        <w:tab/>
        <w:t>Where court may make order under this Division</w:t>
      </w:r>
      <w:bookmarkEnd w:id="550"/>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551" w:name="_Toc114576140"/>
      <w:r>
        <w:rPr>
          <w:rStyle w:val="CharSectno"/>
        </w:rPr>
        <w:t>205ZA</w:t>
      </w:r>
      <w:r>
        <w:t>.</w:t>
      </w:r>
      <w:r>
        <w:tab/>
        <w:t>Declaration of interests in property — FLA s. 78</w:t>
      </w:r>
      <w:bookmarkEnd w:id="551"/>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pPr>
        <w:pStyle w:val="Footnotesection"/>
        <w:ind w:left="890" w:hanging="890"/>
      </w:pPr>
      <w:r>
        <w:tab/>
        <w:t>[Section 205ZA inserted: No. 25 of 2002 s. 47; amended: No. 28 of 2022 s. 12.]</w:t>
      </w:r>
    </w:p>
    <w:p>
      <w:pPr>
        <w:pStyle w:val="Heading4"/>
        <w:spacing w:before="260"/>
      </w:pPr>
      <w:bookmarkStart w:id="552" w:name="_Toc114559469"/>
      <w:bookmarkStart w:id="553" w:name="_Toc114563456"/>
      <w:bookmarkStart w:id="554" w:name="_Toc114576141"/>
      <w:r>
        <w:lastRenderedPageBreak/>
        <w:t>Subdivision 2 — Alteration of property interests, and maintenance</w:t>
      </w:r>
      <w:bookmarkEnd w:id="552"/>
      <w:bookmarkEnd w:id="553"/>
      <w:bookmarkEnd w:id="554"/>
    </w:p>
    <w:p>
      <w:pPr>
        <w:pStyle w:val="Footnoteheading"/>
        <w:spacing w:before="100"/>
      </w:pPr>
      <w:r>
        <w:tab/>
        <w:t>[Heading inserted: No. 25 of 2002 s. 47.]</w:t>
      </w:r>
    </w:p>
    <w:p>
      <w:pPr>
        <w:pStyle w:val="Heading5"/>
      </w:pPr>
      <w:bookmarkStart w:id="555" w:name="_Toc114576142"/>
      <w:r>
        <w:rPr>
          <w:rStyle w:val="CharSectno"/>
        </w:rPr>
        <w:t>205ZB</w:t>
      </w:r>
      <w:r>
        <w:t>.</w:t>
      </w:r>
      <w:r>
        <w:tab/>
        <w:t>Applications, and notifications to spouses</w:t>
      </w:r>
      <w:bookmarkEnd w:id="555"/>
    </w:p>
    <w:p>
      <w:pPr>
        <w:pStyle w:val="Subsection"/>
      </w:pPr>
      <w:r>
        <w:tab/>
        <w:t>(1)</w:t>
      </w:r>
      <w:r>
        <w:tab/>
        <w:t xml:space="preserve">Subject to subsection (2), a de facto partner whose de facto relationship has ended may apply for an order under section 205ZCA, 205ZE or 205ZG, or a declaration under section 205ZA(1), only if — </w:t>
      </w:r>
    </w:p>
    <w:p>
      <w:pPr>
        <w:pStyle w:val="Indenta"/>
      </w:pPr>
      <w:r>
        <w:tab/>
        <w:t>(a)</w:t>
      </w:r>
      <w:r>
        <w:tab/>
        <w:t xml:space="preserve">the application is made within the period (the </w:t>
      </w:r>
      <w:r>
        <w:rPr>
          <w:rStyle w:val="CharDefText"/>
        </w:rPr>
        <w:t>standard application period</w:t>
      </w:r>
      <w:r>
        <w:t xml:space="preserve">) of — </w:t>
      </w:r>
    </w:p>
    <w:p>
      <w:pPr>
        <w:pStyle w:val="Indenti"/>
      </w:pPr>
      <w:r>
        <w:tab/>
        <w:t>(i)</w:t>
      </w:r>
      <w:r>
        <w:tab/>
        <w:t>2 years after the end of the de facto partner’s de facto relationship; or</w:t>
      </w:r>
    </w:p>
    <w:p>
      <w:pPr>
        <w:pStyle w:val="Indenti"/>
      </w:pPr>
      <w:r>
        <w:tab/>
        <w:t>(ii)</w:t>
      </w:r>
      <w:r>
        <w:tab/>
        <w:t>12 months after a financial agreement or former financial agreement between the de facto partners was set aside, or found to be invalid, as the case may be;</w:t>
      </w:r>
    </w:p>
    <w:p>
      <w:pPr>
        <w:pStyle w:val="Indenta"/>
      </w:pPr>
      <w:r>
        <w:tab/>
      </w:r>
      <w:r>
        <w:tab/>
        <w:t>or</w:t>
      </w:r>
    </w:p>
    <w:p>
      <w:pPr>
        <w:pStyle w:val="Indenta"/>
      </w:pPr>
      <w:r>
        <w:tab/>
        <w:t>(b)</w:t>
      </w:r>
      <w:r>
        <w:tab/>
        <w:t>both de facto partners consent to the application.</w:t>
      </w:r>
    </w:p>
    <w:p>
      <w:pPr>
        <w:pStyle w:val="Subsection"/>
      </w:pPr>
      <w:r>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pPr>
        <w:pStyle w:val="Subsection"/>
      </w:pPr>
      <w:r>
        <w:tab/>
        <w:t>(2)</w:t>
      </w:r>
      <w:r>
        <w:tab/>
        <w:t>The court may grant the de facto partner leave to apply after the end of the standard application period if the court is satisfied that hardship would be caused to the de facto partner or a child if leave were not granted.</w:t>
      </w:r>
    </w:p>
    <w:p>
      <w:pPr>
        <w:pStyle w:val="Subsection"/>
        <w:keepNext/>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 No. 28 of 2022 s. 13.]</w:t>
      </w:r>
    </w:p>
    <w:p>
      <w:pPr>
        <w:pStyle w:val="Heading5"/>
        <w:spacing w:before="260"/>
      </w:pPr>
      <w:bookmarkStart w:id="556" w:name="_Toc114576143"/>
      <w:r>
        <w:rPr>
          <w:rStyle w:val="CharSectno"/>
        </w:rPr>
        <w:lastRenderedPageBreak/>
        <w:t>205ZC</w:t>
      </w:r>
      <w:r>
        <w:t>.</w:t>
      </w:r>
      <w:r>
        <w:tab/>
        <w:t>Right of de facto partner to maintenance — FLA s. 72</w:t>
      </w:r>
      <w:bookmarkEnd w:id="556"/>
    </w:p>
    <w:p>
      <w:pPr>
        <w:pStyle w:val="Subsection"/>
        <w:keepNext/>
      </w:pPr>
      <w:r>
        <w:tab/>
        <w:t>(1)</w:t>
      </w:r>
      <w:r>
        <w:tab/>
        <w:t>A de facto partner is liable to maintain the other de facto partner, to the extent that the first</w:t>
      </w:r>
      <w:r>
        <w:noBreakHyphen/>
        <w:t xml:space="preserve">mentioned partner is reasonably able to do so, if, and only if, that other partner is unable to support themselves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keepNext/>
      </w:pPr>
      <w:r>
        <w:tab/>
        <w:t>(c)</w:t>
      </w:r>
      <w:r>
        <w:tab/>
        <w:t>for any other adequate reason,</w:t>
      </w:r>
    </w:p>
    <w:p>
      <w:pPr>
        <w:pStyle w:val="Subsection"/>
      </w:pPr>
      <w:r>
        <w:tab/>
      </w:r>
      <w:r>
        <w:tab/>
        <w:t>having regard to any relevant matter referred to in section 205ZD.</w:t>
      </w:r>
    </w:p>
    <w:p>
      <w:pPr>
        <w:pStyle w:val="Subsection"/>
        <w:keepNext/>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pPr>
        <w:pStyle w:val="Footnotesection"/>
      </w:pPr>
      <w:r>
        <w:tab/>
        <w:t>[Section 205ZC inserted: No. 25 of 2002 s. 47; amended: No. 28 of 2022 s. 14.]</w:t>
      </w:r>
    </w:p>
    <w:p>
      <w:pPr>
        <w:pStyle w:val="Heading5"/>
        <w:tabs>
          <w:tab w:val="clear" w:pos="879"/>
          <w:tab w:val="left" w:pos="993"/>
        </w:tabs>
      </w:pPr>
      <w:bookmarkStart w:id="557" w:name="_Toc112422760"/>
      <w:bookmarkStart w:id="558" w:name="_Toc112914456"/>
      <w:bookmarkStart w:id="559" w:name="_Toc114576144"/>
      <w:r>
        <w:rPr>
          <w:rStyle w:val="CharSectno"/>
        </w:rPr>
        <w:t>205ZCA</w:t>
      </w:r>
      <w:r>
        <w:t>.</w:t>
      </w:r>
      <w:r>
        <w:tab/>
        <w:t>Powers of court in maintenance proceedings — FLA s. 74</w:t>
      </w:r>
      <w:bookmarkEnd w:id="557"/>
      <w:bookmarkEnd w:id="558"/>
      <w:bookmarkEnd w:id="559"/>
    </w:p>
    <w:p>
      <w:pPr>
        <w:pStyle w:val="Subsection"/>
      </w:pPr>
      <w:r>
        <w:tab/>
        <w:t>(1)</w:t>
      </w:r>
      <w:r>
        <w:tab/>
        <w:t>In proceedings with respect to the maintenance of a de facto partner, the court may make such order as it considers proper for the provision of maintenance in accordance with this Division.</w:t>
      </w:r>
    </w:p>
    <w:p>
      <w:pPr>
        <w:pStyle w:val="Subsection"/>
        <w:keepNext/>
      </w:pPr>
      <w:r>
        <w:tab/>
        <w:t>(2)</w:t>
      </w:r>
      <w:r>
        <w:tab/>
        <w:t xml:space="preserve">Subsection (3)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lastRenderedPageBreak/>
        <w:tab/>
        <w:t>(b)</w:t>
      </w:r>
      <w:r>
        <w:tab/>
        <w:t xml:space="preserve">either of the following subparagraphs apply to 1 of the de facto partners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 xml:space="preserve">the bankruptcy trustee applies to the court to be joined as a party to the proceedings; and </w:t>
      </w:r>
    </w:p>
    <w:p>
      <w:pPr>
        <w:pStyle w:val="Indenta"/>
      </w:pPr>
      <w:r>
        <w:tab/>
        <w:t>(d)</w:t>
      </w:r>
      <w:r>
        <w:tab/>
        <w:t>the court is satisfied that the interests of the bankrupt’s creditors may be affected by the making of an order under this section in the proceedings.</w:t>
      </w:r>
    </w:p>
    <w:p>
      <w:pPr>
        <w:pStyle w:val="Subsection"/>
      </w:pPr>
      <w:r>
        <w:tab/>
        <w:t>(3)</w:t>
      </w:r>
      <w:r>
        <w:tab/>
        <w:t xml:space="preserve">The court must join the bankruptcy trustee as a party to the proceedings. </w:t>
      </w:r>
    </w:p>
    <w:p>
      <w:pPr>
        <w:pStyle w:val="Subsection"/>
      </w:pPr>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p>
    <w:p>
      <w:pPr>
        <w:pStyle w:val="Subsection"/>
      </w:pPr>
      <w:r>
        <w:tab/>
        <w:t>(5)</w:t>
      </w:r>
      <w:r>
        <w:tab/>
        <w:t>The court must not grant leave under subsection (4) unless the court is satisfied that there are exceptional circumstances.</w:t>
      </w:r>
    </w:p>
    <w:p>
      <w:pPr>
        <w:pStyle w:val="Subsection"/>
        <w:keepNext/>
      </w:pPr>
      <w:r>
        <w:tab/>
        <w:t>(6)</w:t>
      </w:r>
      <w:r>
        <w:tab/>
        <w:t xml:space="preserve">Subsection (7)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lastRenderedPageBreak/>
        <w:tab/>
        <w:t>(b)</w:t>
      </w:r>
      <w:r>
        <w:tab/>
        <w:t xml:space="preserve">either of the following subparagraphs apply to 1 of the de facto partners (the </w:t>
      </w:r>
      <w:r>
        <w:rPr>
          <w:rStyle w:val="CharDefText"/>
        </w:rPr>
        <w:t>debtor party</w:t>
      </w:r>
      <w:r>
        <w:t xml:space="preserve">) — </w:t>
      </w:r>
    </w:p>
    <w:p>
      <w:pPr>
        <w:pStyle w:val="Indenti"/>
        <w:keepNext/>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(7)</w:t>
      </w:r>
      <w:r>
        <w:tab/>
        <w:t>The court must join the trustee of the agreement as a party to the proceedings.</w:t>
      </w:r>
    </w:p>
    <w:p>
      <w:pPr>
        <w:pStyle w:val="Subsection"/>
      </w:pPr>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pPr>
        <w:pStyle w:val="Subsection"/>
      </w:pPr>
      <w:r>
        <w:tab/>
        <w:t>(9)</w:t>
      </w:r>
      <w:r>
        <w:tab/>
        <w:t xml:space="preserve">The court must not grant leave under subsection (8) unless the court is satisfied that there are exceptional circumstances. </w:t>
      </w:r>
    </w:p>
    <w:p>
      <w:pPr>
        <w:pStyle w:val="Subsection"/>
        <w:keepNext/>
      </w:pPr>
      <w:r>
        <w:tab/>
        <w:t>(10)</w:t>
      </w:r>
      <w:r>
        <w:tab/>
        <w:t xml:space="preserve">For the purposes of subsections (2) and (6),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 xml:space="preserve">an order (other than an interim order) is made as a result of the application. </w:t>
      </w:r>
    </w:p>
    <w:p>
      <w:pPr>
        <w:pStyle w:val="Footnotesection"/>
      </w:pPr>
      <w:r>
        <w:tab/>
        <w:t>[Section 205ZCA inserted: No. 28 of 2022 s. 15.]</w:t>
      </w:r>
    </w:p>
    <w:p>
      <w:pPr>
        <w:pStyle w:val="Heading5"/>
      </w:pPr>
      <w:bookmarkStart w:id="560" w:name="_Toc114576145"/>
      <w:r>
        <w:rPr>
          <w:rStyle w:val="CharSectno"/>
        </w:rPr>
        <w:lastRenderedPageBreak/>
        <w:t>205ZD</w:t>
      </w:r>
      <w:r>
        <w:t>.</w:t>
      </w:r>
      <w:r>
        <w:tab/>
        <w:t>Matters to be taken into consideration in relation to maintenance — FLA s. 75</w:t>
      </w:r>
      <w:bookmarkEnd w:id="560"/>
    </w:p>
    <w:p>
      <w:pPr>
        <w:pStyle w:val="Ednotesubsection"/>
      </w:pPr>
      <w:r>
        <w:tab/>
        <w:t>[(1)</w:t>
      </w:r>
      <w:r>
        <w:tab/>
        <w:t>deleted.]</w:t>
      </w:r>
    </w:p>
    <w:p>
      <w:pPr>
        <w:pStyle w:val="Subsection"/>
      </w:pPr>
      <w:r>
        <w:tab/>
        <w:t>(2)</w:t>
      </w:r>
      <w:r>
        <w:tab/>
        <w:t>In exercising jurisdiction under section 205ZCA, the court must take into account only the matters referred to in subsection (3).</w:t>
      </w:r>
    </w:p>
    <w:p>
      <w:pPr>
        <w:pStyle w:val="Subsection"/>
        <w:keepNext/>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keepNext/>
      </w:pPr>
      <w:r>
        <w:tab/>
        <w:t>(ii)</w:t>
      </w:r>
      <w:r>
        <w:tab/>
        <w:t>a child or another person that the partner has a duty to maintain;</w:t>
      </w:r>
    </w:p>
    <w:p>
      <w:pPr>
        <w:pStyle w:val="Indenta"/>
      </w:pPr>
      <w:r>
        <w:tab/>
      </w:r>
      <w:r>
        <w:tab/>
        <w:t>and</w:t>
      </w:r>
    </w:p>
    <w:p>
      <w:pPr>
        <w:pStyle w:val="Indenta"/>
      </w:pPr>
      <w:r>
        <w:tab/>
        <w:t>(e)</w:t>
      </w:r>
      <w:r>
        <w:tab/>
        <w:t>the responsibilities of either de facto partner to support any other person; and</w:t>
      </w:r>
    </w:p>
    <w:p>
      <w:pPr>
        <w:pStyle w:val="Indenta"/>
        <w:keepNext/>
      </w:pPr>
      <w:r>
        <w:tab/>
        <w:t>(f)</w:t>
      </w:r>
      <w:r>
        <w:tab/>
        <w:t xml:space="preserve">subject to subsection (4), the eligibility of either de facto partner for a pension, allowance or benefit under — </w:t>
      </w:r>
    </w:p>
    <w:p>
      <w:pPr>
        <w:pStyle w:val="Indenti"/>
      </w:pPr>
      <w:r>
        <w:tab/>
        <w:t>(i)</w:t>
      </w:r>
      <w:r>
        <w:tab/>
        <w:t>any law of the Commonwealth, of a State or Territory or of another country; or</w:t>
      </w:r>
    </w:p>
    <w:p>
      <w:pPr>
        <w:pStyle w:val="Indenti"/>
        <w:keepNext/>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de facto partner; and</w:t>
      </w:r>
    </w:p>
    <w:p>
      <w:pPr>
        <w:pStyle w:val="Indenta"/>
      </w:pPr>
      <w:r>
        <w:lastRenderedPageBreak/>
        <w:tab/>
        <w:t>(g)</w:t>
      </w:r>
      <w:r>
        <w:tab/>
        <w:t>a standard of living that in all the circumstances is reasonable; and</w:t>
      </w:r>
    </w:p>
    <w:p>
      <w:pPr>
        <w:pStyle w:val="Indenta"/>
      </w:pPr>
      <w:r>
        <w:tab/>
        <w:t>(h)</w:t>
      </w:r>
      <w:r>
        <w:tab/>
        <w:t>the extent to which the payment of maintenance to the de facto partner whose maintenance is under consideration would increase the earning capacity of that partner by enabling that partner to undertake a course of education or training or to establish himself or herself in a business or otherwise to obtain an adequate income; and</w:t>
      </w:r>
    </w:p>
    <w:p>
      <w:pPr>
        <w:pStyle w:val="Indenta"/>
      </w:pPr>
      <w:r>
        <w:tab/>
        <w:t>(ha)</w:t>
      </w:r>
      <w:r>
        <w:tab/>
        <w:t>the effect of any proposed order on the ability of a creditor of a de facto partner to recover the creditor’s debt, so far as that effect is relevant; and</w:t>
      </w:r>
    </w:p>
    <w:p>
      <w:pPr>
        <w:pStyle w:val="Indenta"/>
      </w:pPr>
      <w:r>
        <w:tab/>
        <w:t>(i)</w:t>
      </w:r>
      <w:r>
        <w:tab/>
        <w:t>the extent to which the de facto partner whose maintenance is under consideration has contributed to the income, earning capacity, property and financial resources of the other de facto partner; and</w:t>
      </w:r>
    </w:p>
    <w:p>
      <w:pPr>
        <w:pStyle w:val="Indenta"/>
      </w:pPr>
      <w:r>
        <w:tab/>
        <w:t>(j)</w:t>
      </w:r>
      <w:r>
        <w:tab/>
        <w:t>the duration of the de facto relationship and the extent to which it has affected the earning capacity of the de facto partner whose maintenance is under consideration; and</w:t>
      </w:r>
    </w:p>
    <w:p>
      <w:pPr>
        <w:pStyle w:val="Indenta"/>
      </w:pPr>
      <w:r>
        <w:tab/>
        <w:t>(k)</w:t>
      </w:r>
      <w:r>
        <w:tab/>
        <w:t>the need to protect a de facto partner who wishes to continue that partner’s role as a parent; and</w:t>
      </w:r>
    </w:p>
    <w:p>
      <w:pPr>
        <w:pStyle w:val="Indenta"/>
      </w:pPr>
      <w:r>
        <w:tab/>
        <w:t>(l)</w:t>
      </w:r>
      <w:r>
        <w:tab/>
        <w:t>if either de facto partner is cohabiting with another person, the financial circumstances relating to the cohabitation; and</w:t>
      </w:r>
    </w:p>
    <w:p>
      <w:pPr>
        <w:pStyle w:val="Indenta"/>
        <w:keepNext/>
      </w:pPr>
      <w:r>
        <w:tab/>
        <w:t>(m)</w:t>
      </w:r>
      <w:r>
        <w:tab/>
        <w:t xml:space="preserve">the terms of any order made or proposed to be made under section 205ZG in relation to — </w:t>
      </w:r>
    </w:p>
    <w:p>
      <w:pPr>
        <w:pStyle w:val="Indenti"/>
      </w:pPr>
      <w:r>
        <w:tab/>
        <w:t>(i)</w:t>
      </w:r>
      <w:r>
        <w:tab/>
        <w:t>the property of the de facto partners; or</w:t>
      </w:r>
    </w:p>
    <w:p>
      <w:pPr>
        <w:pStyle w:val="Indenti"/>
        <w:keepNext/>
      </w:pPr>
      <w:r>
        <w:tab/>
        <w:t>(ii)</w:t>
      </w:r>
      <w:r>
        <w:tab/>
        <w:t>vested bankruptcy property in relation to a bankrupt de facto partner;</w:t>
      </w:r>
    </w:p>
    <w:p>
      <w:pPr>
        <w:pStyle w:val="Indenta"/>
      </w:pPr>
      <w:r>
        <w:tab/>
      </w:r>
      <w:r>
        <w:tab/>
        <w:t>and</w:t>
      </w:r>
    </w:p>
    <w:p>
      <w:pPr>
        <w:pStyle w:val="Indenta"/>
      </w:pPr>
      <w:r>
        <w:tab/>
        <w:t>(ma)</w:t>
      </w:r>
      <w:r>
        <w:tab/>
        <w:t>the terms of any order or declaration made or proposed to be made under the Family Law Act Part VIIIC in relation to a de facto partner; and</w:t>
      </w:r>
    </w:p>
    <w:p>
      <w:pPr>
        <w:pStyle w:val="Indenta"/>
      </w:pPr>
      <w:r>
        <w:lastRenderedPageBreak/>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 xml:space="preserve">the terms of any financial agreement or former financial agreement that is binding on the de facto partners; and </w:t>
      </w:r>
    </w:p>
    <w:p>
      <w:pPr>
        <w:pStyle w:val="Indenta"/>
      </w:pPr>
      <w:r>
        <w:tab/>
        <w:t>(q)</w:t>
      </w:r>
      <w:r>
        <w:tab/>
        <w:t>without limiting paragraph (p), the terms of any superannuation agreement between the de facto partners that is in force (as those terms are defined in the Family Law Act section 90YD).</w:t>
      </w:r>
    </w:p>
    <w:p>
      <w:pPr>
        <w:pStyle w:val="Subsection"/>
        <w:keepNext/>
      </w:pPr>
      <w:r>
        <w:tab/>
        <w:t>(4)</w:t>
      </w:r>
      <w:r>
        <w:tab/>
        <w:t>In exercising its jurisdiction under section 205ZCA,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 amended: No. 28 of 2022 s. 16.]</w:t>
      </w:r>
    </w:p>
    <w:p>
      <w:pPr>
        <w:pStyle w:val="Heading5"/>
      </w:pPr>
      <w:bookmarkStart w:id="561" w:name="_Toc114576146"/>
      <w:r>
        <w:rPr>
          <w:rStyle w:val="CharSectno"/>
        </w:rPr>
        <w:t>205ZE</w:t>
      </w:r>
      <w:r>
        <w:t>.</w:t>
      </w:r>
      <w:r>
        <w:tab/>
        <w:t>Urgent de facto partner maintenance cases — FLA s. 77</w:t>
      </w:r>
      <w:bookmarkEnd w:id="561"/>
    </w:p>
    <w:p>
      <w:pPr>
        <w:pStyle w:val="Subsection"/>
        <w:keepNext/>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562" w:name="_Toc114576147"/>
      <w:r>
        <w:rPr>
          <w:rStyle w:val="CharSectno"/>
        </w:rPr>
        <w:lastRenderedPageBreak/>
        <w:t>205ZF</w:t>
      </w:r>
      <w:r>
        <w:t>.</w:t>
      </w:r>
      <w:r>
        <w:tab/>
        <w:t>Specifications in orders of payments etc. for de facto maintenance purposes — FLA s. 77A</w:t>
      </w:r>
      <w:bookmarkEnd w:id="562"/>
    </w:p>
    <w:p>
      <w:pPr>
        <w:pStyle w:val="Subsection"/>
        <w:keepNext/>
      </w:pPr>
      <w:r>
        <w:tab/>
        <w:t>(1)</w:t>
      </w:r>
      <w:r>
        <w:tab/>
        <w:t xml:space="preserve">Where — </w:t>
      </w:r>
    </w:p>
    <w:p>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keepNext/>
      </w:pPr>
      <w:r>
        <w:tab/>
        <w:t>(ii)</w:t>
      </w:r>
      <w:r>
        <w:tab/>
        <w:t>the transfer or settlement of property;</w:t>
      </w:r>
    </w:p>
    <w:p>
      <w:pPr>
        <w:pStyle w:val="Indenta"/>
      </w:pPr>
      <w:r>
        <w:tab/>
      </w:r>
      <w:r>
        <w:tab/>
        <w:t>and</w:t>
      </w:r>
    </w:p>
    <w:p>
      <w:pPr>
        <w:pStyle w:val="Indenta"/>
        <w:keepNext/>
      </w:pPr>
      <w:r>
        <w:tab/>
        <w:t>(b)</w:t>
      </w:r>
      <w:r>
        <w:tab/>
        <w:t>the purpose, or one of the purposes, of the payment, transfer or settlement is to make provision for the maintenance of a de facto partner,</w:t>
      </w:r>
    </w:p>
    <w:p>
      <w:pPr>
        <w:pStyle w:val="Subsection"/>
        <w:keepNext/>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 xml:space="preserve">any payment, transfer or settlement of a kind referred to in subsection (1)(a), that the order has the effect of requiring, is to </w:t>
      </w:r>
      <w:r>
        <w:lastRenderedPageBreak/>
        <w:t>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563" w:name="_Toc114576148"/>
      <w:r>
        <w:rPr>
          <w:rStyle w:val="CharSectno"/>
        </w:rPr>
        <w:t>205ZG</w:t>
      </w:r>
      <w:r>
        <w:t>.</w:t>
      </w:r>
      <w:r>
        <w:tab/>
        <w:t>Alteration of property interests — FLA s. 79</w:t>
      </w:r>
      <w:bookmarkEnd w:id="563"/>
    </w:p>
    <w:p>
      <w:pPr>
        <w:pStyle w:val="Subsection"/>
        <w:keepNext/>
      </w:pPr>
      <w:r>
        <w:tab/>
        <w:t>(1)</w:t>
      </w:r>
      <w:r>
        <w:tab/>
        <w:t xml:space="preserve">In property settlement proceedings, the court may make such order as it considers appropriate — </w:t>
      </w:r>
    </w:p>
    <w:p>
      <w:pPr>
        <w:pStyle w:val="Indenta"/>
      </w:pPr>
      <w:r>
        <w:tab/>
        <w:t>(a)</w:t>
      </w:r>
      <w:r>
        <w:tab/>
        <w:t xml:space="preserve">in the case of proceedings with respect to the property of the de facto partners, or either of them — altering the interests of the partners in the property; or </w:t>
      </w:r>
    </w:p>
    <w:p>
      <w:pPr>
        <w:pStyle w:val="Indenta"/>
      </w:pPr>
      <w:r>
        <w:tab/>
        <w:t>(b)</w:t>
      </w:r>
      <w:r>
        <w:tab/>
        <w:t>in the case of proceedings with respect to the vested bankruptcy property in relation to a bankrupt de facto partner — altering the interests of the bankruptcy trustee in the vested bankruptcy property.</w:t>
      </w:r>
    </w:p>
    <w:p>
      <w:pPr>
        <w:pStyle w:val="Subsection"/>
        <w:keepNext/>
      </w:pPr>
      <w:r>
        <w:tab/>
        <w:t>(1A)</w:t>
      </w:r>
      <w:r>
        <w:tab/>
        <w:t xml:space="preserve">An order made under subsection (1) may include — </w:t>
      </w:r>
    </w:p>
    <w:p>
      <w:pPr>
        <w:pStyle w:val="Indenta"/>
      </w:pPr>
      <w:r>
        <w:tab/>
        <w:t>(a)</w:t>
      </w:r>
      <w:r>
        <w:tab/>
        <w:t>an order for a settlement of property in substitution for any interest in the property; and</w:t>
      </w:r>
    </w:p>
    <w:p>
      <w:pPr>
        <w:pStyle w:val="Indenta"/>
      </w:pPr>
      <w:r>
        <w:tab/>
        <w:t>(b)</w:t>
      </w:r>
      <w:r>
        <w:tab/>
        <w:t>an order requiring either or both of the de facto partners, or the relevant bankruptcy trustee (if any), to make, for the benefit of either or both of the de facto partners or a child of the de facto relationship, such settlement or transfer of property as the court determines.</w:t>
      </w:r>
    </w:p>
    <w:p>
      <w:pPr>
        <w:pStyle w:val="Subsection"/>
      </w:pPr>
      <w:r>
        <w:tab/>
        <w:t>(2)</w:t>
      </w:r>
      <w:r>
        <w:tab/>
        <w:t>An order made under subsection (1) in property settlement proceedings may, after the death of 1 of the de facto partners,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keepNext/>
      </w:pPr>
      <w:r>
        <w:lastRenderedPageBreak/>
        <w:tab/>
        <w:t>(4)</w:t>
      </w:r>
      <w:r>
        <w:tab/>
        <w:t xml:space="preserve">In considering what order (if any) should be made under this section in property settlement proceedings the court must take into account — </w:t>
      </w:r>
    </w:p>
    <w:p>
      <w:pPr>
        <w:pStyle w:val="Indenta"/>
      </w:pPr>
      <w:r>
        <w:tab/>
        <w:t>(a)</w:t>
      </w:r>
      <w:r>
        <w:tab/>
        <w:t>the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 xml:space="preserve">any child support under the Child Support (Assessment) Act that a de facto partner has provided, is to provide, or </w:t>
      </w:r>
      <w:r>
        <w:lastRenderedPageBreak/>
        <w:t>might be liable to provide in the future, for a child of the de facto relationship.</w:t>
      </w:r>
    </w:p>
    <w:p>
      <w:pPr>
        <w:pStyle w:val="Subsection"/>
        <w:keepNext/>
      </w:pPr>
      <w:r>
        <w:tab/>
        <w:t>(5)</w:t>
      </w:r>
      <w:r>
        <w:tab/>
        <w:t xml:space="preserve">Subsection (5A) applies if, in property settlement proceedings,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keepNext/>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could make immediately with respect to those following matters — </w:t>
      </w:r>
    </w:p>
    <w:p>
      <w:pPr>
        <w:pStyle w:val="Indenti"/>
      </w:pPr>
      <w:r>
        <w:tab/>
        <w:t>(i)</w:t>
      </w:r>
      <w:r>
        <w:tab/>
        <w:t>the property of the de facto partners, or either of them;</w:t>
      </w:r>
    </w:p>
    <w:p>
      <w:pPr>
        <w:pStyle w:val="Indenti"/>
      </w:pPr>
      <w:r>
        <w:tab/>
        <w:t>(ii)</w:t>
      </w:r>
      <w:r>
        <w:tab/>
        <w:t>the vested bankruptcy property in relation to a bankrupt de facto partner.</w:t>
      </w:r>
    </w:p>
    <w:p>
      <w:pPr>
        <w:pStyle w:val="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pPr>
        <w:pStyle w:val="Subsection"/>
        <w:keepNext/>
      </w:pPr>
      <w:r>
        <w:tab/>
        <w:t>(6)</w:t>
      </w:r>
      <w:r>
        <w:tab/>
        <w:t xml:space="preserve">Where a court proposes to adjourn proceedings as provided by subsection (5A), the court may, before so adjourning the proceedings, make such interim order or orders or such other </w:t>
      </w:r>
      <w:r>
        <w:lastRenderedPageBreak/>
        <w:t xml:space="preserve">order or orders (if any) as it considers appropriate with respect to — </w:t>
      </w:r>
    </w:p>
    <w:p>
      <w:pPr>
        <w:pStyle w:val="Indenta"/>
      </w:pPr>
      <w:r>
        <w:tab/>
        <w:t>(a)</w:t>
      </w:r>
      <w:r>
        <w:tab/>
        <w:t xml:space="preserve">any of the property of the de facto partners, or of either of them; or </w:t>
      </w:r>
    </w:p>
    <w:p>
      <w:pPr>
        <w:pStyle w:val="Indenta"/>
      </w:pPr>
      <w:r>
        <w:tab/>
        <w:t>(b)</w:t>
      </w:r>
      <w:r>
        <w:tab/>
        <w:t xml:space="preserve">any of the vested bankruptcy property in relation to a bankrupt de facto partner. </w:t>
      </w:r>
    </w:p>
    <w:p>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keepNext/>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keepNext/>
      </w:pPr>
      <w:r>
        <w:tab/>
        <w:t>(8)</w:t>
      </w:r>
      <w:r>
        <w:tab/>
        <w:t xml:space="preserve">Where, before property settlement proceedings are completed, either de facto partner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keepNext/>
      </w:pPr>
      <w:r>
        <w:tab/>
        <w:t>(b)</w:t>
      </w:r>
      <w:r>
        <w:tab/>
        <w:t xml:space="preserve">if the court is of the opinion that it would have made an order with respect to property if the deceased party had not died, and that it is still appropriate to make an order </w:t>
      </w:r>
      <w:r>
        <w:lastRenderedPageBreak/>
        <w:t xml:space="preserve">with respect to property, the court may make such order as it considers appropriate with respect to — </w:t>
      </w:r>
    </w:p>
    <w:p>
      <w:pPr>
        <w:pStyle w:val="Indenti"/>
      </w:pPr>
      <w:r>
        <w:tab/>
        <w:t>(i)</w:t>
      </w:r>
      <w:r>
        <w:tab/>
        <w:t>any of the property of the de facto partners, or either of them; or</w:t>
      </w:r>
    </w:p>
    <w:p>
      <w:pPr>
        <w:pStyle w:val="Indenti"/>
        <w:keepNext/>
      </w:pPr>
      <w:r>
        <w:tab/>
        <w:t>(ii)</w:t>
      </w:r>
      <w:r>
        <w:tab/>
        <w:t>any of the vested bankruptcy property in relation to a bankrupt de facto partner;</w:t>
      </w:r>
    </w:p>
    <w:p>
      <w:pPr>
        <w:pStyle w:val="Indenta"/>
      </w:pPr>
      <w:r>
        <w:tab/>
      </w:r>
      <w:r>
        <w:tab/>
        <w:t>and</w:t>
      </w:r>
    </w:p>
    <w:p>
      <w:pPr>
        <w:pStyle w:val="Indenta"/>
      </w:pPr>
      <w:r>
        <w:tab/>
        <w:t>(c)</w:t>
      </w:r>
      <w:r>
        <w:tab/>
        <w:t>an order made by the court pursuant to paragraph (b) may be enforced on behalf of, or against, as the case may be, the estate of the deceased party.</w:t>
      </w:r>
    </w:p>
    <w:p>
      <w:pPr>
        <w:pStyle w:val="Subsection"/>
        <w:keepNext/>
      </w:pPr>
      <w:r>
        <w:tab/>
        <w:t>(9)</w:t>
      </w:r>
      <w:r>
        <w:tab/>
        <w:t xml:space="preserve">A court must not make an order under this section in property settlement proceedings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Subsection"/>
        <w:keepNext/>
      </w:pPr>
      <w:r>
        <w:tab/>
        <w:t>(10)</w:t>
      </w:r>
      <w:r>
        <w:tab/>
        <w:t xml:space="preserve">The following are entitled to become a party to proceedings in which an application is made for an order under this section — </w:t>
      </w:r>
    </w:p>
    <w:p>
      <w:pPr>
        <w:pStyle w:val="Indenta"/>
      </w:pPr>
      <w:r>
        <w:tab/>
        <w:t>(a)</w:t>
      </w:r>
      <w:r>
        <w:tab/>
        <w:t>a creditor of a party to the proceedings if the creditor may not be able to recover the creditor’s debt if the order were made;</w:t>
      </w:r>
    </w:p>
    <w:p>
      <w:pPr>
        <w:pStyle w:val="Indenta"/>
      </w:pPr>
      <w:r>
        <w:lastRenderedPageBreak/>
        <w:tab/>
        <w:t>(b)</w:t>
      </w:r>
      <w:r>
        <w:tab/>
        <w:t>any other person whose interests would be affected by the making of the order.</w:t>
      </w:r>
    </w:p>
    <w:p>
      <w:pPr>
        <w:pStyle w:val="Subsection"/>
        <w:keepNext/>
      </w:pPr>
      <w:r>
        <w:tab/>
        <w:t>(11)</w:t>
      </w:r>
      <w:r>
        <w:tab/>
        <w:t xml:space="preserve">Subsection (10) does not apply to a creditor of a party to the proceedings — </w:t>
      </w:r>
    </w:p>
    <w:p>
      <w:pPr>
        <w:pStyle w:val="Indenta"/>
      </w:pPr>
      <w:r>
        <w:tab/>
        <w:t>(a)</w:t>
      </w:r>
      <w:r>
        <w:tab/>
        <w:t>if the party is a bankrupt, to the extent to which the debt is a provable debt (within the meaning of the Bankruptcy Act); or</w:t>
      </w:r>
    </w:p>
    <w:p>
      <w:pPr>
        <w:pStyle w:val="Indenta"/>
      </w:pPr>
      <w:r>
        <w:tab/>
        <w:t>(b)</w:t>
      </w:r>
      <w:r>
        <w:tab/>
        <w:t>if the party is a debtor subject to a personal insolvency agreement, to the extent to which the debt is covered by the personal insolvency agreement.</w:t>
      </w:r>
    </w:p>
    <w:p>
      <w:pPr>
        <w:pStyle w:val="Subsection"/>
        <w:keepNext/>
      </w:pPr>
      <w:r>
        <w:tab/>
        <w:t>(12)</w:t>
      </w:r>
      <w:r>
        <w:tab/>
        <w:t xml:space="preserve">Subsection (13)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the bankruptcy trustee applies to the court to be joined as a party to the proceedings; and</w:t>
      </w:r>
    </w:p>
    <w:p>
      <w:pPr>
        <w:pStyle w:val="Indenta"/>
      </w:pPr>
      <w:r>
        <w:tab/>
        <w:t>(d)</w:t>
      </w:r>
      <w:r>
        <w:tab/>
        <w:t>the court is satisfied that the interests of the bankrupt’s creditors may be affected by the making of an order under this section in the proceedings.</w:t>
      </w:r>
    </w:p>
    <w:p>
      <w:pPr>
        <w:pStyle w:val="Subsection"/>
      </w:pPr>
      <w:r>
        <w:tab/>
        <w:t>(13)</w:t>
      </w:r>
      <w:r>
        <w:tab/>
        <w:t>The court must join the bankruptcy trustee as a party to the proceedings.</w:t>
      </w:r>
    </w:p>
    <w:p>
      <w:pPr>
        <w:pStyle w:val="Subsection"/>
      </w:pPr>
      <w:r>
        <w:tab/>
        <w:t>(14)</w:t>
      </w:r>
      <w:r>
        <w:tab/>
        <w:t xml:space="preserve">If a bankruptcy trustee is a party to property settlement proceedings, then, except with the leave of the court, the </w:t>
      </w:r>
      <w:r>
        <w:lastRenderedPageBreak/>
        <w:t>bankrupt de facto partner is not entitled to make a submission to the court in connection with any vested bankruptcy property in relation to the bankrupt partner.</w:t>
      </w:r>
    </w:p>
    <w:p>
      <w:pPr>
        <w:pStyle w:val="Subsection"/>
      </w:pPr>
      <w:r>
        <w:tab/>
        <w:t>(15)</w:t>
      </w:r>
      <w:r>
        <w:tab/>
        <w:t>The court must not grant leave under subsection (14) unless the court is satisfied that there are exceptional circumstances.</w:t>
      </w:r>
    </w:p>
    <w:p>
      <w:pPr>
        <w:pStyle w:val="Subsection"/>
        <w:keepNext/>
      </w:pPr>
      <w:r>
        <w:tab/>
        <w:t>(16)</w:t>
      </w:r>
      <w:r>
        <w:tab/>
        <w:t xml:space="preserve">Subsection (17)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either of the following subparagraphs apply to a de facto partner (the</w:t>
      </w:r>
      <w:r>
        <w:rPr>
          <w:b/>
          <w:bCs/>
        </w:rPr>
        <w:t xml:space="preserve"> </w:t>
      </w:r>
      <w:r>
        <w:rPr>
          <w:rStyle w:val="CharDefText"/>
        </w:rPr>
        <w:t>debtor party</w:t>
      </w:r>
      <w:r>
        <w:t xml:space="preserve">) — </w:t>
      </w:r>
    </w:p>
    <w:p>
      <w:pPr>
        <w:pStyle w:val="Indenti"/>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(17)</w:t>
      </w:r>
      <w:r>
        <w:tab/>
        <w:t xml:space="preserve">The court must join the trustee of the agreement as a party to the proceedings. </w:t>
      </w:r>
    </w:p>
    <w:p>
      <w:pPr>
        <w:pStyle w:val="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pPr>
        <w:pStyle w:val="Subsection"/>
      </w:pPr>
      <w:r>
        <w:lastRenderedPageBreak/>
        <w:tab/>
        <w:t>(19)</w:t>
      </w:r>
      <w:r>
        <w:tab/>
        <w:t>The court must not grant leave under subsection (18) unless the court is satisfied that there are exceptional circumstances.</w:t>
      </w:r>
    </w:p>
    <w:p>
      <w:pPr>
        <w:pStyle w:val="Subsection"/>
        <w:keepNext/>
      </w:pPr>
      <w:r>
        <w:tab/>
        <w:t>(20)</w:t>
      </w:r>
      <w:r>
        <w:tab/>
        <w:t xml:space="preserve">For the purposes of subsections (12) and (16),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an order (other than an interim order) is made as a result of the application.</w:t>
      </w:r>
    </w:p>
    <w:p>
      <w:pPr>
        <w:pStyle w:val="Footnotesection"/>
        <w:ind w:left="890" w:hanging="890"/>
      </w:pPr>
      <w:r>
        <w:tab/>
        <w:t>[Section 205ZG inserted: No. 25 of 2002 s. 47; amended: No. 28 of 2022 s. 17.]</w:t>
      </w:r>
    </w:p>
    <w:p>
      <w:pPr>
        <w:pStyle w:val="Heading5"/>
        <w:keepNext w:val="0"/>
        <w:spacing w:before="260"/>
      </w:pPr>
      <w:bookmarkStart w:id="564" w:name="_Toc114576149"/>
      <w:r>
        <w:rPr>
          <w:rStyle w:val="CharSectno"/>
        </w:rPr>
        <w:t>205ZH</w:t>
      </w:r>
      <w:r>
        <w:t>.</w:t>
      </w:r>
      <w:r>
        <w:tab/>
        <w:t>Setting aside of orders altering property interests — FLA s. 79A</w:t>
      </w:r>
      <w:bookmarkEnd w:id="564"/>
    </w:p>
    <w:p>
      <w:pPr>
        <w:pStyle w:val="Subsection"/>
        <w:keepNext/>
      </w:pPr>
      <w:r>
        <w:tab/>
        <w:t>(1)</w:t>
      </w:r>
      <w:r>
        <w:tab/>
        <w:t xml:space="preserve">Where, on application by a person affected by an order made by a court under section 205ZG in property settlement proceedings,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 xml:space="preserve">in the circumstances that have arisen since the making of the order, being circumstances of an exceptional nature relating to the care, welfare and development of a child of the de facto relationship, the child or, where the applicant has caring responsibility for the child (within </w:t>
      </w:r>
      <w:r>
        <w:lastRenderedPageBreak/>
        <w:t>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property settlement proceedings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keepNext/>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keepNext/>
        <w:spacing w:before="200"/>
      </w:pPr>
      <w:r>
        <w:lastRenderedPageBreak/>
        <w:tab/>
        <w:t>(5)</w:t>
      </w:r>
      <w:r>
        <w:tab/>
        <w:t xml:space="preserve">Where, before proceedings under this section in relation to an order made under section 205ZG are completed, either de facto partner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Subsection"/>
      </w:pPr>
      <w:r>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pPr>
        <w:pStyle w:val="Subsection"/>
        <w:keepNext/>
      </w:pPr>
      <w:r>
        <w:lastRenderedPageBreak/>
        <w:tab/>
        <w:t>(8)</w:t>
      </w:r>
      <w:r>
        <w:tab/>
        <w:t xml:space="preserve">Subsection (9)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bankrupt;</w:t>
      </w:r>
    </w:p>
    <w:p>
      <w:pPr>
        <w:pStyle w:val="Indenti"/>
      </w:pPr>
      <w:r>
        <w:tab/>
        <w:t>(ii)</w:t>
      </w:r>
      <w:r>
        <w:tab/>
        <w:t>after the order was made, the de facto partner became a bankrupt.</w:t>
      </w:r>
    </w:p>
    <w:p>
      <w:pPr>
        <w:pStyle w:val="Subsection"/>
      </w:pPr>
      <w:r>
        <w:tab/>
        <w:t>(9)</w:t>
      </w:r>
      <w:r>
        <w:tab/>
        <w:t xml:space="preserve">For the purposes of this section, the bankruptcy trustee is taken to be a person whose interests are affected by the order. </w:t>
      </w:r>
    </w:p>
    <w:p>
      <w:pPr>
        <w:pStyle w:val="Subsection"/>
        <w:keepNext/>
      </w:pPr>
      <w:r>
        <w:tab/>
        <w:t>(10)</w:t>
      </w:r>
      <w:r>
        <w:tab/>
        <w:t xml:space="preserve">Subsection (11) applies if — </w:t>
      </w:r>
    </w:p>
    <w:p>
      <w:pPr>
        <w:pStyle w:val="Indenta"/>
      </w:pPr>
      <w:r>
        <w:tab/>
        <w:t>(a)</w:t>
      </w:r>
      <w:r>
        <w:tab/>
        <w:t xml:space="preserve">a de facto partner is a bankrupt; and </w:t>
      </w:r>
    </w:p>
    <w:p>
      <w:pPr>
        <w:pStyle w:val="Indenta"/>
      </w:pPr>
      <w:r>
        <w:tab/>
        <w:t>(b)</w:t>
      </w:r>
      <w:r>
        <w:tab/>
        <w:t>an order is made by a court under section 205ZG in proceedings with respect to the vested bankruptcy property in relation to the bankrupt partner.</w:t>
      </w:r>
    </w:p>
    <w:p>
      <w:pPr>
        <w:pStyle w:val="Subsection"/>
      </w:pPr>
      <w:r>
        <w:tab/>
        <w:t>(11)</w:t>
      </w:r>
      <w:r>
        <w:tab/>
        <w:t xml:space="preserve">For the purposes of this section, the bankruptcy trustee is taken to be a person whose interests are affected by the order. </w:t>
      </w:r>
    </w:p>
    <w:p>
      <w:pPr>
        <w:pStyle w:val="Subsection"/>
        <w:keepNext/>
      </w:pPr>
      <w:r>
        <w:tab/>
        <w:t>(12)</w:t>
      </w:r>
      <w:r>
        <w:tab/>
        <w:t xml:space="preserve">Subsection (13)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debtor subject to a personal insolvency agreement;</w:t>
      </w:r>
    </w:p>
    <w:p>
      <w:pPr>
        <w:pStyle w:val="Indenti"/>
      </w:pPr>
      <w:r>
        <w:tab/>
        <w:t>(ii)</w:t>
      </w:r>
      <w:r>
        <w:tab/>
        <w:t>after the order was made, the de facto partner became a debtor subject to a personal insolvency agreement.</w:t>
      </w:r>
    </w:p>
    <w:p>
      <w:pPr>
        <w:pStyle w:val="Subsection"/>
        <w:keepNext/>
      </w:pPr>
      <w:r>
        <w:lastRenderedPageBreak/>
        <w:tab/>
        <w:t>(13)</w:t>
      </w:r>
      <w:r>
        <w:tab/>
        <w:t>For the purposes of this section, the trustee of the agreement is taken to be a person whose interests are affected by the order.</w:t>
      </w:r>
    </w:p>
    <w:p>
      <w:pPr>
        <w:pStyle w:val="Footnotesection"/>
      </w:pPr>
      <w:r>
        <w:tab/>
        <w:t>[Section 205ZH inserted: No. 25 of 2002 s. 47; amended: No. 35 of 2006 s. 43 and 164; No. 28 of 2022 s. 18.]</w:t>
      </w:r>
    </w:p>
    <w:p>
      <w:pPr>
        <w:pStyle w:val="Heading5"/>
        <w:tabs>
          <w:tab w:val="clear" w:pos="879"/>
          <w:tab w:val="left" w:pos="993"/>
        </w:tabs>
      </w:pPr>
      <w:bookmarkStart w:id="565" w:name="_Toc114576150"/>
      <w:r>
        <w:rPr>
          <w:rStyle w:val="CharSectno"/>
        </w:rPr>
        <w:t>205ZHA</w:t>
      </w:r>
      <w:r>
        <w:t>.</w:t>
      </w:r>
      <w:r>
        <w:tab/>
        <w:t>Notification of criminal confiscation orders etc. — FLA s. 79B</w:t>
      </w:r>
      <w:bookmarkEnd w:id="565"/>
    </w:p>
    <w:p>
      <w:pPr>
        <w:pStyle w:val="Subsection"/>
        <w:keepNext/>
      </w:pPr>
      <w:r>
        <w:tab/>
        <w:t>(1)</w:t>
      </w:r>
      <w:r>
        <w:tab/>
        <w:t xml:space="preserve">If — </w:t>
      </w:r>
    </w:p>
    <w:p>
      <w:pPr>
        <w:pStyle w:val="Indenta"/>
        <w:keepNext/>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keepNext/>
      </w:pPr>
      <w:r>
        <w:tab/>
        <w:t>(d)</w:t>
      </w:r>
      <w:r>
        <w:tab/>
        <w:t>give to the court a sealed copy of that order or declaration.</w:t>
      </w:r>
    </w:p>
    <w:p>
      <w:pPr>
        <w:pStyle w:val="Penstart"/>
      </w:pPr>
      <w:r>
        <w:tab/>
        <w:t>Penalty: $5 500.</w:t>
      </w:r>
    </w:p>
    <w:p>
      <w:pPr>
        <w:pStyle w:val="Subsection"/>
        <w:keepNext/>
      </w:pPr>
      <w:r>
        <w:tab/>
        <w:t>(2)</w:t>
      </w:r>
      <w:r>
        <w:tab/>
        <w:t xml:space="preserve">If — </w:t>
      </w:r>
    </w:p>
    <w:p>
      <w:pPr>
        <w:pStyle w:val="Indenta"/>
      </w:pPr>
      <w:r>
        <w:tab/>
        <w:t>(a)</w:t>
      </w:r>
      <w:r>
        <w:tab/>
        <w:t xml:space="preserve">a person is a party to a proceeding under this Division; and </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lastRenderedPageBreak/>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pPr>
      <w:r>
        <w:tab/>
        <w:t>[Section 205ZHA inserted: No. 35 of 2006 s. 44.]</w:t>
      </w:r>
    </w:p>
    <w:p>
      <w:pPr>
        <w:pStyle w:val="Heading5"/>
        <w:tabs>
          <w:tab w:val="clear" w:pos="879"/>
          <w:tab w:val="left" w:pos="993"/>
        </w:tabs>
        <w:spacing w:before="240"/>
      </w:pPr>
      <w:bookmarkStart w:id="566" w:name="_Toc114576151"/>
      <w:r>
        <w:rPr>
          <w:rStyle w:val="CharSectno"/>
        </w:rPr>
        <w:t>205ZHB</w:t>
      </w:r>
      <w:r>
        <w:t>.</w:t>
      </w:r>
      <w:r>
        <w:tab/>
        <w:t>Court to stay proceedings under this Division affected by criminal confiscation order etc. — FLA s. 79C</w:t>
      </w:r>
      <w:bookmarkEnd w:id="566"/>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lastRenderedPageBreak/>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567" w:name="_Toc114576152"/>
      <w:r>
        <w:rPr>
          <w:rStyle w:val="CharSectno"/>
        </w:rPr>
        <w:t>205ZHC</w:t>
      </w:r>
      <w:r>
        <w:t>.</w:t>
      </w:r>
      <w:r>
        <w:tab/>
        <w:t>Lifting a stay — FLA s. 79D</w:t>
      </w:r>
      <w:bookmarkEnd w:id="567"/>
    </w:p>
    <w:p>
      <w:pPr>
        <w:pStyle w:val="Subsection"/>
        <w:keepNext/>
      </w:pPr>
      <w:r>
        <w:tab/>
        <w:t>(1)</w:t>
      </w:r>
      <w:r>
        <w:tab/>
        <w:t xml:space="preserve">A court that stayed proceedings under section 205ZHB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keepNext/>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 amended: No. 28 of 2022 s. 19.]</w:t>
      </w:r>
    </w:p>
    <w:p>
      <w:pPr>
        <w:pStyle w:val="Heading5"/>
        <w:tabs>
          <w:tab w:val="clear" w:pos="879"/>
          <w:tab w:val="left" w:pos="993"/>
        </w:tabs>
      </w:pPr>
      <w:bookmarkStart w:id="568" w:name="_Toc114576153"/>
      <w:r>
        <w:rPr>
          <w:rStyle w:val="CharSectno"/>
        </w:rPr>
        <w:t>205ZHD</w:t>
      </w:r>
      <w:r>
        <w:t>.</w:t>
      </w:r>
      <w:r>
        <w:tab/>
        <w:t>Intervention by DPP — FLA s. 79E</w:t>
      </w:r>
      <w:bookmarkEnd w:id="568"/>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keepNext/>
      </w:pPr>
      <w:r>
        <w:lastRenderedPageBreak/>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tabs>
          <w:tab w:val="clear" w:pos="879"/>
          <w:tab w:val="left" w:pos="993"/>
        </w:tabs>
      </w:pPr>
      <w:bookmarkStart w:id="569" w:name="_Toc112422766"/>
      <w:bookmarkStart w:id="570" w:name="_Toc112914462"/>
      <w:bookmarkStart w:id="571" w:name="_Toc114576154"/>
      <w:r>
        <w:rPr>
          <w:rStyle w:val="CharSectno"/>
        </w:rPr>
        <w:t>205ZHE</w:t>
      </w:r>
      <w:r>
        <w:t>.</w:t>
      </w:r>
      <w:r>
        <w:tab/>
        <w:t>Notifying third parties about application — FLA s. 79F</w:t>
      </w:r>
      <w:bookmarkEnd w:id="569"/>
      <w:bookmarkEnd w:id="570"/>
      <w:bookmarkEnd w:id="571"/>
    </w:p>
    <w:p>
      <w:pPr>
        <w:pStyle w:val="Subsection"/>
        <w:keepNext/>
      </w:pPr>
      <w:r>
        <w:tab/>
        <w:t>(1)</w:t>
      </w:r>
      <w:r>
        <w:tab/>
        <w:t xml:space="preserve">Subsection (2) applies in relation to a person who — </w:t>
      </w:r>
    </w:p>
    <w:p>
      <w:pPr>
        <w:pStyle w:val="Indenta"/>
      </w:pPr>
      <w:r>
        <w:tab/>
        <w:t>(a)</w:t>
      </w:r>
      <w:r>
        <w:tab/>
        <w:t>applies for an order under this Division; or</w:t>
      </w:r>
    </w:p>
    <w:p>
      <w:pPr>
        <w:pStyle w:val="Indenta"/>
      </w:pPr>
      <w:r>
        <w:tab/>
        <w:t>(b)</w:t>
      </w:r>
      <w:r>
        <w:tab/>
        <w:t>is a party to proceedings for an order under this Division.</w:t>
      </w:r>
    </w:p>
    <w:p>
      <w:pPr>
        <w:pStyle w:val="Subsection"/>
        <w:keepNext/>
      </w:pPr>
      <w:r>
        <w:tab/>
        <w:t>(2)</w:t>
      </w:r>
      <w:r>
        <w:tab/>
        <w:t>The rules may specify the circumstances in which a person referred to in subsection (1) is to give notice of the application to a person who is not a party to the proceedings.</w:t>
      </w:r>
    </w:p>
    <w:p>
      <w:pPr>
        <w:pStyle w:val="Footnotesection"/>
      </w:pPr>
      <w:r>
        <w:tab/>
        <w:t>[Section 205ZHE inserted: No. 28 of 2022 s. 20.]</w:t>
      </w:r>
    </w:p>
    <w:p>
      <w:pPr>
        <w:pStyle w:val="Heading5"/>
        <w:tabs>
          <w:tab w:val="clear" w:pos="879"/>
          <w:tab w:val="left" w:pos="993"/>
        </w:tabs>
      </w:pPr>
      <w:bookmarkStart w:id="572" w:name="_Toc112422767"/>
      <w:bookmarkStart w:id="573" w:name="_Toc112914463"/>
      <w:bookmarkStart w:id="574" w:name="_Toc114576155"/>
      <w:r>
        <w:rPr>
          <w:rStyle w:val="CharSectno"/>
        </w:rPr>
        <w:t>205ZHF</w:t>
      </w:r>
      <w:r>
        <w:t>.</w:t>
      </w:r>
      <w:r>
        <w:tab/>
        <w:t>Notifying bankruptcy trustee etc. about application under section 205ZA, 205ZCA, 205ZG or 205ZH — FLA s. 79G</w:t>
      </w:r>
      <w:bookmarkEnd w:id="572"/>
      <w:bookmarkEnd w:id="573"/>
      <w:bookmarkEnd w:id="574"/>
    </w:p>
    <w:p>
      <w:pPr>
        <w:pStyle w:val="Subsection"/>
      </w:pPr>
      <w:r>
        <w:tab/>
        <w:t>(1)</w:t>
      </w:r>
      <w:r>
        <w:tab/>
        <w:t>The rules may make provision for a bankrupt who becomes a party to a proceeding for an application under section 205ZA, 205ZCA, 205ZG or 205ZH to give notice of the application to the bankruptcy trustee.</w:t>
      </w:r>
    </w:p>
    <w:p>
      <w:pPr>
        <w:pStyle w:val="Subsection"/>
        <w:keepNext/>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Footnotesection"/>
      </w:pPr>
      <w:bookmarkStart w:id="575" w:name="_Toc112422768"/>
      <w:bookmarkStart w:id="576" w:name="_Toc112914464"/>
      <w:r>
        <w:tab/>
        <w:t>[Section 205ZHF inserted: No. 28 of 2022 s. 20.]</w:t>
      </w:r>
    </w:p>
    <w:p>
      <w:pPr>
        <w:pStyle w:val="Heading5"/>
        <w:tabs>
          <w:tab w:val="clear" w:pos="879"/>
          <w:tab w:val="left" w:pos="993"/>
        </w:tabs>
      </w:pPr>
      <w:bookmarkStart w:id="577" w:name="_Toc114576156"/>
      <w:r>
        <w:rPr>
          <w:rStyle w:val="CharSectno"/>
        </w:rPr>
        <w:t>205ZHG</w:t>
      </w:r>
      <w:r>
        <w:t>.</w:t>
      </w:r>
      <w:r>
        <w:tab/>
        <w:t>Notifying court about bankruptcy etc. — FLA s. 79H</w:t>
      </w:r>
      <w:bookmarkEnd w:id="575"/>
      <w:bookmarkEnd w:id="576"/>
      <w:bookmarkEnd w:id="577"/>
    </w:p>
    <w:p>
      <w:pPr>
        <w:pStyle w:val="Subsection"/>
        <w:keepNext/>
      </w:pPr>
      <w:r>
        <w:tab/>
        <w:t>(1)</w:t>
      </w:r>
      <w:r>
        <w:tab/>
        <w:t xml:space="preserve">Subsection (2)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lastRenderedPageBreak/>
        <w:tab/>
        <w:t>(c)</w:t>
      </w:r>
      <w:r>
        <w:tab/>
        <w:t>before that application is finally determined, becomes a bankrupt.</w:t>
      </w:r>
    </w:p>
    <w:p>
      <w:pPr>
        <w:pStyle w:val="Subsection"/>
      </w:pPr>
      <w:r>
        <w:tab/>
        <w:t>(2)</w:t>
      </w:r>
      <w:r>
        <w:tab/>
        <w:t xml:space="preserve">The rules may make provision for a person referred to in subsection (1) to notify a court exercising jurisdiction under this Act that the person has become a bankrupt. </w:t>
      </w:r>
    </w:p>
    <w:p>
      <w:pPr>
        <w:pStyle w:val="Subsection"/>
        <w:keepNext/>
      </w:pPr>
      <w:r>
        <w:tab/>
        <w:t>(3)</w:t>
      </w:r>
      <w:r>
        <w:tab/>
        <w:t xml:space="preserve">Subsection (4)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debtor subject to a personal insolvency agreement.</w:t>
      </w:r>
    </w:p>
    <w:p>
      <w:pPr>
        <w:pStyle w:val="Subsection"/>
      </w:pPr>
      <w:r>
        <w:tab/>
        <w:t>(4)</w:t>
      </w:r>
      <w:r>
        <w:tab/>
        <w:t xml:space="preserve">The rules may make provision for a person referred to in subsection (3) to notify a court exercising jurisdiction under this Act that the person has become a debtor subject to a personal insolvency agreement. </w:t>
      </w:r>
    </w:p>
    <w:p>
      <w:pPr>
        <w:pStyle w:val="Subsection"/>
        <w:keepNext/>
      </w:pPr>
      <w:r>
        <w:tab/>
        <w:t>(5)</w:t>
      </w:r>
      <w:r>
        <w:tab/>
        <w:t xml:space="preserve">Subsection (6)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keepNext/>
      </w:pPr>
      <w:r>
        <w:tab/>
        <w:t>(c)</w:t>
      </w:r>
      <w:r>
        <w:tab/>
        <w:t>before that application is finally determined, becomes a party to a proceeding before a court (whether of a kind referred to in section 8(a) or (b) or otherwise) under the Bankruptcy Act that relates to —</w:t>
      </w:r>
    </w:p>
    <w:p>
      <w:pPr>
        <w:pStyle w:val="Indenti"/>
      </w:pPr>
      <w:r>
        <w:tab/>
        <w:t>(i)</w:t>
      </w:r>
      <w:r>
        <w:tab/>
        <w:t>the bankruptcy of the person; or</w:t>
      </w:r>
    </w:p>
    <w:p>
      <w:pPr>
        <w:pStyle w:val="Indenti"/>
      </w:pPr>
      <w:r>
        <w:tab/>
        <w:t>(ii)</w:t>
      </w:r>
      <w:r>
        <w:tab/>
        <w:t>the person’s capacity as a debtor subject to a personal insolvency agreement.</w:t>
      </w:r>
    </w:p>
    <w:p>
      <w:pPr>
        <w:pStyle w:val="Subsection"/>
      </w:pPr>
      <w:r>
        <w:tab/>
        <w:t>(6)</w:t>
      </w:r>
      <w:r>
        <w:tab/>
        <w:t>The rules may make provision for a person referred to in subsection (5) to notify a court exercising jurisdiction under this Act of the institution of the proceeding under the Bankruptcy Act.</w:t>
      </w:r>
    </w:p>
    <w:p>
      <w:pPr>
        <w:pStyle w:val="Subsection"/>
        <w:keepNext/>
      </w:pPr>
      <w:r>
        <w:lastRenderedPageBreak/>
        <w:tab/>
        <w:t>(7)</w:t>
      </w:r>
      <w:r>
        <w:tab/>
        <w:t xml:space="preserve">Subsection (8) applies in relation to a person who — </w:t>
      </w:r>
    </w:p>
    <w:p>
      <w:pPr>
        <w:pStyle w:val="Indenta"/>
      </w:pPr>
      <w:r>
        <w:tab/>
        <w:t>(a)</w:t>
      </w:r>
      <w:r>
        <w:tab/>
        <w:t xml:space="preserve">is the bankruptcy trustee of a bankrupt de facto partner; and </w:t>
      </w:r>
    </w:p>
    <w:p>
      <w:pPr>
        <w:pStyle w:val="Indenta"/>
      </w:pPr>
      <w:r>
        <w:tab/>
        <w:t>(b)</w:t>
      </w:r>
      <w:r>
        <w:tab/>
        <w:t>applies under the Bankruptcy Act section 139A for an order under Part VI Division 4A of that Act.</w:t>
      </w:r>
    </w:p>
    <w:p>
      <w:pPr>
        <w:pStyle w:val="Subsection"/>
      </w:pPr>
      <w:r>
        <w:tab/>
        <w:t>(8)</w:t>
      </w:r>
      <w:r>
        <w:tab/>
        <w:t xml:space="preserve">The rules may make provision for a person referred to in subsection (7) to notify a court exercising jurisdiction under this Act of the making of the application. </w:t>
      </w:r>
    </w:p>
    <w:p>
      <w:pPr>
        <w:pStyle w:val="Subsection"/>
        <w:keepNext/>
      </w:pPr>
      <w:r>
        <w:tab/>
        <w:t>(9)</w:t>
      </w:r>
      <w:r>
        <w:tab/>
        <w:t xml:space="preserve">For the purposes of this section, an application for an order under section 205ZCA, 205ZG or 205ZH is taken to be finally determined when — </w:t>
      </w:r>
    </w:p>
    <w:p>
      <w:pPr>
        <w:pStyle w:val="Indenta"/>
      </w:pPr>
      <w:r>
        <w:tab/>
        <w:t>(a)</w:t>
      </w:r>
      <w:r>
        <w:tab/>
        <w:t xml:space="preserve">the application is withdrawn or dismissed; or </w:t>
      </w:r>
    </w:p>
    <w:p>
      <w:pPr>
        <w:pStyle w:val="Indenta"/>
      </w:pPr>
      <w:r>
        <w:tab/>
        <w:t>(b)</w:t>
      </w:r>
      <w:r>
        <w:tab/>
        <w:t xml:space="preserve">an order (other than an interim order) is made as a result of the application. </w:t>
      </w:r>
    </w:p>
    <w:p>
      <w:pPr>
        <w:pStyle w:val="Subsection"/>
        <w:keepNext/>
      </w:pPr>
      <w:r>
        <w:tab/>
        <w:t>(10)</w:t>
      </w:r>
      <w:r>
        <w:tab/>
        <w:t xml:space="preserve">For the purposes of this section, an application for a declaration under section 205ZA is taken to be finally determined when — </w:t>
      </w:r>
    </w:p>
    <w:p>
      <w:pPr>
        <w:pStyle w:val="Indenta"/>
      </w:pPr>
      <w:r>
        <w:tab/>
        <w:t>(a)</w:t>
      </w:r>
      <w:r>
        <w:tab/>
        <w:t>the application is withdrawn or dismissed; or</w:t>
      </w:r>
    </w:p>
    <w:p>
      <w:pPr>
        <w:pStyle w:val="Indenta"/>
        <w:keepNext/>
      </w:pPr>
      <w:r>
        <w:tab/>
        <w:t>(b)</w:t>
      </w:r>
      <w:r>
        <w:tab/>
        <w:t>a declaration is made as a result of the application.</w:t>
      </w:r>
    </w:p>
    <w:p>
      <w:pPr>
        <w:pStyle w:val="Footnotesection"/>
      </w:pPr>
      <w:bookmarkStart w:id="578" w:name="_Toc112422769"/>
      <w:bookmarkStart w:id="579" w:name="_Toc112914465"/>
      <w:r>
        <w:tab/>
        <w:t>[Section 205ZHG inserted: No. 28 of 2022 s. 20.]</w:t>
      </w:r>
    </w:p>
    <w:p>
      <w:pPr>
        <w:pStyle w:val="Heading5"/>
        <w:tabs>
          <w:tab w:val="clear" w:pos="879"/>
          <w:tab w:val="left" w:pos="993"/>
        </w:tabs>
      </w:pPr>
      <w:bookmarkStart w:id="580" w:name="_Toc114576157"/>
      <w:r>
        <w:rPr>
          <w:rStyle w:val="CharSectno"/>
        </w:rPr>
        <w:t>205ZHH</w:t>
      </w:r>
      <w:r>
        <w:t>.</w:t>
      </w:r>
      <w:r>
        <w:tab/>
        <w:t>Notifying non</w:t>
      </w:r>
      <w:r>
        <w:noBreakHyphen/>
        <w:t>bankrupt de facto partner about application under Bankruptcy Act section 139A — FLA s. 79J</w:t>
      </w:r>
      <w:bookmarkEnd w:id="578"/>
      <w:bookmarkEnd w:id="579"/>
      <w:bookmarkEnd w:id="580"/>
    </w:p>
    <w:p>
      <w:pPr>
        <w:pStyle w:val="Subsection"/>
        <w:keepNext/>
      </w:pPr>
      <w:r>
        <w:tab/>
        <w:t>(1)</w:t>
      </w:r>
      <w:r>
        <w:tab/>
        <w:t xml:space="preserve">Subsection (2) applies in relation to a person who — </w:t>
      </w:r>
    </w:p>
    <w:p>
      <w:pPr>
        <w:pStyle w:val="Indenta"/>
      </w:pPr>
      <w:r>
        <w:tab/>
        <w:t>(a)</w:t>
      </w:r>
      <w:r>
        <w:tab/>
        <w:t>is the bankruptcy trustee of a bankrupt de facto partner; and</w:t>
      </w:r>
    </w:p>
    <w:p>
      <w:pPr>
        <w:pStyle w:val="Indenta"/>
      </w:pPr>
      <w:r>
        <w:tab/>
        <w:t>(b)</w:t>
      </w:r>
      <w:r>
        <w:tab/>
        <w:t>applies under the Bankruptcy Act section 139A for an order under Part VI Division 4A of that Act in relation to an entity (other than the other de facto partner).</w:t>
      </w:r>
    </w:p>
    <w:p>
      <w:pPr>
        <w:pStyle w:val="Subsection"/>
        <w:keepNext/>
      </w:pPr>
      <w:r>
        <w:tab/>
        <w:t>(2)</w:t>
      </w:r>
      <w:r>
        <w:tab/>
        <w:t xml:space="preserve">The rules may make provision for a person referred to in subsection (1) who is aware that either de facto partner is a party </w:t>
      </w:r>
      <w:r>
        <w:lastRenderedPageBreak/>
        <w:t>to proceedings under this Act, to notify the other de facto partner of the making of the application.</w:t>
      </w:r>
    </w:p>
    <w:p>
      <w:pPr>
        <w:pStyle w:val="Footnotesection"/>
      </w:pPr>
      <w:r>
        <w:tab/>
        <w:t>[Section 205ZHH inserted: No. 28 of 2022 s. 20.]</w:t>
      </w:r>
    </w:p>
    <w:p>
      <w:pPr>
        <w:pStyle w:val="Heading5"/>
      </w:pPr>
      <w:bookmarkStart w:id="581" w:name="_Toc114576158"/>
      <w:r>
        <w:rPr>
          <w:rStyle w:val="CharSectno"/>
        </w:rPr>
        <w:t>205ZI</w:t>
      </w:r>
      <w:r>
        <w:t>.</w:t>
      </w:r>
      <w:r>
        <w:tab/>
        <w:t>General powers of court — FLA s. 80</w:t>
      </w:r>
      <w:bookmarkEnd w:id="581"/>
    </w:p>
    <w:p>
      <w:pPr>
        <w:pStyle w:val="Subsection"/>
        <w:keepNext/>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lastRenderedPageBreak/>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Subsection"/>
      </w:pPr>
      <w:r>
        <w:tab/>
        <w:t>(4)</w:t>
      </w:r>
      <w:r>
        <w:tab/>
        <w:t>If a bankruptcy trustee is a party to a proceeding before the court, the court may make an order under subsection (1)(e) directed to the bankrupt.</w:t>
      </w:r>
    </w:p>
    <w:p>
      <w:pPr>
        <w:pStyle w:val="Subsection"/>
      </w:pPr>
      <w:r>
        <w:tab/>
        <w:t>(5)</w:t>
      </w:r>
      <w:r>
        <w:tab/>
        <w:t>If the trustee of a personal insolvency agreement is a party to a proceeding before the court, the court may make an order under subsection (1)(e) directed to the debtor subject to the personal insolvency agreement.</w:t>
      </w:r>
    </w:p>
    <w:p>
      <w:pPr>
        <w:pStyle w:val="Subsection"/>
        <w:keepNext/>
      </w:pPr>
      <w:r>
        <w:tab/>
        <w:t>(6)</w:t>
      </w:r>
      <w:r>
        <w:tab/>
        <w:t xml:space="preserve">Subsections (4) and (5) do not limit subsection (1)(e). </w:t>
      </w:r>
    </w:p>
    <w:p>
      <w:pPr>
        <w:pStyle w:val="Footnotesection"/>
      </w:pPr>
      <w:r>
        <w:tab/>
        <w:t>[Section 205ZI inserted: No. 25 of 2002 s. 47; amended: No. 28 of 2022 s. 21.]</w:t>
      </w:r>
    </w:p>
    <w:p>
      <w:pPr>
        <w:pStyle w:val="Heading5"/>
        <w:keepLines w:val="0"/>
      </w:pPr>
      <w:bookmarkStart w:id="582" w:name="_Toc114576159"/>
      <w:r>
        <w:rPr>
          <w:rStyle w:val="CharSectno"/>
        </w:rPr>
        <w:t>205ZJ</w:t>
      </w:r>
      <w:r>
        <w:t>.</w:t>
      </w:r>
      <w:r>
        <w:tab/>
        <w:t>Duty of court to end financial relations of de facto partners — FLA s. 81</w:t>
      </w:r>
      <w:bookmarkEnd w:id="582"/>
    </w:p>
    <w:p>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583" w:name="_Toc114576160"/>
      <w:r>
        <w:rPr>
          <w:rStyle w:val="CharSectno"/>
        </w:rPr>
        <w:lastRenderedPageBreak/>
        <w:t>205ZK</w:t>
      </w:r>
      <w:r>
        <w:t>.</w:t>
      </w:r>
      <w:r>
        <w:tab/>
        <w:t>Cessation of de facto maintenance orders — FLA s. 82</w:t>
      </w:r>
      <w:bookmarkEnd w:id="583"/>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keepNext/>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584" w:name="_Toc114576161"/>
      <w:r>
        <w:rPr>
          <w:rStyle w:val="CharSectno"/>
        </w:rPr>
        <w:t>205ZL</w:t>
      </w:r>
      <w:r>
        <w:t>.</w:t>
      </w:r>
      <w:r>
        <w:tab/>
        <w:t>Modification of de facto maintenance orders — FLA s. 83</w:t>
      </w:r>
      <w:bookmarkEnd w:id="584"/>
    </w:p>
    <w:p>
      <w:pPr>
        <w:pStyle w:val="Subsection"/>
        <w:keepNext/>
        <w:spacing w:before="200"/>
      </w:pPr>
      <w:r>
        <w:tab/>
        <w:t>(1)</w:t>
      </w:r>
      <w:r>
        <w:tab/>
        <w:t xml:space="preserve">If there is in force an order, whenever made, with respect to the maintenance of a de facto partner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keepNext/>
      </w:pPr>
      <w:r>
        <w:tab/>
        <w:t>(d)</w:t>
      </w:r>
      <w:r>
        <w:tab/>
        <w:t xml:space="preserve">subject to subsection (2), vary the order — </w:t>
      </w:r>
    </w:p>
    <w:p>
      <w:pPr>
        <w:pStyle w:val="Indenti"/>
      </w:pPr>
      <w:r>
        <w:tab/>
        <w:t>(i)</w:t>
      </w:r>
      <w:r>
        <w:tab/>
        <w:t>so as to increase or decrease any amount ordered to be paid; or</w:t>
      </w:r>
    </w:p>
    <w:p>
      <w:pPr>
        <w:pStyle w:val="Indenti"/>
      </w:pPr>
      <w:r>
        <w:lastRenderedPageBreak/>
        <w:tab/>
        <w:t>(ii)</w:t>
      </w:r>
      <w:r>
        <w:tab/>
        <w:t>in any other manner.</w:t>
      </w:r>
    </w:p>
    <w:p>
      <w:pPr>
        <w:pStyle w:val="Subsection"/>
        <w:keepNext/>
      </w:pPr>
      <w:r>
        <w:tab/>
        <w:t>(1A)</w:t>
      </w:r>
      <w:r>
        <w:tab/>
        <w:t xml:space="preserve">A court’s jurisdiction under subsection (1) may be exercised — </w:t>
      </w:r>
    </w:p>
    <w:p>
      <w:pPr>
        <w:pStyle w:val="Indenta"/>
      </w:pPr>
      <w:r>
        <w:tab/>
        <w:t>(a)</w:t>
      </w:r>
      <w:r>
        <w:tab/>
        <w:t>in any case — in proceedings with respect to the maintenance of a de facto partner; or</w:t>
      </w:r>
    </w:p>
    <w:p>
      <w:pPr>
        <w:pStyle w:val="Indenta"/>
      </w:pPr>
      <w:r>
        <w:tab/>
        <w:t>(b)</w:t>
      </w:r>
      <w:r>
        <w:tab/>
        <w:t>if there is a bankrupt de facto partner — on the application of the bankruptcy trustee; or</w:t>
      </w:r>
    </w:p>
    <w:p>
      <w:pPr>
        <w:pStyle w:val="Indenta"/>
      </w:pPr>
      <w:r>
        <w:tab/>
        <w:t>(c)</w:t>
      </w:r>
      <w:r>
        <w:tab/>
        <w:t xml:space="preserve">if a de facto partner is a debtor subject to a personal insolvency agreement — on the application of the trustee of the agreement. </w:t>
      </w:r>
    </w:p>
    <w:p>
      <w:pPr>
        <w:pStyle w:val="Subsection"/>
        <w:keepNext/>
      </w:pPr>
      <w:r>
        <w:tab/>
        <w:t>(2)</w:t>
      </w:r>
      <w:r>
        <w:tab/>
        <w:t xml:space="preserve">A court must not make an order increasing or decreasing an amount ordered to be paid by an order unless it is satisfied — </w:t>
      </w:r>
    </w:p>
    <w:p>
      <w:pPr>
        <w:pStyle w:val="Indenta"/>
        <w:keepNext/>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keepNext/>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lastRenderedPageBreak/>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or by the bankruptcy trustee of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keepNext/>
      </w:pPr>
      <w:r>
        <w:lastRenderedPageBreak/>
        <w:tab/>
        <w:t>(10)</w:t>
      </w:r>
      <w:r>
        <w:tab/>
        <w:t>The discharge of an order does not affect the recovery of arrears due under the order at the time as at which the discharge takes effect.</w:t>
      </w:r>
    </w:p>
    <w:p>
      <w:pPr>
        <w:pStyle w:val="Footnotesection"/>
      </w:pPr>
      <w:r>
        <w:tab/>
        <w:t>[Section 205ZL inserted: No. 25 of 2002 s. 47; amended: No. 28 of 2022 s. 22.]</w:t>
      </w:r>
    </w:p>
    <w:p>
      <w:pPr>
        <w:pStyle w:val="Heading3"/>
        <w:spacing w:before="480"/>
      </w:pPr>
      <w:bookmarkStart w:id="585" w:name="_Toc114559485"/>
      <w:bookmarkStart w:id="586" w:name="_Toc114563477"/>
      <w:bookmarkStart w:id="587" w:name="_Toc114576162"/>
      <w:r>
        <w:rPr>
          <w:rStyle w:val="CharDivNo"/>
        </w:rPr>
        <w:t>Division 2A</w:t>
      </w:r>
      <w:r>
        <w:t> — </w:t>
      </w:r>
      <w:r>
        <w:rPr>
          <w:rStyle w:val="CharDivText"/>
        </w:rPr>
        <w:t>Orders and injunctions binding third parties</w:t>
      </w:r>
      <w:bookmarkEnd w:id="585"/>
      <w:bookmarkEnd w:id="586"/>
      <w:bookmarkEnd w:id="587"/>
    </w:p>
    <w:p>
      <w:pPr>
        <w:pStyle w:val="Footnotesection"/>
        <w:keepNext/>
        <w:spacing w:before="100"/>
        <w:ind w:left="890" w:hanging="890"/>
      </w:pPr>
      <w:r>
        <w:tab/>
        <w:t>[Heading inserted: No. 35 of 2006 s. 34.]</w:t>
      </w:r>
    </w:p>
    <w:p>
      <w:pPr>
        <w:pStyle w:val="Heading4"/>
      </w:pPr>
      <w:bookmarkStart w:id="588" w:name="_Toc114559486"/>
      <w:bookmarkStart w:id="589" w:name="_Toc114563478"/>
      <w:bookmarkStart w:id="590" w:name="_Toc114576163"/>
      <w:r>
        <w:t>Subdivision 1 — Introductory</w:t>
      </w:r>
      <w:bookmarkEnd w:id="588"/>
      <w:bookmarkEnd w:id="589"/>
      <w:bookmarkEnd w:id="590"/>
    </w:p>
    <w:p>
      <w:pPr>
        <w:pStyle w:val="Footnotesection"/>
        <w:keepNext/>
        <w:spacing w:before="100"/>
        <w:ind w:left="890" w:hanging="890"/>
      </w:pPr>
      <w:r>
        <w:tab/>
        <w:t>[Heading inserted: No. 35 of 2006 s. 34.]</w:t>
      </w:r>
    </w:p>
    <w:p>
      <w:pPr>
        <w:pStyle w:val="Heading5"/>
        <w:tabs>
          <w:tab w:val="clear" w:pos="879"/>
          <w:tab w:val="left" w:pos="993"/>
        </w:tabs>
        <w:spacing w:before="240"/>
      </w:pPr>
      <w:bookmarkStart w:id="591" w:name="_Toc114576164"/>
      <w:r>
        <w:rPr>
          <w:rStyle w:val="CharSectno"/>
        </w:rPr>
        <w:t>205ZLA</w:t>
      </w:r>
      <w:r>
        <w:t>.</w:t>
      </w:r>
      <w:r>
        <w:tab/>
        <w:t xml:space="preserve"> Object of Division — FLA s. 90AA</w:t>
      </w:r>
      <w:bookmarkEnd w:id="591"/>
    </w:p>
    <w:p>
      <w:pPr>
        <w:pStyle w:val="Subsection"/>
        <w:keepNext/>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keepNext/>
      </w:pPr>
      <w:r>
        <w:tab/>
        <w:t>(b)</w:t>
      </w:r>
      <w:r>
        <w:tab/>
        <w:t>grant an injunction under section 235A,</w:t>
      </w:r>
    </w:p>
    <w:p>
      <w:pPr>
        <w:pStyle w:val="Subsection"/>
        <w:keepNext/>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592" w:name="_Toc114576165"/>
      <w:r>
        <w:rPr>
          <w:rStyle w:val="CharSectno"/>
        </w:rPr>
        <w:t>205ZLB</w:t>
      </w:r>
      <w:r>
        <w:t>.</w:t>
      </w:r>
      <w:r>
        <w:tab/>
        <w:t xml:space="preserve"> Term used: third party — FLA s. 90AB</w:t>
      </w:r>
      <w:bookmarkEnd w:id="592"/>
    </w:p>
    <w:p>
      <w:pPr>
        <w:pStyle w:val="Subsection"/>
        <w:keepNext/>
        <w:spacing w:before="180"/>
      </w:pPr>
      <w:r>
        <w:tab/>
      </w:r>
      <w:r>
        <w:tab/>
        <w:t xml:space="preserve">In this Division — </w:t>
      </w:r>
    </w:p>
    <w:p>
      <w:pPr>
        <w:pStyle w:val="Defstart"/>
        <w:keepNex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593" w:name="_Toc114576166"/>
      <w:r>
        <w:rPr>
          <w:rStyle w:val="CharSectno"/>
        </w:rPr>
        <w:lastRenderedPageBreak/>
        <w:t>205ZLC</w:t>
      </w:r>
      <w:r>
        <w:t>.</w:t>
      </w:r>
      <w:r>
        <w:tab/>
        <w:t xml:space="preserve"> This Division overrides other laws, trust deeds, etc. — FLA s. 90AC</w:t>
      </w:r>
      <w:bookmarkEnd w:id="593"/>
    </w:p>
    <w:p>
      <w:pPr>
        <w:pStyle w:val="Subsection"/>
        <w:keepNext/>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594" w:name="_Toc114576167"/>
      <w:r>
        <w:rPr>
          <w:rStyle w:val="CharSectno"/>
        </w:rPr>
        <w:t>205ZLD</w:t>
      </w:r>
      <w:r>
        <w:t>.</w:t>
      </w:r>
      <w:r>
        <w:tab/>
        <w:t xml:space="preserve"> Extended meaning of </w:t>
      </w:r>
      <w:r>
        <w:rPr>
          <w:i/>
        </w:rPr>
        <w:t>property</w:t>
      </w:r>
      <w:r>
        <w:t> — FLA s. 90AD</w:t>
      </w:r>
      <w:bookmarkEnd w:id="594"/>
    </w:p>
    <w:p>
      <w:pPr>
        <w:pStyle w:val="Subsection"/>
      </w:pPr>
      <w:r>
        <w:tab/>
        <w:t>(1)</w:t>
      </w:r>
      <w:r>
        <w:tab/>
        <w:t>For the purposes of this Division, a debt owed by a de facto partner is to be treated as property.</w:t>
      </w:r>
    </w:p>
    <w:p>
      <w:pPr>
        <w:pStyle w:val="Subsection"/>
        <w:keepNext/>
      </w:pPr>
      <w:r>
        <w:tab/>
        <w:t>(2)</w:t>
      </w:r>
      <w:r>
        <w:tab/>
        <w:t xml:space="preserve">For the purposes of — </w:t>
      </w:r>
    </w:p>
    <w:p>
      <w:pPr>
        <w:pStyle w:val="Indenta"/>
      </w:pPr>
      <w:r>
        <w:tab/>
        <w:t>(a)</w:t>
      </w:r>
      <w:r>
        <w:tab/>
        <w:t>making an order under section 205ZG or 235A; or</w:t>
      </w:r>
    </w:p>
    <w:p>
      <w:pPr>
        <w:pStyle w:val="Indenta"/>
        <w:keepNext/>
      </w:pPr>
      <w:r>
        <w:tab/>
        <w:t>(b)</w:t>
      </w:r>
      <w:r>
        <w:tab/>
        <w:t>granting an injunction under section 235A,</w:t>
      </w:r>
    </w:p>
    <w:p>
      <w:pPr>
        <w:pStyle w:val="Defstart"/>
        <w:keepNex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595" w:name="_Toc114576168"/>
      <w:r>
        <w:rPr>
          <w:rStyle w:val="CharSectno"/>
        </w:rPr>
        <w:t>205ZLE</w:t>
      </w:r>
      <w:r>
        <w:t>.</w:t>
      </w:r>
      <w:r>
        <w:tab/>
        <w:t xml:space="preserve"> Other provisions of this Act not affected by this Division — FLA s. 90ADA</w:t>
      </w:r>
      <w:bookmarkEnd w:id="595"/>
    </w:p>
    <w:p>
      <w:pPr>
        <w:pStyle w:val="Subsection"/>
        <w:keepNext/>
      </w:pPr>
      <w:r>
        <w:tab/>
      </w:r>
      <w:r>
        <w:tab/>
        <w:t>This Division does not affect the operation of any other provision of this Act.</w:t>
      </w:r>
    </w:p>
    <w:p>
      <w:pPr>
        <w:pStyle w:val="Footnotesection"/>
      </w:pPr>
      <w:r>
        <w:tab/>
        <w:t>[Section 205ZLE inserted: No. 35 of 2006 s. 34.]</w:t>
      </w:r>
    </w:p>
    <w:p>
      <w:pPr>
        <w:pStyle w:val="Heading4"/>
      </w:pPr>
      <w:bookmarkStart w:id="596" w:name="_Toc114559492"/>
      <w:bookmarkStart w:id="597" w:name="_Toc114563484"/>
      <w:bookmarkStart w:id="598" w:name="_Toc114576169"/>
      <w:r>
        <w:lastRenderedPageBreak/>
        <w:t>Subdivision 2 — Orders under section 205ZG</w:t>
      </w:r>
      <w:bookmarkEnd w:id="596"/>
      <w:bookmarkEnd w:id="597"/>
      <w:bookmarkEnd w:id="598"/>
    </w:p>
    <w:p>
      <w:pPr>
        <w:pStyle w:val="Footnotesection"/>
        <w:keepNext/>
      </w:pPr>
      <w:r>
        <w:tab/>
        <w:t>[Heading inserted: No. 35 of 2006 s. 34.]</w:t>
      </w:r>
    </w:p>
    <w:p>
      <w:pPr>
        <w:pStyle w:val="Heading5"/>
        <w:tabs>
          <w:tab w:val="clear" w:pos="879"/>
          <w:tab w:val="left" w:pos="993"/>
        </w:tabs>
      </w:pPr>
      <w:bookmarkStart w:id="599" w:name="_Toc114576170"/>
      <w:r>
        <w:rPr>
          <w:rStyle w:val="CharSectno"/>
        </w:rPr>
        <w:t>205ZLF</w:t>
      </w:r>
      <w:r>
        <w:t>.</w:t>
      </w:r>
      <w:r>
        <w:tab/>
        <w:t xml:space="preserve"> Court may make an order under section 205ZG binding a third party — FLA s. 90AE</w:t>
      </w:r>
      <w:bookmarkEnd w:id="599"/>
    </w:p>
    <w:p>
      <w:pPr>
        <w:pStyle w:val="Subsection"/>
        <w:keepNext/>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keepNext/>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keepNext/>
      </w:pPr>
      <w:r>
        <w:lastRenderedPageBreak/>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keepNext/>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keepNext/>
      </w:pPr>
      <w:r>
        <w:lastRenderedPageBreak/>
        <w:tab/>
        <w:t>(h)</w:t>
      </w:r>
      <w:r>
        <w:tab/>
        <w:t>any other matter that the court considers relevant.</w:t>
      </w:r>
    </w:p>
    <w:p>
      <w:pPr>
        <w:pStyle w:val="Footnotesection"/>
      </w:pPr>
      <w:r>
        <w:tab/>
        <w:t>[Section 205ZLF inserted: No. 35 of 2006 s. 34.]</w:t>
      </w:r>
    </w:p>
    <w:p>
      <w:pPr>
        <w:pStyle w:val="Heading4"/>
      </w:pPr>
      <w:bookmarkStart w:id="600" w:name="_Toc114559494"/>
      <w:bookmarkStart w:id="601" w:name="_Toc114563486"/>
      <w:bookmarkStart w:id="602" w:name="_Toc114576171"/>
      <w:r>
        <w:t>Subdivision 3 — Orders or injunctions under section 235A</w:t>
      </w:r>
      <w:bookmarkEnd w:id="600"/>
      <w:bookmarkEnd w:id="601"/>
      <w:bookmarkEnd w:id="602"/>
    </w:p>
    <w:p>
      <w:pPr>
        <w:pStyle w:val="Footnotesection"/>
        <w:keepNext/>
      </w:pPr>
      <w:r>
        <w:tab/>
        <w:t>[Heading inserted: No. 35 of 2006 s. 34.]</w:t>
      </w:r>
    </w:p>
    <w:p>
      <w:pPr>
        <w:pStyle w:val="Heading5"/>
        <w:tabs>
          <w:tab w:val="clear" w:pos="879"/>
          <w:tab w:val="left" w:pos="993"/>
        </w:tabs>
      </w:pPr>
      <w:bookmarkStart w:id="603" w:name="_Toc114576172"/>
      <w:r>
        <w:rPr>
          <w:rStyle w:val="CharSectno"/>
        </w:rPr>
        <w:t>205ZLG</w:t>
      </w:r>
      <w:r>
        <w:t>.</w:t>
      </w:r>
      <w:r>
        <w:tab/>
        <w:t xml:space="preserve"> Court may make an order or injunction under section 235A binding a third party — FLA s. 90AF</w:t>
      </w:r>
      <w:bookmarkEnd w:id="603"/>
    </w:p>
    <w:p>
      <w:pPr>
        <w:pStyle w:val="Subsection"/>
        <w:keepNext/>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keepNext/>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lastRenderedPageBreak/>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keepNext/>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keepNext/>
        <w:spacing w:before="60"/>
      </w:pPr>
      <w:r>
        <w:tab/>
        <w:t>(h)</w:t>
      </w:r>
      <w:r>
        <w:tab/>
        <w:t>any other matter that the court considers relevant.</w:t>
      </w:r>
    </w:p>
    <w:p>
      <w:pPr>
        <w:pStyle w:val="Footnotesection"/>
      </w:pPr>
      <w:r>
        <w:tab/>
        <w:t>[Section 205ZLG inserted: No. 35 of 2006 s. 34.]</w:t>
      </w:r>
    </w:p>
    <w:p>
      <w:pPr>
        <w:pStyle w:val="Heading4"/>
      </w:pPr>
      <w:bookmarkStart w:id="604" w:name="_Toc114559496"/>
      <w:bookmarkStart w:id="605" w:name="_Toc114563488"/>
      <w:bookmarkStart w:id="606" w:name="_Toc114576173"/>
      <w:r>
        <w:lastRenderedPageBreak/>
        <w:t>Subdivision 4 — Other matters</w:t>
      </w:r>
      <w:bookmarkEnd w:id="604"/>
      <w:bookmarkEnd w:id="605"/>
      <w:bookmarkEnd w:id="606"/>
      <w:r>
        <w:t xml:space="preserve"> </w:t>
      </w:r>
    </w:p>
    <w:p>
      <w:pPr>
        <w:pStyle w:val="Footnotesection"/>
        <w:keepNext/>
      </w:pPr>
      <w:r>
        <w:tab/>
        <w:t>[Heading inserted: No. 35 of 2006 s. 34.]</w:t>
      </w:r>
    </w:p>
    <w:p>
      <w:pPr>
        <w:pStyle w:val="Heading5"/>
        <w:tabs>
          <w:tab w:val="clear" w:pos="879"/>
          <w:tab w:val="left" w:pos="993"/>
        </w:tabs>
      </w:pPr>
      <w:bookmarkStart w:id="607" w:name="_Toc114576174"/>
      <w:r>
        <w:rPr>
          <w:rStyle w:val="CharSectno"/>
        </w:rPr>
        <w:t>205ZLH</w:t>
      </w:r>
      <w:r>
        <w:t>.</w:t>
      </w:r>
      <w:r>
        <w:tab/>
        <w:t xml:space="preserve"> Orders and injunctions binding on trustees — FLA s. 90AG</w:t>
      </w:r>
      <w:bookmarkEnd w:id="607"/>
    </w:p>
    <w:p>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608" w:name="_Toc114576175"/>
      <w:r>
        <w:rPr>
          <w:rStyle w:val="CharSectno"/>
        </w:rPr>
        <w:t>205ZLI</w:t>
      </w:r>
      <w:r>
        <w:t>.</w:t>
      </w:r>
      <w:r>
        <w:tab/>
        <w:t xml:space="preserve"> Protection for third party — FLA s. 90AH</w:t>
      </w:r>
      <w:bookmarkEnd w:id="608"/>
    </w:p>
    <w:p>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609" w:name="_Toc114576176"/>
      <w:r>
        <w:rPr>
          <w:rStyle w:val="CharSectno"/>
        </w:rPr>
        <w:t>205ZLJ</w:t>
      </w:r>
      <w:r>
        <w:t>.</w:t>
      </w:r>
      <w:r>
        <w:tab/>
        <w:t xml:space="preserve"> Service of documents on third party — FLA s. 90AI</w:t>
      </w:r>
      <w:bookmarkEnd w:id="609"/>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keepNext/>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610" w:name="_Toc114576177"/>
      <w:r>
        <w:rPr>
          <w:rStyle w:val="CharSectno"/>
        </w:rPr>
        <w:t>205ZLK</w:t>
      </w:r>
      <w:r>
        <w:t>.</w:t>
      </w:r>
      <w:r>
        <w:tab/>
        <w:t xml:space="preserve"> Expenses of third party — FLA s. 90AJ</w:t>
      </w:r>
      <w:bookmarkEnd w:id="610"/>
    </w:p>
    <w:p>
      <w:pPr>
        <w:pStyle w:val="Subsection"/>
        <w:keepNext/>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lastRenderedPageBreak/>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keepNext/>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keepNext/>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611" w:name="_Toc114559501"/>
      <w:bookmarkStart w:id="612" w:name="_Toc114563493"/>
      <w:bookmarkStart w:id="613" w:name="_Toc114576178"/>
      <w:r>
        <w:rPr>
          <w:rStyle w:val="CharDivNo"/>
        </w:rPr>
        <w:t>Division 3</w:t>
      </w:r>
      <w:r>
        <w:t> — </w:t>
      </w:r>
      <w:r>
        <w:rPr>
          <w:rStyle w:val="CharDivText"/>
        </w:rPr>
        <w:t>Financial agreements</w:t>
      </w:r>
      <w:bookmarkEnd w:id="611"/>
      <w:bookmarkEnd w:id="612"/>
      <w:bookmarkEnd w:id="613"/>
    </w:p>
    <w:p>
      <w:pPr>
        <w:pStyle w:val="Footnoteheading"/>
        <w:keepNext/>
      </w:pPr>
      <w:r>
        <w:tab/>
        <w:t>[Heading inserted: No. 25 of 2002 s. 47.]</w:t>
      </w:r>
    </w:p>
    <w:p>
      <w:pPr>
        <w:pStyle w:val="Heading5"/>
        <w:spacing w:before="240"/>
      </w:pPr>
      <w:bookmarkStart w:id="614" w:name="_Toc114576179"/>
      <w:r>
        <w:rPr>
          <w:rStyle w:val="CharSectno"/>
        </w:rPr>
        <w:t>205ZM</w:t>
      </w:r>
      <w:r>
        <w:t>.</w:t>
      </w:r>
      <w:r>
        <w:tab/>
        <w:t>Term used: dealt with — FLA s. 90A</w:t>
      </w:r>
      <w:bookmarkEnd w:id="614"/>
    </w:p>
    <w:p>
      <w:pPr>
        <w:pStyle w:val="Subsection"/>
        <w:keepNext/>
      </w:pPr>
      <w:r>
        <w:tab/>
      </w:r>
      <w:r>
        <w:tab/>
        <w:t xml:space="preserve">In this Division — </w:t>
      </w:r>
    </w:p>
    <w:p>
      <w:pPr>
        <w:pStyle w:val="Defstart"/>
        <w:keepNex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615" w:name="_Toc114576180"/>
      <w:r>
        <w:rPr>
          <w:rStyle w:val="CharSectno"/>
        </w:rPr>
        <w:lastRenderedPageBreak/>
        <w:t>205ZN</w:t>
      </w:r>
      <w:r>
        <w:t>.</w:t>
      </w:r>
      <w:r>
        <w:tab/>
        <w:t>Financial agreements before beginning de facto relationship — FLA s. 90B</w:t>
      </w:r>
      <w:bookmarkEnd w:id="615"/>
    </w:p>
    <w:p>
      <w:pPr>
        <w:pStyle w:val="Subsection"/>
        <w:keepNext/>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616" w:name="_Toc114576181"/>
      <w:r>
        <w:rPr>
          <w:rStyle w:val="CharSectno"/>
        </w:rPr>
        <w:lastRenderedPageBreak/>
        <w:t>205ZO</w:t>
      </w:r>
      <w:r>
        <w:t>.</w:t>
      </w:r>
      <w:r>
        <w:tab/>
        <w:t>Financial agreements during de facto relationship — FLA s. 90C</w:t>
      </w:r>
      <w:bookmarkEnd w:id="616"/>
    </w:p>
    <w:p>
      <w:pPr>
        <w:pStyle w:val="Subsection"/>
        <w:keepNext/>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617" w:name="_Toc114576182"/>
      <w:r>
        <w:rPr>
          <w:rStyle w:val="CharSectno"/>
        </w:rPr>
        <w:lastRenderedPageBreak/>
        <w:t>205ZP</w:t>
      </w:r>
      <w:r>
        <w:t>.</w:t>
      </w:r>
      <w:r>
        <w:tab/>
        <w:t>Financial agreements after de facto relationship ends — FLA s. 90D</w:t>
      </w:r>
      <w:bookmarkEnd w:id="617"/>
    </w:p>
    <w:p>
      <w:pPr>
        <w:pStyle w:val="Subsection"/>
        <w:keepNext/>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keepNext/>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tabs>
          <w:tab w:val="clear" w:pos="879"/>
          <w:tab w:val="left" w:pos="993"/>
        </w:tabs>
      </w:pPr>
      <w:bookmarkStart w:id="618" w:name="_Toc112422773"/>
      <w:bookmarkStart w:id="619" w:name="_Toc112914469"/>
      <w:bookmarkStart w:id="620" w:name="_Toc114576183"/>
      <w:r>
        <w:rPr>
          <w:rStyle w:val="CharSectno"/>
        </w:rPr>
        <w:lastRenderedPageBreak/>
        <w:t>205ZPA</w:t>
      </w:r>
      <w:r>
        <w:t>.</w:t>
      </w:r>
      <w:r>
        <w:tab/>
        <w:t>Financial agreement may include agreement that deals with superannuation</w:t>
      </w:r>
      <w:bookmarkEnd w:id="618"/>
      <w:bookmarkEnd w:id="619"/>
      <w:bookmarkEnd w:id="620"/>
    </w:p>
    <w:p>
      <w:pPr>
        <w:pStyle w:val="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pPr>
        <w:pStyle w:val="Subsection"/>
        <w:keepNext/>
      </w:pPr>
      <w:r>
        <w:tab/>
        <w:t>(2)</w:t>
      </w:r>
      <w:r>
        <w:tab/>
        <w:t>For the purposes of subsection (1), it does not matter whether or not the superannuation interests are in existence at the time the agreement is made.</w:t>
      </w:r>
    </w:p>
    <w:p>
      <w:pPr>
        <w:pStyle w:val="PermNoteHeading"/>
      </w:pPr>
      <w:r>
        <w:tab/>
        <w:t>Note for this section:</w:t>
      </w:r>
    </w:p>
    <w:p>
      <w:pPr>
        <w:pStyle w:val="PermNoteText"/>
        <w:keepN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pPr>
        <w:pStyle w:val="Footnotesection"/>
      </w:pPr>
      <w:r>
        <w:tab/>
        <w:t>[Section 205ZPA inserted: No. 28 of 2022 s. 23.]</w:t>
      </w:r>
    </w:p>
    <w:p>
      <w:pPr>
        <w:pStyle w:val="Heading5"/>
        <w:tabs>
          <w:tab w:val="clear" w:pos="879"/>
          <w:tab w:val="left" w:pos="993"/>
        </w:tabs>
      </w:pPr>
      <w:bookmarkStart w:id="621" w:name="_Toc112422774"/>
      <w:bookmarkStart w:id="622" w:name="_Toc112914470"/>
      <w:bookmarkStart w:id="623" w:name="_Toc114576184"/>
      <w:r>
        <w:rPr>
          <w:rStyle w:val="CharSectno"/>
        </w:rPr>
        <w:t>205ZPB</w:t>
      </w:r>
      <w:r>
        <w:t>.</w:t>
      </w:r>
      <w:r>
        <w:tab/>
        <w:t>Need for separation declaration for certain provisions of financial agreement or former financial agreement to take effect — FLA s. 90DA</w:t>
      </w:r>
      <w:bookmarkEnd w:id="621"/>
      <w:bookmarkEnd w:id="622"/>
      <w:bookmarkEnd w:id="623"/>
    </w:p>
    <w:p>
      <w:pPr>
        <w:pStyle w:val="Subsection"/>
      </w:pPr>
      <w:r>
        <w:tab/>
        <w:t>(1)</w:t>
      </w:r>
      <w:r>
        <w:tab/>
        <w:t>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made, or at a later time and during the de facto relationship, is to be dealt with, is of no force or effect until a separation declaration is made.</w:t>
      </w:r>
    </w:p>
    <w:p>
      <w:pPr>
        <w:pStyle w:val="Subsection"/>
      </w:pPr>
      <w:r>
        <w:tab/>
        <w:t>(2)</w:t>
      </w:r>
      <w:r>
        <w:tab/>
        <w:t>Subsection (1) ceases to apply if either or both of the parties die.</w:t>
      </w:r>
    </w:p>
    <w:p>
      <w:pPr>
        <w:pStyle w:val="Subsection"/>
      </w:pPr>
      <w:r>
        <w:tab/>
        <w:t>(3)</w:t>
      </w:r>
      <w:r>
        <w:tab/>
        <w:t>A separation declaration is a written declaration that complies with subsections (4) and (5), and may be included in the financial agreement to which it relates.</w:t>
      </w:r>
    </w:p>
    <w:p>
      <w:pPr>
        <w:pStyle w:val="Subsection"/>
      </w:pPr>
      <w:r>
        <w:tab/>
        <w:t>(4)</w:t>
      </w:r>
      <w:r>
        <w:tab/>
        <w:t xml:space="preserve">The declaration must be signed by at least 1 of the parties to the financial agreement or former financial agreement. </w:t>
      </w:r>
    </w:p>
    <w:p>
      <w:pPr>
        <w:pStyle w:val="Subsection"/>
        <w:keepNext/>
      </w:pPr>
      <w:r>
        <w:lastRenderedPageBreak/>
        <w:tab/>
        <w:t>(5)</w:t>
      </w:r>
      <w:r>
        <w:tab/>
        <w:t xml:space="preserve">The declaration must state that — </w:t>
      </w:r>
    </w:p>
    <w:p>
      <w:pPr>
        <w:pStyle w:val="Indenta"/>
      </w:pPr>
      <w:r>
        <w:tab/>
        <w:t>(a)</w:t>
      </w:r>
      <w:r>
        <w:tab/>
        <w:t>the parties lived in a de facto relationship; and</w:t>
      </w:r>
    </w:p>
    <w:p>
      <w:pPr>
        <w:pStyle w:val="Indenta"/>
      </w:pPr>
      <w:r>
        <w:tab/>
        <w:t>(b)</w:t>
      </w:r>
      <w:r>
        <w:tab/>
        <w:t xml:space="preserve">the parties have separated and are living separately and apart at the declaration time; and </w:t>
      </w:r>
    </w:p>
    <w:p>
      <w:pPr>
        <w:pStyle w:val="Indenta"/>
      </w:pPr>
      <w:r>
        <w:tab/>
        <w:t>(c)</w:t>
      </w:r>
      <w:r>
        <w:tab/>
        <w:t xml:space="preserve">in the opinion of the party (or parties) making the declaration, there is no reasonable likelihood of cohabitation being resumed. </w:t>
      </w:r>
    </w:p>
    <w:p>
      <w:pPr>
        <w:pStyle w:val="Subsection"/>
        <w:keepNext/>
      </w:pPr>
      <w:r>
        <w:tab/>
        <w:t>(6)</w:t>
      </w:r>
      <w:r>
        <w:tab/>
        <w:t xml:space="preserve">For the purposes of subsection (5)(b), the parties to the de facto relationship can have separated and be living separately and apart even if — </w:t>
      </w:r>
    </w:p>
    <w:p>
      <w:pPr>
        <w:pStyle w:val="Indenta"/>
      </w:pPr>
      <w:r>
        <w:tab/>
        <w:t>(a)</w:t>
      </w:r>
      <w:r>
        <w:tab/>
        <w:t>their cohabitation was brought to an end by the action or conduct of 1 only of them; or</w:t>
      </w:r>
    </w:p>
    <w:p>
      <w:pPr>
        <w:pStyle w:val="Indenta"/>
      </w:pPr>
      <w:r>
        <w:tab/>
        <w:t>(b)</w:t>
      </w:r>
      <w:r>
        <w:tab/>
        <w:t>they have continued to reside in the same residence; or</w:t>
      </w:r>
    </w:p>
    <w:p>
      <w:pPr>
        <w:pStyle w:val="Indenta"/>
      </w:pPr>
      <w:r>
        <w:tab/>
        <w:t>(c)</w:t>
      </w:r>
      <w:r>
        <w:tab/>
        <w:t>either of them has rendered some household services to the other.</w:t>
      </w:r>
    </w:p>
    <w:p>
      <w:pPr>
        <w:pStyle w:val="Subsection"/>
        <w:keepNext/>
      </w:pPr>
      <w:r>
        <w:tab/>
        <w:t>(7)</w:t>
      </w:r>
      <w:r>
        <w:tab/>
        <w:t xml:space="preserve">In subsection (5)(b) — </w:t>
      </w:r>
    </w:p>
    <w:p>
      <w:pPr>
        <w:pStyle w:val="Defstart"/>
        <w:keepNext/>
      </w:pPr>
      <w:r>
        <w:tab/>
      </w:r>
      <w:r>
        <w:rPr>
          <w:rStyle w:val="CharDefText"/>
        </w:rPr>
        <w:t>declaration time</w:t>
      </w:r>
      <w:r>
        <w:t xml:space="preserve"> means the time when the declaration was signed by a party to the financial agreement or former financial agreement.</w:t>
      </w:r>
    </w:p>
    <w:p>
      <w:pPr>
        <w:pStyle w:val="Footnotesection"/>
      </w:pPr>
      <w:r>
        <w:tab/>
        <w:t>[Section 205ZPB inserted: No. 28 of 2022 s. 23.]</w:t>
      </w:r>
    </w:p>
    <w:p>
      <w:pPr>
        <w:pStyle w:val="Heading5"/>
        <w:spacing w:before="180"/>
      </w:pPr>
      <w:bookmarkStart w:id="624" w:name="_Toc114576185"/>
      <w:r>
        <w:rPr>
          <w:rStyle w:val="CharSectno"/>
        </w:rPr>
        <w:t>205ZQ</w:t>
      </w:r>
      <w:r>
        <w:t>.</w:t>
      </w:r>
      <w:r>
        <w:tab/>
        <w:t>Requirements with respect to provisions in financial agreements relating to maintenance of de facto partner or child or children — FLA s. 90E</w:t>
      </w:r>
      <w:bookmarkEnd w:id="624"/>
    </w:p>
    <w:p>
      <w:pPr>
        <w:pStyle w:val="Subsection"/>
        <w:keepNext/>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keepNext/>
      </w:pPr>
      <w:r>
        <w:tab/>
        <w:t>(b)</w:t>
      </w:r>
      <w:r>
        <w:tab/>
        <w:t xml:space="preserve">the amount provided for, or the value of the portion of the relevant property attributable to, the maintenance of </w:t>
      </w:r>
      <w:r>
        <w:lastRenderedPageBreak/>
        <w:t>the party, or of the child or each child, as the case may be.</w:t>
      </w:r>
    </w:p>
    <w:p>
      <w:pPr>
        <w:pStyle w:val="Footnotesection"/>
      </w:pPr>
      <w:r>
        <w:tab/>
        <w:t>[Section 205ZQ inserted: No. 25 of 2002 s. 47.]</w:t>
      </w:r>
    </w:p>
    <w:p>
      <w:pPr>
        <w:pStyle w:val="Heading5"/>
        <w:spacing w:before="180"/>
      </w:pPr>
      <w:bookmarkStart w:id="625" w:name="_Toc114576186"/>
      <w:r>
        <w:rPr>
          <w:rStyle w:val="CharSectno"/>
        </w:rPr>
        <w:t>205ZR</w:t>
      </w:r>
      <w:r>
        <w:t>.</w:t>
      </w:r>
      <w:r>
        <w:tab/>
        <w:t>Certain provisions in agreements — FLA s. 90F</w:t>
      </w:r>
      <w:bookmarkEnd w:id="625"/>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626" w:name="_Toc114576187"/>
      <w:r>
        <w:rPr>
          <w:rStyle w:val="CharSectno"/>
        </w:rPr>
        <w:t>205ZS</w:t>
      </w:r>
      <w:r>
        <w:t>.</w:t>
      </w:r>
      <w:r>
        <w:tab/>
        <w:t>When financial agreements and former financial agreements are binding — FLA s. 90G</w:t>
      </w:r>
      <w:bookmarkEnd w:id="626"/>
    </w:p>
    <w:p>
      <w:pPr>
        <w:pStyle w:val="Subsection"/>
        <w:keepNext/>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w:t>
      </w:r>
      <w:r>
        <w:lastRenderedPageBreak/>
        <w:t xml:space="preserve">advice from a legal practitioner as to the following matters — </w:t>
      </w:r>
    </w:p>
    <w:p>
      <w:pPr>
        <w:pStyle w:val="Indenti"/>
        <w:spacing w:before="60"/>
      </w:pPr>
      <w:r>
        <w:tab/>
        <w:t>(i)</w:t>
      </w:r>
      <w:r>
        <w:tab/>
        <w:t>the effect of the agreement on the rights of that party; and</w:t>
      </w:r>
    </w:p>
    <w:p>
      <w:pPr>
        <w:pStyle w:val="Indenti"/>
        <w:keepNext/>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keepNext/>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keepNext/>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627" w:name="_Toc114576188"/>
      <w:r>
        <w:rPr>
          <w:rStyle w:val="CharSectno"/>
        </w:rPr>
        <w:t>205ZT</w:t>
      </w:r>
      <w:r>
        <w:t>.</w:t>
      </w:r>
      <w:r>
        <w:tab/>
        <w:t>Effect of death of party to financial agreement — FLA s. 90H</w:t>
      </w:r>
      <w:bookmarkEnd w:id="627"/>
    </w:p>
    <w:p>
      <w:pPr>
        <w:pStyle w:val="Subsection"/>
        <w:keepNext/>
      </w:pPr>
      <w:r>
        <w:tab/>
      </w:r>
      <w:r>
        <w:tab/>
        <w:t xml:space="preserve">A financial agreement that is binding on the parties to the agreement continues to operate despite the death of a party to </w:t>
      </w:r>
      <w:r>
        <w:lastRenderedPageBreak/>
        <w:t>the agreement and operates in favour of, and is binding on, the legal personal representative of that party.</w:t>
      </w:r>
    </w:p>
    <w:p>
      <w:pPr>
        <w:pStyle w:val="Footnotesection"/>
      </w:pPr>
      <w:r>
        <w:tab/>
        <w:t>[Section 205ZT inserted: No. 25 of 2002 s. 47.]</w:t>
      </w:r>
    </w:p>
    <w:p>
      <w:pPr>
        <w:pStyle w:val="Heading5"/>
      </w:pPr>
      <w:bookmarkStart w:id="628" w:name="_Toc114576189"/>
      <w:r>
        <w:rPr>
          <w:rStyle w:val="CharSectno"/>
        </w:rPr>
        <w:t>205ZU</w:t>
      </w:r>
      <w:r>
        <w:t>.</w:t>
      </w:r>
      <w:r>
        <w:tab/>
        <w:t>Termination of financial agreement and former financial agreement — FLA s. 90J</w:t>
      </w:r>
      <w:bookmarkEnd w:id="628"/>
    </w:p>
    <w:p>
      <w:pPr>
        <w:pStyle w:val="Subsection"/>
        <w:keepNext/>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keepNext/>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lastRenderedPageBreak/>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629" w:name="_Toc114576190"/>
      <w:r>
        <w:rPr>
          <w:rStyle w:val="CharSectno"/>
        </w:rPr>
        <w:t>205ZV</w:t>
      </w:r>
      <w:r>
        <w:t>.</w:t>
      </w:r>
      <w:r>
        <w:tab/>
        <w:t>Circumstances in which court may set aside financial agreement, termination agreement or former financial agreement — FLA s. 90K</w:t>
      </w:r>
      <w:bookmarkEnd w:id="629"/>
    </w:p>
    <w:p>
      <w:pPr>
        <w:pStyle w:val="Subsection"/>
        <w:keepNext/>
      </w:pPr>
      <w:r>
        <w:tab/>
        <w:t>(1)</w:t>
      </w:r>
      <w:r>
        <w:tab/>
        <w:t xml:space="preserve">A court may, on an application by a person who was a party to the financial agreement, termination agreement or former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keepNext/>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keepNext/>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lastRenderedPageBreak/>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 or</w:t>
      </w:r>
    </w:p>
    <w:p>
      <w:pPr>
        <w:pStyle w:val="Indenta"/>
      </w:pPr>
      <w:r>
        <w:tab/>
        <w:t>(f)</w:t>
      </w:r>
      <w:r>
        <w:tab/>
        <w:t>a payment flag is operating under the Family Law Act Part VIIIC on a superannuation interest (as defined in section 90YD of that Act) covered by the agreement and there is no reasonable likelihood that the operation of the flag will be terminated by a flag lifting agreement under that Part.</w:t>
      </w:r>
    </w:p>
    <w:p>
      <w:pPr>
        <w:pStyle w:val="Subsection"/>
        <w:keepNext/>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 xml:space="preserve">A court may, on an application by a person who was a party to the financial agreement or former financial agreement that has been set aside, or by any other interested person, make such order or orders (including an order for the transfer of property) as it considers just and equitable for the purpose of preserving </w:t>
      </w:r>
      <w:r>
        <w:lastRenderedPageBreak/>
        <w:t>or adjusting the rights of persons who were parties to that financial agreement or former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keepNext/>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keepNex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w:t>
      </w:r>
      <w:r>
        <w:lastRenderedPageBreak/>
        <w:t>the court as being reasonably likely to become a creditor of either of the parties to the agreement;</w:t>
      </w:r>
    </w:p>
    <w:p>
      <w:pPr>
        <w:pStyle w:val="Defstart"/>
        <w:keepNex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keepNext/>
        <w:spacing w:before="60"/>
        <w:rPr>
          <w:b/>
        </w:rPr>
      </w:pPr>
      <w:r>
        <w:tab/>
        <w:t>(b)</w:t>
      </w:r>
      <w:r>
        <w:tab/>
        <w:t>an official or authority of the Commonwealth, a State or a Territory;</w:t>
      </w:r>
    </w:p>
    <w:p>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 termination agreement or former financial agreement</w:t>
      </w:r>
      <w:r>
        <w:rPr>
          <w:bCs/>
        </w:rPr>
        <w:t xml:space="preserve"> on the grounds specified in subsection (1)(aa)</w:t>
      </w:r>
      <w:r>
        <w:t xml:space="preserve"> includes — </w:t>
      </w:r>
    </w:p>
    <w:p>
      <w:pPr>
        <w:pStyle w:val="Defpara"/>
        <w:spacing w:before="60"/>
      </w:pPr>
      <w:r>
        <w:tab/>
        <w:t>(a)</w:t>
      </w:r>
      <w:r>
        <w:tab/>
        <w:t>either or both of the parties to the agreement; or</w:t>
      </w:r>
    </w:p>
    <w:p>
      <w:pPr>
        <w:pStyle w:val="Defpara"/>
        <w:spacing w:before="60"/>
      </w:pPr>
      <w:r>
        <w:tab/>
        <w:t>(b)</w:t>
      </w:r>
      <w:r>
        <w:tab/>
        <w:t>a creditor of either of those parties; or</w:t>
      </w:r>
    </w:p>
    <w:p>
      <w:pPr>
        <w:pStyle w:val="Defpara"/>
        <w:keepNext/>
        <w:spacing w:before="60"/>
      </w:pPr>
      <w:r>
        <w:tab/>
        <w:t>(c)</w:t>
      </w:r>
      <w:r>
        <w:tab/>
        <w:t>a government body acting in the interests of a creditor of either of those parties.</w:t>
      </w:r>
    </w:p>
    <w:p>
      <w:pPr>
        <w:pStyle w:val="Footnotesection"/>
      </w:pPr>
      <w:r>
        <w:tab/>
        <w:t>[Section 205ZV inserted: No. 25 of 2002 s. 47; amended: No. 35 of 2006 s. 29 and 165; No. 28 of 2022 s. 24.]</w:t>
      </w:r>
    </w:p>
    <w:p>
      <w:pPr>
        <w:pStyle w:val="Heading5"/>
      </w:pPr>
      <w:bookmarkStart w:id="630" w:name="_Toc114576191"/>
      <w:r>
        <w:rPr>
          <w:rStyle w:val="CharSectno"/>
        </w:rPr>
        <w:t>205ZW</w:t>
      </w:r>
      <w:r>
        <w:t>.</w:t>
      </w:r>
      <w:r>
        <w:tab/>
        <w:t>Validity, enforceability and effect of financial agreements, termination agreements and former financial agreements — FLA s. 90KA</w:t>
      </w:r>
      <w:bookmarkEnd w:id="630"/>
    </w:p>
    <w:p>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lastRenderedPageBreak/>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keepNext/>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631" w:name="_Toc114576192"/>
      <w:r>
        <w:rPr>
          <w:rStyle w:val="CharSectno"/>
        </w:rPr>
        <w:t>205ZX</w:t>
      </w:r>
      <w:r>
        <w:t>.</w:t>
      </w:r>
      <w:r>
        <w:tab/>
        <w:t>Notification of criminal property confiscation order etc. — FLA s. 90M</w:t>
      </w:r>
      <w:bookmarkEnd w:id="631"/>
    </w:p>
    <w:p>
      <w:pPr>
        <w:pStyle w:val="Subsection"/>
        <w:keepNext/>
      </w:pPr>
      <w:r>
        <w:tab/>
        <w:t>(1)</w:t>
      </w:r>
      <w:r>
        <w:tab/>
        <w:t xml:space="preserve">If — </w:t>
      </w:r>
    </w:p>
    <w:p>
      <w:pPr>
        <w:pStyle w:val="Indenta"/>
        <w:keepNext/>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keepNext/>
      </w:pPr>
      <w:r>
        <w:tab/>
        <w:t>(d)</w:t>
      </w:r>
      <w:r>
        <w:tab/>
        <w:t>give to the court a sealed copy of that order or application.</w:t>
      </w:r>
    </w:p>
    <w:p>
      <w:pPr>
        <w:pStyle w:val="Penstart"/>
      </w:pPr>
      <w:r>
        <w:tab/>
        <w:t>Penalty: $5 500.</w:t>
      </w:r>
    </w:p>
    <w:p>
      <w:pPr>
        <w:pStyle w:val="Subsection"/>
        <w:keepNext/>
      </w:pPr>
      <w:r>
        <w:lastRenderedPageBreak/>
        <w:tab/>
        <w:t>(2)</w:t>
      </w:r>
      <w:r>
        <w:tab/>
        <w:t xml:space="preserve">If — </w:t>
      </w:r>
    </w:p>
    <w:p>
      <w:pPr>
        <w:pStyle w:val="Indenta"/>
      </w:pPr>
      <w:r>
        <w:tab/>
        <w:t>(a)</w:t>
      </w:r>
      <w:r>
        <w:tab/>
        <w:t>a person is a party to a proceeding under Division 2; and</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keepLines w:val="0"/>
        <w:spacing w:before="80"/>
        <w:ind w:left="890" w:hanging="890"/>
      </w:pPr>
      <w:r>
        <w:tab/>
        <w:t>[Section 205ZX inserted: No. 35 of 2006 s. 45.]</w:t>
      </w:r>
    </w:p>
    <w:p>
      <w:pPr>
        <w:pStyle w:val="Heading5"/>
        <w:spacing w:before="240"/>
      </w:pPr>
      <w:bookmarkStart w:id="632" w:name="_Toc114576193"/>
      <w:r>
        <w:rPr>
          <w:rStyle w:val="CharSectno"/>
        </w:rPr>
        <w:t>205ZY</w:t>
      </w:r>
      <w:r>
        <w:t>.</w:t>
      </w:r>
      <w:r>
        <w:tab/>
        <w:t>Court to stay proceedings under Division 2 affected by criminal confiscation order etc. — FLA s. 90N</w:t>
      </w:r>
      <w:bookmarkEnd w:id="632"/>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lastRenderedPageBreak/>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633" w:name="_Toc114576194"/>
      <w:r>
        <w:rPr>
          <w:rStyle w:val="CharSectno"/>
        </w:rPr>
        <w:t>205ZZ</w:t>
      </w:r>
      <w:r>
        <w:t>.</w:t>
      </w:r>
      <w:r>
        <w:tab/>
        <w:t>Lifting a stay — FLA s. 90P</w:t>
      </w:r>
      <w:bookmarkEnd w:id="633"/>
    </w:p>
    <w:p>
      <w:pPr>
        <w:pStyle w:val="Subsection"/>
        <w:keepNext/>
      </w:pPr>
      <w:r>
        <w:tab/>
        <w:t>(1)</w:t>
      </w:r>
      <w:r>
        <w:tab/>
        <w:t xml:space="preserve">A court that stayed proceedings under section 205ZY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keepNext/>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634" w:name="_Toc114576195"/>
      <w:r>
        <w:rPr>
          <w:rStyle w:val="CharSectno"/>
        </w:rPr>
        <w:lastRenderedPageBreak/>
        <w:t>205ZZA</w:t>
      </w:r>
      <w:r>
        <w:t>.</w:t>
      </w:r>
      <w:r>
        <w:tab/>
        <w:t>Intervention by DPP — FLA s. 90Q</w:t>
      </w:r>
      <w:bookmarkEnd w:id="634"/>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635" w:name="_Toc114559517"/>
      <w:bookmarkStart w:id="636" w:name="_Toc114563511"/>
      <w:bookmarkStart w:id="637" w:name="_Toc114576196"/>
      <w:r>
        <w:rPr>
          <w:rStyle w:val="CharPartNo"/>
        </w:rPr>
        <w:lastRenderedPageBreak/>
        <w:t>Part 6</w:t>
      </w:r>
      <w:r>
        <w:rPr>
          <w:rStyle w:val="CharDivNo"/>
        </w:rPr>
        <w:t> </w:t>
      </w:r>
      <w:r>
        <w:t>—</w:t>
      </w:r>
      <w:r>
        <w:rPr>
          <w:rStyle w:val="CharDivText"/>
        </w:rPr>
        <w:t> </w:t>
      </w:r>
      <w:r>
        <w:rPr>
          <w:rStyle w:val="CharPartText"/>
        </w:rPr>
        <w:t>Intervention</w:t>
      </w:r>
      <w:bookmarkEnd w:id="635"/>
      <w:bookmarkEnd w:id="636"/>
      <w:bookmarkEnd w:id="637"/>
      <w:r>
        <w:rPr>
          <w:rStyle w:val="CharPartText"/>
        </w:rPr>
        <w:t xml:space="preserve"> </w:t>
      </w:r>
    </w:p>
    <w:p>
      <w:pPr>
        <w:pStyle w:val="Heading5"/>
        <w:rPr>
          <w:snapToGrid w:val="0"/>
        </w:rPr>
      </w:pPr>
      <w:bookmarkStart w:id="638" w:name="_Toc114576197"/>
      <w:r>
        <w:rPr>
          <w:rStyle w:val="CharSectno"/>
        </w:rPr>
        <w:t>206</w:t>
      </w:r>
      <w:r>
        <w:rPr>
          <w:snapToGrid w:val="0"/>
        </w:rPr>
        <w:t>.</w:t>
      </w:r>
      <w:r>
        <w:rPr>
          <w:snapToGrid w:val="0"/>
        </w:rPr>
        <w:tab/>
        <w:t>Intervention by Attorney General — FLA s. 91</w:t>
      </w:r>
      <w:bookmarkEnd w:id="638"/>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639" w:name="_Toc114576198"/>
      <w:r>
        <w:rPr>
          <w:rStyle w:val="CharSectno"/>
        </w:rPr>
        <w:t>207</w:t>
      </w:r>
      <w:r>
        <w:rPr>
          <w:snapToGrid w:val="0"/>
        </w:rPr>
        <w:t>.</w:t>
      </w:r>
      <w:r>
        <w:rPr>
          <w:snapToGrid w:val="0"/>
        </w:rPr>
        <w:tab/>
        <w:t>Intervention by CEO — FLA s. 91B</w:t>
      </w:r>
      <w:bookmarkEnd w:id="639"/>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640" w:name="_Toc114576199"/>
      <w:r>
        <w:rPr>
          <w:rStyle w:val="CharSectno"/>
        </w:rPr>
        <w:lastRenderedPageBreak/>
        <w:t>208</w:t>
      </w:r>
      <w:r>
        <w:rPr>
          <w:snapToGrid w:val="0"/>
        </w:rPr>
        <w:t>.</w:t>
      </w:r>
      <w:r>
        <w:rPr>
          <w:snapToGrid w:val="0"/>
        </w:rPr>
        <w:tab/>
        <w:t>Intervention by other persons — FLA s. 92</w:t>
      </w:r>
      <w:bookmarkEnd w:id="640"/>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641" w:name="_Toc114576200"/>
      <w:r>
        <w:rPr>
          <w:rStyle w:val="CharSectno"/>
        </w:rPr>
        <w:t>209</w:t>
      </w:r>
      <w:r>
        <w:rPr>
          <w:snapToGrid w:val="0"/>
        </w:rPr>
        <w:t>.</w:t>
      </w:r>
      <w:r>
        <w:rPr>
          <w:snapToGrid w:val="0"/>
        </w:rPr>
        <w:tab/>
        <w:t>Intervention in child abuse cases — FLA s. 92A</w:t>
      </w:r>
      <w:bookmarkEnd w:id="641"/>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642" w:name="_Toc114559522"/>
      <w:bookmarkStart w:id="643" w:name="_Toc114563516"/>
      <w:bookmarkStart w:id="644" w:name="_Toc114576201"/>
      <w:r>
        <w:rPr>
          <w:rStyle w:val="CharPartNo"/>
        </w:rPr>
        <w:lastRenderedPageBreak/>
        <w:t>Part 7</w:t>
      </w:r>
      <w:r>
        <w:rPr>
          <w:rStyle w:val="CharDivNo"/>
        </w:rPr>
        <w:t> </w:t>
      </w:r>
      <w:r>
        <w:t>—</w:t>
      </w:r>
      <w:r>
        <w:rPr>
          <w:rStyle w:val="CharDivText"/>
        </w:rPr>
        <w:t> </w:t>
      </w:r>
      <w:r>
        <w:rPr>
          <w:rStyle w:val="CharPartText"/>
        </w:rPr>
        <w:t>Appeals</w:t>
      </w:r>
      <w:bookmarkEnd w:id="642"/>
      <w:bookmarkEnd w:id="643"/>
      <w:bookmarkEnd w:id="644"/>
      <w:r>
        <w:rPr>
          <w:rStyle w:val="CharPartText"/>
        </w:rPr>
        <w:t xml:space="preserve"> </w:t>
      </w:r>
    </w:p>
    <w:p>
      <w:pPr>
        <w:pStyle w:val="Heading5"/>
      </w:pPr>
      <w:bookmarkStart w:id="645" w:name="_Toc114576202"/>
      <w:r>
        <w:rPr>
          <w:rStyle w:val="CharSectno"/>
        </w:rPr>
        <w:t>209A</w:t>
      </w:r>
      <w:r>
        <w:t>.</w:t>
      </w:r>
      <w:r>
        <w:tab/>
        <w:t>Terms used</w:t>
      </w:r>
      <w:bookmarkEnd w:id="645"/>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646" w:name="_Toc114576203"/>
      <w:r>
        <w:rPr>
          <w:rStyle w:val="CharSectno"/>
        </w:rPr>
        <w:t>210</w:t>
      </w:r>
      <w:r>
        <w:rPr>
          <w:snapToGrid w:val="0"/>
        </w:rPr>
        <w:t>.</w:t>
      </w:r>
      <w:r>
        <w:rPr>
          <w:snapToGrid w:val="0"/>
        </w:rPr>
        <w:tab/>
        <w:t>Federal jurisdiction</w:t>
      </w:r>
      <w:bookmarkEnd w:id="646"/>
      <w:r>
        <w:rPr>
          <w:snapToGrid w:val="0"/>
        </w:rPr>
        <w:t xml:space="preserve"> </w:t>
      </w:r>
    </w:p>
    <w:p>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 xml:space="preserve">Act, the </w:t>
      </w:r>
      <w:r>
        <w:rPr>
          <w:i/>
        </w:rPr>
        <w:t>Federal Circuit and Family Court of Australia Act 2021</w:t>
      </w:r>
      <w:r>
        <w:t xml:space="preserve"> (Commonwealth) and the Bankruptcy Act</w:t>
      </w:r>
      <w:r>
        <w:rPr>
          <w:snapToGrid w:val="0"/>
        </w:rPr>
        <w:t xml:space="preserve"> apply.</w:t>
      </w:r>
    </w:p>
    <w:p>
      <w:pPr>
        <w:pStyle w:val="Footnotesection"/>
      </w:pPr>
      <w:r>
        <w:tab/>
        <w:t>[Section 210 amended: No. 28 of 2022 s. 26.]</w:t>
      </w:r>
    </w:p>
    <w:p>
      <w:pPr>
        <w:pStyle w:val="Heading5"/>
      </w:pPr>
      <w:bookmarkStart w:id="647" w:name="_Toc114576204"/>
      <w:r>
        <w:rPr>
          <w:rStyle w:val="CharSectno"/>
        </w:rPr>
        <w:t>210A</w:t>
      </w:r>
      <w:r>
        <w:t>.</w:t>
      </w:r>
      <w:r>
        <w:tab/>
        <w:t>Non</w:t>
      </w:r>
      <w:r>
        <w:noBreakHyphen/>
        <w:t>federal jurisdictions — appeal from decree of Magistrates Court constituted by family law magistrate</w:t>
      </w:r>
      <w:bookmarkEnd w:id="647"/>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lastRenderedPageBreak/>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lastRenderedPageBreak/>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648" w:name="_Toc114576205"/>
      <w:r>
        <w:rPr>
          <w:rStyle w:val="CharSectno"/>
        </w:rPr>
        <w:lastRenderedPageBreak/>
        <w:t>210AA</w:t>
      </w:r>
      <w:r>
        <w:t>.</w:t>
      </w:r>
      <w:r>
        <w:tab/>
        <w:t>Leave to appeal needed in some cases referred to in section 210A</w:t>
      </w:r>
      <w:bookmarkEnd w:id="648"/>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649" w:name="_Toc114576206"/>
      <w:r>
        <w:rPr>
          <w:rStyle w:val="CharSectno"/>
        </w:rPr>
        <w:t>210AB</w:t>
      </w:r>
      <w:r>
        <w:t>.</w:t>
      </w:r>
      <w:r>
        <w:tab/>
        <w:t>Case stated</w:t>
      </w:r>
      <w:bookmarkEnd w:id="649"/>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650" w:name="_Toc114576207"/>
      <w:r>
        <w:rPr>
          <w:rStyle w:val="CharSectno"/>
        </w:rPr>
        <w:t>211</w:t>
      </w:r>
      <w:r>
        <w:rPr>
          <w:snapToGrid w:val="0"/>
        </w:rPr>
        <w:t>.</w:t>
      </w:r>
      <w:r>
        <w:rPr>
          <w:snapToGrid w:val="0"/>
        </w:rPr>
        <w:tab/>
        <w:t>Non</w:t>
      </w:r>
      <w:r>
        <w:rPr>
          <w:snapToGrid w:val="0"/>
        </w:rPr>
        <w:noBreakHyphen/>
        <w:t>federal jurisdictions</w:t>
      </w:r>
      <w:bookmarkEnd w:id="650"/>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lastRenderedPageBreak/>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Subsection"/>
        <w:keepNext/>
      </w:pPr>
      <w:r>
        <w:tab/>
        <w:t>(6)</w:t>
      </w:r>
      <w:r>
        <w:tab/>
        <w:t xml:space="preserve">If, in dismissing an appeal under subsection (2), the Family Court of Western Australia is of the opinion that the appeal does </w:t>
      </w:r>
      <w:r>
        <w:lastRenderedPageBreak/>
        <w:t>not raise any question of general principle, it may give reasons for its decision in short form.</w:t>
      </w:r>
    </w:p>
    <w:p>
      <w:pPr>
        <w:pStyle w:val="Footnotesection"/>
      </w:pPr>
      <w:r>
        <w:tab/>
        <w:t>[Section 211 amended: No. 45 of 2004 s. 37; No. 59 of 2004 s. 95; No. 84 of 2004 s. 80; No. 35 of 2006 s. 39; No. 28 of 2022 s. 27.]</w:t>
      </w:r>
    </w:p>
    <w:p>
      <w:pPr>
        <w:pStyle w:val="Heading5"/>
      </w:pPr>
      <w:bookmarkStart w:id="651" w:name="_Toc114576208"/>
      <w:r>
        <w:rPr>
          <w:rStyle w:val="CharSectno"/>
        </w:rPr>
        <w:t>211A</w:t>
      </w:r>
      <w:r>
        <w:t>.</w:t>
      </w:r>
      <w:r>
        <w:tab/>
        <w:t>Appeals, and applications for leave, without oral hearing</w:t>
      </w:r>
      <w:bookmarkEnd w:id="651"/>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652" w:name="_Toc114576209"/>
      <w:r>
        <w:rPr>
          <w:rStyle w:val="CharSectno"/>
        </w:rPr>
        <w:t>211B</w:t>
      </w:r>
      <w:r>
        <w:t>.</w:t>
      </w:r>
      <w:r>
        <w:tab/>
        <w:t>Appeal may be dismissed if no reasonable prospect of success</w:t>
      </w:r>
      <w:bookmarkEnd w:id="652"/>
    </w:p>
    <w:p>
      <w:pPr>
        <w:pStyle w:val="Subsection"/>
      </w:pPr>
      <w:r>
        <w:tab/>
        <w:t>(1)</w:t>
      </w:r>
      <w:r>
        <w:tab/>
        <w:t xml:space="preserve">Subsection (1A) applies if — </w:t>
      </w:r>
    </w:p>
    <w:p>
      <w:pPr>
        <w:pStyle w:val="Indenta"/>
      </w:pPr>
      <w:r>
        <w:tab/>
        <w:t>(a)</w:t>
      </w:r>
      <w:r>
        <w:tab/>
        <w:t>an appeal has been instituted in a court under this Part; and</w:t>
      </w:r>
    </w:p>
    <w:p>
      <w:pPr>
        <w:pStyle w:val="Indenta"/>
      </w:pPr>
      <w:r>
        <w:tab/>
        <w:t>(b)</w:t>
      </w:r>
      <w:r>
        <w:tab/>
        <w:t>it appears to the court that the appeal has no reasonable prospect of success.</w:t>
      </w:r>
    </w:p>
    <w:p>
      <w:pPr>
        <w:pStyle w:val="Subsection"/>
      </w:pPr>
      <w:r>
        <w:tab/>
        <w:t>(1A)</w:t>
      </w:r>
      <w:r>
        <w:tab/>
        <w:t>The court may, at any time, order that the proceedings on the appeal be dismissed.</w:t>
      </w:r>
    </w:p>
    <w:p>
      <w:pPr>
        <w:pStyle w:val="Subsection"/>
        <w:keepNext/>
        <w:rPr>
          <w:sz w:val="20"/>
        </w:rPr>
      </w:pPr>
      <w:r>
        <w:tab/>
        <w:t>(2)</w:t>
      </w:r>
      <w:r>
        <w:tab/>
        <w:t>This section does not limit any powers that the court has apart from this section.</w:t>
      </w:r>
    </w:p>
    <w:p>
      <w:pPr>
        <w:pStyle w:val="Footnotesection"/>
      </w:pPr>
      <w:r>
        <w:tab/>
        <w:t>[Section 211B inserted: No. 13 of 2013 s. 32; amended: No. 28 of 2022 s. 28.]</w:t>
      </w:r>
    </w:p>
    <w:p>
      <w:pPr>
        <w:pStyle w:val="Heading2"/>
      </w:pPr>
      <w:bookmarkStart w:id="653" w:name="_Toc114559531"/>
      <w:bookmarkStart w:id="654" w:name="_Toc114563525"/>
      <w:bookmarkStart w:id="655" w:name="_Toc114576210"/>
      <w:r>
        <w:rPr>
          <w:rStyle w:val="CharPartNo"/>
        </w:rPr>
        <w:lastRenderedPageBreak/>
        <w:t>Part 8</w:t>
      </w:r>
      <w:r>
        <w:t> — </w:t>
      </w:r>
      <w:r>
        <w:rPr>
          <w:rStyle w:val="CharPartText"/>
        </w:rPr>
        <w:t>Procedure and evidence</w:t>
      </w:r>
      <w:bookmarkEnd w:id="653"/>
      <w:bookmarkEnd w:id="654"/>
      <w:bookmarkEnd w:id="655"/>
      <w:r>
        <w:rPr>
          <w:rStyle w:val="CharPartText"/>
        </w:rPr>
        <w:t xml:space="preserve"> </w:t>
      </w:r>
    </w:p>
    <w:p>
      <w:pPr>
        <w:pStyle w:val="Heading3"/>
        <w:spacing w:before="200"/>
      </w:pPr>
      <w:bookmarkStart w:id="656" w:name="_Toc114559532"/>
      <w:bookmarkStart w:id="657" w:name="_Toc114563526"/>
      <w:bookmarkStart w:id="658" w:name="_Toc114576211"/>
      <w:r>
        <w:rPr>
          <w:rStyle w:val="CharDivNo"/>
        </w:rPr>
        <w:t>Division 1</w:t>
      </w:r>
      <w:r>
        <w:t xml:space="preserve"> — </w:t>
      </w:r>
      <w:r>
        <w:rPr>
          <w:rStyle w:val="CharDivText"/>
        </w:rPr>
        <w:t>General matters concerning procedure and evidence</w:t>
      </w:r>
      <w:bookmarkEnd w:id="656"/>
      <w:bookmarkEnd w:id="657"/>
      <w:bookmarkEnd w:id="658"/>
    </w:p>
    <w:p>
      <w:pPr>
        <w:pStyle w:val="Footnotesection"/>
        <w:spacing w:before="100"/>
        <w:ind w:left="890" w:hanging="890"/>
      </w:pPr>
      <w:r>
        <w:tab/>
        <w:t>[Heading inserted: No. 35 of 2006 s. 18.]</w:t>
      </w:r>
    </w:p>
    <w:p>
      <w:pPr>
        <w:pStyle w:val="Heading5"/>
        <w:spacing w:before="180"/>
        <w:rPr>
          <w:snapToGrid w:val="0"/>
        </w:rPr>
      </w:pPr>
      <w:bookmarkStart w:id="659" w:name="_Toc114576212"/>
      <w:r>
        <w:rPr>
          <w:rStyle w:val="CharSectno"/>
        </w:rPr>
        <w:t>212</w:t>
      </w:r>
      <w:r>
        <w:rPr>
          <w:snapToGrid w:val="0"/>
        </w:rPr>
        <w:t>.</w:t>
      </w:r>
      <w:r>
        <w:rPr>
          <w:snapToGrid w:val="0"/>
        </w:rPr>
        <w:tab/>
        <w:t>Proceedings generally to be in open court — FLA s. 97</w:t>
      </w:r>
      <w:bookmarkEnd w:id="659"/>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660" w:name="_Toc114576213"/>
      <w:r>
        <w:rPr>
          <w:rStyle w:val="CharSectno"/>
        </w:rPr>
        <w:lastRenderedPageBreak/>
        <w:t>213</w:t>
      </w:r>
      <w:r>
        <w:rPr>
          <w:snapToGrid w:val="0"/>
        </w:rPr>
        <w:t>.</w:t>
      </w:r>
      <w:r>
        <w:rPr>
          <w:snapToGrid w:val="0"/>
        </w:rPr>
        <w:tab/>
        <w:t>Power to give directions</w:t>
      </w:r>
      <w:bookmarkEnd w:id="660"/>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661" w:name="_Toc114576214"/>
      <w:r>
        <w:t>214A.</w:t>
      </w:r>
      <w:r>
        <w:tab/>
        <w:t>Children swearing affidavits, being called as witnesses or being present in court — FLA s. 100B</w:t>
      </w:r>
      <w:bookmarkEnd w:id="661"/>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662" w:name="_Toc114576215"/>
      <w:r>
        <w:rPr>
          <w:rStyle w:val="CharSectno"/>
        </w:rPr>
        <w:t>214B</w:t>
      </w:r>
      <w:r>
        <w:t>.</w:t>
      </w:r>
      <w:r>
        <w:tab/>
        <w:t>Oaths and affirmations</w:t>
      </w:r>
      <w:bookmarkEnd w:id="662"/>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lastRenderedPageBreak/>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663" w:name="_Toc114576216"/>
      <w:r>
        <w:rPr>
          <w:rStyle w:val="CharSectno"/>
        </w:rPr>
        <w:t>214C</w:t>
      </w:r>
      <w:r>
        <w:t>.</w:t>
      </w:r>
      <w:r>
        <w:tab/>
        <w:t>Swearing of affidavits etc.</w:t>
      </w:r>
      <w:bookmarkEnd w:id="663"/>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lastRenderedPageBreak/>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664" w:name="_Toc114576217"/>
      <w:r>
        <w:rPr>
          <w:rStyle w:val="CharSectno"/>
        </w:rPr>
        <w:t>215</w:t>
      </w:r>
      <w:r>
        <w:rPr>
          <w:snapToGrid w:val="0"/>
        </w:rPr>
        <w:t>.</w:t>
      </w:r>
      <w:r>
        <w:rPr>
          <w:snapToGrid w:val="0"/>
        </w:rPr>
        <w:tab/>
        <w:t>Protection of witnesses — FLA s. 101</w:t>
      </w:r>
      <w:bookmarkEnd w:id="664"/>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65" w:name="_Toc114576218"/>
      <w:r>
        <w:rPr>
          <w:rStyle w:val="CharSectno"/>
        </w:rPr>
        <w:t>216</w:t>
      </w:r>
      <w:r>
        <w:rPr>
          <w:snapToGrid w:val="0"/>
        </w:rPr>
        <w:t>.</w:t>
      </w:r>
      <w:r>
        <w:rPr>
          <w:snapToGrid w:val="0"/>
        </w:rPr>
        <w:tab/>
        <w:t>Certificates etc. of birth, death or marriage — FLA s. 102</w:t>
      </w:r>
      <w:bookmarkEnd w:id="665"/>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lastRenderedPageBreak/>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66" w:name="_Toc114576219"/>
      <w:r>
        <w:rPr>
          <w:rStyle w:val="CharSectno"/>
        </w:rPr>
        <w:t>217</w:t>
      </w:r>
      <w:r>
        <w:rPr>
          <w:snapToGrid w:val="0"/>
        </w:rPr>
        <w:t>.</w:t>
      </w:r>
      <w:r>
        <w:rPr>
          <w:snapToGrid w:val="0"/>
        </w:rPr>
        <w:tab/>
        <w:t>Admissibility of evidence after medical examination etc. of children — FLA s. 102A(1), (2), (4) and (5)</w:t>
      </w:r>
      <w:bookmarkEnd w:id="666"/>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lastRenderedPageBreak/>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667" w:name="_Toc114576220"/>
      <w:r>
        <w:rPr>
          <w:rStyle w:val="CharSectno"/>
        </w:rPr>
        <w:t>218</w:t>
      </w:r>
      <w:r>
        <w:rPr>
          <w:snapToGrid w:val="0"/>
        </w:rPr>
        <w:t>.</w:t>
      </w:r>
      <w:r>
        <w:rPr>
          <w:snapToGrid w:val="0"/>
        </w:rPr>
        <w:tab/>
        <w:t>Leave for child to be examined medically etc. — FLA s. 102A(3)</w:t>
      </w:r>
      <w:bookmarkEnd w:id="667"/>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68" w:name="_Toc114576221"/>
      <w:r>
        <w:rPr>
          <w:rStyle w:val="CharSectno"/>
        </w:rPr>
        <w:t>219</w:t>
      </w:r>
      <w:r>
        <w:rPr>
          <w:snapToGrid w:val="0"/>
        </w:rPr>
        <w:t>.</w:t>
      </w:r>
      <w:r>
        <w:rPr>
          <w:snapToGrid w:val="0"/>
        </w:rPr>
        <w:tab/>
        <w:t>Assessors — FLA s. 102B</w:t>
      </w:r>
      <w:bookmarkEnd w:id="668"/>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69" w:name="_Toc114559543"/>
      <w:bookmarkStart w:id="670" w:name="_Toc114563537"/>
      <w:bookmarkStart w:id="671" w:name="_Toc114576222"/>
      <w:r>
        <w:rPr>
          <w:rStyle w:val="CharDivNo"/>
        </w:rPr>
        <w:lastRenderedPageBreak/>
        <w:t>Division 2</w:t>
      </w:r>
      <w:r>
        <w:t xml:space="preserve"> — </w:t>
      </w:r>
      <w:r>
        <w:rPr>
          <w:rStyle w:val="CharDivText"/>
        </w:rPr>
        <w:t>Use of video link, audio link or other appropriate means to give testimony, make appearances and give submissions etc.</w:t>
      </w:r>
      <w:bookmarkEnd w:id="669"/>
      <w:bookmarkEnd w:id="670"/>
      <w:bookmarkEnd w:id="671"/>
    </w:p>
    <w:p>
      <w:pPr>
        <w:pStyle w:val="Footnotesection"/>
        <w:spacing w:before="100"/>
      </w:pPr>
      <w:r>
        <w:tab/>
        <w:t>[Heading inserted: No. 35 of 2006 s. 19.]</w:t>
      </w:r>
    </w:p>
    <w:p>
      <w:pPr>
        <w:pStyle w:val="Heading5"/>
        <w:spacing w:before="240"/>
      </w:pPr>
      <w:bookmarkStart w:id="672" w:name="_Toc114576223"/>
      <w:r>
        <w:rPr>
          <w:rStyle w:val="CharSectno"/>
        </w:rPr>
        <w:t>219AA</w:t>
      </w:r>
      <w:r>
        <w:t>.</w:t>
      </w:r>
      <w:r>
        <w:tab/>
      </w:r>
      <w:r>
        <w:rPr>
          <w:i/>
          <w:iCs/>
        </w:rPr>
        <w:t>Evidence Act 1906</w:t>
      </w:r>
      <w:r>
        <w:t xml:space="preserve"> not excluded</w:t>
      </w:r>
      <w:bookmarkEnd w:id="672"/>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673" w:name="_Toc114576224"/>
      <w:r>
        <w:rPr>
          <w:rStyle w:val="CharSectno"/>
        </w:rPr>
        <w:t>219AB</w:t>
      </w:r>
      <w:r>
        <w:t>.</w:t>
      </w:r>
      <w:r>
        <w:tab/>
        <w:t>Testimony</w:t>
      </w:r>
      <w:r>
        <w:rPr>
          <w:snapToGrid w:val="0"/>
        </w:rPr>
        <w:t> — FLA s. 102C</w:t>
      </w:r>
      <w:bookmarkEnd w:id="673"/>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lastRenderedPageBreak/>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674" w:name="_Toc114576225"/>
      <w:r>
        <w:rPr>
          <w:rStyle w:val="CharSectno"/>
        </w:rPr>
        <w:t>219AC</w:t>
      </w:r>
      <w:r>
        <w:t>.</w:t>
      </w:r>
      <w:r>
        <w:tab/>
        <w:t>Appearance of persons</w:t>
      </w:r>
      <w:r>
        <w:rPr>
          <w:snapToGrid w:val="0"/>
        </w:rPr>
        <w:t> — FLA s. 102D</w:t>
      </w:r>
      <w:bookmarkEnd w:id="674"/>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675" w:name="_Toc114576226"/>
      <w:r>
        <w:rPr>
          <w:rStyle w:val="CharSectno"/>
        </w:rPr>
        <w:t>219AD</w:t>
      </w:r>
      <w:r>
        <w:t>.</w:t>
      </w:r>
      <w:r>
        <w:tab/>
        <w:t>Making of submissions</w:t>
      </w:r>
      <w:r>
        <w:rPr>
          <w:snapToGrid w:val="0"/>
        </w:rPr>
        <w:t> — FLA s. 102E</w:t>
      </w:r>
      <w:bookmarkEnd w:id="675"/>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lastRenderedPageBreak/>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676" w:name="_Toc114576227"/>
      <w:r>
        <w:rPr>
          <w:rStyle w:val="CharSectno"/>
        </w:rPr>
        <w:t>219AE</w:t>
      </w:r>
      <w:r>
        <w:t>.</w:t>
      </w:r>
      <w:r>
        <w:tab/>
        <w:t>Conditions for use of links</w:t>
      </w:r>
      <w:r>
        <w:rPr>
          <w:snapToGrid w:val="0"/>
        </w:rPr>
        <w:t> — FLA s. 102F</w:t>
      </w:r>
      <w:bookmarkEnd w:id="676"/>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lastRenderedPageBreak/>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lastRenderedPageBreak/>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677" w:name="_Toc114576228"/>
      <w:r>
        <w:rPr>
          <w:rStyle w:val="CharSectno"/>
        </w:rPr>
        <w:t>219AF</w:t>
      </w:r>
      <w:r>
        <w:t>.</w:t>
      </w:r>
      <w:r>
        <w:tab/>
        <w:t>Putting documents to a person</w:t>
      </w:r>
      <w:r>
        <w:rPr>
          <w:snapToGrid w:val="0"/>
        </w:rPr>
        <w:t> — FLA s. 102G</w:t>
      </w:r>
      <w:bookmarkEnd w:id="677"/>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lastRenderedPageBreak/>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678" w:name="_Toc114576229"/>
      <w:r>
        <w:rPr>
          <w:rStyle w:val="CharSectno"/>
        </w:rPr>
        <w:t>219AG</w:t>
      </w:r>
      <w:r>
        <w:t>.</w:t>
      </w:r>
      <w:r>
        <w:tab/>
        <w:t>Administration of oaths and affirmations</w:t>
      </w:r>
      <w:r>
        <w:rPr>
          <w:snapToGrid w:val="0"/>
        </w:rPr>
        <w:t> — FLA s. 102J</w:t>
      </w:r>
      <w:bookmarkEnd w:id="678"/>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 xml:space="preserve">if the court or the judge allows another person who is present at the place where the remote person is located </w:t>
      </w:r>
      <w:r>
        <w:lastRenderedPageBreak/>
        <w:t>to administer the oath or affirmation, by that other person.</w:t>
      </w:r>
    </w:p>
    <w:p>
      <w:pPr>
        <w:pStyle w:val="Footnotesection"/>
      </w:pPr>
      <w:r>
        <w:tab/>
        <w:t>[Section 219AG inserted: No. 35 of 2006 s. 19.]</w:t>
      </w:r>
    </w:p>
    <w:p>
      <w:pPr>
        <w:pStyle w:val="Heading5"/>
      </w:pPr>
      <w:bookmarkStart w:id="679" w:name="_Toc114576230"/>
      <w:r>
        <w:rPr>
          <w:rStyle w:val="CharSectno"/>
        </w:rPr>
        <w:t>219AH</w:t>
      </w:r>
      <w:r>
        <w:t>.</w:t>
      </w:r>
      <w:r>
        <w:tab/>
        <w:t>Expenses</w:t>
      </w:r>
      <w:r>
        <w:rPr>
          <w:snapToGrid w:val="0"/>
        </w:rPr>
        <w:t> — FLA s. 102K</w:t>
      </w:r>
      <w:bookmarkEnd w:id="679"/>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680" w:name="_Toc114576231"/>
      <w:r>
        <w:rPr>
          <w:rStyle w:val="CharSectno"/>
        </w:rPr>
        <w:t>219AI</w:t>
      </w:r>
      <w:r>
        <w:t>.</w:t>
      </w:r>
      <w:r>
        <w:tab/>
        <w:t>New Zealand proceedings</w:t>
      </w:r>
      <w:r>
        <w:rPr>
          <w:snapToGrid w:val="0"/>
        </w:rPr>
        <w:t> — FLA s. 102L</w:t>
      </w:r>
      <w:bookmarkEnd w:id="680"/>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pPr>
      <w:bookmarkStart w:id="681" w:name="_Toc114559553"/>
      <w:bookmarkStart w:id="682" w:name="_Toc114563547"/>
      <w:bookmarkStart w:id="683" w:name="_Toc114576232"/>
      <w:r>
        <w:rPr>
          <w:rStyle w:val="CharDivNo"/>
        </w:rPr>
        <w:t>Division 3</w:t>
      </w:r>
      <w:r>
        <w:t> — </w:t>
      </w:r>
      <w:r>
        <w:rPr>
          <w:rStyle w:val="CharDivText"/>
        </w:rPr>
        <w:t>Cross</w:t>
      </w:r>
      <w:r>
        <w:rPr>
          <w:rStyle w:val="CharDivText"/>
        </w:rPr>
        <w:noBreakHyphen/>
        <w:t>examination of parties where allegations of family violence</w:t>
      </w:r>
      <w:bookmarkEnd w:id="681"/>
      <w:bookmarkEnd w:id="682"/>
      <w:bookmarkEnd w:id="683"/>
    </w:p>
    <w:p>
      <w:pPr>
        <w:pStyle w:val="Footnoteheading"/>
      </w:pPr>
      <w:r>
        <w:tab/>
        <w:t>[Heading inserted: No. 16 of 2021 s. 4.]</w:t>
      </w:r>
    </w:p>
    <w:p>
      <w:pPr>
        <w:pStyle w:val="Heading5"/>
      </w:pPr>
      <w:bookmarkStart w:id="684" w:name="_Toc114576233"/>
      <w:r>
        <w:rPr>
          <w:rStyle w:val="CharSectno"/>
        </w:rPr>
        <w:t>219AJ</w:t>
      </w:r>
      <w:r>
        <w:t>.</w:t>
      </w:r>
      <w:r>
        <w:tab/>
        <w:t>Application of Division</w:t>
      </w:r>
      <w:bookmarkEnd w:id="68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lastRenderedPageBreak/>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685" w:name="_Toc114576234"/>
      <w:r>
        <w:rPr>
          <w:rStyle w:val="CharSectno"/>
        </w:rPr>
        <w:t>219AK</w:t>
      </w:r>
      <w:r>
        <w:t>.</w:t>
      </w:r>
      <w:r>
        <w:tab/>
        <w:t>Mandatory protections for parties in certain cases — FLA s. 102NA</w:t>
      </w:r>
      <w:bookmarkEnd w:id="685"/>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 legal practitioner acting on behalf of the examining party.</w:t>
      </w:r>
    </w:p>
    <w:p>
      <w:pPr>
        <w:pStyle w:val="Subsection"/>
      </w:pPr>
      <w:r>
        <w:lastRenderedPageBreak/>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686" w:name="_Toc114576235"/>
      <w:r>
        <w:rPr>
          <w:rStyle w:val="CharSectno"/>
        </w:rPr>
        <w:t>219AL</w:t>
      </w:r>
      <w:r>
        <w:t>.</w:t>
      </w:r>
      <w:r>
        <w:tab/>
        <w:t>Court</w:t>
      </w:r>
      <w:r>
        <w:noBreakHyphen/>
        <w:t>ordered protections in other cases — FLA s. 102NB</w:t>
      </w:r>
      <w:bookmarkEnd w:id="686"/>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687" w:name="_Toc114559557"/>
      <w:bookmarkStart w:id="688" w:name="_Toc114563551"/>
      <w:bookmarkStart w:id="689" w:name="_Toc114576236"/>
      <w:r>
        <w:rPr>
          <w:rStyle w:val="CharPartNo"/>
        </w:rPr>
        <w:lastRenderedPageBreak/>
        <w:t>Part 9</w:t>
      </w:r>
      <w:r>
        <w:rPr>
          <w:rStyle w:val="CharDivNo"/>
        </w:rPr>
        <w:t> </w:t>
      </w:r>
      <w:r>
        <w:t>—</w:t>
      </w:r>
      <w:r>
        <w:rPr>
          <w:rStyle w:val="CharDivText"/>
        </w:rPr>
        <w:t> </w:t>
      </w:r>
      <w:r>
        <w:rPr>
          <w:rStyle w:val="CharPartText"/>
        </w:rPr>
        <w:t>Enforcement of decrees</w:t>
      </w:r>
      <w:bookmarkEnd w:id="687"/>
      <w:bookmarkEnd w:id="688"/>
      <w:bookmarkEnd w:id="689"/>
      <w:r>
        <w:rPr>
          <w:rStyle w:val="CharPartText"/>
        </w:rPr>
        <w:t xml:space="preserve"> </w:t>
      </w:r>
    </w:p>
    <w:p>
      <w:pPr>
        <w:pStyle w:val="Heading5"/>
      </w:pPr>
      <w:bookmarkStart w:id="690" w:name="_Toc114576237"/>
      <w:r>
        <w:rPr>
          <w:rStyle w:val="CharSectno"/>
        </w:rPr>
        <w:t>219A</w:t>
      </w:r>
      <w:r>
        <w:t>.</w:t>
      </w:r>
      <w:r>
        <w:tab/>
        <w:t>Maintenance orders — more than 12 months old — FLA s. 106</w:t>
      </w:r>
      <w:bookmarkEnd w:id="690"/>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691" w:name="_Toc114576238"/>
      <w:r>
        <w:rPr>
          <w:rStyle w:val="CharSectno"/>
        </w:rPr>
        <w:t>220</w:t>
      </w:r>
      <w:r>
        <w:rPr>
          <w:snapToGrid w:val="0"/>
        </w:rPr>
        <w:t>.</w:t>
      </w:r>
      <w:r>
        <w:rPr>
          <w:snapToGrid w:val="0"/>
        </w:rPr>
        <w:tab/>
        <w:t>Enforcement of orders as to child maintenance or child bearing expenses</w:t>
      </w:r>
      <w:bookmarkEnd w:id="691"/>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92" w:name="_Toc114576239"/>
      <w:r>
        <w:rPr>
          <w:rStyle w:val="CharSectno"/>
        </w:rPr>
        <w:t>220A</w:t>
      </w:r>
      <w:r>
        <w:t>.</w:t>
      </w:r>
      <w:r>
        <w:tab/>
        <w:t>Rules relating to enforcement — FLA s. 109A</w:t>
      </w:r>
      <w:bookmarkEnd w:id="692"/>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lastRenderedPageBreak/>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lastRenderedPageBreak/>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693" w:name="_Toc114576240"/>
      <w:r>
        <w:rPr>
          <w:rStyle w:val="CharSectno"/>
        </w:rPr>
        <w:lastRenderedPageBreak/>
        <w:t>221</w:t>
      </w:r>
      <w:r>
        <w:rPr>
          <w:snapToGrid w:val="0"/>
        </w:rPr>
        <w:t>.</w:t>
      </w:r>
      <w:r>
        <w:rPr>
          <w:snapToGrid w:val="0"/>
        </w:rPr>
        <w:tab/>
        <w:t>Execution of instruments by order of court — FLA s. 106A</w:t>
      </w:r>
      <w:bookmarkEnd w:id="69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694" w:name="_Toc114576241"/>
      <w:r>
        <w:rPr>
          <w:rStyle w:val="CharSectno"/>
        </w:rPr>
        <w:t>222</w:t>
      </w:r>
      <w:r>
        <w:rPr>
          <w:snapToGrid w:val="0"/>
        </w:rPr>
        <w:t>.</w:t>
      </w:r>
      <w:r>
        <w:rPr>
          <w:snapToGrid w:val="0"/>
        </w:rPr>
        <w:tab/>
        <w:t>Transactions to defeat claim — FLA s. 106B</w:t>
      </w:r>
      <w:bookmarkEnd w:id="694"/>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keepNext/>
      </w:pPr>
      <w:r>
        <w:tab/>
        <w:t>(1A)</w:t>
      </w:r>
      <w:r>
        <w:tab/>
        <w:t xml:space="preserve">If a de facto partner is a bankrupt and the bankruptcy trustee is a party to proceedings under this Act, the court hearing the </w:t>
      </w:r>
      <w:r>
        <w:lastRenderedPageBreak/>
        <w:t xml:space="preserve">proceedings may set aside or restrain the making of an instrument or disposition — </w:t>
      </w:r>
    </w:p>
    <w:p>
      <w:pPr>
        <w:pStyle w:val="Indenta"/>
      </w:pPr>
      <w:r>
        <w:tab/>
        <w:t>(a)</w:t>
      </w:r>
      <w:r>
        <w:tab/>
        <w:t>which is made or proposed to be made by or on behalf of, or by direction or in the interest of, the bankrupt; and</w:t>
      </w:r>
    </w:p>
    <w:p>
      <w:pPr>
        <w:pStyle w:val="Indenta"/>
      </w:pPr>
      <w:r>
        <w:tab/>
        <w:t>(b)</w:t>
      </w:r>
      <w:r>
        <w:tab/>
        <w:t>which is made or proposed to be made to defeat an existing or anticipated order in those proceedings or which, irrespective of intention, is likely to defeat any such order.</w:t>
      </w:r>
    </w:p>
    <w:p>
      <w:pPr>
        <w:pStyle w:val="Subsection"/>
        <w:keepNext/>
      </w:pPr>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debtor; and</w:t>
      </w:r>
    </w:p>
    <w:p>
      <w:pPr>
        <w:pStyle w:val="Indenta"/>
      </w:pPr>
      <w:r>
        <w:tab/>
        <w:t>(b)</w:t>
      </w:r>
      <w:r>
        <w:tab/>
        <w:t xml:space="preserve">which is made or proposed to be made to defeat an existing or anticipated order in those proceedings or which, irrespective of intention, is likely to defeat any such order. </w:t>
      </w:r>
    </w:p>
    <w:p>
      <w:pPr>
        <w:pStyle w:val="Subsection"/>
        <w:rPr>
          <w:snapToGrid w:val="0"/>
        </w:rPr>
      </w:pPr>
      <w:r>
        <w:rPr>
          <w:snapToGrid w:val="0"/>
        </w:rPr>
        <w:tab/>
        <w:t>(2)</w:t>
      </w:r>
      <w:r>
        <w:rPr>
          <w:snapToGrid w:val="0"/>
        </w:rPr>
        <w:tab/>
        <w:t>A court referred to in subsection </w:t>
      </w:r>
      <w:r>
        <w:t xml:space="preserve">(1), (1A) or (1B) </w:t>
      </w:r>
      <w:r>
        <w:rPr>
          <w:snapToGrid w:val="0"/>
        </w:rPr>
        <w:t xml:space="preserve">may order that any money or real or personal property dealt with by any </w:t>
      </w:r>
      <w:r>
        <w:t xml:space="preserve">instrument or disposition referred to in subsection (1), (1A) or (1B) </w:t>
      </w:r>
      <w:r>
        <w:rPr>
          <w:snapToGrid w:val="0"/>
        </w:rPr>
        <w:t>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w:t>
      </w:r>
      <w:r>
        <w:t xml:space="preserve">(1), (1A) or (1B) </w:t>
      </w:r>
      <w:r>
        <w:rPr>
          <w:snapToGrid w:val="0"/>
        </w:rPr>
        <w:t>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 xml:space="preserve">A party or a person acting in collusion with a party may be ordered to pay the costs of any other party, or of a bona fide purchaser or other person interested, of and incidental to any </w:t>
      </w:r>
      <w:r>
        <w:rPr>
          <w:snapToGrid w:val="0"/>
        </w:rPr>
        <w:lastRenderedPageBreak/>
        <w:t>such instrument or disposition and the setting aside or restraining of the instrument or disposition.</w:t>
      </w:r>
    </w:p>
    <w:p>
      <w:pPr>
        <w:pStyle w:val="Subsection"/>
        <w:keepNext/>
      </w:pPr>
      <w:r>
        <w:tab/>
        <w:t>(4AA)</w:t>
      </w:r>
      <w:r>
        <w:tab/>
        <w:t xml:space="preserve">An application may be made to a court for an order under this section by — </w:t>
      </w:r>
    </w:p>
    <w:p>
      <w:pPr>
        <w:pStyle w:val="Indenta"/>
      </w:pPr>
      <w:r>
        <w:tab/>
        <w:t>(a)</w:t>
      </w:r>
      <w:r>
        <w:tab/>
        <w:t>a party to the proceedings; or</w:t>
      </w:r>
    </w:p>
    <w:p>
      <w:pPr>
        <w:pStyle w:val="Indenta"/>
      </w:pPr>
      <w:r>
        <w:tab/>
        <w:t>(b)</w:t>
      </w:r>
      <w:r>
        <w:tab/>
        <w:t>a creditor of a party to the proceedings if the creditor may not be able to recover their debt if the instrument or disposition were made; or</w:t>
      </w:r>
    </w:p>
    <w:p>
      <w:pPr>
        <w:pStyle w:val="Indenta"/>
      </w:pPr>
      <w:r>
        <w:tab/>
        <w:t>(c)</w:t>
      </w:r>
      <w:r>
        <w:tab/>
        <w:t>any other person whose interests would be affected by the making of the instrument or disposition.</w:t>
      </w:r>
    </w:p>
    <w:p>
      <w:pPr>
        <w:pStyle w:val="Subsection"/>
      </w:pPr>
      <w:r>
        <w:tab/>
        <w:t>(4a)</w:t>
      </w:r>
      <w:r>
        <w:tab/>
        <w:t>In addition to the powers a court referred to in subsection (1), (1A) or (1B) has under this section, the court may also do any or all of the things listed in section 205ZI(1).</w:t>
      </w:r>
    </w:p>
    <w:p>
      <w:pPr>
        <w:pStyle w:val="Subsection"/>
        <w:keepNext/>
        <w:rPr>
          <w:snapToGrid w:val="0"/>
        </w:rPr>
      </w:pPr>
      <w:r>
        <w:rPr>
          <w:snapToGrid w:val="0"/>
        </w:rPr>
        <w:tab/>
        <w:t>(5)</w:t>
      </w:r>
      <w:r>
        <w:rPr>
          <w:snapToGrid w:val="0"/>
        </w:rPr>
        <w:tab/>
        <w:t>In this section — </w:t>
      </w:r>
    </w:p>
    <w:p>
      <w:pPr>
        <w:pStyle w:val="Defstart"/>
        <w:keepNex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keepNext/>
      </w:pPr>
      <w:r>
        <w:rPr>
          <w:b/>
        </w:rPr>
        <w:tab/>
      </w:r>
      <w:r>
        <w:rPr>
          <w:rStyle w:val="CharDefText"/>
        </w:rPr>
        <w:t>interest</w:t>
      </w:r>
      <w:r>
        <w:t xml:space="preserve"> — </w:t>
      </w:r>
    </w:p>
    <w:p>
      <w:pPr>
        <w:pStyle w:val="Defpara"/>
        <w:keepNext/>
      </w:pPr>
      <w:r>
        <w:tab/>
        <w:t>(a)</w:t>
      </w:r>
      <w:r>
        <w:tab/>
        <w:t xml:space="preserve">in a company includes — </w:t>
      </w:r>
    </w:p>
    <w:p>
      <w:pPr>
        <w:pStyle w:val="Defsubpara"/>
        <w:keepLines w:val="0"/>
      </w:pPr>
      <w:r>
        <w:tab/>
        <w:t>(i)</w:t>
      </w:r>
      <w:r>
        <w:tab/>
        <w:t>a share in or debenture of the company; and</w:t>
      </w:r>
    </w:p>
    <w:p>
      <w:pPr>
        <w:pStyle w:val="Defsubpara"/>
        <w:keepNext/>
        <w:keepLines w:val="0"/>
      </w:pPr>
      <w:r>
        <w:tab/>
        <w:t>(ii)</w:t>
      </w:r>
      <w:r>
        <w:tab/>
        <w:t>an option over a share in or debenture of the company (whether the share or debenture is issued or not);</w:t>
      </w:r>
    </w:p>
    <w:p>
      <w:pPr>
        <w:pStyle w:val="Defpara"/>
      </w:pPr>
      <w:r>
        <w:tab/>
      </w:r>
      <w:r>
        <w:tab/>
        <w:t>and</w:t>
      </w:r>
    </w:p>
    <w:p>
      <w:pPr>
        <w:pStyle w:val="Defpara"/>
        <w:keepNext/>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lastRenderedPageBreak/>
        <w:tab/>
        <w:t>(iv)</w:t>
      </w:r>
      <w:r>
        <w:tab/>
        <w:t xml:space="preserve">a power to rescind or vary a provision of, or to rescind or vary the effect of the exercise of a power under, the trust; and </w:t>
      </w:r>
    </w:p>
    <w:p>
      <w:pPr>
        <w:pStyle w:val="Defsubpara"/>
        <w:keepNext/>
        <w:keepLines w:val="0"/>
      </w:pPr>
      <w:r>
        <w:tab/>
        <w:t>(v)</w:t>
      </w:r>
      <w:r>
        <w:tab/>
        <w:t>an interest that is conditional, contingent or deferred.</w:t>
      </w:r>
    </w:p>
    <w:p>
      <w:pPr>
        <w:pStyle w:val="Footnotesection"/>
      </w:pPr>
      <w:r>
        <w:tab/>
        <w:t>[Section 222 amended: No. 35 of 2006 s. 60 and 74; No. 28 of 2022 s. 29.]</w:t>
      </w:r>
    </w:p>
    <w:p>
      <w:pPr>
        <w:pStyle w:val="Heading5"/>
      </w:pPr>
      <w:bookmarkStart w:id="695" w:name="_Toc114576242"/>
      <w:r>
        <w:rPr>
          <w:rStyle w:val="CharSectno"/>
        </w:rPr>
        <w:t>222A</w:t>
      </w:r>
      <w:r>
        <w:t>.</w:t>
      </w:r>
      <w:r>
        <w:tab/>
        <w:t>People not to be imprisoned for failure to comply with certain orders — FLA s. 107</w:t>
      </w:r>
      <w:bookmarkEnd w:id="695"/>
    </w:p>
    <w:p>
      <w:pPr>
        <w:pStyle w:val="Subsection"/>
      </w:pPr>
      <w:r>
        <w:tab/>
        <w:t>(1)</w:t>
      </w:r>
      <w:r>
        <w:tab/>
        <w:t>A person must not be imprisoned or otherwise placed in custody because of a contravention of an order made under this Act for the payment of money.</w:t>
      </w:r>
    </w:p>
    <w:p>
      <w:pPr>
        <w:pStyle w:val="Subsection"/>
        <w:keepNext/>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keepNext/>
      </w:pPr>
      <w:r>
        <w:tab/>
        <w:t>(c)</w:t>
      </w:r>
      <w:r>
        <w:tab/>
        <w:t>Part 10A.</w:t>
      </w:r>
    </w:p>
    <w:p>
      <w:pPr>
        <w:pStyle w:val="Footnotesection"/>
      </w:pPr>
      <w:r>
        <w:tab/>
        <w:t>[Section 222A inserted: No. 25 of 2002 s. 14; amended: No. 35 of 2006 s. 75.]</w:t>
      </w:r>
    </w:p>
    <w:p>
      <w:pPr>
        <w:pStyle w:val="Heading2"/>
      </w:pPr>
      <w:bookmarkStart w:id="696" w:name="_Toc114559564"/>
      <w:bookmarkStart w:id="697" w:name="_Toc114563558"/>
      <w:bookmarkStart w:id="698" w:name="_Toc114576243"/>
      <w:r>
        <w:rPr>
          <w:rStyle w:val="CharPartNo"/>
        </w:rPr>
        <w:lastRenderedPageBreak/>
        <w:t>Part 10</w:t>
      </w:r>
      <w:r>
        <w:t> — </w:t>
      </w:r>
      <w:r>
        <w:rPr>
          <w:rStyle w:val="CharPartText"/>
        </w:rPr>
        <w:t>Sanctions for failure to comply with orders, and other obligations, that do not affect children</w:t>
      </w:r>
      <w:bookmarkEnd w:id="696"/>
      <w:bookmarkEnd w:id="697"/>
      <w:bookmarkEnd w:id="698"/>
    </w:p>
    <w:p>
      <w:pPr>
        <w:pStyle w:val="Footnoteheading"/>
      </w:pPr>
      <w:r>
        <w:tab/>
        <w:t>[Heading inserted: No. 25 of 2002 s. 15.]</w:t>
      </w:r>
    </w:p>
    <w:p>
      <w:pPr>
        <w:pStyle w:val="Heading3"/>
        <w:rPr>
          <w:snapToGrid w:val="0"/>
        </w:rPr>
      </w:pPr>
      <w:bookmarkStart w:id="699" w:name="_Toc114559565"/>
      <w:bookmarkStart w:id="700" w:name="_Toc114563559"/>
      <w:bookmarkStart w:id="701" w:name="_Toc114576244"/>
      <w:r>
        <w:rPr>
          <w:rStyle w:val="CharDivNo"/>
        </w:rPr>
        <w:t>Division 1</w:t>
      </w:r>
      <w:r>
        <w:rPr>
          <w:snapToGrid w:val="0"/>
        </w:rPr>
        <w:t> — </w:t>
      </w:r>
      <w:r>
        <w:rPr>
          <w:rStyle w:val="CharDivText"/>
        </w:rPr>
        <w:t>Interpretation</w:t>
      </w:r>
      <w:bookmarkEnd w:id="699"/>
      <w:bookmarkEnd w:id="700"/>
      <w:bookmarkEnd w:id="701"/>
      <w:r>
        <w:rPr>
          <w:rStyle w:val="CharDivText"/>
        </w:rPr>
        <w:t xml:space="preserve"> </w:t>
      </w:r>
    </w:p>
    <w:p>
      <w:pPr>
        <w:pStyle w:val="Heading5"/>
      </w:pPr>
      <w:bookmarkStart w:id="702" w:name="_Toc114576245"/>
      <w:r>
        <w:rPr>
          <w:rStyle w:val="CharSectno"/>
        </w:rPr>
        <w:t>223</w:t>
      </w:r>
      <w:r>
        <w:t>.</w:t>
      </w:r>
      <w:r>
        <w:tab/>
        <w:t>Terms used — FLA s. 112AA</w:t>
      </w:r>
      <w:bookmarkEnd w:id="702"/>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lastRenderedPageBreak/>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703" w:name="_Toc114576246"/>
      <w:r>
        <w:rPr>
          <w:rStyle w:val="CharSectno"/>
        </w:rPr>
        <w:t>224</w:t>
      </w:r>
      <w:r>
        <w:rPr>
          <w:snapToGrid w:val="0"/>
        </w:rPr>
        <w:t>.</w:t>
      </w:r>
      <w:r>
        <w:rPr>
          <w:snapToGrid w:val="0"/>
        </w:rPr>
        <w:tab/>
        <w:t xml:space="preserve">Meaning of </w:t>
      </w:r>
      <w:r>
        <w:rPr>
          <w:i/>
        </w:rPr>
        <w:t>contravene an order</w:t>
      </w:r>
      <w:r>
        <w:rPr>
          <w:snapToGrid w:val="0"/>
        </w:rPr>
        <w:t> — FLA s. 112AB</w:t>
      </w:r>
      <w:bookmarkEnd w:id="703"/>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704" w:name="_Toc114576247"/>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704"/>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lastRenderedPageBreak/>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705" w:name="_Toc114559569"/>
      <w:bookmarkStart w:id="706" w:name="_Toc114563563"/>
      <w:bookmarkStart w:id="707" w:name="_Toc114576248"/>
      <w:r>
        <w:rPr>
          <w:rStyle w:val="CharDivNo"/>
        </w:rPr>
        <w:t>Division 2</w:t>
      </w:r>
      <w:r>
        <w:rPr>
          <w:snapToGrid w:val="0"/>
        </w:rPr>
        <w:t> — </w:t>
      </w:r>
      <w:r>
        <w:rPr>
          <w:rStyle w:val="CharDivText"/>
        </w:rPr>
        <w:t>Sanctions for failure to comply with orders</w:t>
      </w:r>
      <w:bookmarkEnd w:id="705"/>
      <w:bookmarkEnd w:id="706"/>
      <w:bookmarkEnd w:id="707"/>
      <w:r>
        <w:rPr>
          <w:rStyle w:val="CharDivText"/>
        </w:rPr>
        <w:t xml:space="preserve"> </w:t>
      </w:r>
    </w:p>
    <w:p>
      <w:pPr>
        <w:pStyle w:val="Heading5"/>
        <w:rPr>
          <w:snapToGrid w:val="0"/>
        </w:rPr>
      </w:pPr>
      <w:bookmarkStart w:id="708" w:name="_Toc114576249"/>
      <w:r>
        <w:rPr>
          <w:rStyle w:val="CharSectno"/>
        </w:rPr>
        <w:t>226</w:t>
      </w:r>
      <w:r>
        <w:rPr>
          <w:snapToGrid w:val="0"/>
        </w:rPr>
        <w:t>.</w:t>
      </w:r>
      <w:r>
        <w:rPr>
          <w:snapToGrid w:val="0"/>
        </w:rPr>
        <w:tab/>
        <w:t>Sanctions for failure to comply with orders — FLA s. 112AD</w:t>
      </w:r>
      <w:bookmarkEnd w:id="708"/>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lastRenderedPageBreak/>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709" w:name="_Toc114576250"/>
      <w:r>
        <w:rPr>
          <w:rStyle w:val="CharSectno"/>
        </w:rPr>
        <w:t>227</w:t>
      </w:r>
      <w:r>
        <w:rPr>
          <w:snapToGrid w:val="0"/>
        </w:rPr>
        <w:t>.</w:t>
      </w:r>
      <w:r>
        <w:rPr>
          <w:snapToGrid w:val="0"/>
        </w:rPr>
        <w:tab/>
        <w:t>Sentences of imprisonment — FLA s. 112AE</w:t>
      </w:r>
      <w:bookmarkEnd w:id="709"/>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lastRenderedPageBreak/>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lastRenderedPageBreak/>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710" w:name="_Toc114576251"/>
      <w:r>
        <w:rPr>
          <w:rStyle w:val="CharSectno"/>
        </w:rPr>
        <w:t>228</w:t>
      </w:r>
      <w:r>
        <w:t>.</w:t>
      </w:r>
      <w:r>
        <w:tab/>
        <w:t>Bonds — FLA s. 112AF</w:t>
      </w:r>
      <w:bookmarkEnd w:id="710"/>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711" w:name="_Toc114576252"/>
      <w:r>
        <w:rPr>
          <w:rStyle w:val="CharSectno"/>
        </w:rPr>
        <w:t>229</w:t>
      </w:r>
      <w:r>
        <w:rPr>
          <w:snapToGrid w:val="0"/>
        </w:rPr>
        <w:t>.</w:t>
      </w:r>
      <w:r>
        <w:rPr>
          <w:snapToGrid w:val="0"/>
        </w:rPr>
        <w:tab/>
        <w:t>Sentencing alternatives — FLA s. 112AG</w:t>
      </w:r>
      <w:bookmarkEnd w:id="7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lastRenderedPageBreak/>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lastRenderedPageBreak/>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712" w:name="_Toc114576253"/>
      <w:r>
        <w:rPr>
          <w:rStyle w:val="CharSectno"/>
        </w:rPr>
        <w:t>230</w:t>
      </w:r>
      <w:r>
        <w:rPr>
          <w:snapToGrid w:val="0"/>
        </w:rPr>
        <w:t>.</w:t>
      </w:r>
      <w:r>
        <w:rPr>
          <w:snapToGrid w:val="0"/>
        </w:rPr>
        <w:tab/>
        <w:t>Failure to comply with sentencing alternative imposed under s. 226(3)(b) — FLA s. 112AH</w:t>
      </w:r>
      <w:bookmarkEnd w:id="712"/>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lastRenderedPageBreak/>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713" w:name="_Toc114576254"/>
      <w:r>
        <w:rPr>
          <w:rStyle w:val="CharSectno"/>
        </w:rPr>
        <w:t>231</w:t>
      </w:r>
      <w:r>
        <w:rPr>
          <w:snapToGrid w:val="0"/>
        </w:rPr>
        <w:t>.</w:t>
      </w:r>
      <w:r>
        <w:rPr>
          <w:snapToGrid w:val="0"/>
        </w:rPr>
        <w:tab/>
        <w:t>Variation and discharge of orders — FLA s. 112AK</w:t>
      </w:r>
      <w:bookmarkEnd w:id="713"/>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 xml:space="preserve">A variation of an order made under section 226 must be such that the order, as varied, is an order that could have been made </w:t>
      </w:r>
      <w:r>
        <w:rPr>
          <w:snapToGrid w:val="0"/>
        </w:rPr>
        <w:lastRenderedPageBreak/>
        <w:t>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714" w:name="_Toc114576255"/>
      <w:r>
        <w:rPr>
          <w:rStyle w:val="CharSectno"/>
        </w:rPr>
        <w:t>232</w:t>
      </w:r>
      <w:r>
        <w:rPr>
          <w:snapToGrid w:val="0"/>
        </w:rPr>
        <w:t>.</w:t>
      </w:r>
      <w:r>
        <w:rPr>
          <w:snapToGrid w:val="0"/>
        </w:rPr>
        <w:tab/>
        <w:t>Relationship between Division and other laws — FLA s. 112AM</w:t>
      </w:r>
      <w:bookmarkEnd w:id="714"/>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715" w:name="_Toc114576256"/>
      <w:r>
        <w:rPr>
          <w:rStyle w:val="CharSectno"/>
        </w:rPr>
        <w:t>233</w:t>
      </w:r>
      <w:r>
        <w:rPr>
          <w:snapToGrid w:val="0"/>
        </w:rPr>
        <w:t>.</w:t>
      </w:r>
      <w:r>
        <w:rPr>
          <w:snapToGrid w:val="0"/>
        </w:rPr>
        <w:tab/>
        <w:t>Division does not affect enforcement of child maintenance orders etc. — FLA s. 112AO</w:t>
      </w:r>
      <w:bookmarkEnd w:id="715"/>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716" w:name="_Toc114559578"/>
      <w:bookmarkStart w:id="717" w:name="_Toc114563572"/>
      <w:bookmarkStart w:id="718" w:name="_Toc114576257"/>
      <w:r>
        <w:rPr>
          <w:rStyle w:val="CharPartNo"/>
        </w:rPr>
        <w:lastRenderedPageBreak/>
        <w:t>Part 10A</w:t>
      </w:r>
      <w:r>
        <w:rPr>
          <w:rStyle w:val="CharDivNo"/>
        </w:rPr>
        <w:t> </w:t>
      </w:r>
      <w:r>
        <w:t>—</w:t>
      </w:r>
      <w:r>
        <w:rPr>
          <w:rStyle w:val="CharDivText"/>
        </w:rPr>
        <w:t> </w:t>
      </w:r>
      <w:r>
        <w:rPr>
          <w:rStyle w:val="CharPartText"/>
        </w:rPr>
        <w:t>Contempt of court</w:t>
      </w:r>
      <w:bookmarkEnd w:id="716"/>
      <w:bookmarkEnd w:id="717"/>
      <w:bookmarkEnd w:id="718"/>
    </w:p>
    <w:p>
      <w:pPr>
        <w:pStyle w:val="Footnoteheading"/>
      </w:pPr>
      <w:r>
        <w:tab/>
        <w:t>[Heading inserted: No. 25 of 2002 s. 26.]</w:t>
      </w:r>
    </w:p>
    <w:p>
      <w:pPr>
        <w:pStyle w:val="Heading5"/>
      </w:pPr>
      <w:bookmarkStart w:id="719" w:name="_Toc114576258"/>
      <w:r>
        <w:rPr>
          <w:rStyle w:val="CharSectno"/>
        </w:rPr>
        <w:t>233A</w:t>
      </w:r>
      <w:r>
        <w:t>.</w:t>
      </w:r>
      <w:r>
        <w:tab/>
        <w:t>Terms used</w:t>
      </w:r>
      <w:bookmarkEnd w:id="719"/>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720" w:name="_Toc114576259"/>
      <w:r>
        <w:rPr>
          <w:rStyle w:val="CharSectno"/>
        </w:rPr>
        <w:t>234</w:t>
      </w:r>
      <w:r>
        <w:rPr>
          <w:snapToGrid w:val="0"/>
        </w:rPr>
        <w:t>.</w:t>
      </w:r>
      <w:r>
        <w:rPr>
          <w:snapToGrid w:val="0"/>
        </w:rPr>
        <w:tab/>
        <w:t>Contempt — FLA s. 112AP</w:t>
      </w:r>
      <w:bookmarkEnd w:id="720"/>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lastRenderedPageBreak/>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721" w:name="_Toc114559581"/>
      <w:bookmarkStart w:id="722" w:name="_Toc114563575"/>
      <w:bookmarkStart w:id="723" w:name="_Toc114576260"/>
      <w:r>
        <w:rPr>
          <w:rStyle w:val="CharPartNo"/>
        </w:rPr>
        <w:lastRenderedPageBreak/>
        <w:t>Part 11</w:t>
      </w:r>
      <w:r>
        <w:rPr>
          <w:rStyle w:val="CharDivNo"/>
        </w:rPr>
        <w:t> </w:t>
      </w:r>
      <w:r>
        <w:t>—</w:t>
      </w:r>
      <w:r>
        <w:rPr>
          <w:rStyle w:val="CharDivText"/>
        </w:rPr>
        <w:t> </w:t>
      </w:r>
      <w:r>
        <w:rPr>
          <w:rStyle w:val="CharPartText"/>
        </w:rPr>
        <w:t>Injunctions</w:t>
      </w:r>
      <w:bookmarkEnd w:id="721"/>
      <w:bookmarkEnd w:id="722"/>
      <w:bookmarkEnd w:id="723"/>
    </w:p>
    <w:p>
      <w:pPr>
        <w:pStyle w:val="Heading5"/>
        <w:rPr>
          <w:snapToGrid w:val="0"/>
        </w:rPr>
      </w:pPr>
      <w:bookmarkStart w:id="724" w:name="_Toc114576261"/>
      <w:r>
        <w:rPr>
          <w:rStyle w:val="CharSectno"/>
        </w:rPr>
        <w:t>235</w:t>
      </w:r>
      <w:r>
        <w:rPr>
          <w:snapToGrid w:val="0"/>
        </w:rPr>
        <w:t>.</w:t>
      </w:r>
      <w:r>
        <w:rPr>
          <w:snapToGrid w:val="0"/>
        </w:rPr>
        <w:tab/>
        <w:t>Injunctions — FLA s. 68B</w:t>
      </w:r>
      <w:bookmarkEnd w:id="724"/>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lastRenderedPageBreak/>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725" w:name="_Toc114576262"/>
      <w:r>
        <w:rPr>
          <w:rStyle w:val="CharSectno"/>
        </w:rPr>
        <w:t>235A</w:t>
      </w:r>
      <w:r>
        <w:t>.</w:t>
      </w:r>
      <w:r>
        <w:tab/>
        <w:t>Injunctions relating to de facto relationships — FLA s. 114</w:t>
      </w:r>
      <w:bookmarkEnd w:id="725"/>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lastRenderedPageBreak/>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pPr>
        <w:pStyle w:val="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pPr>
        <w:pStyle w:val="Subsection"/>
      </w:pPr>
      <w:r>
        <w:tab/>
        <w:t>(6)</w:t>
      </w:r>
      <w:r>
        <w:tab/>
        <w:t xml:space="preserve">Subsections (4) and (5) do not limit the rest of this section. </w:t>
      </w:r>
    </w:p>
    <w:p>
      <w:pPr>
        <w:pStyle w:val="Footnotesection"/>
      </w:pPr>
      <w:r>
        <w:tab/>
        <w:t>[Section 235A inserted: No. 25 of 2002 s. 48; amended: No. 28 of 2022 s. 30.]</w:t>
      </w:r>
    </w:p>
    <w:p>
      <w:pPr>
        <w:pStyle w:val="Heading5"/>
        <w:rPr>
          <w:snapToGrid w:val="0"/>
        </w:rPr>
      </w:pPr>
      <w:bookmarkStart w:id="726" w:name="_Toc114576263"/>
      <w:r>
        <w:rPr>
          <w:rStyle w:val="CharSectno"/>
        </w:rPr>
        <w:t>236</w:t>
      </w:r>
      <w:r>
        <w:rPr>
          <w:snapToGrid w:val="0"/>
        </w:rPr>
        <w:t>.</w:t>
      </w:r>
      <w:r>
        <w:rPr>
          <w:snapToGrid w:val="0"/>
        </w:rPr>
        <w:tab/>
        <w:t>Powers of arrest where injunction breached — FLA s. 68C and s. 114AA</w:t>
      </w:r>
      <w:bookmarkEnd w:id="72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lastRenderedPageBreak/>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 xml:space="preserve">if there is an application before the court for the respondent to be dealt with for breach of the injunction, </w:t>
      </w:r>
      <w:r>
        <w:rPr>
          <w:snapToGrid w:val="0"/>
        </w:rPr>
        <w:lastRenderedPageBreak/>
        <w:t>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727" w:name="_Toc114559585"/>
      <w:bookmarkStart w:id="728" w:name="_Toc114563579"/>
      <w:bookmarkStart w:id="729" w:name="_Toc114576264"/>
      <w:r>
        <w:rPr>
          <w:rStyle w:val="CharPartNo"/>
        </w:rPr>
        <w:lastRenderedPageBreak/>
        <w:t>Part 12</w:t>
      </w:r>
      <w:r>
        <w:rPr>
          <w:rStyle w:val="CharDivNo"/>
        </w:rPr>
        <w:t> </w:t>
      </w:r>
      <w:r>
        <w:t>—</w:t>
      </w:r>
      <w:r>
        <w:rPr>
          <w:rStyle w:val="CharDivText"/>
        </w:rPr>
        <w:t> </w:t>
      </w:r>
      <w:r>
        <w:rPr>
          <w:rStyle w:val="CharPartText"/>
        </w:rPr>
        <w:t>Miscellaneous</w:t>
      </w:r>
      <w:bookmarkEnd w:id="727"/>
      <w:bookmarkEnd w:id="728"/>
      <w:bookmarkEnd w:id="729"/>
      <w:r>
        <w:rPr>
          <w:rStyle w:val="CharPartText"/>
        </w:rPr>
        <w:t xml:space="preserve"> </w:t>
      </w:r>
    </w:p>
    <w:p>
      <w:pPr>
        <w:pStyle w:val="Heading5"/>
        <w:rPr>
          <w:snapToGrid w:val="0"/>
        </w:rPr>
      </w:pPr>
      <w:bookmarkStart w:id="730" w:name="_Toc114576265"/>
      <w:r>
        <w:rPr>
          <w:rStyle w:val="CharSectno"/>
        </w:rPr>
        <w:t>237</w:t>
      </w:r>
      <w:r>
        <w:rPr>
          <w:snapToGrid w:val="0"/>
        </w:rPr>
        <w:t>.</w:t>
      </w:r>
      <w:r>
        <w:rPr>
          <w:snapToGrid w:val="0"/>
        </w:rPr>
        <w:tab/>
        <w:t>Costs — FLA s. 117</w:t>
      </w:r>
      <w:bookmarkEnd w:id="730"/>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lastRenderedPageBreak/>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lastRenderedPageBreak/>
        <w:t>[</w:t>
      </w:r>
      <w:r>
        <w:rPr>
          <w:b/>
          <w:bCs/>
        </w:rPr>
        <w:t>237A.</w:t>
      </w:r>
      <w:r>
        <w:tab/>
        <w:t>Deleted: No. 13 of 2013 s. 22.]</w:t>
      </w:r>
    </w:p>
    <w:p>
      <w:pPr>
        <w:pStyle w:val="Heading5"/>
        <w:rPr>
          <w:snapToGrid w:val="0"/>
        </w:rPr>
      </w:pPr>
      <w:bookmarkStart w:id="731" w:name="_Toc114576266"/>
      <w:r>
        <w:rPr>
          <w:rStyle w:val="CharSectno"/>
        </w:rPr>
        <w:t>238</w:t>
      </w:r>
      <w:r>
        <w:rPr>
          <w:snapToGrid w:val="0"/>
        </w:rPr>
        <w:t>.</w:t>
      </w:r>
      <w:r>
        <w:rPr>
          <w:snapToGrid w:val="0"/>
        </w:rPr>
        <w:tab/>
        <w:t>Reparation for certain losses and expenses relating to children — FLA s. 117A</w:t>
      </w:r>
      <w:bookmarkEnd w:id="731"/>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lastRenderedPageBreak/>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732" w:name="_Toc114576267"/>
      <w:r>
        <w:rPr>
          <w:rStyle w:val="CharSectno"/>
        </w:rPr>
        <w:t>239</w:t>
      </w:r>
      <w:r>
        <w:rPr>
          <w:snapToGrid w:val="0"/>
        </w:rPr>
        <w:t>.</w:t>
      </w:r>
      <w:r>
        <w:rPr>
          <w:snapToGrid w:val="0"/>
        </w:rPr>
        <w:tab/>
        <w:t>Interest on moneys ordered to be paid — FLA s. 117B</w:t>
      </w:r>
      <w:bookmarkEnd w:id="732"/>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lastRenderedPageBreak/>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733" w:name="_Toc114576268"/>
      <w:r>
        <w:rPr>
          <w:rStyle w:val="CharSectno"/>
        </w:rPr>
        <w:t>240</w:t>
      </w:r>
      <w:r>
        <w:t>.</w:t>
      </w:r>
      <w:r>
        <w:tab/>
        <w:t>Offers of settlement — FLA s. 117C</w:t>
      </w:r>
      <w:bookmarkEnd w:id="733"/>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734" w:name="_Toc114576269"/>
      <w:r>
        <w:rPr>
          <w:rStyle w:val="CharSectno"/>
        </w:rPr>
        <w:lastRenderedPageBreak/>
        <w:t>241</w:t>
      </w:r>
      <w:r>
        <w:rPr>
          <w:snapToGrid w:val="0"/>
        </w:rPr>
        <w:t>.</w:t>
      </w:r>
      <w:r>
        <w:rPr>
          <w:snapToGrid w:val="0"/>
        </w:rPr>
        <w:tab/>
      </w:r>
      <w:r>
        <w:rPr>
          <w:i/>
          <w:snapToGrid w:val="0"/>
        </w:rPr>
        <w:t>Ex parte</w:t>
      </w:r>
      <w:r>
        <w:rPr>
          <w:snapToGrid w:val="0"/>
        </w:rPr>
        <w:t xml:space="preserve"> orders</w:t>
      </w:r>
      <w:bookmarkEnd w:id="734"/>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735" w:name="_Toc114576270"/>
      <w:r>
        <w:rPr>
          <w:rStyle w:val="CharSectno"/>
        </w:rPr>
        <w:t>242</w:t>
      </w:r>
      <w:r>
        <w:rPr>
          <w:snapToGrid w:val="0"/>
        </w:rPr>
        <w:t>.</w:t>
      </w:r>
      <w:r>
        <w:rPr>
          <w:snapToGrid w:val="0"/>
        </w:rPr>
        <w:tab/>
        <w:t>Frivolous or vexatious proceedings — FLA s. 118</w:t>
      </w:r>
      <w:bookmarkEnd w:id="735"/>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736" w:name="_Toc114576271"/>
      <w:r>
        <w:rPr>
          <w:rStyle w:val="CharSectno"/>
        </w:rPr>
        <w:lastRenderedPageBreak/>
        <w:t>243</w:t>
      </w:r>
      <w:r>
        <w:rPr>
          <w:snapToGrid w:val="0"/>
        </w:rPr>
        <w:t>.</w:t>
      </w:r>
      <w:r>
        <w:rPr>
          <w:snapToGrid w:val="0"/>
        </w:rPr>
        <w:tab/>
        <w:t>Restriction on publication of court proceedings — FLA s. 121</w:t>
      </w:r>
      <w:bookmarkEnd w:id="736"/>
      <w:r>
        <w:rPr>
          <w:snapToGrid w:val="0"/>
        </w:rPr>
        <w:t xml:space="preserve"> </w:t>
      </w:r>
    </w:p>
    <w:p>
      <w:pPr>
        <w:pStyle w:val="Subsection"/>
        <w:rPr>
          <w:snapToGrid w:val="0"/>
        </w:rPr>
      </w:pPr>
      <w:r>
        <w:rPr>
          <w:snapToGrid w:val="0"/>
        </w:rPr>
        <w:tab/>
        <w:t>(1)</w:t>
      </w:r>
      <w:r>
        <w:rPr>
          <w:snapToGrid w:val="0"/>
        </w:rPr>
        <w:tab/>
      </w:r>
      <w:r>
        <w:t>A person commits a crime if the person publishes in a newspaper or periodical publication or by radio broadcast, television or other electronic means, or otherwise disseminates</w:t>
      </w:r>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rPr>
          <w:snapToGrid w:val="0"/>
        </w:rPr>
      </w:pPr>
      <w:r>
        <w:rPr>
          <w:snapToGrid w:val="0"/>
        </w:rPr>
        <w:tab/>
        <w:t>(2)</w:t>
      </w:r>
      <w:r>
        <w:rPr>
          <w:snapToGrid w:val="0"/>
        </w:rPr>
        <w:tab/>
      </w:r>
      <w:r>
        <w:t xml:space="preserve">A person commits a crime if the person, except as permitted by the rules, publishes in a newspaper or periodical publication or by radio broadcast, television or other electronic means, or otherwise disseminates </w:t>
      </w:r>
      <w:r>
        <w:rPr>
          <w:snapToGrid w:val="0"/>
        </w:rPr>
        <w:t>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keepNext/>
      </w:pPr>
      <w:r>
        <w:tab/>
        <w:t>Penalty for this subsection:</w:t>
      </w:r>
    </w:p>
    <w:p>
      <w:pPr>
        <w:pStyle w:val="Penpara"/>
      </w:pPr>
      <w:r>
        <w:tab/>
        <w:t>(a)</w:t>
      </w:r>
      <w:r>
        <w:tab/>
        <w:t>for an individual, imprisonment for 12 months and a fine of $5 500;</w:t>
      </w:r>
    </w:p>
    <w:p>
      <w:pPr>
        <w:pStyle w:val="Penpara"/>
      </w:pPr>
      <w:r>
        <w:lastRenderedPageBreak/>
        <w:tab/>
        <w:t>(b)</w:t>
      </w:r>
      <w:r>
        <w:tab/>
        <w:t>for a body corporate, a fine of $11 000.</w:t>
      </w:r>
    </w:p>
    <w:p>
      <w:pPr>
        <w:pStyle w:val="Penstart"/>
        <w:keepNex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 xml:space="preserve">being particulars that are sufficient to identify that person to a member of the public, or to a member of the </w:t>
      </w:r>
      <w:r>
        <w:rPr>
          <w:snapToGrid w:val="0"/>
        </w:rPr>
        <w:lastRenderedPageBreak/>
        <w:t>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Ednotesubsection"/>
        <w:spacing w:before="180"/>
      </w:pPr>
      <w:r>
        <w:tab/>
        <w:t>[(5), (6)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pPr>
      <w:r>
        <w:tab/>
        <w:t>(aa)</w:t>
      </w:r>
      <w:r>
        <w:tab/>
        <w:t>the communication of any pleading, transcript of evidence or other document to an authority of a State or Territory that has responsibilities relating to the welfare of children and is prescribed by the regulations for the purposes of this paragraph; or</w:t>
      </w:r>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lastRenderedPageBreak/>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lastRenderedPageBreak/>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 No. 16 of 2021 s. 5.]</w:t>
      </w:r>
    </w:p>
    <w:p>
      <w:pPr>
        <w:pStyle w:val="Heading5"/>
        <w:spacing w:before="200"/>
      </w:pPr>
      <w:bookmarkStart w:id="737" w:name="_Toc114576272"/>
      <w:r>
        <w:rPr>
          <w:rStyle w:val="CharSectno"/>
        </w:rPr>
        <w:t>243A</w:t>
      </w:r>
      <w:r>
        <w:t>.</w:t>
      </w:r>
      <w:r>
        <w:tab/>
        <w:t>Use of reasonable force in arresting persons — FLA s. 122AA</w:t>
      </w:r>
      <w:bookmarkEnd w:id="737"/>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738" w:name="_Toc114576273"/>
      <w:r>
        <w:rPr>
          <w:rStyle w:val="CharSectno"/>
        </w:rPr>
        <w:lastRenderedPageBreak/>
        <w:t>244</w:t>
      </w:r>
      <w:r>
        <w:rPr>
          <w:snapToGrid w:val="0"/>
        </w:rPr>
        <w:t>.</w:t>
      </w:r>
      <w:r>
        <w:rPr>
          <w:snapToGrid w:val="0"/>
        </w:rPr>
        <w:tab/>
        <w:t>Rules</w:t>
      </w:r>
      <w:bookmarkEnd w:id="738"/>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lastRenderedPageBreak/>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w:t>
      </w:r>
      <w:r>
        <w:rPr>
          <w:snapToGrid w:val="0"/>
        </w:rPr>
        <w:lastRenderedPageBreak/>
        <w:t>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lastRenderedPageBreak/>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lastRenderedPageBreak/>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lastRenderedPageBreak/>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739" w:name="_Toc114576274"/>
      <w:r>
        <w:rPr>
          <w:rStyle w:val="CharSectno"/>
        </w:rPr>
        <w:lastRenderedPageBreak/>
        <w:t>245</w:t>
      </w:r>
      <w:r>
        <w:rPr>
          <w:snapToGrid w:val="0"/>
        </w:rPr>
        <w:t>.</w:t>
      </w:r>
      <w:r>
        <w:rPr>
          <w:snapToGrid w:val="0"/>
        </w:rPr>
        <w:tab/>
        <w:t>Regulations</w:t>
      </w:r>
      <w:bookmarkEnd w:id="739"/>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 xml:space="preserve">or the </w:t>
      </w:r>
      <w:r>
        <w:lastRenderedPageBreak/>
        <w:t>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740" w:name="_Toc114576275"/>
      <w:r>
        <w:rPr>
          <w:rStyle w:val="CharSectno"/>
        </w:rPr>
        <w:t>246</w:t>
      </w:r>
      <w:r>
        <w:rPr>
          <w:snapToGrid w:val="0"/>
        </w:rPr>
        <w:t>.</w:t>
      </w:r>
      <w:r>
        <w:rPr>
          <w:snapToGrid w:val="0"/>
        </w:rPr>
        <w:tab/>
        <w:t>Repeal</w:t>
      </w:r>
      <w:bookmarkEnd w:id="740"/>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741" w:name="_Toc114576276"/>
      <w:r>
        <w:rPr>
          <w:rStyle w:val="CharSectno"/>
        </w:rPr>
        <w:t>247</w:t>
      </w:r>
      <w:r>
        <w:t>.</w:t>
      </w:r>
      <w:r>
        <w:tab/>
        <w:t>Transitional and savings</w:t>
      </w:r>
      <w:bookmarkEnd w:id="741"/>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Subsection"/>
        <w:keepNext/>
      </w:pPr>
      <w:r>
        <w:lastRenderedPageBreak/>
        <w:tab/>
        <w:t>(3)</w:t>
      </w:r>
      <w:r>
        <w:tab/>
        <w:t xml:space="preserve">Schedule 2 Division 3 has effect in relation to the amendments made by the </w:t>
      </w:r>
      <w:r>
        <w:rPr>
          <w:i/>
        </w:rPr>
        <w:t>Family Court Amendment Act 2022</w:t>
      </w:r>
      <w:r>
        <w:t>.</w:t>
      </w:r>
    </w:p>
    <w:p>
      <w:pPr>
        <w:pStyle w:val="Footnotesection"/>
      </w:pPr>
      <w:r>
        <w:tab/>
        <w:t>[Section 247 inserted: No. 13 of 2013 s. 35; amended: No. 28 of 2022 s. 31.]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42" w:name="_Toc114559598"/>
      <w:bookmarkStart w:id="743" w:name="_Toc114563592"/>
      <w:bookmarkStart w:id="744" w:name="_Toc114576277"/>
      <w:r>
        <w:rPr>
          <w:rStyle w:val="CharSchNo"/>
        </w:rPr>
        <w:lastRenderedPageBreak/>
        <w:t>Schedule 1</w:t>
      </w:r>
      <w:r>
        <w:rPr>
          <w:rStyle w:val="CharSDivNo"/>
        </w:rPr>
        <w:t> </w:t>
      </w:r>
      <w:r>
        <w:t>—</w:t>
      </w:r>
      <w:r>
        <w:rPr>
          <w:rStyle w:val="CharSDivText"/>
        </w:rPr>
        <w:t> </w:t>
      </w:r>
      <w:r>
        <w:rPr>
          <w:rStyle w:val="CharSchText"/>
        </w:rPr>
        <w:t>Oath and affirmation of office</w:t>
      </w:r>
      <w:bookmarkEnd w:id="742"/>
      <w:bookmarkEnd w:id="743"/>
      <w:bookmarkEnd w:id="744"/>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746" w:name="_Toc114559599"/>
      <w:bookmarkStart w:id="747" w:name="_Toc114563593"/>
      <w:bookmarkStart w:id="748" w:name="_Toc114576278"/>
      <w:r>
        <w:rPr>
          <w:rStyle w:val="CharSchNo"/>
        </w:rPr>
        <w:lastRenderedPageBreak/>
        <w:t>Schedule 2</w:t>
      </w:r>
      <w:r>
        <w:t> — </w:t>
      </w:r>
      <w:r>
        <w:rPr>
          <w:rStyle w:val="CharSchText"/>
        </w:rPr>
        <w:t>Transitional and savings</w:t>
      </w:r>
      <w:bookmarkEnd w:id="746"/>
      <w:bookmarkEnd w:id="747"/>
      <w:bookmarkEnd w:id="748"/>
      <w:r>
        <w:rPr>
          <w:rStyle w:val="CharSchText"/>
        </w:rPr>
        <w:t xml:space="preserve"> </w:t>
      </w:r>
    </w:p>
    <w:p>
      <w:pPr>
        <w:pStyle w:val="yShoulderClause"/>
        <w:rPr>
          <w:snapToGrid w:val="0"/>
        </w:rPr>
      </w:pPr>
      <w:r>
        <w:rPr>
          <w:snapToGrid w:val="0"/>
        </w:rPr>
        <w:t>[Section 247]</w:t>
      </w:r>
    </w:p>
    <w:p>
      <w:pPr>
        <w:pStyle w:val="yHeading3"/>
      </w:pPr>
      <w:bookmarkStart w:id="749" w:name="_Toc114559600"/>
      <w:bookmarkStart w:id="750" w:name="_Toc114563594"/>
      <w:bookmarkStart w:id="751" w:name="_Toc114576279"/>
      <w:r>
        <w:rPr>
          <w:rStyle w:val="CharSDivNo"/>
        </w:rPr>
        <w:t>Division 1</w:t>
      </w:r>
      <w:r>
        <w:t> — </w:t>
      </w:r>
      <w:r>
        <w:rPr>
          <w:rStyle w:val="CharSDivText"/>
        </w:rPr>
        <w:t xml:space="preserve">Provisions for repeal of </w:t>
      </w:r>
      <w:r>
        <w:rPr>
          <w:rStyle w:val="CharSDivText"/>
          <w:i/>
        </w:rPr>
        <w:t>Family Court Act 1975</w:t>
      </w:r>
      <w:bookmarkEnd w:id="749"/>
      <w:bookmarkEnd w:id="750"/>
      <w:bookmarkEnd w:id="751"/>
    </w:p>
    <w:p>
      <w:pPr>
        <w:pStyle w:val="yFootnoteheading"/>
      </w:pPr>
      <w:r>
        <w:tab/>
        <w:t>[Heading inserted: No. 13 of 2013 s. 36.]</w:t>
      </w:r>
    </w:p>
    <w:p>
      <w:pPr>
        <w:pStyle w:val="yHeading5"/>
      </w:pPr>
      <w:bookmarkStart w:id="752" w:name="_Toc114576280"/>
      <w:r>
        <w:rPr>
          <w:rStyle w:val="CharSClsNo"/>
        </w:rPr>
        <w:t>1</w:t>
      </w:r>
      <w:r>
        <w:t>.</w:t>
      </w:r>
      <w:r>
        <w:tab/>
        <w:t>Terms used</w:t>
      </w:r>
      <w:bookmarkEnd w:id="752"/>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753" w:name="_Toc114576281"/>
      <w:r>
        <w:rPr>
          <w:rStyle w:val="CharSClsNo"/>
        </w:rPr>
        <w:t>2</w:t>
      </w:r>
      <w:r>
        <w:t>.</w:t>
      </w:r>
      <w:r>
        <w:tab/>
        <w:t>Interpretation Act 1984 applies</w:t>
      </w:r>
      <w:bookmarkEnd w:id="753"/>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754" w:name="_Toc114576282"/>
      <w:r>
        <w:rPr>
          <w:rStyle w:val="CharSClsNo"/>
        </w:rPr>
        <w:t>3</w:t>
      </w:r>
      <w:r>
        <w:t>.</w:t>
      </w:r>
      <w:r>
        <w:tab/>
        <w:t>Persons holding offices under, or employed or engaged for purposes of, the repealed Act</w:t>
      </w:r>
      <w:bookmarkEnd w:id="754"/>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 xml:space="preserve">and whose appointment to, or employment or engagement in, that office or position was in effect immediately before the commencement day is to be treated on and after the commencement day as having been appointed, employed or engaged, as the case </w:t>
      </w:r>
      <w:r>
        <w:rPr>
          <w:snapToGrid w:val="0"/>
        </w:rPr>
        <w:lastRenderedPageBreak/>
        <w:t>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lastRenderedPageBreak/>
        <w:tab/>
        <w:t>(d)</w:t>
      </w:r>
      <w:r>
        <w:rPr>
          <w:snapToGrid w:val="0"/>
        </w:rPr>
        <w:tab/>
        <w:t>otherwise continues to be subject to the terms and conditions applicable to the appointment.</w:t>
      </w:r>
    </w:p>
    <w:p>
      <w:pPr>
        <w:pStyle w:val="yHeading5"/>
      </w:pPr>
      <w:bookmarkStart w:id="755" w:name="_Toc114576283"/>
      <w:r>
        <w:rPr>
          <w:rStyle w:val="CharSClsNo"/>
        </w:rPr>
        <w:t>4</w:t>
      </w:r>
      <w:r>
        <w:t>.</w:t>
      </w:r>
      <w:r>
        <w:tab/>
        <w:t>Setting aside of orders made under repealed s. 30 altering property interests</w:t>
      </w:r>
      <w:bookmarkEnd w:id="755"/>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756" w:name="_Toc114576284"/>
      <w:r>
        <w:rPr>
          <w:rStyle w:val="CharSClsNo"/>
        </w:rPr>
        <w:t>5</w:t>
      </w:r>
      <w:r>
        <w:t>.</w:t>
      </w:r>
      <w:r>
        <w:tab/>
        <w:t>Treatment of orders as to custody, guardianship, access or maintenance or other payments</w:t>
      </w:r>
      <w:bookmarkEnd w:id="756"/>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lastRenderedPageBreak/>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757" w:name="_Toc114576285"/>
      <w:r>
        <w:rPr>
          <w:rStyle w:val="CharSClsNo"/>
        </w:rPr>
        <w:lastRenderedPageBreak/>
        <w:t>6</w:t>
      </w:r>
      <w:r>
        <w:t>.</w:t>
      </w:r>
      <w:r>
        <w:tab/>
        <w:t>Treatment of applications for orders as to custody, guardianship, access or maintenance or other payments</w:t>
      </w:r>
      <w:bookmarkEnd w:id="757"/>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758" w:name="_Toc114576286"/>
      <w:r>
        <w:rPr>
          <w:rStyle w:val="CharSClsNo"/>
        </w:rPr>
        <w:t>7</w:t>
      </w:r>
      <w:r>
        <w:t>.</w:t>
      </w:r>
      <w:r>
        <w:tab/>
        <w:t>Treatment of agreements relating to child welfare matters</w:t>
      </w:r>
      <w:bookmarkEnd w:id="758"/>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759" w:name="_Toc114576287"/>
      <w:r>
        <w:rPr>
          <w:rStyle w:val="CharSClsNo"/>
        </w:rPr>
        <w:lastRenderedPageBreak/>
        <w:t>8</w:t>
      </w:r>
      <w:r>
        <w:t>.</w:t>
      </w:r>
      <w:r>
        <w:tab/>
        <w:t>Treatment of warrants</w:t>
      </w:r>
      <w:bookmarkEnd w:id="759"/>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760" w:name="_Toc114576288"/>
      <w:r>
        <w:rPr>
          <w:rStyle w:val="CharSClsNo"/>
        </w:rPr>
        <w:t>9</w:t>
      </w:r>
      <w:r>
        <w:t>.</w:t>
      </w:r>
      <w:r>
        <w:tab/>
        <w:t>Treatment of orders as to information</w:t>
      </w:r>
      <w:bookmarkEnd w:id="760"/>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761" w:name="_Toc114576289"/>
      <w:r>
        <w:rPr>
          <w:rStyle w:val="CharSClsNo"/>
        </w:rPr>
        <w:t>10</w:t>
      </w:r>
      <w:r>
        <w:t>.</w:t>
      </w:r>
      <w:r>
        <w:tab/>
        <w:t>Other things done for purposes of provisions of repealed Act</w:t>
      </w:r>
      <w:bookmarkEnd w:id="761"/>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762" w:name="_Toc114559611"/>
      <w:bookmarkStart w:id="763" w:name="_Toc114563605"/>
      <w:bookmarkStart w:id="764" w:name="_Toc114576290"/>
      <w:r>
        <w:rPr>
          <w:rStyle w:val="CharSDivNo"/>
        </w:rPr>
        <w:lastRenderedPageBreak/>
        <w:t>Division 2</w:t>
      </w:r>
      <w:r>
        <w:rPr>
          <w:b w:val="0"/>
        </w:rPr>
        <w:t> — </w:t>
      </w:r>
      <w:r>
        <w:rPr>
          <w:rStyle w:val="CharSDivText"/>
        </w:rPr>
        <w:t xml:space="preserve">Provisions for </w:t>
      </w:r>
      <w:r>
        <w:rPr>
          <w:rStyle w:val="CharSDivText"/>
          <w:i/>
        </w:rPr>
        <w:t>Family Court Amendment (Family Violence and Other Measures) Act 2013</w:t>
      </w:r>
      <w:bookmarkEnd w:id="762"/>
      <w:bookmarkEnd w:id="763"/>
      <w:bookmarkEnd w:id="764"/>
    </w:p>
    <w:p>
      <w:pPr>
        <w:pStyle w:val="yFootnoteheading"/>
      </w:pPr>
      <w:r>
        <w:tab/>
        <w:t>[Heading inserted: No. 13 of 2013 s. 39.]</w:t>
      </w:r>
    </w:p>
    <w:p>
      <w:pPr>
        <w:pStyle w:val="yHeading5"/>
      </w:pPr>
      <w:bookmarkStart w:id="765" w:name="_Toc114576291"/>
      <w:r>
        <w:rPr>
          <w:rStyle w:val="CharSClsNo"/>
        </w:rPr>
        <w:t>11</w:t>
      </w:r>
      <w:r>
        <w:t>.</w:t>
      </w:r>
      <w:r>
        <w:tab/>
        <w:t>Application of amendments relating to family violence</w:t>
      </w:r>
      <w:bookmarkEnd w:id="765"/>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766" w:name="_Toc114576292"/>
      <w:r>
        <w:rPr>
          <w:rStyle w:val="CharSClsNo"/>
        </w:rPr>
        <w:t>12</w:t>
      </w:r>
      <w:r>
        <w:t>.</w:t>
      </w:r>
      <w:r>
        <w:tab/>
        <w:t>Application of other amendments</w:t>
      </w:r>
      <w:bookmarkEnd w:id="766"/>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 xml:space="preserve">An order or direction under section 65(1) or 73(5) of the old Act, or an application for such an order or direction, has effect after commencement as if it were an order or direction, or an application </w:t>
      </w:r>
      <w:r>
        <w:lastRenderedPageBreak/>
        <w:t>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yHeading3"/>
      </w:pPr>
      <w:bookmarkStart w:id="767" w:name="_Toc99358522"/>
      <w:bookmarkStart w:id="768" w:name="_Toc99360601"/>
      <w:bookmarkStart w:id="769" w:name="_Toc99435528"/>
      <w:bookmarkStart w:id="770" w:name="_Toc99435584"/>
      <w:bookmarkStart w:id="771" w:name="_Toc112422784"/>
      <w:bookmarkStart w:id="772" w:name="_Toc112910567"/>
      <w:bookmarkStart w:id="773" w:name="_Toc112914480"/>
      <w:bookmarkStart w:id="774" w:name="_Toc114563608"/>
      <w:bookmarkStart w:id="775" w:name="_Toc114576293"/>
      <w:r>
        <w:rPr>
          <w:rStyle w:val="CharSDivNo"/>
        </w:rPr>
        <w:lastRenderedPageBreak/>
        <w:t>Division 3</w:t>
      </w:r>
      <w:r>
        <w:t> — </w:t>
      </w:r>
      <w:r>
        <w:rPr>
          <w:rStyle w:val="CharSDivText"/>
        </w:rPr>
        <w:t xml:space="preserve">Provisions for </w:t>
      </w:r>
      <w:r>
        <w:rPr>
          <w:rStyle w:val="CharSDivText"/>
          <w:i/>
        </w:rPr>
        <w:t>Family Court Amendment Act 2022</w:t>
      </w:r>
      <w:bookmarkEnd w:id="767"/>
      <w:bookmarkEnd w:id="768"/>
      <w:bookmarkEnd w:id="769"/>
      <w:bookmarkEnd w:id="770"/>
      <w:bookmarkEnd w:id="771"/>
      <w:bookmarkEnd w:id="772"/>
      <w:bookmarkEnd w:id="773"/>
      <w:bookmarkEnd w:id="774"/>
      <w:bookmarkEnd w:id="775"/>
    </w:p>
    <w:p>
      <w:pPr>
        <w:pStyle w:val="yFootnoteheading"/>
        <w:keepNext/>
      </w:pPr>
      <w:bookmarkStart w:id="776" w:name="_Toc112422785"/>
      <w:bookmarkStart w:id="777" w:name="_Toc112914481"/>
      <w:r>
        <w:tab/>
        <w:t>[Heading inserted: No. 28 of 2022 s. 32.]</w:t>
      </w:r>
    </w:p>
    <w:p>
      <w:pPr>
        <w:pStyle w:val="yHeading5"/>
      </w:pPr>
      <w:bookmarkStart w:id="778" w:name="_Toc114576294"/>
      <w:r>
        <w:rPr>
          <w:rStyle w:val="CharSClsNo"/>
        </w:rPr>
        <w:t>13</w:t>
      </w:r>
      <w:r>
        <w:t>.</w:t>
      </w:r>
      <w:r>
        <w:tab/>
        <w:t>Application of amendments</w:t>
      </w:r>
      <w:bookmarkEnd w:id="776"/>
      <w:bookmarkEnd w:id="777"/>
      <w:bookmarkEnd w:id="77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Family Court Amendment Act 2022</w:t>
      </w:r>
      <w:r>
        <w:t xml:space="preserve"> Part 2 comes into operation.</w:t>
      </w:r>
    </w:p>
    <w:p>
      <w:pPr>
        <w:pStyle w:val="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pPr>
        <w:pStyle w:val="yIndenta"/>
      </w:pPr>
      <w:r>
        <w:tab/>
        <w:t>(a)</w:t>
      </w:r>
      <w:r>
        <w:tab/>
        <w:t xml:space="preserve">bankruptcies for which the date of the bankruptcy is on or after the commencement day; and </w:t>
      </w:r>
    </w:p>
    <w:p>
      <w:pPr>
        <w:pStyle w:val="yIndenta"/>
      </w:pPr>
      <w:r>
        <w:tab/>
        <w:t>(b)</w:t>
      </w:r>
      <w:r>
        <w:tab/>
        <w:t>personal insolvency agreements, whether executed before, on or after the commencement day.</w:t>
      </w:r>
    </w:p>
    <w:p>
      <w:pPr>
        <w:pStyle w:val="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pPr>
        <w:pStyle w:val="yIndenta"/>
      </w:pPr>
      <w:r>
        <w:tab/>
        <w:t>(a)</w:t>
      </w:r>
      <w:r>
        <w:tab/>
        <w:t xml:space="preserve">section 205ZCA(2), (3), (4) and (5); </w:t>
      </w:r>
    </w:p>
    <w:p>
      <w:pPr>
        <w:pStyle w:val="yIndenta"/>
      </w:pPr>
      <w:r>
        <w:tab/>
        <w:t>(b)</w:t>
      </w:r>
      <w:r>
        <w:tab/>
        <w:t xml:space="preserve">section 205ZCA(10), to the extent to which it relates to section 205ZCA(2); </w:t>
      </w:r>
    </w:p>
    <w:p>
      <w:pPr>
        <w:pStyle w:val="yIndenta"/>
      </w:pPr>
      <w:r>
        <w:tab/>
        <w:t>(c)</w:t>
      </w:r>
      <w:r>
        <w:tab/>
        <w:t xml:space="preserve">the definitions in section 5(1), to the extent to which they relate to section 205ZCA(2), (3), (4) and (5); </w:t>
      </w:r>
    </w:p>
    <w:p>
      <w:pPr>
        <w:pStyle w:val="yIndenta"/>
      </w:pPr>
      <w:r>
        <w:tab/>
        <w:t>(d)</w:t>
      </w:r>
      <w:r>
        <w:tab/>
        <w:t xml:space="preserve">section 205ZG(12), (13), (14) and (15); </w:t>
      </w:r>
    </w:p>
    <w:p>
      <w:pPr>
        <w:pStyle w:val="yIndenta"/>
      </w:pPr>
      <w:r>
        <w:tab/>
        <w:t>(e)</w:t>
      </w:r>
      <w:r>
        <w:tab/>
        <w:t xml:space="preserve">section 205ZG(20), to the extent to which it relates to section 205ZG(12); </w:t>
      </w:r>
    </w:p>
    <w:p>
      <w:pPr>
        <w:pStyle w:val="yIndenta"/>
      </w:pPr>
      <w:r>
        <w:tab/>
        <w:t>(f)</w:t>
      </w:r>
      <w:r>
        <w:tab/>
        <w:t>the definitions in section 5(1), to the extent to which they relate to section 205ZG(12), (13), (14) and (15).</w:t>
      </w:r>
    </w:p>
    <w:p>
      <w:pPr>
        <w:pStyle w:val="ySubsection"/>
      </w:pPr>
      <w:r>
        <w:tab/>
        <w:t>(4)</w:t>
      </w:r>
      <w:r>
        <w:tab/>
        <w:t>Section 205ZA(3), as in force immediately before the commencement day, continues to apply on and after that day to a declaration or order made under section 205ZA before that day.</w:t>
      </w:r>
    </w:p>
    <w:p>
      <w:pPr>
        <w:pStyle w:val="ySubsection"/>
      </w:pPr>
      <w:r>
        <w:lastRenderedPageBreak/>
        <w:tab/>
        <w:t>(5)</w:t>
      </w:r>
      <w:r>
        <w:tab/>
        <w:t xml:space="preserve">The amendment to section 205ZB made by the </w:t>
      </w:r>
      <w:r>
        <w:rPr>
          <w:i/>
        </w:rPr>
        <w:t xml:space="preserve">Family Court Amendment Act 2022 </w:t>
      </w:r>
      <w:r>
        <w:t>section 13 applies in relation to applications made on or after the commencement day.</w:t>
      </w:r>
    </w:p>
    <w:p>
      <w:pPr>
        <w:pStyle w:val="ySubsection"/>
      </w:pPr>
      <w:r>
        <w:tab/>
        <w:t>(6)</w:t>
      </w:r>
      <w:r>
        <w:tab/>
        <w:t>Section 205ZPA applies in relation to a financial agreement made on or after the commencement day.</w:t>
      </w:r>
    </w:p>
    <w:p>
      <w:pPr>
        <w:pStyle w:val="ySubsection"/>
      </w:pPr>
      <w:r>
        <w:tab/>
        <w:t>(7)</w:t>
      </w:r>
      <w:r>
        <w:tab/>
        <w:t>Section 205ZPB applies in relation to a financial agreement or former financial agreement made between parties whose de facto relationship breaks down on or after the commencement day.</w:t>
      </w:r>
    </w:p>
    <w:p>
      <w:pPr>
        <w:pStyle w:val="ySubsection"/>
      </w:pPr>
      <w:r>
        <w:tab/>
        <w:t>(8)</w:t>
      </w:r>
      <w:r>
        <w:tab/>
        <w:t>Section 211(6) applies in relation to appeals whether instituted before, on or after the commencement day.</w:t>
      </w:r>
    </w:p>
    <w:p>
      <w:pPr>
        <w:pStyle w:val="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pPr>
        <w:pStyle w:val="yFootnotesection"/>
      </w:pPr>
      <w:r>
        <w:tab/>
        <w:t>[Clause 13 inserted: No. 28 of 2022 s. 32.]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779" w:name="_Toc114559614"/>
      <w:bookmarkStart w:id="780" w:name="_Toc114563610"/>
      <w:bookmarkStart w:id="781" w:name="_Toc114576295"/>
      <w:r>
        <w:lastRenderedPageBreak/>
        <w:t>Notes</w:t>
      </w:r>
      <w:bookmarkEnd w:id="779"/>
      <w:bookmarkEnd w:id="780"/>
      <w:bookmarkEnd w:id="781"/>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82" w:name="_Toc114576296"/>
      <w:r>
        <w:t>Compilation table</w:t>
      </w:r>
      <w:bookmarkEnd w:id="782"/>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lastRenderedPageBreak/>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8-11</w:t>
            </w:r>
          </w:p>
        </w:tc>
        <w:tc>
          <w:tcPr>
            <w:tcW w:w="1134" w:type="dxa"/>
          </w:tcPr>
          <w:p>
            <w:pPr>
              <w:pStyle w:val="nTable"/>
              <w:spacing w:after="40"/>
            </w:pPr>
            <w:r>
              <w:t xml:space="preserve">35 of 2006 </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lastRenderedPageBreak/>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pPr>
              <w:pStyle w:val="nTable"/>
              <w:keepNext/>
              <w:spacing w:after="40"/>
              <w:rPr>
                <w:snapToGrid w:val="0"/>
              </w:rPr>
            </w:pPr>
            <w:r>
              <w:t>9 of 2022</w:t>
            </w:r>
          </w:p>
        </w:tc>
        <w:tc>
          <w:tcPr>
            <w:tcW w:w="1134" w:type="dxa"/>
            <w:shd w:val="clear" w:color="auto" w:fill="auto"/>
          </w:tcPr>
          <w:p>
            <w:pPr>
              <w:pStyle w:val="nTable"/>
              <w:keepNext/>
              <w:spacing w:after="40"/>
            </w:pPr>
            <w:r>
              <w:t>14 Apr 2022</w:t>
            </w:r>
          </w:p>
        </w:tc>
        <w:tc>
          <w:tcPr>
            <w:tcW w:w="2554" w:type="dxa"/>
            <w:shd w:val="clear" w:color="auto" w:fill="auto"/>
          </w:tcPr>
          <w:p>
            <w:pPr>
              <w:pStyle w:val="nTable"/>
              <w:keepNext/>
              <w:spacing w:after="40"/>
            </w:pPr>
            <w:r>
              <w:rPr>
                <w:snapToGrid w:val="0"/>
              </w:rPr>
              <w:t>1 Jul 2022 (see s. 2(c) and SL 2022/113 cl. 2)</w:t>
            </w:r>
          </w:p>
        </w:tc>
      </w:tr>
      <w:tr>
        <w:trPr>
          <w:cantSplit/>
        </w:trPr>
        <w:tc>
          <w:tcPr>
            <w:tcW w:w="2268" w:type="dxa"/>
            <w:tcBorders>
              <w:bottom w:val="single" w:sz="8" w:space="0" w:color="auto"/>
            </w:tcBorders>
            <w:shd w:val="clear" w:color="auto" w:fill="auto"/>
          </w:tcPr>
          <w:p>
            <w:pPr>
              <w:pStyle w:val="nTable"/>
              <w:spacing w:after="40"/>
              <w:ind w:right="113"/>
              <w:rPr>
                <w:i/>
                <w:snapToGrid w:val="0"/>
              </w:rPr>
            </w:pPr>
            <w:r>
              <w:rPr>
                <w:i/>
              </w:rPr>
              <w:t>Family Court Amendment Act 2022</w:t>
            </w:r>
            <w:r>
              <w:t xml:space="preserve"> Pt. 2</w:t>
            </w:r>
          </w:p>
        </w:tc>
        <w:tc>
          <w:tcPr>
            <w:tcW w:w="1134" w:type="dxa"/>
            <w:tcBorders>
              <w:bottom w:val="single" w:sz="8" w:space="0" w:color="auto"/>
            </w:tcBorders>
            <w:shd w:val="clear" w:color="auto" w:fill="auto"/>
          </w:tcPr>
          <w:p>
            <w:pPr>
              <w:pStyle w:val="nTable"/>
              <w:keepNext/>
              <w:spacing w:after="40"/>
            </w:pPr>
            <w:r>
              <w:t>28 of 2022</w:t>
            </w:r>
          </w:p>
        </w:tc>
        <w:tc>
          <w:tcPr>
            <w:tcW w:w="1134" w:type="dxa"/>
            <w:tcBorders>
              <w:bottom w:val="single" w:sz="8" w:space="0" w:color="auto"/>
            </w:tcBorders>
            <w:shd w:val="clear" w:color="auto" w:fill="auto"/>
          </w:tcPr>
          <w:p>
            <w:pPr>
              <w:pStyle w:val="nTable"/>
              <w:keepNext/>
              <w:spacing w:after="40"/>
            </w:pPr>
            <w:r>
              <w:t>31 Aug 2022</w:t>
            </w:r>
          </w:p>
        </w:tc>
        <w:tc>
          <w:tcPr>
            <w:tcW w:w="2554" w:type="dxa"/>
            <w:tcBorders>
              <w:bottom w:val="single" w:sz="8" w:space="0" w:color="auto"/>
            </w:tcBorders>
            <w:shd w:val="clear" w:color="auto" w:fill="auto"/>
          </w:tcPr>
          <w:p>
            <w:pPr>
              <w:pStyle w:val="nTable"/>
              <w:keepNext/>
              <w:spacing w:after="40"/>
              <w:rPr>
                <w:snapToGrid w:val="0"/>
              </w:rPr>
            </w:pPr>
            <w:r>
              <w:rPr>
                <w:snapToGrid w:val="0"/>
              </w:rPr>
              <w:t>28 Sep 2022 (see s. 2(c) and SL 2022/159 cl. 2)</w:t>
            </w:r>
          </w:p>
        </w:tc>
      </w:tr>
    </w:tbl>
    <w:p>
      <w:pPr>
        <w:pStyle w:val="nHeading3"/>
      </w:pPr>
      <w:bookmarkStart w:id="783" w:name="_Toc114576297"/>
      <w:r>
        <w:t>Uncommenced provisions table</w:t>
      </w:r>
      <w:bookmarkEnd w:id="78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8" w:space="0" w:color="auto"/>
              <w:bottom w:val="single" w:sz="4" w:space="0" w:color="auto"/>
            </w:tcBorders>
          </w:tcPr>
          <w:p>
            <w:pPr>
              <w:pStyle w:val="nTable"/>
              <w:keepNext/>
              <w:spacing w:after="40"/>
            </w:pPr>
            <w:r>
              <w:t>43 of 2000</w:t>
            </w:r>
          </w:p>
        </w:tc>
        <w:tc>
          <w:tcPr>
            <w:tcW w:w="1134" w:type="dxa"/>
            <w:tcBorders>
              <w:top w:val="single" w:sz="8" w:space="0" w:color="auto"/>
              <w:bottom w:val="single" w:sz="4" w:space="0" w:color="auto"/>
            </w:tcBorders>
          </w:tcPr>
          <w:p>
            <w:pPr>
              <w:pStyle w:val="nTable"/>
              <w:keepNext/>
              <w:spacing w:after="40"/>
            </w:pPr>
            <w:r>
              <w:t>2 Nov 2000</w:t>
            </w:r>
          </w:p>
        </w:tc>
        <w:tc>
          <w:tcPr>
            <w:tcW w:w="2552" w:type="dxa"/>
            <w:tcBorders>
              <w:top w:val="single" w:sz="8" w:space="0" w:color="auto"/>
              <w:bottom w:val="single" w:sz="4" w:space="0" w:color="auto"/>
            </w:tcBorders>
          </w:tcPr>
          <w:p>
            <w:pPr>
              <w:pStyle w:val="nTable"/>
              <w:keepNext/>
              <w:spacing w:after="40"/>
            </w:pPr>
            <w:r>
              <w:t>To be proclaimed (see s. 2(2))</w:t>
            </w:r>
          </w:p>
        </w:tc>
      </w:tr>
    </w:tbl>
    <w:p>
      <w:pPr>
        <w:pStyle w:val="nHeading3"/>
      </w:pPr>
      <w:bookmarkStart w:id="784" w:name="_Toc114576298"/>
      <w:r>
        <w:t>Other notes</w:t>
      </w:r>
      <w:bookmarkEnd w:id="784"/>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lastRenderedPageBreak/>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xml:space="preserve">, as amended by section 36 of this Act, applies in relation to proceedings in a court (within the meaning of that Act section 8) that have not been finally determined before the </w:t>
      </w:r>
      <w:r>
        <w:lastRenderedPageBreak/>
        <w:t>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lastRenderedPageBreak/>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lastRenderedPageBreak/>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keepNext/>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lastRenderedPageBreak/>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w:t>
      </w:r>
      <w:r>
        <w:lastRenderedPageBreak/>
        <w:t xml:space="preserve">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keepNext/>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lastRenderedPageBreak/>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lastRenderedPageBreak/>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Note"/>
      </w:pPr>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786" w:name="_Toc114576299"/>
      <w:r>
        <w:rPr>
          <w:sz w:val="28"/>
        </w:rPr>
        <w:lastRenderedPageBreak/>
        <w:t>Defined terms</w:t>
      </w:r>
      <w:bookmarkEnd w:id="7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alleged contravention</w:t>
      </w:r>
      <w:r>
        <w:tab/>
        <w:t>5(1)</w:t>
      </w:r>
    </w:p>
    <w:p>
      <w:pPr>
        <w:pStyle w:val="DefinedTerms"/>
      </w:pPr>
      <w:r>
        <w:t>alleged offender</w:t>
      </w:r>
      <w:r>
        <w:tab/>
        <w:t>5(1), 99(1)</w:t>
      </w:r>
    </w:p>
    <w:p>
      <w:pPr>
        <w:pStyle w:val="DefinedTerms"/>
      </w:pPr>
      <w:r>
        <w:t>applicant</w:t>
      </w:r>
      <w:r>
        <w:tab/>
        <w:t>117(1), 205J(1), 205M(1), 205O(7)</w:t>
      </w:r>
    </w:p>
    <w:p>
      <w:pPr>
        <w:pStyle w:val="DefinedTerms"/>
      </w:pPr>
      <w:r>
        <w:t>application for a confiscation declaration</w:t>
      </w:r>
      <w:r>
        <w:tab/>
        <w:t>5(1)</w:t>
      </w:r>
    </w:p>
    <w:p>
      <w:pPr>
        <w:pStyle w:val="DefinedTerms"/>
      </w:pPr>
      <w:r>
        <w:t>arbitration</w:t>
      </w:r>
      <w:r>
        <w:tab/>
        <w:t>5(1), 56(1)</w:t>
      </w:r>
    </w:p>
    <w:p>
      <w:pPr>
        <w:pStyle w:val="DefinedTerms"/>
      </w:pPr>
      <w:r>
        <w:t>arbitrator</w:t>
      </w:r>
      <w:r>
        <w:tab/>
        <w:t>5(1)</w:t>
      </w:r>
    </w:p>
    <w:p>
      <w:pPr>
        <w:pStyle w:val="DefinedTerms"/>
      </w:pPr>
      <w:r>
        <w:t>arresting person</w:t>
      </w:r>
      <w:r>
        <w:tab/>
        <w:t>5(1)</w:t>
      </w:r>
    </w:p>
    <w:p>
      <w:pPr>
        <w:pStyle w:val="DefinedTerms"/>
      </w:pPr>
      <w:r>
        <w:t>audio link</w:t>
      </w:r>
      <w:r>
        <w:tab/>
        <w:t>5(1)</w:t>
      </w:r>
    </w:p>
    <w:p>
      <w:pPr>
        <w:pStyle w:val="DefinedTerms"/>
      </w:pPr>
      <w:r>
        <w:t>bankrupt</w:t>
      </w:r>
      <w:r>
        <w:tab/>
        <w:t>5(1)</w:t>
      </w:r>
    </w:p>
    <w:p>
      <w:pPr>
        <w:pStyle w:val="DefinedTerms"/>
      </w:pPr>
      <w:r>
        <w:t>Bankruptcy Act</w:t>
      </w:r>
      <w:r>
        <w:tab/>
        <w:t>5(1)</w:t>
      </w:r>
    </w:p>
    <w:p>
      <w:pPr>
        <w:pStyle w:val="DefinedTerms"/>
      </w:pPr>
      <w:r>
        <w:t>bankruptcy trustee</w:t>
      </w:r>
      <w:r>
        <w:tab/>
        <w:t>5(1)</w:t>
      </w:r>
    </w:p>
    <w:p>
      <w:pPr>
        <w:pStyle w:val="DefinedTerms"/>
      </w:pPr>
      <w:r>
        <w:t>birth</w:t>
      </w:r>
      <w:r>
        <w:tab/>
        <w:t>5(1)</w:t>
      </w:r>
    </w:p>
    <w:p>
      <w:pPr>
        <w:pStyle w:val="DefinedTerms"/>
      </w:pPr>
      <w:r>
        <w:t>captain</w:t>
      </w:r>
      <w:r>
        <w:tab/>
        <w:t>5(1)</w:t>
      </w:r>
    </w:p>
    <w:p>
      <w:pPr>
        <w:pStyle w:val="DefinedTerms"/>
      </w:pPr>
      <w:r>
        <w:t>carer</w:t>
      </w:r>
      <w:r>
        <w:tab/>
        <w:t>98A(1)</w:t>
      </w:r>
    </w:p>
    <w:p>
      <w:pPr>
        <w:pStyle w:val="DefinedTerms"/>
      </w:pPr>
      <w:r>
        <w:t>ceiling amount</w:t>
      </w:r>
      <w:r>
        <w:tab/>
        <w:t>43(9)</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childbirth maintenance period</w:t>
      </w:r>
      <w:r>
        <w:tab/>
        <w:t>5(1)</w:t>
      </w:r>
    </w:p>
    <w:p>
      <w:pPr>
        <w:pStyle w:val="DefinedTerms"/>
      </w:pPr>
      <w:r>
        <w:t>child maintenance order</w:t>
      </w:r>
      <w:r>
        <w:tab/>
        <w:t>5(1), 84(5)</w:t>
      </w:r>
    </w:p>
    <w:p>
      <w:pPr>
        <w:pStyle w:val="DefinedTerms"/>
      </w:pPr>
      <w:r>
        <w:t>child maintenance provisions</w:t>
      </w:r>
      <w:r>
        <w:tab/>
        <w:t>5(1), 76(5)</w:t>
      </w:r>
    </w:p>
    <w:p>
      <w:pPr>
        <w:pStyle w:val="DefinedTerms"/>
      </w:pPr>
      <w:r>
        <w:t>child-related proceedings</w:t>
      </w:r>
      <w:r>
        <w:tab/>
        <w:t>5(1), 202H(6)</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t>child welfare provisions</w:t>
      </w:r>
      <w:r>
        <w:tab/>
        <w:t>5(1)</w:t>
      </w:r>
    </w:p>
    <w:p>
      <w:pPr>
        <w:pStyle w:val="DefinedTerms"/>
      </w:pPr>
      <w:r>
        <w:t>commencement</w:t>
      </w:r>
      <w:r>
        <w:tab/>
        <w:t>Sch. 2 cl. 11(1) and 12(1)</w:t>
      </w:r>
    </w:p>
    <w:p>
      <w:pPr>
        <w:pStyle w:val="DefinedTerms"/>
      </w:pPr>
      <w:r>
        <w:t>commencement day</w:t>
      </w:r>
      <w:r>
        <w:tab/>
        <w:t>219AJ(1), Sch. 2 cl. 1 and 13(1)</w:t>
      </w:r>
    </w:p>
    <w:p>
      <w:pPr>
        <w:pStyle w:val="DefinedTerms"/>
      </w:pPr>
      <w:r>
        <w:t>Commissioner of Police</w:t>
      </w:r>
      <w:r>
        <w:tab/>
        <w:t>5(1)</w:t>
      </w:r>
    </w:p>
    <w:p>
      <w:pPr>
        <w:pStyle w:val="DefinedTerms"/>
      </w:pPr>
      <w:r>
        <w:t>Commonwealth or State instrumentality</w:t>
      </w:r>
      <w:r>
        <w:tab/>
        <w:t>238(3)</w:t>
      </w:r>
    </w:p>
    <w:p>
      <w:pPr>
        <w:pStyle w:val="DefinedTerms"/>
      </w:pPr>
      <w:r>
        <w:t>communication</w:t>
      </w:r>
      <w:r>
        <w:tab/>
        <w:t>49(7), 53(8)</w:t>
      </w:r>
    </w:p>
    <w:p>
      <w:pPr>
        <w:pStyle w:val="DefinedTerms"/>
      </w:pPr>
      <w:r>
        <w:t>community service order</w:t>
      </w:r>
      <w:r>
        <w:tab/>
        <w:t>5(1)</w:t>
      </w:r>
    </w:p>
    <w:p>
      <w:pPr>
        <w:pStyle w:val="DefinedTerms"/>
      </w:pPr>
      <w:r>
        <w:lastRenderedPageBreak/>
        <w:t>confiscation declaration</w:t>
      </w:r>
      <w:r>
        <w:tab/>
        <w:t>5(1)</w:t>
      </w:r>
    </w:p>
    <w:p>
      <w:pPr>
        <w:pStyle w:val="DefinedTerms"/>
      </w:pPr>
      <w:r>
        <w:t>contravene an order</w:t>
      </w:r>
      <w:r>
        <w:tab/>
        <w:t>233A</w:t>
      </w:r>
    </w:p>
    <w:p>
      <w:pPr>
        <w:pStyle w:val="DefinedTerms"/>
      </w:pPr>
      <w:r>
        <w:t>contravened an order</w:t>
      </w:r>
      <w:r>
        <w:tab/>
        <w:t>5(1)</w:t>
      </w:r>
    </w:p>
    <w:p>
      <w:pPr>
        <w:pStyle w:val="DefinedTerms"/>
      </w:pPr>
      <w:r>
        <w:t>Court</w:t>
      </w:r>
      <w:r>
        <w:tab/>
        <w:t>5(1)</w:t>
      </w:r>
    </w:p>
    <w:p>
      <w:pPr>
        <w:pStyle w:val="DefinedTerms"/>
      </w:pPr>
      <w:r>
        <w:t>court</w:t>
      </w:r>
      <w:r>
        <w:tab/>
        <w:t>5(1), 43(1), 43A(1), 103(1), 104(1), 161(5), 191(3), 230(1), 243(9)</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current contravention</w:t>
      </w:r>
      <w:r>
        <w:tab/>
        <w:t>205K, 205N(1), 205SA(1)</w:t>
      </w:r>
    </w:p>
    <w:p>
      <w:pPr>
        <w:pStyle w:val="DefinedTerms"/>
      </w:pPr>
      <w:r>
        <w:t>dealt with</w:t>
      </w:r>
      <w:r>
        <w:tab/>
        <w:t>205ZM</w:t>
      </w:r>
    </w:p>
    <w:p>
      <w:pPr>
        <w:pStyle w:val="DefinedTerms"/>
      </w:pPr>
      <w:r>
        <w:t>debtor party</w:t>
      </w:r>
      <w:r>
        <w:tab/>
        <w:t>205ZCA(6), 205ZG(16)</w:t>
      </w:r>
    </w:p>
    <w:p>
      <w:pPr>
        <w:pStyle w:val="DefinedTerms"/>
      </w:pPr>
      <w:r>
        <w:t>debtor subject to a personal insolvency agreement</w:t>
      </w:r>
      <w:r>
        <w:tab/>
        <w:t>5(1), 7B</w:t>
      </w:r>
    </w:p>
    <w:p>
      <w:pPr>
        <w:pStyle w:val="DefinedTerms"/>
      </w:pPr>
      <w:r>
        <w:t>declaration time</w:t>
      </w:r>
      <w:r>
        <w:tab/>
        <w:t>205ZPB(7)</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dispute resolution provisions of the rules</w:t>
      </w:r>
      <w:r>
        <w:tab/>
        <w:t>66H(1)</w:t>
      </w:r>
    </w:p>
    <w:p>
      <w:pPr>
        <w:pStyle w:val="DefinedTerms"/>
      </w:pPr>
      <w:r>
        <w:t>DPP</w:t>
      </w:r>
      <w:r>
        <w:tab/>
        <w:t>5(1)</w:t>
      </w:r>
    </w:p>
    <w:p>
      <w:pPr>
        <w:pStyle w:val="DefinedTerms"/>
      </w:pPr>
      <w:r>
        <w:t>education</w:t>
      </w:r>
      <w:r>
        <w:tab/>
        <w:t>5(1)</w:t>
      </w:r>
    </w:p>
    <w:p>
      <w:pPr>
        <w:pStyle w:val="DefinedTerms"/>
      </w:pPr>
      <w:r>
        <w:t>electronic means</w:t>
      </w:r>
      <w:r>
        <w:tab/>
        <w:t>243(9)</w:t>
      </w:r>
    </w:p>
    <w:p>
      <w:pPr>
        <w:pStyle w:val="DefinedTerms"/>
      </w:pPr>
      <w:r>
        <w:t>examined</w:t>
      </w:r>
      <w:r>
        <w:tab/>
        <w:t>217(4)</w:t>
      </w:r>
    </w:p>
    <w:p>
      <w:pPr>
        <w:pStyle w:val="DefinedTerms"/>
      </w:pPr>
      <w:r>
        <w:t>examining party</w:t>
      </w:r>
      <w:r>
        <w:tab/>
        <w:t>219AK(1), 219AL(1)</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Australia</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t>Family Law Act</w:t>
      </w:r>
      <w:r>
        <w:tab/>
        <w:t>5(1)</w:t>
      </w:r>
    </w:p>
    <w:p>
      <w:pPr>
        <w:pStyle w:val="DefinedTerms"/>
      </w:pPr>
      <w:r>
        <w:t>family law magistrate</w:t>
      </w:r>
      <w:r>
        <w:tab/>
        <w:t>5(1)</w:t>
      </w:r>
    </w:p>
    <w:p>
      <w:pPr>
        <w:pStyle w:val="DefinedTerms"/>
      </w:pPr>
      <w:r>
        <w:t>family member</w:t>
      </w:r>
      <w:r>
        <w:tab/>
        <w:t>9A(1)</w:t>
      </w:r>
    </w:p>
    <w:p>
      <w:pPr>
        <w:pStyle w:val="DefinedTerms"/>
      </w:pPr>
      <w:r>
        <w:t>family violence</w:t>
      </w:r>
      <w:r>
        <w:tab/>
        <w:t>5(1), 9A(1)</w:t>
      </w:r>
    </w:p>
    <w:p>
      <w:pPr>
        <w:pStyle w:val="DefinedTerms"/>
      </w:pPr>
      <w:r>
        <w:t>family violence order</w:t>
      </w:r>
      <w:r>
        <w:tab/>
        <w:t>5(1)</w:t>
      </w:r>
    </w:p>
    <w:p>
      <w:pPr>
        <w:pStyle w:val="DefinedTerms"/>
      </w:pPr>
      <w:r>
        <w:t>financial agreement</w:t>
      </w:r>
      <w:r>
        <w:tab/>
        <w:t>205T</w:t>
      </w:r>
    </w:p>
    <w:p>
      <w:pPr>
        <w:pStyle w:val="DefinedTerms"/>
      </w:pPr>
      <w:r>
        <w:t>financial matters</w:t>
      </w:r>
      <w:r>
        <w:tab/>
        <w:t>205T</w:t>
      </w:r>
    </w:p>
    <w:p>
      <w:pPr>
        <w:pStyle w:val="DefinedTerms"/>
      </w:pPr>
      <w:r>
        <w:t>first order</w:t>
      </w:r>
      <w:r>
        <w:tab/>
        <w:t>128(1)</w:t>
      </w:r>
    </w:p>
    <w:p>
      <w:pPr>
        <w:pStyle w:val="DefinedTerms"/>
      </w:pPr>
      <w:r>
        <w:t>first person</w:t>
      </w:r>
      <w:r>
        <w:tab/>
        <w:t>5(1), 6</w:t>
      </w:r>
    </w:p>
    <w:p>
      <w:pPr>
        <w:pStyle w:val="DefinedTerms"/>
      </w:pPr>
      <w:r>
        <w:lastRenderedPageBreak/>
        <w:t>former financial agreement</w:t>
      </w:r>
      <w:r>
        <w:tab/>
        <w:t>205T</w:t>
      </w:r>
    </w:p>
    <w:p>
      <w:pPr>
        <w:pStyle w:val="DefinedTerms"/>
      </w:pPr>
      <w:r>
        <w:t>government body</w:t>
      </w:r>
      <w:r>
        <w:tab/>
        <w:t>205ZV(6)</w:t>
      </w:r>
    </w:p>
    <w:p>
      <w:pPr>
        <w:pStyle w:val="DefinedTerms"/>
      </w:pPr>
      <w:r>
        <w:t>holding period</w:t>
      </w:r>
      <w:r>
        <w:tab/>
        <w:t>101(4), 236(6)</w:t>
      </w:r>
    </w:p>
    <w:p>
      <w:pPr>
        <w:pStyle w:val="DefinedTerms"/>
      </w:pPr>
      <w:r>
        <w:t>income tested pension, allowance or benefit</w:t>
      </w:r>
      <w:r>
        <w:tab/>
        <w:t>5(1), 205T</w:t>
      </w:r>
    </w:p>
    <w:p>
      <w:pPr>
        <w:pStyle w:val="DefinedTerms"/>
      </w:pPr>
      <w:r>
        <w:t>independent children’s lawyer</w:t>
      </w:r>
      <w:r>
        <w:tab/>
        <w:t>5(1)</w:t>
      </w:r>
    </w:p>
    <w:p>
      <w:pPr>
        <w:pStyle w:val="DefinedTerms"/>
      </w:pPr>
      <w:r>
        <w:t>information about a child’s location</w:t>
      </w:r>
      <w:r>
        <w:tab/>
        <w:t>5(1)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w:t>
      </w:r>
    </w:p>
    <w:p>
      <w:pPr>
        <w:pStyle w:val="DefinedTerms"/>
      </w:pPr>
      <w:r>
        <w:t>major long-term issues</w:t>
      </w:r>
      <w:r>
        <w:tab/>
        <w:t>5(1), 7A(1)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offence</w:t>
      </w:r>
      <w:r>
        <w:tab/>
        <w:t>232(1)</w:t>
      </w:r>
    </w:p>
    <w:p>
      <w:pPr>
        <w:pStyle w:val="DefinedTerms"/>
      </w:pPr>
      <w:r>
        <w:t>official</w:t>
      </w:r>
      <w:r>
        <w:tab/>
        <w:t>147(8)</w:t>
      </w:r>
    </w:p>
    <w:p>
      <w:pPr>
        <w:pStyle w:val="DefinedTerms"/>
      </w:pPr>
      <w:r>
        <w:t>old Act</w:t>
      </w:r>
      <w:r>
        <w:tab/>
        <w:t>Sch. 2 cl. 11(1) and 12(1)</w:t>
      </w:r>
    </w:p>
    <w:p>
      <w:pPr>
        <w:pStyle w:val="DefinedTerms"/>
      </w:pPr>
      <w:r>
        <w:t>order</w:t>
      </w:r>
      <w:r>
        <w:tab/>
        <w:t>5(1)</w:t>
      </w:r>
    </w:p>
    <w:p>
      <w:pPr>
        <w:pStyle w:val="DefinedTerms"/>
      </w:pPr>
      <w:r>
        <w:t>order under this Act</w:t>
      </w:r>
      <w:r>
        <w:tab/>
        <w:t>223, 233A</w:t>
      </w:r>
    </w:p>
    <w:p>
      <w:pPr>
        <w:pStyle w:val="DefinedTerms"/>
      </w:pPr>
      <w:r>
        <w:t>order under this Act affecting children</w:t>
      </w:r>
      <w:r>
        <w:tab/>
        <w:t>5(1)</w:t>
      </w:r>
    </w:p>
    <w:p>
      <w:pPr>
        <w:pStyle w:val="DefinedTerms"/>
      </w:pPr>
      <w:r>
        <w:t>original agreement</w:t>
      </w:r>
      <w:r>
        <w:tab/>
        <w:t>128A(1)</w:t>
      </w:r>
    </w:p>
    <w:p>
      <w:pPr>
        <w:pStyle w:val="DefinedTerms"/>
      </w:pPr>
      <w:r>
        <w:t>other court</w:t>
      </w:r>
      <w:r>
        <w:tab/>
        <w:t>103(1)</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5A proceedings</w:t>
      </w:r>
      <w:r>
        <w:tab/>
        <w:t>5(1)</w:t>
      </w:r>
    </w:p>
    <w:p>
      <w:pPr>
        <w:pStyle w:val="DefinedTerms"/>
      </w:pPr>
      <w:r>
        <w:t>Part 5 Order</w:t>
      </w:r>
      <w:r>
        <w:tab/>
        <w:t>5(1)</w:t>
      </w:r>
    </w:p>
    <w:p>
      <w:pPr>
        <w:pStyle w:val="DefinedTerms"/>
      </w:pPr>
      <w:r>
        <w:t>pending</w:t>
      </w:r>
      <w:r>
        <w:tab/>
        <w:t>5(1)</w:t>
      </w:r>
    </w:p>
    <w:p>
      <w:pPr>
        <w:pStyle w:val="DefinedTerms"/>
      </w:pPr>
      <w:r>
        <w:t>periodic provisions</w:t>
      </w:r>
      <w:r>
        <w:tab/>
        <w:t>81(4)</w:t>
      </w:r>
    </w:p>
    <w:p>
      <w:pPr>
        <w:pStyle w:val="DefinedTerms"/>
      </w:pPr>
      <w:r>
        <w:t>personal insolvency agreement</w:t>
      </w:r>
      <w:r>
        <w:tab/>
        <w:t>5(1)</w:t>
      </w:r>
    </w:p>
    <w:p>
      <w:pPr>
        <w:pStyle w:val="DefinedTerms"/>
      </w:pPr>
      <w:r>
        <w:t>plan</w:t>
      </w:r>
      <w:r>
        <w:tab/>
        <w:t>79(1), 82(1)</w:t>
      </w:r>
    </w:p>
    <w:p>
      <w:pPr>
        <w:pStyle w:val="DefinedTerms"/>
      </w:pPr>
      <w:r>
        <w:t>post-separation parenting program</w:t>
      </w:r>
      <w:r>
        <w:tab/>
        <w:t>5(1)</w:t>
      </w:r>
    </w:p>
    <w:p>
      <w:pPr>
        <w:pStyle w:val="DefinedTerms"/>
      </w:pPr>
      <w:r>
        <w:t>prescribed form</w:t>
      </w:r>
      <w:r>
        <w:tab/>
        <w:t>159(1A), 162A(1)</w:t>
      </w:r>
    </w:p>
    <w:p>
      <w:pPr>
        <w:pStyle w:val="DefinedTerms"/>
      </w:pPr>
      <w:r>
        <w:t>prescribed government agency</w:t>
      </w:r>
      <w:r>
        <w:tab/>
        <w:t>66HB(1), 202K(8)</w:t>
      </w:r>
    </w:p>
    <w:p>
      <w:pPr>
        <w:pStyle w:val="DefinedTerms"/>
      </w:pPr>
      <w:r>
        <w:t>primary order</w:t>
      </w:r>
      <w:r>
        <w:tab/>
        <w:t>5(1)</w:t>
      </w:r>
    </w:p>
    <w:p>
      <w:pPr>
        <w:pStyle w:val="DefinedTerms"/>
      </w:pPr>
      <w:r>
        <w:lastRenderedPageBreak/>
        <w:t>principal officer</w:t>
      </w:r>
      <w:r>
        <w:tab/>
        <w:t>5(1)</w:t>
      </w:r>
    </w:p>
    <w:p>
      <w:pPr>
        <w:pStyle w:val="DefinedTerms"/>
      </w:pPr>
      <w:r>
        <w:t>proceedings</w:t>
      </w:r>
      <w:r>
        <w:tab/>
        <w:t>5(1)</w:t>
      </w:r>
    </w:p>
    <w:p>
      <w:pPr>
        <w:pStyle w:val="DefinedTerms"/>
      </w:pPr>
      <w:r>
        <w:t>proceedings for a parenting order</w:t>
      </w:r>
      <w:r>
        <w:tab/>
        <w:t>91(4), 95A(3)</w:t>
      </w:r>
    </w:p>
    <w:p>
      <w:pPr>
        <w:pStyle w:val="DefinedTerms"/>
      </w:pPr>
      <w:r>
        <w:t>professional</w:t>
      </w:r>
      <w:r>
        <w:tab/>
        <w:t>50(1), 54(1), 62(1)</w:t>
      </w:r>
    </w:p>
    <w:p>
      <w:pPr>
        <w:pStyle w:val="DefinedTerms"/>
      </w:pPr>
      <w:r>
        <w:t>professional ethics</w:t>
      </w:r>
      <w:r>
        <w:tab/>
        <w:t>5(1)</w:t>
      </w:r>
    </w:p>
    <w:p>
      <w:pPr>
        <w:pStyle w:val="DefinedTerms"/>
      </w:pPr>
      <w:r>
        <w:t>property</w:t>
      </w:r>
      <w:r>
        <w:tab/>
        <w:t>5(1), 205ZLD(2), 220A(5)</w:t>
      </w:r>
    </w:p>
    <w:p>
      <w:pPr>
        <w:pStyle w:val="DefinedTerms"/>
      </w:pPr>
      <w:r>
        <w:t>property settlement proceedings</w:t>
      </w:r>
      <w:r>
        <w:tab/>
        <w:t>5(1)</w:t>
      </w:r>
    </w:p>
    <w:p>
      <w:pPr>
        <w:pStyle w:val="DefinedTerms"/>
      </w:pPr>
      <w:r>
        <w:t>protected person</w:t>
      </w:r>
      <w:r>
        <w:tab/>
        <w:t>236(1)</w:t>
      </w:r>
    </w:p>
    <w:p>
      <w:pPr>
        <w:pStyle w:val="DefinedTerms"/>
      </w:pPr>
      <w:r>
        <w:t>purported order</w:t>
      </w:r>
      <w:r>
        <w:tab/>
        <w:t>132A(1)</w:t>
      </w:r>
    </w:p>
    <w:p>
      <w:pPr>
        <w:pStyle w:val="DefinedTerms"/>
      </w:pPr>
      <w:r>
        <w:t>reasonable excuse for contravening</w:t>
      </w:r>
      <w:r>
        <w:tab/>
        <w:t>5(1)</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relative</w:t>
      </w:r>
      <w:r>
        <w:tab/>
        <w:t>5(1)</w:t>
      </w:r>
    </w:p>
    <w:p>
      <w:pPr>
        <w:pStyle w:val="DefinedTerms"/>
      </w:pPr>
      <w:r>
        <w:t>relevant matter</w:t>
      </w:r>
      <w:r>
        <w:tab/>
        <w:t>205H(1)</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pPr>
      <w:r>
        <w:t>respondent</w:t>
      </w:r>
      <w:r>
        <w:tab/>
        <w:t xml:space="preserve">117(1), 205E(2), (4), (5), (6) and (7), 205I, 205K, 205O(7), </w:t>
      </w:r>
    </w:p>
    <w:p>
      <w:pPr>
        <w:pStyle w:val="DefinedTerms"/>
      </w:pPr>
      <w:r>
        <w:tab/>
        <w:t>225(2), 236(1)</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205SC(1), 229(1)</w:t>
      </w:r>
    </w:p>
    <w:p>
      <w:pPr>
        <w:pStyle w:val="DefinedTerms"/>
      </w:pPr>
      <w:r>
        <w:t>specified day</w:t>
      </w:r>
      <w:r>
        <w:tab/>
        <w:t>219AJ(1)</w:t>
      </w:r>
    </w:p>
    <w:p>
      <w:pPr>
        <w:pStyle w:val="DefinedTerms"/>
      </w:pPr>
      <w:r>
        <w:t>standard application period</w:t>
      </w:r>
      <w:r>
        <w:tab/>
        <w:t>205ZB(1)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step-parent</w:t>
      </w:r>
      <w:r>
        <w:tab/>
        <w:t>5(1)</w:t>
      </w:r>
    </w:p>
    <w:p>
      <w:pPr>
        <w:pStyle w:val="DefinedTerms"/>
      </w:pPr>
      <w:r>
        <w:t>subsequent order</w:t>
      </w:r>
      <w:r>
        <w:tab/>
        <w:t>128(8)</w:t>
      </w:r>
    </w:p>
    <w:p>
      <w:pPr>
        <w:pStyle w:val="DefinedTerms"/>
      </w:pPr>
      <w:r>
        <w:t>termination agreement</w:t>
      </w:r>
      <w:r>
        <w:tab/>
        <w:t>205ZU(1)</w:t>
      </w:r>
    </w:p>
    <w:p>
      <w:pPr>
        <w:pStyle w:val="DefinedTerms"/>
      </w:pPr>
      <w:r>
        <w:t>third party</w:t>
      </w:r>
      <w:r>
        <w:tab/>
        <w:t>205ZLB</w:t>
      </w:r>
    </w:p>
    <w:p>
      <w:pPr>
        <w:pStyle w:val="DefinedTerms"/>
      </w:pPr>
      <w:r>
        <w:t>Torres Strait Islander child</w:t>
      </w:r>
      <w:r>
        <w:tab/>
        <w:t>5(1)</w:t>
      </w:r>
    </w:p>
    <w:p>
      <w:pPr>
        <w:pStyle w:val="DefinedTerms"/>
      </w:pPr>
      <w:r>
        <w:t>trustee</w:t>
      </w:r>
      <w:r>
        <w:tab/>
        <w:t>5(1)</w:t>
      </w:r>
    </w:p>
    <w:p>
      <w:pPr>
        <w:pStyle w:val="DefinedTerms"/>
      </w:pPr>
      <w:r>
        <w:t>vested bankruptcy property</w:t>
      </w:r>
      <w:r>
        <w:tab/>
        <w:t>5(1)</w:t>
      </w:r>
    </w:p>
    <w:p>
      <w:pPr>
        <w:pStyle w:val="DefinedTerms"/>
      </w:pPr>
      <w:r>
        <w:t>video link</w:t>
      </w:r>
      <w:r>
        <w:tab/>
        <w:t>5(1)</w:t>
      </w:r>
    </w:p>
    <w:p>
      <w:pPr>
        <w:pStyle w:val="DefinedTerms"/>
      </w:pPr>
      <w:r>
        <w:t>witness party</w:t>
      </w:r>
      <w:r>
        <w:tab/>
        <w:t>219AK(1), 219AL(1)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45" w:name="Schedule"/>
    <w:bookmarkEnd w:id="7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85" w:name="Compilation"/>
    <w:bookmarkEnd w:id="78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87" w:name="DefinedTerms"/>
    <w:bookmarkEnd w:id="78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8" w:name="Coversheet"/>
    <w:bookmarkEnd w:id="7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0092950"/>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F066A-026A-4ACD-8AE9-E29D2DB12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104696</Words>
  <Characters>497310</Characters>
  <Application>Microsoft Office Word</Application>
  <DocSecurity>0</DocSecurity>
  <Lines>13440</Lines>
  <Paragraphs>7525</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594481</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1997 - 04-h0-00</dc:title>
  <dc:subject/>
  <dc:creator/>
  <cp:keywords/>
  <dc:description/>
  <cp:lastModifiedBy>Master Repository Process</cp:lastModifiedBy>
  <cp:revision>4</cp:revision>
  <cp:lastPrinted>2022-09-20T04:40:00Z</cp:lastPrinted>
  <dcterms:created xsi:type="dcterms:W3CDTF">2022-09-27T00:43:00Z</dcterms:created>
  <dcterms:modified xsi:type="dcterms:W3CDTF">2022-09-27T00:43:00Z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28 Sep 2022</vt:lpwstr>
  </property>
  <property fmtid="{D5CDD505-2E9C-101B-9397-08002B2CF9AE}" pid="8" name="Suffix">
    <vt:lpwstr>04-h0-00</vt:lpwstr>
  </property>
  <property fmtid="{D5CDD505-2E9C-101B-9397-08002B2CF9AE}" pid="9" name="CommencementDate">
    <vt:lpwstr>20220928</vt:lpwstr>
  </property>
</Properties>
</file>