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Control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_Toc115266752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_Toc115266753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_Toc115266754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Commission’s staff for casinos</w:t>
      </w:r>
      <w:r>
        <w:tab/>
      </w:r>
      <w:r>
        <w:fldChar w:fldCharType="begin"/>
      </w:r>
      <w:r>
        <w:instrText xml:space="preserve"> PAGEREF _Toc115266756 \h </w:instrText>
      </w:r>
      <w:r>
        <w:fldChar w:fldCharType="separate"/>
      </w:r>
      <w:r>
        <w:t>6</w:t>
      </w:r>
      <w:r>
        <w:fldChar w:fldCharType="end"/>
      </w:r>
    </w:p>
    <w:p>
      <w:pPr>
        <w:pStyle w:val="TOC8"/>
        <w:rPr>
          <w:rFonts w:asciiTheme="minorHAnsi" w:eastAsiaTheme="minorEastAsia" w:hAnsiTheme="minorHAnsi" w:cstheme="minorBidi"/>
          <w:szCs w:val="22"/>
        </w:rPr>
      </w:pPr>
      <w:r>
        <w:t>10.</w:t>
      </w:r>
      <w:r>
        <w:tab/>
        <w:t>Protection from liability</w:t>
      </w:r>
      <w:r>
        <w:tab/>
      </w:r>
      <w:r>
        <w:fldChar w:fldCharType="begin"/>
      </w:r>
      <w:r>
        <w:instrText xml:space="preserve"> PAGEREF _Toc115266757 \h </w:instrText>
      </w:r>
      <w:r>
        <w:fldChar w:fldCharType="separate"/>
      </w:r>
      <w:r>
        <w:t>6</w:t>
      </w:r>
      <w:r>
        <w:fldChar w:fldCharType="end"/>
      </w:r>
    </w:p>
    <w:p>
      <w:pPr>
        <w:pStyle w:val="TOC8"/>
        <w:rPr>
          <w:rFonts w:asciiTheme="minorHAnsi" w:eastAsiaTheme="minorEastAsia" w:hAnsiTheme="minorHAnsi" w:cstheme="minorBidi"/>
          <w:szCs w:val="22"/>
        </w:rPr>
      </w:pPr>
      <w:r>
        <w:t>11.</w:t>
      </w:r>
      <w:r>
        <w:tab/>
        <w:t>Chief Casino Officer may delegate</w:t>
      </w:r>
      <w:r>
        <w:tab/>
      </w:r>
      <w:r>
        <w:fldChar w:fldCharType="begin"/>
      </w:r>
      <w:r>
        <w:instrText xml:space="preserve"> PAGEREF _Toc115266758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certain information authorised</w:t>
      </w:r>
      <w:r>
        <w:tab/>
      </w:r>
      <w:r>
        <w:fldChar w:fldCharType="begin"/>
      </w:r>
      <w:r>
        <w:instrText xml:space="preserve"> PAGEREF _Toc115266759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available for administering this Act</w:t>
      </w:r>
      <w:r>
        <w:tab/>
      </w:r>
      <w:r>
        <w:fldChar w:fldCharType="begin"/>
      </w:r>
      <w:r>
        <w:instrText xml:space="preserve"> PAGEREF _Toc115266760 \h </w:instrText>
      </w:r>
      <w:r>
        <w:fldChar w:fldCharType="separate"/>
      </w:r>
      <w:r>
        <w:t>8</w:t>
      </w:r>
      <w:r>
        <w:fldChar w:fldCharType="end"/>
      </w:r>
    </w:p>
    <w:p>
      <w:pPr>
        <w:pStyle w:val="TOC8"/>
        <w:rPr>
          <w:rFonts w:asciiTheme="minorHAnsi" w:eastAsiaTheme="minorEastAsia" w:hAnsiTheme="minorHAnsi" w:cstheme="minorBidi"/>
          <w:szCs w:val="22"/>
        </w:rPr>
      </w:pPr>
      <w:r>
        <w:t>15.</w:t>
      </w:r>
      <w:r>
        <w:tab/>
        <w:t>Unclaimed winnings</w:t>
      </w:r>
      <w:r>
        <w:tab/>
      </w:r>
      <w:r>
        <w:fldChar w:fldCharType="begin"/>
      </w:r>
      <w:r>
        <w:instrText xml:space="preserve"> PAGEREF _Toc115266761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Casino complex agreement</w:t>
      </w:r>
    </w:p>
    <w:p>
      <w:pPr>
        <w:pStyle w:val="TOC8"/>
        <w:rPr>
          <w:rFonts w:asciiTheme="minorHAnsi" w:eastAsiaTheme="minorEastAsia" w:hAnsiTheme="minorHAnsi" w:cstheme="minorBidi"/>
          <w:szCs w:val="22"/>
        </w:rPr>
      </w:pPr>
      <w:r>
        <w:t>18</w:t>
      </w:r>
      <w:r>
        <w:rPr>
          <w:snapToGrid w:val="0"/>
        </w:rPr>
        <w:t>.</w:t>
      </w:r>
      <w:r>
        <w:tab/>
      </w:r>
      <w:r>
        <w:rPr>
          <w:snapToGrid w:val="0"/>
        </w:rPr>
        <w:t>Terms used</w:t>
      </w:r>
      <w:r>
        <w:tab/>
      </w:r>
      <w:r>
        <w:fldChar w:fldCharType="begin"/>
      </w:r>
      <w:r>
        <w:instrText xml:space="preserve"> PAGEREF _Toc115266763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enter into agreement with respect to construction and establishment of casino complex</w:t>
      </w:r>
      <w:r>
        <w:tab/>
      </w:r>
      <w:r>
        <w:fldChar w:fldCharType="begin"/>
      </w:r>
      <w:r>
        <w:instrText xml:space="preserve"> PAGEREF _Toc115266764 \h </w:instrText>
      </w:r>
      <w:r>
        <w:fldChar w:fldCharType="separate"/>
      </w:r>
      <w:r>
        <w:t>12</w:t>
      </w:r>
      <w:r>
        <w:fldChar w:fldCharType="end"/>
      </w:r>
    </w:p>
    <w:p>
      <w:pPr>
        <w:pStyle w:val="TOC8"/>
        <w:rPr>
          <w:rFonts w:asciiTheme="minorHAnsi" w:eastAsiaTheme="minorEastAsia" w:hAnsiTheme="minorHAnsi" w:cstheme="minorBidi"/>
          <w:szCs w:val="22"/>
        </w:rPr>
      </w:pPr>
      <w:r>
        <w:t>19A.</w:t>
      </w:r>
      <w:r>
        <w:tab/>
        <w:t>Notice to be given of proposal to exercise power under s. 19B(1)</w:t>
      </w:r>
      <w:r>
        <w:tab/>
      </w:r>
      <w:r>
        <w:fldChar w:fldCharType="begin"/>
      </w:r>
      <w:r>
        <w:instrText xml:space="preserve"> PAGEREF _Toc115266765 \h </w:instrText>
      </w:r>
      <w:r>
        <w:fldChar w:fldCharType="separate"/>
      </w:r>
      <w:r>
        <w:t>14</w:t>
      </w:r>
      <w:r>
        <w:fldChar w:fldCharType="end"/>
      </w:r>
    </w:p>
    <w:p>
      <w:pPr>
        <w:pStyle w:val="TOC8"/>
        <w:rPr>
          <w:rFonts w:asciiTheme="minorHAnsi" w:eastAsiaTheme="minorEastAsia" w:hAnsiTheme="minorHAnsi" w:cstheme="minorBidi"/>
          <w:szCs w:val="22"/>
        </w:rPr>
      </w:pPr>
      <w:r>
        <w:t>19B.</w:t>
      </w:r>
      <w:r>
        <w:tab/>
        <w:t>Close associate of public company may be required to dispose of shares etc.</w:t>
      </w:r>
      <w:r>
        <w:tab/>
      </w:r>
      <w:r>
        <w:fldChar w:fldCharType="begin"/>
      </w:r>
      <w:r>
        <w:instrText xml:space="preserve"> PAGEREF _Toc115266766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Casino gaming licence fees and taxes</w:t>
      </w:r>
      <w:r>
        <w:tab/>
      </w:r>
      <w:r>
        <w:fldChar w:fldCharType="begin"/>
      </w:r>
      <w:r>
        <w:instrText xml:space="preserve"> PAGEREF _Toc115266767 \h </w:instrText>
      </w:r>
      <w:r>
        <w:fldChar w:fldCharType="separate"/>
      </w:r>
      <w:r>
        <w:t>15</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Late payment of licence fee or tax, penalty for</w:t>
      </w:r>
      <w:r>
        <w:tab/>
      </w:r>
      <w:r>
        <w:fldChar w:fldCharType="begin"/>
      </w:r>
      <w:r>
        <w:instrText xml:space="preserve"> PAGEREF _Toc115266768 \h </w:instrText>
      </w:r>
      <w:r>
        <w:fldChar w:fldCharType="separate"/>
      </w:r>
      <w:r>
        <w:t>16</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Recovery of, and liability for, licence fees, taxes and penalties</w:t>
      </w:r>
      <w:r>
        <w:tab/>
      </w:r>
      <w:r>
        <w:fldChar w:fldCharType="begin"/>
      </w:r>
      <w:r>
        <w:instrText xml:space="preserve"> PAGEREF _Toc115266769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Casino gaming licence</w:t>
      </w:r>
    </w:p>
    <w:p>
      <w:pPr>
        <w:pStyle w:val="TOC8"/>
        <w:rPr>
          <w:rFonts w:asciiTheme="minorHAnsi" w:eastAsiaTheme="minorEastAsia" w:hAnsiTheme="minorHAnsi" w:cstheme="minorBidi"/>
          <w:szCs w:val="22"/>
        </w:rPr>
      </w:pPr>
      <w:r>
        <w:t>21</w:t>
      </w:r>
      <w:r>
        <w:rPr>
          <w:snapToGrid w:val="0"/>
        </w:rPr>
        <w:t>.</w:t>
      </w:r>
      <w:r>
        <w:rPr>
          <w:snapToGrid w:val="0"/>
        </w:rPr>
        <w:tab/>
        <w:t>Applications for and grant of casino gaming licences</w:t>
      </w:r>
      <w:r>
        <w:tab/>
      </w:r>
      <w:r>
        <w:fldChar w:fldCharType="begin"/>
      </w:r>
      <w:r>
        <w:instrText xml:space="preserve"> PAGEREF _Toc115266771 \h </w:instrText>
      </w:r>
      <w:r>
        <w:fldChar w:fldCharType="separate"/>
      </w:r>
      <w:r>
        <w:t>19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Investigations etc., Commission’s powers as to</w:t>
      </w:r>
      <w:r>
        <w:tab/>
      </w:r>
      <w:r>
        <w:fldChar w:fldCharType="begin"/>
      </w:r>
      <w:r>
        <w:instrText xml:space="preserve"> PAGEREF _Toc115266772 \h </w:instrText>
      </w:r>
      <w:r>
        <w:fldChar w:fldCharType="separate"/>
      </w:r>
      <w:r>
        <w:t>22</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Report etc. under s. 21A, Minister’s powers on receiving</w:t>
      </w:r>
      <w:r>
        <w:tab/>
      </w:r>
      <w:r>
        <w:fldChar w:fldCharType="begin"/>
      </w:r>
      <w:r>
        <w:instrText xml:space="preserve"> PAGEREF _Toc115266773 \h </w:instrText>
      </w:r>
      <w:r>
        <w:fldChar w:fldCharType="separate"/>
      </w:r>
      <w:r>
        <w:t>25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Termination of casino complex agreement, Minister may revoke licence on</w:t>
      </w:r>
      <w:r>
        <w:tab/>
      </w:r>
      <w:r>
        <w:fldChar w:fldCharType="begin"/>
      </w:r>
      <w:r>
        <w:instrText xml:space="preserve"> PAGEREF _Toc115266774 \h </w:instrText>
      </w:r>
      <w:r>
        <w:fldChar w:fldCharType="separate"/>
      </w:r>
      <w:r>
        <w:t>27</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Casino gaming licence may be surrendered</w:t>
      </w:r>
      <w:r>
        <w:tab/>
      </w:r>
      <w:r>
        <w:fldChar w:fldCharType="begin"/>
      </w:r>
      <w:r>
        <w:instrText xml:space="preserve"> PAGEREF _Toc115266775 \h </w:instrText>
      </w:r>
      <w:r>
        <w:fldChar w:fldCharType="separate"/>
      </w:r>
      <w:r>
        <w:t>27</w:t>
      </w:r>
      <w:r>
        <w:fldChar w:fldCharType="end"/>
      </w:r>
    </w:p>
    <w:p>
      <w:pPr>
        <w:pStyle w:val="TOC8"/>
        <w:rPr>
          <w:rFonts w:asciiTheme="minorHAnsi" w:eastAsiaTheme="minorEastAsia" w:hAnsiTheme="minorHAnsi" w:cstheme="minorBidi"/>
          <w:szCs w:val="22"/>
        </w:rPr>
      </w:pPr>
      <w:r>
        <w:t>21E</w:t>
      </w:r>
      <w:r>
        <w:rPr>
          <w:snapToGrid w:val="0"/>
        </w:rPr>
        <w:t>.</w:t>
      </w:r>
      <w:r>
        <w:rPr>
          <w:snapToGrid w:val="0"/>
        </w:rPr>
        <w:tab/>
        <w:t>Suspension or revocation of licence, administrator may be appointed</w:t>
      </w:r>
      <w:r>
        <w:tab/>
      </w:r>
      <w:r>
        <w:fldChar w:fldCharType="begin"/>
      </w:r>
      <w:r>
        <w:instrText xml:space="preserve"> PAGEREF _Toc115266776 \h </w:instrText>
      </w:r>
      <w:r>
        <w:fldChar w:fldCharType="separate"/>
      </w:r>
      <w:r>
        <w:t>28</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Casino licensee’s powers to mortgage, sell, assign etc. its licence, premises etc.</w:t>
      </w:r>
      <w:r>
        <w:tab/>
      </w:r>
      <w:r>
        <w:fldChar w:fldCharType="begin"/>
      </w:r>
      <w:r>
        <w:instrText xml:space="preserve"> PAGEREF _Toc115266777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IVA — Remediation of management and operation of Burswood Casino</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21G.</w:t>
      </w:r>
      <w:r>
        <w:tab/>
        <w:t>Purpose of Part</w:t>
      </w:r>
      <w:r>
        <w:tab/>
      </w:r>
      <w:r>
        <w:fldChar w:fldCharType="begin"/>
      </w:r>
      <w:r>
        <w:instrText xml:space="preserve"> PAGEREF _Toc115266780 \h </w:instrText>
      </w:r>
      <w:r>
        <w:fldChar w:fldCharType="separate"/>
      </w:r>
      <w:r>
        <w:t>33</w:t>
      </w:r>
      <w:r>
        <w:fldChar w:fldCharType="end"/>
      </w:r>
    </w:p>
    <w:p>
      <w:pPr>
        <w:pStyle w:val="TOC8"/>
        <w:rPr>
          <w:rFonts w:asciiTheme="minorHAnsi" w:eastAsiaTheme="minorEastAsia" w:hAnsiTheme="minorHAnsi" w:cstheme="minorBidi"/>
          <w:szCs w:val="22"/>
        </w:rPr>
      </w:pPr>
      <w:r>
        <w:t>21H.</w:t>
      </w:r>
      <w:r>
        <w:tab/>
        <w:t>Terms used</w:t>
      </w:r>
      <w:r>
        <w:tab/>
      </w:r>
      <w:r>
        <w:fldChar w:fldCharType="begin"/>
      </w:r>
      <w:r>
        <w:instrText xml:space="preserve"> PAGEREF _Toc115266781 \h </w:instrText>
      </w:r>
      <w:r>
        <w:fldChar w:fldCharType="separate"/>
      </w:r>
      <w:r>
        <w:t>33</w:t>
      </w:r>
      <w:r>
        <w:fldChar w:fldCharType="end"/>
      </w:r>
    </w:p>
    <w:p>
      <w:pPr>
        <w:pStyle w:val="TOC8"/>
        <w:rPr>
          <w:rFonts w:asciiTheme="minorHAnsi" w:eastAsiaTheme="minorEastAsia" w:hAnsiTheme="minorHAnsi" w:cstheme="minorBidi"/>
          <w:szCs w:val="22"/>
        </w:rPr>
      </w:pPr>
      <w:r>
        <w:t>21I.</w:t>
      </w:r>
      <w:r>
        <w:tab/>
        <w:t>Remediation period</w:t>
      </w:r>
      <w:r>
        <w:tab/>
      </w:r>
      <w:r>
        <w:fldChar w:fldCharType="begin"/>
      </w:r>
      <w:r>
        <w:instrText xml:space="preserve"> PAGEREF _Toc115266782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Independent Monitor</w:t>
      </w:r>
    </w:p>
    <w:p>
      <w:pPr>
        <w:pStyle w:val="TOC8"/>
        <w:rPr>
          <w:rFonts w:asciiTheme="minorHAnsi" w:eastAsiaTheme="minorEastAsia" w:hAnsiTheme="minorHAnsi" w:cstheme="minorBidi"/>
          <w:szCs w:val="22"/>
        </w:rPr>
      </w:pPr>
      <w:r>
        <w:t>21J.</w:t>
      </w:r>
      <w:r>
        <w:tab/>
        <w:t>Appointment</w:t>
      </w:r>
      <w:r>
        <w:tab/>
      </w:r>
      <w:r>
        <w:fldChar w:fldCharType="begin"/>
      </w:r>
      <w:r>
        <w:instrText xml:space="preserve"> PAGEREF _Toc115266784 \h </w:instrText>
      </w:r>
      <w:r>
        <w:fldChar w:fldCharType="separate"/>
      </w:r>
      <w:r>
        <w:t>36</w:t>
      </w:r>
      <w:r>
        <w:fldChar w:fldCharType="end"/>
      </w:r>
    </w:p>
    <w:p>
      <w:pPr>
        <w:pStyle w:val="TOC8"/>
        <w:rPr>
          <w:rFonts w:asciiTheme="minorHAnsi" w:eastAsiaTheme="minorEastAsia" w:hAnsiTheme="minorHAnsi" w:cstheme="minorBidi"/>
          <w:szCs w:val="22"/>
        </w:rPr>
      </w:pPr>
      <w:r>
        <w:t>21K.</w:t>
      </w:r>
      <w:r>
        <w:tab/>
        <w:t>Functions</w:t>
      </w:r>
      <w:r>
        <w:tab/>
      </w:r>
      <w:r>
        <w:fldChar w:fldCharType="begin"/>
      </w:r>
      <w:r>
        <w:instrText xml:space="preserve"> PAGEREF _Toc115266785 \h </w:instrText>
      </w:r>
      <w:r>
        <w:fldChar w:fldCharType="separate"/>
      </w:r>
      <w:r>
        <w:t>36</w:t>
      </w:r>
      <w:r>
        <w:fldChar w:fldCharType="end"/>
      </w:r>
    </w:p>
    <w:p>
      <w:pPr>
        <w:pStyle w:val="TOC8"/>
        <w:rPr>
          <w:rFonts w:asciiTheme="minorHAnsi" w:eastAsiaTheme="minorEastAsia" w:hAnsiTheme="minorHAnsi" w:cstheme="minorBidi"/>
          <w:szCs w:val="22"/>
        </w:rPr>
      </w:pPr>
      <w:r>
        <w:t>21L.</w:t>
      </w:r>
      <w:r>
        <w:tab/>
        <w:t>Powers</w:t>
      </w:r>
      <w:r>
        <w:tab/>
      </w:r>
      <w:r>
        <w:fldChar w:fldCharType="begin"/>
      </w:r>
      <w:r>
        <w:instrText xml:space="preserve"> PAGEREF _Toc115266786 \h </w:instrText>
      </w:r>
      <w:r>
        <w:fldChar w:fldCharType="separate"/>
      </w:r>
      <w:r>
        <w:t>37</w:t>
      </w:r>
      <w:r>
        <w:fldChar w:fldCharType="end"/>
      </w:r>
    </w:p>
    <w:p>
      <w:pPr>
        <w:pStyle w:val="TOC8"/>
        <w:rPr>
          <w:rFonts w:asciiTheme="minorHAnsi" w:eastAsiaTheme="minorEastAsia" w:hAnsiTheme="minorHAnsi" w:cstheme="minorBidi"/>
          <w:szCs w:val="22"/>
        </w:rPr>
      </w:pPr>
      <w:r>
        <w:t>21M.</w:t>
      </w:r>
      <w:r>
        <w:tab/>
        <w:t>Delegation</w:t>
      </w:r>
      <w:r>
        <w:tab/>
      </w:r>
      <w:r>
        <w:fldChar w:fldCharType="begin"/>
      </w:r>
      <w:r>
        <w:instrText xml:space="preserve"> PAGEREF _Toc115266787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Remediation plans</w:t>
      </w:r>
    </w:p>
    <w:p>
      <w:pPr>
        <w:pStyle w:val="TOC8"/>
        <w:rPr>
          <w:rFonts w:asciiTheme="minorHAnsi" w:eastAsiaTheme="minorEastAsia" w:hAnsiTheme="minorHAnsi" w:cstheme="minorBidi"/>
          <w:szCs w:val="22"/>
        </w:rPr>
      </w:pPr>
      <w:r>
        <w:t>21N.</w:t>
      </w:r>
      <w:r>
        <w:tab/>
        <w:t>Approval of remediation plan</w:t>
      </w:r>
      <w:r>
        <w:tab/>
      </w:r>
      <w:r>
        <w:fldChar w:fldCharType="begin"/>
      </w:r>
      <w:r>
        <w:instrText xml:space="preserve"> PAGEREF _Toc115266789 \h </w:instrText>
      </w:r>
      <w:r>
        <w:fldChar w:fldCharType="separate"/>
      </w:r>
      <w:r>
        <w:t>38</w:t>
      </w:r>
      <w:r>
        <w:fldChar w:fldCharType="end"/>
      </w:r>
    </w:p>
    <w:p>
      <w:pPr>
        <w:pStyle w:val="TOC8"/>
        <w:rPr>
          <w:rFonts w:asciiTheme="minorHAnsi" w:eastAsiaTheme="minorEastAsia" w:hAnsiTheme="minorHAnsi" w:cstheme="minorBidi"/>
          <w:szCs w:val="22"/>
        </w:rPr>
      </w:pPr>
      <w:r>
        <w:t>21O.</w:t>
      </w:r>
      <w:r>
        <w:tab/>
        <w:t>Independent Monitor may give directions about remediation plan</w:t>
      </w:r>
      <w:r>
        <w:tab/>
      </w:r>
      <w:r>
        <w:fldChar w:fldCharType="begin"/>
      </w:r>
      <w:r>
        <w:instrText xml:space="preserve"> PAGEREF _Toc115266790 \h </w:instrText>
      </w:r>
      <w:r>
        <w:fldChar w:fldCharType="separate"/>
      </w:r>
      <w:r>
        <w:t>38</w:t>
      </w:r>
      <w:r>
        <w:fldChar w:fldCharType="end"/>
      </w:r>
    </w:p>
    <w:p>
      <w:pPr>
        <w:pStyle w:val="TOC8"/>
        <w:rPr>
          <w:rFonts w:asciiTheme="minorHAnsi" w:eastAsiaTheme="minorEastAsia" w:hAnsiTheme="minorHAnsi" w:cstheme="minorBidi"/>
          <w:szCs w:val="22"/>
        </w:rPr>
      </w:pPr>
      <w:r>
        <w:t>21P.</w:t>
      </w:r>
      <w:r>
        <w:tab/>
        <w:t>Reports by Independent Monitor</w:t>
      </w:r>
      <w:r>
        <w:tab/>
      </w:r>
      <w:r>
        <w:fldChar w:fldCharType="begin"/>
      </w:r>
      <w:r>
        <w:instrText xml:space="preserve"> PAGEREF _Toc115266791 \h </w:instrText>
      </w:r>
      <w:r>
        <w:fldChar w:fldCharType="separate"/>
      </w:r>
      <w:r>
        <w:t>39</w:t>
      </w:r>
      <w:r>
        <w:fldChar w:fldCharType="end"/>
      </w:r>
    </w:p>
    <w:p>
      <w:pPr>
        <w:pStyle w:val="TOC8"/>
        <w:rPr>
          <w:rFonts w:asciiTheme="minorHAnsi" w:eastAsiaTheme="minorEastAsia" w:hAnsiTheme="minorHAnsi" w:cstheme="minorBidi"/>
          <w:szCs w:val="22"/>
        </w:rPr>
      </w:pPr>
      <w:r>
        <w:t>21Q.</w:t>
      </w:r>
      <w:r>
        <w:tab/>
        <w:t>Use of Independent Monitor’s reports</w:t>
      </w:r>
      <w:r>
        <w:tab/>
      </w:r>
      <w:r>
        <w:fldChar w:fldCharType="begin"/>
      </w:r>
      <w:r>
        <w:instrText xml:space="preserve"> PAGEREF _Toc115266792 \h </w:instrText>
      </w:r>
      <w:r>
        <w:fldChar w:fldCharType="separate"/>
      </w:r>
      <w:r>
        <w:t>40</w:t>
      </w:r>
      <w:r>
        <w:fldChar w:fldCharType="end"/>
      </w:r>
    </w:p>
    <w:p>
      <w:pPr>
        <w:pStyle w:val="TOC8"/>
        <w:rPr>
          <w:rFonts w:asciiTheme="minorHAnsi" w:eastAsiaTheme="minorEastAsia" w:hAnsiTheme="minorHAnsi" w:cstheme="minorBidi"/>
          <w:szCs w:val="22"/>
        </w:rPr>
      </w:pPr>
      <w:r>
        <w:t>21R.</w:t>
      </w:r>
      <w:r>
        <w:tab/>
        <w:t>Publishing Independent Monitor’s reports</w:t>
      </w:r>
      <w:r>
        <w:tab/>
      </w:r>
      <w:r>
        <w:fldChar w:fldCharType="begin"/>
      </w:r>
      <w:r>
        <w:instrText xml:space="preserve"> PAGEREF _Toc115266793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Monitoring powers</w:t>
      </w:r>
    </w:p>
    <w:p>
      <w:pPr>
        <w:pStyle w:val="TOC8"/>
        <w:rPr>
          <w:rFonts w:asciiTheme="minorHAnsi" w:eastAsiaTheme="minorEastAsia" w:hAnsiTheme="minorHAnsi" w:cstheme="minorBidi"/>
          <w:szCs w:val="22"/>
        </w:rPr>
      </w:pPr>
      <w:r>
        <w:t>21S.</w:t>
      </w:r>
      <w:r>
        <w:tab/>
        <w:t>Powers to obtain information</w:t>
      </w:r>
      <w:r>
        <w:tab/>
      </w:r>
      <w:r>
        <w:fldChar w:fldCharType="begin"/>
      </w:r>
      <w:r>
        <w:instrText xml:space="preserve"> PAGEREF _Toc115266795 \h </w:instrText>
      </w:r>
      <w:r>
        <w:fldChar w:fldCharType="separate"/>
      </w:r>
      <w:r>
        <w:t>41</w:t>
      </w:r>
      <w:r>
        <w:fldChar w:fldCharType="end"/>
      </w:r>
    </w:p>
    <w:p>
      <w:pPr>
        <w:pStyle w:val="TOC8"/>
        <w:rPr>
          <w:rFonts w:asciiTheme="minorHAnsi" w:eastAsiaTheme="minorEastAsia" w:hAnsiTheme="minorHAnsi" w:cstheme="minorBidi"/>
          <w:szCs w:val="22"/>
        </w:rPr>
      </w:pPr>
      <w:r>
        <w:t>21T.</w:t>
      </w:r>
      <w:r>
        <w:tab/>
        <w:t>Independent Monitor may give directions about obtaining information</w:t>
      </w:r>
      <w:r>
        <w:tab/>
      </w:r>
      <w:r>
        <w:fldChar w:fldCharType="begin"/>
      </w:r>
      <w:r>
        <w:instrText xml:space="preserve"> PAGEREF _Toc115266796 \h </w:instrText>
      </w:r>
      <w:r>
        <w:fldChar w:fldCharType="separate"/>
      </w:r>
      <w:r>
        <w:t>42</w:t>
      </w:r>
      <w:r>
        <w:fldChar w:fldCharType="end"/>
      </w:r>
    </w:p>
    <w:p>
      <w:pPr>
        <w:pStyle w:val="TOC8"/>
        <w:rPr>
          <w:rFonts w:asciiTheme="minorHAnsi" w:eastAsiaTheme="minorEastAsia" w:hAnsiTheme="minorHAnsi" w:cstheme="minorBidi"/>
          <w:szCs w:val="22"/>
        </w:rPr>
      </w:pPr>
      <w:r>
        <w:t>21U.</w:t>
      </w:r>
      <w:r>
        <w:tab/>
        <w:t>Powers of and on entry</w:t>
      </w:r>
      <w:r>
        <w:tab/>
      </w:r>
      <w:r>
        <w:fldChar w:fldCharType="begin"/>
      </w:r>
      <w:r>
        <w:instrText xml:space="preserve"> PAGEREF _Toc115266797 \h </w:instrText>
      </w:r>
      <w:r>
        <w:fldChar w:fldCharType="separate"/>
      </w:r>
      <w:r>
        <w:t>43</w:t>
      </w:r>
      <w:r>
        <w:fldChar w:fldCharType="end"/>
      </w:r>
    </w:p>
    <w:p>
      <w:pPr>
        <w:pStyle w:val="TOC8"/>
        <w:rPr>
          <w:rFonts w:asciiTheme="minorHAnsi" w:eastAsiaTheme="minorEastAsia" w:hAnsiTheme="minorHAnsi" w:cstheme="minorBidi"/>
          <w:szCs w:val="22"/>
        </w:rPr>
      </w:pPr>
      <w:r>
        <w:lastRenderedPageBreak/>
        <w:t>21V.</w:t>
      </w:r>
      <w:r>
        <w:tab/>
        <w:t>Attendance at board meetings</w:t>
      </w:r>
      <w:r>
        <w:tab/>
      </w:r>
      <w:r>
        <w:fldChar w:fldCharType="begin"/>
      </w:r>
      <w:r>
        <w:instrText xml:space="preserve"> PAGEREF _Toc115266798 \h </w:instrText>
      </w:r>
      <w:r>
        <w:fldChar w:fldCharType="separate"/>
      </w:r>
      <w:r>
        <w:t>44</w:t>
      </w:r>
      <w:r>
        <w:fldChar w:fldCharType="end"/>
      </w:r>
    </w:p>
    <w:p>
      <w:pPr>
        <w:pStyle w:val="TOC8"/>
        <w:rPr>
          <w:rFonts w:asciiTheme="minorHAnsi" w:eastAsiaTheme="minorEastAsia" w:hAnsiTheme="minorHAnsi" w:cstheme="minorBidi"/>
          <w:szCs w:val="22"/>
        </w:rPr>
      </w:pPr>
      <w:r>
        <w:t>21W.</w:t>
      </w:r>
      <w:r>
        <w:tab/>
        <w:t>Compliance with requirements under s. 21S, 21T or 21U</w:t>
      </w:r>
      <w:r>
        <w:tab/>
      </w:r>
      <w:r>
        <w:fldChar w:fldCharType="begin"/>
      </w:r>
      <w:r>
        <w:instrText xml:space="preserve"> PAGEREF _Toc115266799 \h </w:instrText>
      </w:r>
      <w:r>
        <w:fldChar w:fldCharType="separate"/>
      </w:r>
      <w:r>
        <w:t>45</w:t>
      </w:r>
      <w:r>
        <w:fldChar w:fldCharType="end"/>
      </w:r>
    </w:p>
    <w:p>
      <w:pPr>
        <w:pStyle w:val="TOC8"/>
        <w:rPr>
          <w:rFonts w:asciiTheme="minorHAnsi" w:eastAsiaTheme="minorEastAsia" w:hAnsiTheme="minorHAnsi" w:cstheme="minorBidi"/>
          <w:szCs w:val="22"/>
        </w:rPr>
      </w:pPr>
      <w:r>
        <w:t>21X.</w:t>
      </w:r>
      <w:r>
        <w:tab/>
        <w:t>Offences</w:t>
      </w:r>
      <w:r>
        <w:tab/>
      </w:r>
      <w:r>
        <w:fldChar w:fldCharType="begin"/>
      </w:r>
      <w:r>
        <w:instrText xml:space="preserve"> PAGEREF _Toc115266800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21Y.</w:t>
      </w:r>
      <w:r>
        <w:tab/>
        <w:t>Protection of information</w:t>
      </w:r>
      <w:r>
        <w:tab/>
      </w:r>
      <w:r>
        <w:fldChar w:fldCharType="begin"/>
      </w:r>
      <w:r>
        <w:instrText xml:space="preserve"> PAGEREF _Toc115266802 \h </w:instrText>
      </w:r>
      <w:r>
        <w:fldChar w:fldCharType="separate"/>
      </w:r>
      <w:r>
        <w:t>47</w:t>
      </w:r>
      <w:r>
        <w:fldChar w:fldCharType="end"/>
      </w:r>
    </w:p>
    <w:p>
      <w:pPr>
        <w:pStyle w:val="TOC8"/>
        <w:rPr>
          <w:rFonts w:asciiTheme="minorHAnsi" w:eastAsiaTheme="minorEastAsia" w:hAnsiTheme="minorHAnsi" w:cstheme="minorBidi"/>
          <w:szCs w:val="22"/>
        </w:rPr>
      </w:pPr>
      <w:r>
        <w:t>21Z.</w:t>
      </w:r>
      <w:r>
        <w:tab/>
        <w:t>Information sharing</w:t>
      </w:r>
      <w:r>
        <w:tab/>
      </w:r>
      <w:r>
        <w:fldChar w:fldCharType="begin"/>
      </w:r>
      <w:r>
        <w:instrText xml:space="preserve"> PAGEREF _Toc115266803 \h </w:instrText>
      </w:r>
      <w:r>
        <w:fldChar w:fldCharType="separate"/>
      </w:r>
      <w:r>
        <w:t>48</w:t>
      </w:r>
      <w:r>
        <w:fldChar w:fldCharType="end"/>
      </w:r>
    </w:p>
    <w:p>
      <w:pPr>
        <w:pStyle w:val="TOC8"/>
        <w:rPr>
          <w:rFonts w:asciiTheme="minorHAnsi" w:eastAsiaTheme="minorEastAsia" w:hAnsiTheme="minorHAnsi" w:cstheme="minorBidi"/>
          <w:szCs w:val="22"/>
        </w:rPr>
      </w:pPr>
      <w:r>
        <w:t>21ZA.</w:t>
      </w:r>
      <w:r>
        <w:tab/>
        <w:t>Cost recovery</w:t>
      </w:r>
      <w:r>
        <w:tab/>
      </w:r>
      <w:r>
        <w:fldChar w:fldCharType="begin"/>
      </w:r>
      <w:r>
        <w:instrText xml:space="preserve"> PAGEREF _Toc115266804 \h </w:instrText>
      </w:r>
      <w:r>
        <w:fldChar w:fldCharType="separate"/>
      </w:r>
      <w:r>
        <w:t>48</w:t>
      </w:r>
      <w:r>
        <w:fldChar w:fldCharType="end"/>
      </w:r>
    </w:p>
    <w:p>
      <w:pPr>
        <w:pStyle w:val="TOC8"/>
        <w:rPr>
          <w:rFonts w:asciiTheme="minorHAnsi" w:eastAsiaTheme="minorEastAsia" w:hAnsiTheme="minorHAnsi" w:cstheme="minorBidi"/>
          <w:szCs w:val="22"/>
        </w:rPr>
      </w:pPr>
      <w:r>
        <w:t>21ZB.</w:t>
      </w:r>
      <w:r>
        <w:tab/>
        <w:t>Interest on unpaid amounts</w:t>
      </w:r>
      <w:r>
        <w:tab/>
      </w:r>
      <w:r>
        <w:fldChar w:fldCharType="begin"/>
      </w:r>
      <w:r>
        <w:instrText xml:space="preserve"> PAGEREF _Toc115266805 \h </w:instrText>
      </w:r>
      <w:r>
        <w:fldChar w:fldCharType="separate"/>
      </w:r>
      <w:r>
        <w:t>50</w:t>
      </w:r>
      <w:r>
        <w:fldChar w:fldCharType="end"/>
      </w:r>
    </w:p>
    <w:p>
      <w:pPr>
        <w:pStyle w:val="TOC8"/>
        <w:rPr>
          <w:rFonts w:asciiTheme="minorHAnsi" w:eastAsiaTheme="minorEastAsia" w:hAnsiTheme="minorHAnsi" w:cstheme="minorBidi"/>
          <w:szCs w:val="22"/>
        </w:rPr>
      </w:pPr>
      <w:r>
        <w:t>21ZC.</w:t>
      </w:r>
      <w:r>
        <w:tab/>
        <w:t>Recovery of unpaid amounts</w:t>
      </w:r>
      <w:r>
        <w:tab/>
      </w:r>
      <w:r>
        <w:fldChar w:fldCharType="begin"/>
      </w:r>
      <w:r>
        <w:instrText xml:space="preserve"> PAGEREF _Toc115266806 \h </w:instrText>
      </w:r>
      <w:r>
        <w:fldChar w:fldCharType="separate"/>
      </w:r>
      <w:r>
        <w:t>50</w:t>
      </w:r>
      <w:r>
        <w:fldChar w:fldCharType="end"/>
      </w:r>
    </w:p>
    <w:p>
      <w:pPr>
        <w:pStyle w:val="TOC8"/>
        <w:rPr>
          <w:rFonts w:asciiTheme="minorHAnsi" w:eastAsiaTheme="minorEastAsia" w:hAnsiTheme="minorHAnsi" w:cstheme="minorBidi"/>
          <w:szCs w:val="22"/>
        </w:rPr>
      </w:pPr>
      <w:r>
        <w:t>21ZD.</w:t>
      </w:r>
      <w:r>
        <w:tab/>
        <w:t>Minister may direct Commission in relation to Burswood Casino and Royal Commission</w:t>
      </w:r>
      <w:r>
        <w:tab/>
      </w:r>
      <w:r>
        <w:fldChar w:fldCharType="begin"/>
      </w:r>
      <w:r>
        <w:instrText xml:space="preserve"> PAGEREF _Toc115266807 \h </w:instrText>
      </w:r>
      <w:r>
        <w:fldChar w:fldCharType="separate"/>
      </w:r>
      <w:r>
        <w:t>51</w:t>
      </w:r>
      <w:r>
        <w:fldChar w:fldCharType="end"/>
      </w:r>
    </w:p>
    <w:p>
      <w:pPr>
        <w:pStyle w:val="TOC8"/>
        <w:rPr>
          <w:rFonts w:asciiTheme="minorHAnsi" w:eastAsiaTheme="minorEastAsia" w:hAnsiTheme="minorHAnsi" w:cstheme="minorBidi"/>
          <w:szCs w:val="22"/>
        </w:rPr>
      </w:pPr>
      <w:r>
        <w:t>21ZE.</w:t>
      </w:r>
      <w:r>
        <w:tab/>
        <w:t>Notices and directions under this Part</w:t>
      </w:r>
      <w:r>
        <w:tab/>
      </w:r>
      <w:r>
        <w:fldChar w:fldCharType="begin"/>
      </w:r>
      <w:r>
        <w:instrText xml:space="preserve"> PAGEREF _Toc115266808 \h </w:instrText>
      </w:r>
      <w:r>
        <w:fldChar w:fldCharType="separate"/>
      </w:r>
      <w:r>
        <w:t>51</w:t>
      </w:r>
      <w:r>
        <w:fldChar w:fldCharType="end"/>
      </w:r>
    </w:p>
    <w:p>
      <w:pPr>
        <w:pStyle w:val="TOC8"/>
        <w:rPr>
          <w:rFonts w:asciiTheme="minorHAnsi" w:eastAsiaTheme="minorEastAsia" w:hAnsiTheme="minorHAnsi" w:cstheme="minorBidi"/>
          <w:szCs w:val="22"/>
        </w:rPr>
      </w:pPr>
      <w:r>
        <w:t>21ZF.</w:t>
      </w:r>
      <w:r>
        <w:tab/>
        <w:t>Prohibition on Independent Monitor, staff and agents gaming at Burswood Casino</w:t>
      </w:r>
      <w:r>
        <w:tab/>
      </w:r>
      <w:r>
        <w:fldChar w:fldCharType="begin"/>
      </w:r>
      <w:r>
        <w:instrText xml:space="preserve"> PAGEREF _Toc115266809 \h </w:instrText>
      </w:r>
      <w:r>
        <w:fldChar w:fldCharType="separate"/>
      </w:r>
      <w:r>
        <w:t>52</w:t>
      </w:r>
      <w:r>
        <w:fldChar w:fldCharType="end"/>
      </w:r>
    </w:p>
    <w:p>
      <w:pPr>
        <w:pStyle w:val="TOC8"/>
        <w:rPr>
          <w:rFonts w:asciiTheme="minorHAnsi" w:eastAsiaTheme="minorEastAsia" w:hAnsiTheme="minorHAnsi" w:cstheme="minorBidi"/>
          <w:szCs w:val="22"/>
        </w:rPr>
      </w:pPr>
      <w:r>
        <w:t>21ZG.</w:t>
      </w:r>
      <w:r>
        <w:tab/>
        <w:t>Use of Department’s staff and facilities</w:t>
      </w:r>
      <w:r>
        <w:tab/>
      </w:r>
      <w:r>
        <w:fldChar w:fldCharType="begin"/>
      </w:r>
      <w:r>
        <w:instrText xml:space="preserve"> PAGEREF _Toc115266810 \h </w:instrText>
      </w:r>
      <w:r>
        <w:fldChar w:fldCharType="separate"/>
      </w:r>
      <w:r>
        <w:t>52</w:t>
      </w:r>
      <w:r>
        <w:fldChar w:fldCharType="end"/>
      </w:r>
    </w:p>
    <w:p>
      <w:pPr>
        <w:pStyle w:val="TOC8"/>
        <w:rPr>
          <w:rFonts w:asciiTheme="minorHAnsi" w:eastAsiaTheme="minorEastAsia" w:hAnsiTheme="minorHAnsi" w:cstheme="minorBidi"/>
          <w:szCs w:val="22"/>
        </w:rPr>
      </w:pPr>
      <w:r>
        <w:t>21ZH.</w:t>
      </w:r>
      <w:r>
        <w:tab/>
        <w:t>ID cards for Independent Monitor and staff</w:t>
      </w:r>
      <w:r>
        <w:tab/>
      </w:r>
      <w:r>
        <w:fldChar w:fldCharType="begin"/>
      </w:r>
      <w:r>
        <w:instrText xml:space="preserve"> PAGEREF _Toc115266811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Control of casino</w:t>
      </w:r>
    </w:p>
    <w:p>
      <w:pPr>
        <w:pStyle w:val="TOC8"/>
        <w:rPr>
          <w:rFonts w:asciiTheme="minorHAnsi" w:eastAsiaTheme="minorEastAsia" w:hAnsiTheme="minorHAnsi" w:cstheme="minorBidi"/>
          <w:szCs w:val="22"/>
        </w:rPr>
      </w:pPr>
      <w:r>
        <w:t>22</w:t>
      </w:r>
      <w:r>
        <w:rPr>
          <w:snapToGrid w:val="0"/>
        </w:rPr>
        <w:t>.</w:t>
      </w:r>
      <w:r>
        <w:rPr>
          <w:snapToGrid w:val="0"/>
        </w:rPr>
        <w:tab/>
        <w:t>Authorised games, rules of games</w:t>
      </w:r>
      <w:r>
        <w:tab/>
      </w:r>
      <w:r>
        <w:fldChar w:fldCharType="begin"/>
      </w:r>
      <w:r>
        <w:instrText xml:space="preserve"> PAGEREF _Toc115266813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games, miscellaneous provisions about</w:t>
      </w:r>
      <w:r>
        <w:tab/>
      </w:r>
      <w:r>
        <w:fldChar w:fldCharType="begin"/>
      </w:r>
      <w:r>
        <w:instrText xml:space="preserve"> PAGEREF _Toc115266814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Gaming operations at casino, Commission may direct licensee as to</w:t>
      </w:r>
      <w:r>
        <w:tab/>
      </w:r>
      <w:r>
        <w:fldChar w:fldCharType="begin"/>
      </w:r>
      <w:r>
        <w:instrText xml:space="preserve"> PAGEREF _Toc115266815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Records of gaming operations etc.</w:t>
      </w:r>
      <w:r>
        <w:tab/>
      </w:r>
      <w:r>
        <w:fldChar w:fldCharType="begin"/>
      </w:r>
      <w:r>
        <w:instrText xml:space="preserve"> PAGEREF _Toc115266816 \h </w:instrText>
      </w:r>
      <w:r>
        <w:fldChar w:fldCharType="separate"/>
      </w:r>
      <w:r>
        <w:t>59</w:t>
      </w:r>
      <w:r>
        <w:fldChar w:fldCharType="end"/>
      </w:r>
    </w:p>
    <w:p>
      <w:pPr>
        <w:pStyle w:val="TOC8"/>
        <w:rPr>
          <w:rFonts w:asciiTheme="minorHAnsi" w:eastAsiaTheme="minorEastAsia" w:hAnsiTheme="minorHAnsi" w:cstheme="minorBidi"/>
          <w:szCs w:val="22"/>
        </w:rPr>
      </w:pPr>
      <w:r>
        <w:t>25A.</w:t>
      </w:r>
      <w:r>
        <w:tab/>
        <w:t>Junkets and junket operators, regulations about</w:t>
      </w:r>
      <w:r>
        <w:tab/>
      </w:r>
      <w:r>
        <w:fldChar w:fldCharType="begin"/>
      </w:r>
      <w:r>
        <w:instrText xml:space="preserve"> PAGEREF _Toc115266817 \h </w:instrText>
      </w:r>
      <w:r>
        <w:fldChar w:fldCharType="separate"/>
      </w:r>
      <w:r>
        <w:t>60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Banning people from casinos</w:t>
      </w:r>
      <w:r>
        <w:tab/>
      </w:r>
      <w:r>
        <w:fldChar w:fldCharType="begin"/>
      </w:r>
      <w:r>
        <w:instrText xml:space="preserve"> PAGEREF _Toc115266818 \h </w:instrText>
      </w:r>
      <w:r>
        <w:fldChar w:fldCharType="separate"/>
      </w:r>
      <w:r>
        <w:t>62</w:t>
      </w:r>
      <w:r>
        <w:fldChar w:fldCharType="end"/>
      </w:r>
    </w:p>
    <w:p>
      <w:pPr>
        <w:pStyle w:val="TOC8"/>
        <w:rPr>
          <w:rFonts w:asciiTheme="minorHAnsi" w:eastAsiaTheme="minorEastAsia" w:hAnsiTheme="minorHAnsi" w:cstheme="minorBidi"/>
          <w:szCs w:val="22"/>
        </w:rPr>
      </w:pPr>
      <w:r>
        <w:rPr>
          <w:spacing w:val="-6"/>
        </w:rPr>
        <w:t>26A.</w:t>
      </w:r>
      <w:r>
        <w:rPr>
          <w:spacing w:val="-6"/>
        </w:rPr>
        <w:tab/>
        <w:t>Ban under s. 26, review of</w:t>
      </w:r>
      <w:r>
        <w:tab/>
      </w:r>
      <w:r>
        <w:fldChar w:fldCharType="begin"/>
      </w:r>
      <w:r>
        <w:instrText xml:space="preserve"> PAGEREF _Toc115266819 \h </w:instrText>
      </w:r>
      <w:r>
        <w:fldChar w:fldCharType="separate"/>
      </w:r>
      <w:r>
        <w:t>64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Children not permitted in casinos except in some cases</w:t>
      </w:r>
      <w:r>
        <w:tab/>
      </w:r>
      <w:r>
        <w:fldChar w:fldCharType="begin"/>
      </w:r>
      <w:r>
        <w:instrText xml:space="preserve"> PAGEREF _Toc115266820 \h </w:instrText>
      </w:r>
      <w:r>
        <w:fldChar w:fldCharType="separate"/>
      </w:r>
      <w:r>
        <w:t>65</w:t>
      </w:r>
      <w:r>
        <w:fldChar w:fldCharType="end"/>
      </w:r>
    </w:p>
    <w:p>
      <w:pPr>
        <w:pStyle w:val="TOC8"/>
        <w:rPr>
          <w:rFonts w:asciiTheme="minorHAnsi" w:eastAsiaTheme="minorEastAsia" w:hAnsiTheme="minorHAnsi" w:cstheme="minorBidi"/>
          <w:szCs w:val="22"/>
        </w:rPr>
      </w:pPr>
      <w:r>
        <w:t>27A.</w:t>
      </w:r>
      <w:r>
        <w:tab/>
        <w:t>Proof of age may be required</w:t>
      </w:r>
      <w:r>
        <w:tab/>
      </w:r>
      <w:r>
        <w:fldChar w:fldCharType="begin"/>
      </w:r>
      <w:r>
        <w:instrText xml:space="preserve"> PAGEREF _Toc115266821 \h </w:instrText>
      </w:r>
      <w:r>
        <w:fldChar w:fldCharType="separate"/>
      </w:r>
      <w:r>
        <w:t>66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Entry powers to licensed casinos of police and others</w:t>
      </w:r>
      <w:r>
        <w:tab/>
      </w:r>
      <w:r>
        <w:fldChar w:fldCharType="begin"/>
      </w:r>
      <w:r>
        <w:instrText xml:space="preserve"> PAGEREF _Toc115266822 \h </w:instrText>
      </w:r>
      <w:r>
        <w:fldChar w:fldCharType="separate"/>
      </w:r>
      <w:r>
        <w:t>67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Casino gaming licence may contain conditions about casino staff</w:t>
      </w:r>
      <w:r>
        <w:tab/>
      </w:r>
      <w:r>
        <w:fldChar w:fldCharType="begin"/>
      </w:r>
      <w:r>
        <w:instrText xml:space="preserve"> PAGEREF _Toc115266823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VA — Controlled contracts</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_Toc115266825 \h </w:instrText>
      </w:r>
      <w:r>
        <w:fldChar w:fldCharType="separate"/>
      </w:r>
      <w:r>
        <w:t>70</w:t>
      </w:r>
      <w:r>
        <w:fldChar w:fldCharType="end"/>
      </w:r>
    </w:p>
    <w:p>
      <w:pPr>
        <w:pStyle w:val="TOC8"/>
        <w:rPr>
          <w:rFonts w:asciiTheme="minorHAnsi" w:eastAsiaTheme="minorEastAsia" w:hAnsiTheme="minorHAnsi" w:cstheme="minorBidi"/>
          <w:szCs w:val="22"/>
        </w:rPr>
      </w:pPr>
      <w:r>
        <w:t>29B.</w:t>
      </w:r>
      <w:r>
        <w:tab/>
        <w:t>Prerequisites for controlled contracts</w:t>
      </w:r>
      <w:r>
        <w:tab/>
      </w:r>
      <w:r>
        <w:fldChar w:fldCharType="begin"/>
      </w:r>
      <w:r>
        <w:instrText xml:space="preserve"> PAGEREF _Toc115266826 \h </w:instrText>
      </w:r>
      <w:r>
        <w:fldChar w:fldCharType="separate"/>
      </w:r>
      <w:r>
        <w:t>70</w:t>
      </w:r>
      <w:r>
        <w:fldChar w:fldCharType="end"/>
      </w:r>
    </w:p>
    <w:p>
      <w:pPr>
        <w:pStyle w:val="TOC8"/>
        <w:rPr>
          <w:rFonts w:asciiTheme="minorHAnsi" w:eastAsiaTheme="minorEastAsia" w:hAnsiTheme="minorHAnsi" w:cstheme="minorBidi"/>
          <w:szCs w:val="22"/>
        </w:rPr>
      </w:pPr>
      <w:r>
        <w:t>29C.</w:t>
      </w:r>
      <w:r>
        <w:tab/>
        <w:t>Commission may require controlled contract to be terminated</w:t>
      </w:r>
      <w:r>
        <w:tab/>
      </w:r>
      <w:r>
        <w:fldChar w:fldCharType="begin"/>
      </w:r>
      <w:r>
        <w:instrText xml:space="preserve"> PAGEREF _Toc115266827 \h </w:instrText>
      </w:r>
      <w:r>
        <w:fldChar w:fldCharType="separate"/>
      </w:r>
      <w:r>
        <w:t>71</w:t>
      </w:r>
      <w:r>
        <w:fldChar w:fldCharType="end"/>
      </w:r>
    </w:p>
    <w:p>
      <w:pPr>
        <w:pStyle w:val="TOC8"/>
        <w:rPr>
          <w:rFonts w:asciiTheme="minorHAnsi" w:eastAsiaTheme="minorEastAsia" w:hAnsiTheme="minorHAnsi" w:cstheme="minorBidi"/>
          <w:szCs w:val="22"/>
        </w:rPr>
      </w:pPr>
      <w:r>
        <w:lastRenderedPageBreak/>
        <w:t>29D.</w:t>
      </w:r>
      <w:r>
        <w:tab/>
        <w:t>Effect of termination under s. 29C</w:t>
      </w:r>
      <w:r>
        <w:tab/>
      </w:r>
      <w:r>
        <w:fldChar w:fldCharType="begin"/>
      </w:r>
      <w:r>
        <w:instrText xml:space="preserve"> PAGEREF _Toc115266828 \h </w:instrText>
      </w:r>
      <w:r>
        <w:fldChar w:fldCharType="separate"/>
      </w:r>
      <w:r>
        <w:t>72</w:t>
      </w:r>
      <w:r>
        <w:fldChar w:fldCharType="end"/>
      </w:r>
    </w:p>
    <w:p>
      <w:pPr>
        <w:pStyle w:val="TOC8"/>
        <w:rPr>
          <w:rFonts w:asciiTheme="minorHAnsi" w:eastAsiaTheme="minorEastAsia" w:hAnsiTheme="minorHAnsi" w:cstheme="minorBidi"/>
          <w:szCs w:val="22"/>
        </w:rPr>
      </w:pPr>
      <w:r>
        <w:t>29E.</w:t>
      </w:r>
      <w:r>
        <w:tab/>
        <w:t>Parties not to give further effect to terminated contract</w:t>
      </w:r>
      <w:r>
        <w:tab/>
      </w:r>
      <w:r>
        <w:fldChar w:fldCharType="begin"/>
      </w:r>
      <w:r>
        <w:instrText xml:space="preserve"> PAGEREF _Toc115266829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VB — Infringement notices</w:t>
      </w:r>
    </w:p>
    <w:p>
      <w:pPr>
        <w:pStyle w:val="TOC8"/>
        <w:rPr>
          <w:rFonts w:asciiTheme="minorHAnsi" w:eastAsiaTheme="minorEastAsia" w:hAnsiTheme="minorHAnsi" w:cstheme="minorBidi"/>
          <w:szCs w:val="22"/>
        </w:rPr>
      </w:pPr>
      <w:r>
        <w:t>29F.</w:t>
      </w:r>
      <w:r>
        <w:tab/>
        <w:t>Term used: authorised person</w:t>
      </w:r>
      <w:r>
        <w:tab/>
      </w:r>
      <w:r>
        <w:fldChar w:fldCharType="begin"/>
      </w:r>
      <w:r>
        <w:instrText xml:space="preserve"> PAGEREF _Toc115266831 \h </w:instrText>
      </w:r>
      <w:r>
        <w:fldChar w:fldCharType="separate"/>
      </w:r>
      <w:r>
        <w:t>74</w:t>
      </w:r>
      <w:r>
        <w:fldChar w:fldCharType="end"/>
      </w:r>
    </w:p>
    <w:p>
      <w:pPr>
        <w:pStyle w:val="TOC8"/>
        <w:rPr>
          <w:rFonts w:asciiTheme="minorHAnsi" w:eastAsiaTheme="minorEastAsia" w:hAnsiTheme="minorHAnsi" w:cstheme="minorBidi"/>
          <w:szCs w:val="22"/>
        </w:rPr>
      </w:pPr>
      <w:r>
        <w:t>29G.</w:t>
      </w:r>
      <w:r>
        <w:tab/>
        <w:t>Authorised persons, appointment of</w:t>
      </w:r>
      <w:r>
        <w:tab/>
      </w:r>
      <w:r>
        <w:fldChar w:fldCharType="begin"/>
      </w:r>
      <w:r>
        <w:instrText xml:space="preserve"> PAGEREF _Toc115266832 \h </w:instrText>
      </w:r>
      <w:r>
        <w:fldChar w:fldCharType="separate"/>
      </w:r>
      <w:r>
        <w:t>74</w:t>
      </w:r>
      <w:r>
        <w:fldChar w:fldCharType="end"/>
      </w:r>
    </w:p>
    <w:p>
      <w:pPr>
        <w:pStyle w:val="TOC8"/>
        <w:rPr>
          <w:rFonts w:asciiTheme="minorHAnsi" w:eastAsiaTheme="minorEastAsia" w:hAnsiTheme="minorHAnsi" w:cstheme="minorBidi"/>
          <w:szCs w:val="22"/>
        </w:rPr>
      </w:pPr>
      <w:r>
        <w:t>29H.</w:t>
      </w:r>
      <w:r>
        <w:tab/>
        <w:t>Serving infringement notices</w:t>
      </w:r>
      <w:r>
        <w:tab/>
      </w:r>
      <w:r>
        <w:fldChar w:fldCharType="begin"/>
      </w:r>
      <w:r>
        <w:instrText xml:space="preserve"> PAGEREF _Toc115266833 \h </w:instrText>
      </w:r>
      <w:r>
        <w:fldChar w:fldCharType="separate"/>
      </w:r>
      <w:r>
        <w:t>74</w:t>
      </w:r>
      <w:r>
        <w:fldChar w:fldCharType="end"/>
      </w:r>
    </w:p>
    <w:p>
      <w:pPr>
        <w:pStyle w:val="TOC8"/>
        <w:rPr>
          <w:rFonts w:asciiTheme="minorHAnsi" w:eastAsiaTheme="minorEastAsia" w:hAnsiTheme="minorHAnsi" w:cstheme="minorBidi"/>
          <w:szCs w:val="22"/>
        </w:rPr>
      </w:pPr>
      <w:r>
        <w:t>29I.</w:t>
      </w:r>
      <w:r>
        <w:tab/>
        <w:t>Form of infringement notice</w:t>
      </w:r>
      <w:r>
        <w:tab/>
      </w:r>
      <w:r>
        <w:fldChar w:fldCharType="begin"/>
      </w:r>
      <w:r>
        <w:instrText xml:space="preserve"> PAGEREF _Toc115266834 \h </w:instrText>
      </w:r>
      <w:r>
        <w:fldChar w:fldCharType="separate"/>
      </w:r>
      <w:r>
        <w:t>75</w:t>
      </w:r>
      <w:r>
        <w:fldChar w:fldCharType="end"/>
      </w:r>
    </w:p>
    <w:p>
      <w:pPr>
        <w:pStyle w:val="TOC8"/>
        <w:rPr>
          <w:rFonts w:asciiTheme="minorHAnsi" w:eastAsiaTheme="minorEastAsia" w:hAnsiTheme="minorHAnsi" w:cstheme="minorBidi"/>
          <w:szCs w:val="22"/>
        </w:rPr>
      </w:pPr>
      <w:r>
        <w:t>29J.</w:t>
      </w:r>
      <w:r>
        <w:tab/>
        <w:t>Extension of time for payment of modified penalty</w:t>
      </w:r>
      <w:r>
        <w:tab/>
      </w:r>
      <w:r>
        <w:fldChar w:fldCharType="begin"/>
      </w:r>
      <w:r>
        <w:instrText xml:space="preserve"> PAGEREF _Toc115266835 \h </w:instrText>
      </w:r>
      <w:r>
        <w:fldChar w:fldCharType="separate"/>
      </w:r>
      <w:r>
        <w:t>75</w:t>
      </w:r>
      <w:r>
        <w:fldChar w:fldCharType="end"/>
      </w:r>
    </w:p>
    <w:p>
      <w:pPr>
        <w:pStyle w:val="TOC8"/>
        <w:rPr>
          <w:rFonts w:asciiTheme="minorHAnsi" w:eastAsiaTheme="minorEastAsia" w:hAnsiTheme="minorHAnsi" w:cstheme="minorBidi"/>
          <w:szCs w:val="22"/>
        </w:rPr>
      </w:pPr>
      <w:r>
        <w:t>29K.</w:t>
      </w:r>
      <w:r>
        <w:tab/>
        <w:t>Withdrawal of infringement notices</w:t>
      </w:r>
      <w:r>
        <w:tab/>
      </w:r>
      <w:r>
        <w:fldChar w:fldCharType="begin"/>
      </w:r>
      <w:r>
        <w:instrText xml:space="preserve"> PAGEREF _Toc115266836 \h </w:instrText>
      </w:r>
      <w:r>
        <w:fldChar w:fldCharType="separate"/>
      </w:r>
      <w:r>
        <w:t>75</w:t>
      </w:r>
      <w:r>
        <w:fldChar w:fldCharType="end"/>
      </w:r>
    </w:p>
    <w:p>
      <w:pPr>
        <w:pStyle w:val="TOC8"/>
        <w:rPr>
          <w:rFonts w:asciiTheme="minorHAnsi" w:eastAsiaTheme="minorEastAsia" w:hAnsiTheme="minorHAnsi" w:cstheme="minorBidi"/>
          <w:szCs w:val="22"/>
        </w:rPr>
      </w:pPr>
      <w:r>
        <w:t>29L.</w:t>
      </w:r>
      <w:r>
        <w:tab/>
        <w:t>Benefit of payment of modified penalty</w:t>
      </w:r>
      <w:r>
        <w:tab/>
      </w:r>
      <w:r>
        <w:fldChar w:fldCharType="begin"/>
      </w:r>
      <w:r>
        <w:instrText xml:space="preserve"> PAGEREF _Toc115266837 \h </w:instrText>
      </w:r>
      <w:r>
        <w:fldChar w:fldCharType="separate"/>
      </w:r>
      <w:r>
        <w:t>76</w:t>
      </w:r>
      <w:r>
        <w:fldChar w:fldCharType="end"/>
      </w:r>
    </w:p>
    <w:p>
      <w:pPr>
        <w:pStyle w:val="TOC8"/>
        <w:rPr>
          <w:rFonts w:asciiTheme="minorHAnsi" w:eastAsiaTheme="minorEastAsia" w:hAnsiTheme="minorHAnsi" w:cstheme="minorBidi"/>
          <w:szCs w:val="22"/>
        </w:rPr>
      </w:pPr>
      <w:r>
        <w:t>29M.</w:t>
      </w:r>
      <w:r>
        <w:tab/>
        <w:t>Application of modified penalties</w:t>
      </w:r>
      <w:r>
        <w:tab/>
      </w:r>
      <w:r>
        <w:fldChar w:fldCharType="begin"/>
      </w:r>
      <w:r>
        <w:instrText xml:space="preserve"> PAGEREF _Toc115266838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30</w:t>
      </w:r>
      <w:r>
        <w:rPr>
          <w:snapToGrid w:val="0"/>
        </w:rPr>
        <w:t>.</w:t>
      </w:r>
      <w:r>
        <w:rPr>
          <w:snapToGrid w:val="0"/>
        </w:rPr>
        <w:tab/>
        <w:t>Fraudulent etc. practices in casinos or gaming operations</w:t>
      </w:r>
      <w:r>
        <w:tab/>
      </w:r>
      <w:r>
        <w:fldChar w:fldCharType="begin"/>
      </w:r>
      <w:r>
        <w:instrText xml:space="preserve"> PAGEREF _Toc115266840 \h </w:instrText>
      </w:r>
      <w:r>
        <w:fldChar w:fldCharType="separate"/>
      </w:r>
      <w:r>
        <w:t>77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Forging, personation etc. in casinos</w:t>
      </w:r>
      <w:r>
        <w:tab/>
      </w:r>
      <w:r>
        <w:fldChar w:fldCharType="begin"/>
      </w:r>
      <w:r>
        <w:instrText xml:space="preserve"> PAGEREF _Toc115266841 \h </w:instrText>
      </w:r>
      <w:r>
        <w:fldChar w:fldCharType="separate"/>
      </w:r>
      <w:r>
        <w:t>78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Suspected offenders may be detained until police attend</w:t>
      </w:r>
      <w:r>
        <w:tab/>
      </w:r>
      <w:r>
        <w:fldChar w:fldCharType="begin"/>
      </w:r>
      <w:r>
        <w:instrText xml:space="preserve"> PAGEREF _Toc115266842 \h </w:instrText>
      </w:r>
      <w:r>
        <w:fldChar w:fldCharType="separate"/>
      </w:r>
      <w:r>
        <w:t>79</w:t>
      </w:r>
      <w:r>
        <w:fldChar w:fldCharType="end"/>
      </w:r>
    </w:p>
    <w:p>
      <w:pPr>
        <w:pStyle w:val="TOC8"/>
        <w:rPr>
          <w:rFonts w:asciiTheme="minorHAnsi" w:eastAsiaTheme="minorEastAsia" w:hAnsiTheme="minorHAnsi" w:cstheme="minorBidi"/>
          <w:szCs w:val="22"/>
        </w:rPr>
      </w:pPr>
      <w:r>
        <w:t>33.</w:t>
      </w:r>
      <w:r>
        <w:tab/>
        <w:t>Contravention of directions</w:t>
      </w:r>
      <w:r>
        <w:tab/>
      </w:r>
      <w:r>
        <w:fldChar w:fldCharType="begin"/>
      </w:r>
      <w:r>
        <w:instrText xml:space="preserve"> PAGEREF _Toc115266843 \h </w:instrText>
      </w:r>
      <w:r>
        <w:fldChar w:fldCharType="separate"/>
      </w:r>
      <w:r>
        <w:t>80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Prosecutions, institution of, evidence in etc.</w:t>
      </w:r>
      <w:r>
        <w:tab/>
      </w:r>
      <w:r>
        <w:fldChar w:fldCharType="begin"/>
      </w:r>
      <w:r>
        <w:instrText xml:space="preserve"> PAGEREF _Toc115266844 \h </w:instrText>
      </w:r>
      <w:r>
        <w:fldChar w:fldCharType="separate"/>
      </w:r>
      <w:r>
        <w:t>81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_Toc115266845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in respect of which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_Toc115266848 \h </w:instrText>
      </w:r>
      <w:r>
        <w:fldChar w:fldCharType="separate"/>
      </w:r>
      <w:r>
        <w:t>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_Toc115266849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3" w:name="_Toc114843638"/>
      <w:bookmarkStart w:id="4" w:name="_Toc114844719"/>
      <w:bookmarkStart w:id="5" w:name="_Toc114844785"/>
      <w:bookmarkStart w:id="6" w:name="_Toc115162589"/>
      <w:bookmarkStart w:id="7" w:name="_Toc11526675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14843639"/>
      <w:bookmarkStart w:id="9" w:name="_Toc11526675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w:t>
      </w:r>
    </w:p>
    <w:p>
      <w:pPr>
        <w:pStyle w:val="Heading5"/>
        <w:rPr>
          <w:snapToGrid w:val="0"/>
        </w:rPr>
      </w:pPr>
      <w:bookmarkStart w:id="10" w:name="_Toc114843640"/>
      <w:bookmarkStart w:id="11" w:name="_Toc11526675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p>
    <w:p>
      <w:pPr>
        <w:pStyle w:val="Heading5"/>
      </w:pPr>
      <w:bookmarkStart w:id="12" w:name="_Toc114843641"/>
      <w:bookmarkStart w:id="13" w:name="_Toc115266754"/>
      <w:r>
        <w:rPr>
          <w:rStyle w:val="CharSectno"/>
        </w:rPr>
        <w:t>3</w:t>
      </w:r>
      <w:r>
        <w:t>.</w:t>
      </w:r>
      <w: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tab/>
      </w:r>
      <w:r>
        <w:rPr>
          <w:rStyle w:val="CharDefText"/>
        </w:rPr>
        <w:t>casino complex agreement</w:t>
      </w:r>
      <w:r>
        <w:t xml:space="preserve"> means agreement entered into by the Minister with a public company under section 19(1);</w:t>
      </w:r>
    </w:p>
    <w:p>
      <w:pPr>
        <w:pStyle w:val="Defstart"/>
        <w:spacing w:before="66"/>
      </w:pPr>
      <w:r>
        <w:rPr>
          <w:b/>
        </w:rPr>
        <w:lastRenderedPageBreak/>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lastRenderedPageBreak/>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w:t>
      </w:r>
      <w:r>
        <w:rPr>
          <w:snapToGrid w:val="0"/>
        </w:rPr>
        <w:lastRenderedPageBreak/>
        <w:t xml:space="preserve">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w:t>
      </w:r>
    </w:p>
    <w:p>
      <w:pPr>
        <w:pStyle w:val="Heading2"/>
      </w:pPr>
      <w:bookmarkStart w:id="14" w:name="_Toc114843642"/>
      <w:bookmarkStart w:id="15" w:name="_Toc114844723"/>
      <w:bookmarkStart w:id="16" w:name="_Toc114844789"/>
      <w:bookmarkStart w:id="17" w:name="_Toc115162593"/>
      <w:bookmarkStart w:id="18" w:name="_Toc115266755"/>
      <w:r>
        <w:rPr>
          <w:rStyle w:val="CharPartNo"/>
        </w:rPr>
        <w:lastRenderedPageBreak/>
        <w:t>Part II</w:t>
      </w:r>
      <w:r>
        <w:rPr>
          <w:rStyle w:val="CharDivNo"/>
        </w:rPr>
        <w:t> </w:t>
      </w:r>
      <w:r>
        <w:t>—</w:t>
      </w:r>
      <w:r>
        <w:rPr>
          <w:rStyle w:val="CharDivText"/>
        </w:rPr>
        <w:t> </w:t>
      </w:r>
      <w:r>
        <w:rPr>
          <w:rStyle w:val="CharPartText"/>
        </w:rPr>
        <w:t>Administration</w:t>
      </w:r>
      <w:bookmarkEnd w:id="14"/>
      <w:bookmarkEnd w:id="15"/>
      <w:bookmarkEnd w:id="16"/>
      <w:bookmarkEnd w:id="17"/>
      <w:bookmarkEnd w:id="18"/>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19" w:name="_Toc114843643"/>
      <w:bookmarkStart w:id="20" w:name="_Toc115266756"/>
      <w:r>
        <w:rPr>
          <w:rStyle w:val="CharSectno"/>
        </w:rPr>
        <w:t>9</w:t>
      </w:r>
      <w:r>
        <w:rPr>
          <w:snapToGrid w:val="0"/>
        </w:rPr>
        <w:t>.</w:t>
      </w:r>
      <w:r>
        <w:rPr>
          <w:snapToGrid w:val="0"/>
        </w:rPr>
        <w:tab/>
        <w:t>Commission’s staff for casinos</w:t>
      </w:r>
      <w:bookmarkEnd w:id="19"/>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21" w:name="_Toc114843644"/>
      <w:bookmarkStart w:id="22" w:name="_Toc115266757"/>
      <w:r>
        <w:rPr>
          <w:rStyle w:val="CharSectno"/>
        </w:rPr>
        <w:t>10</w:t>
      </w:r>
      <w:r>
        <w:t>.</w:t>
      </w:r>
      <w:r>
        <w:tab/>
        <w:t>Protection from liability</w:t>
      </w:r>
      <w:bookmarkEnd w:id="21"/>
      <w:bookmarkEnd w:id="22"/>
    </w:p>
    <w:p>
      <w:pPr>
        <w:pStyle w:val="Subsection"/>
        <w:spacing w:before="100"/>
      </w:pPr>
      <w:r>
        <w:tab/>
        <w:t>(1)</w:t>
      </w:r>
      <w:r>
        <w:tab/>
        <w:t xml:space="preserve">An action in tort does not lie against a person for anything that the person has, in good faith, done in the performance or </w:t>
      </w:r>
      <w:r>
        <w:lastRenderedPageBreak/>
        <w:t>purported performance of a function under this Act or any other written law relating to gaming or a casino complex agreement.</w:t>
      </w:r>
    </w:p>
    <w:p>
      <w:pPr>
        <w:pStyle w:val="Subsection"/>
        <w:spacing w:before="100"/>
      </w:pPr>
      <w:r>
        <w:tab/>
        <w:t>(2)</w:t>
      </w:r>
      <w:r>
        <w:tab/>
        <w:t>If this section provides that an action does not lie against a person for doing anything, the Commission and the Crown are also relieved of any liability that either of them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 amended: No. 32 of 2022 s. 4.]</w:t>
      </w:r>
    </w:p>
    <w:p>
      <w:pPr>
        <w:pStyle w:val="Heading5"/>
      </w:pPr>
      <w:bookmarkStart w:id="23" w:name="_Toc114843645"/>
      <w:bookmarkStart w:id="24" w:name="_Toc115266758"/>
      <w:r>
        <w:rPr>
          <w:rStyle w:val="CharSectno"/>
        </w:rPr>
        <w:t>11</w:t>
      </w:r>
      <w:r>
        <w:t>.</w:t>
      </w:r>
      <w:r>
        <w:tab/>
        <w:t>Chief Casino Officer may delegate</w:t>
      </w:r>
      <w:bookmarkEnd w:id="23"/>
      <w:bookmarkEnd w:id="24"/>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lastRenderedPageBreak/>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25" w:name="_Toc114843646"/>
      <w:bookmarkStart w:id="26" w:name="_Toc115266759"/>
      <w:r>
        <w:rPr>
          <w:rStyle w:val="CharSectno"/>
        </w:rPr>
        <w:t>13</w:t>
      </w:r>
      <w:r>
        <w:rPr>
          <w:snapToGrid w:val="0"/>
        </w:rPr>
        <w:t>.</w:t>
      </w:r>
      <w:r>
        <w:rPr>
          <w:snapToGrid w:val="0"/>
        </w:rPr>
        <w:tab/>
        <w:t>Disclosure of certain information authorised</w:t>
      </w:r>
      <w:bookmarkEnd w:id="25"/>
      <w:bookmarkEnd w:id="26"/>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27" w:name="_Toc114843647"/>
      <w:bookmarkStart w:id="28" w:name="_Toc115266760"/>
      <w:r>
        <w:rPr>
          <w:rStyle w:val="CharSectno"/>
        </w:rPr>
        <w:t>14</w:t>
      </w:r>
      <w:r>
        <w:rPr>
          <w:snapToGrid w:val="0"/>
        </w:rPr>
        <w:t>.</w:t>
      </w:r>
      <w:r>
        <w:rPr>
          <w:snapToGrid w:val="0"/>
        </w:rPr>
        <w:tab/>
        <w:t>Funds available for administering this Act</w:t>
      </w:r>
      <w:bookmarkEnd w:id="27"/>
      <w:bookmarkEnd w:id="28"/>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lastRenderedPageBreak/>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29" w:name="_Toc114843648"/>
      <w:bookmarkStart w:id="30" w:name="_Toc115266761"/>
      <w:r>
        <w:rPr>
          <w:rStyle w:val="CharSectno"/>
        </w:rPr>
        <w:t>15</w:t>
      </w:r>
      <w:r>
        <w:t>.</w:t>
      </w:r>
      <w:r>
        <w:tab/>
        <w:t>Unclaimed winnings</w:t>
      </w:r>
      <w:bookmarkEnd w:id="29"/>
      <w:bookmarkEnd w:id="30"/>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 xml:space="preserve">On being notified of unclaimed winnings under subsection (1), the Commission may give directions to the casino licensee to </w:t>
      </w:r>
      <w:r>
        <w:lastRenderedPageBreak/>
        <w:t>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31" w:name="_Toc114843649"/>
      <w:bookmarkStart w:id="32" w:name="_Toc114844730"/>
      <w:bookmarkStart w:id="33" w:name="_Toc114844796"/>
      <w:bookmarkStart w:id="34" w:name="_Toc115162600"/>
      <w:bookmarkStart w:id="35" w:name="_Toc115266762"/>
      <w:r>
        <w:rPr>
          <w:rStyle w:val="CharPartNo"/>
        </w:rPr>
        <w:lastRenderedPageBreak/>
        <w:t>Part III</w:t>
      </w:r>
      <w:r>
        <w:rPr>
          <w:rStyle w:val="CharDivNo"/>
        </w:rPr>
        <w:t> </w:t>
      </w:r>
      <w:r>
        <w:t>—</w:t>
      </w:r>
      <w:r>
        <w:rPr>
          <w:rStyle w:val="CharDivText"/>
        </w:rPr>
        <w:t> </w:t>
      </w:r>
      <w:r>
        <w:rPr>
          <w:rStyle w:val="CharPartText"/>
        </w:rPr>
        <w:t>Casino complex agreement</w:t>
      </w:r>
      <w:bookmarkEnd w:id="31"/>
      <w:bookmarkEnd w:id="32"/>
      <w:bookmarkEnd w:id="33"/>
      <w:bookmarkEnd w:id="34"/>
      <w:bookmarkEnd w:id="35"/>
    </w:p>
    <w:p>
      <w:pPr>
        <w:pStyle w:val="Footnoteheading"/>
      </w:pPr>
      <w:r>
        <w:tab/>
        <w:t>[Heading amended: No. 10 of 1985 s. 28.]</w:t>
      </w:r>
    </w:p>
    <w:p>
      <w:pPr>
        <w:pStyle w:val="Heading5"/>
        <w:rPr>
          <w:snapToGrid w:val="0"/>
        </w:rPr>
      </w:pPr>
      <w:bookmarkStart w:id="36" w:name="_Toc114843650"/>
      <w:bookmarkStart w:id="37" w:name="_Toc115266763"/>
      <w:r>
        <w:rPr>
          <w:rStyle w:val="CharSectno"/>
        </w:rPr>
        <w:t>18</w:t>
      </w:r>
      <w:r>
        <w:rPr>
          <w:snapToGrid w:val="0"/>
        </w:rPr>
        <w:t>.</w:t>
      </w:r>
      <w:r>
        <w:rPr>
          <w:rStyle w:val="CharSectno"/>
        </w:rPr>
        <w:tab/>
      </w:r>
      <w:r>
        <w:rPr>
          <w:snapToGrid w:val="0"/>
        </w:rPr>
        <w:t>Terms used</w:t>
      </w:r>
      <w:bookmarkEnd w:id="36"/>
      <w:bookmarkEnd w:id="37"/>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lastRenderedPageBreak/>
        <w:tab/>
        <w:t>(b)</w:t>
      </w:r>
      <w:r>
        <w:tab/>
        <w:t>to elect or appoint any person to any relevant position.</w:t>
      </w:r>
    </w:p>
    <w:p>
      <w:pPr>
        <w:pStyle w:val="Footnotesection"/>
      </w:pPr>
      <w:r>
        <w:tab/>
        <w:t>[Section 18 inserted: No. 24 of 1998 s. 12.]</w:t>
      </w:r>
    </w:p>
    <w:p>
      <w:pPr>
        <w:pStyle w:val="Heading5"/>
        <w:rPr>
          <w:snapToGrid w:val="0"/>
        </w:rPr>
      </w:pPr>
      <w:bookmarkStart w:id="38" w:name="_Toc114843651"/>
      <w:bookmarkStart w:id="39" w:name="_Toc115266764"/>
      <w:r>
        <w:rPr>
          <w:rStyle w:val="CharSectno"/>
        </w:rPr>
        <w:t>19</w:t>
      </w:r>
      <w:r>
        <w:rPr>
          <w:snapToGrid w:val="0"/>
        </w:rPr>
        <w:t>.</w:t>
      </w:r>
      <w:r>
        <w:rPr>
          <w:snapToGrid w:val="0"/>
        </w:rPr>
        <w:tab/>
        <w:t>Minister may enter into agreement with respect to construction and establishment of casino complex</w:t>
      </w:r>
      <w:bookmarkEnd w:id="38"/>
      <w:bookmarkEnd w:id="39"/>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lastRenderedPageBreak/>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 xml:space="preserve">A casino complex agreement shall not confer the right on any party thereto, or on a person referred to therein, to conduct games at the premises of the casino to which the casino complex agreement relates until a casino gaming licence is granted to that </w:t>
      </w:r>
      <w:r>
        <w:rPr>
          <w:snapToGrid w:val="0"/>
        </w:rPr>
        <w:lastRenderedPageBreak/>
        <w:t>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40" w:name="_Toc114843652"/>
      <w:bookmarkStart w:id="41" w:name="_Toc115266765"/>
      <w:r>
        <w:rPr>
          <w:rStyle w:val="CharSectno"/>
        </w:rPr>
        <w:t>19A</w:t>
      </w:r>
      <w:r>
        <w:t>.</w:t>
      </w:r>
      <w:r>
        <w:tab/>
        <w:t>Notice to be given of proposal to exercise power under s. 19B(1)</w:t>
      </w:r>
      <w:bookmarkEnd w:id="40"/>
      <w:bookmarkEnd w:id="41"/>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42" w:name="_Toc114843653"/>
      <w:bookmarkStart w:id="43" w:name="_Toc115266766"/>
      <w:r>
        <w:rPr>
          <w:rStyle w:val="CharSectno"/>
        </w:rPr>
        <w:lastRenderedPageBreak/>
        <w:t>19B</w:t>
      </w:r>
      <w:r>
        <w:t>.</w:t>
      </w:r>
      <w:r>
        <w:tab/>
        <w:t>Close associate of public company may be required to dispose of shares etc.</w:t>
      </w:r>
      <w:bookmarkEnd w:id="42"/>
      <w:bookmarkEnd w:id="43"/>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w:t>
      </w:r>
    </w:p>
    <w:p>
      <w:pPr>
        <w:pStyle w:val="Heading5"/>
        <w:rPr>
          <w:snapToGrid w:val="0"/>
        </w:rPr>
      </w:pPr>
      <w:bookmarkStart w:id="44" w:name="_Toc114843654"/>
      <w:bookmarkStart w:id="45" w:name="_Toc115266767"/>
      <w:r>
        <w:rPr>
          <w:rStyle w:val="CharSectno"/>
        </w:rPr>
        <w:t>20</w:t>
      </w:r>
      <w:r>
        <w:rPr>
          <w:snapToGrid w:val="0"/>
        </w:rPr>
        <w:t>.</w:t>
      </w:r>
      <w:r>
        <w:rPr>
          <w:snapToGrid w:val="0"/>
        </w:rPr>
        <w:tab/>
        <w:t>Casino gaming licence fees and taxes</w:t>
      </w:r>
      <w:bookmarkEnd w:id="44"/>
      <w:bookmarkEnd w:id="45"/>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lastRenderedPageBreak/>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46" w:name="_Toc114843655"/>
      <w:bookmarkStart w:id="47" w:name="_Toc115266768"/>
      <w:r>
        <w:rPr>
          <w:rStyle w:val="CharSectno"/>
        </w:rPr>
        <w:t>20A</w:t>
      </w:r>
      <w:r>
        <w:rPr>
          <w:snapToGrid w:val="0"/>
        </w:rPr>
        <w:t>.</w:t>
      </w:r>
      <w:r>
        <w:rPr>
          <w:snapToGrid w:val="0"/>
        </w:rPr>
        <w:tab/>
        <w:t>Late payment of licence fee or tax, penalty for</w:t>
      </w:r>
      <w:bookmarkEnd w:id="46"/>
      <w:bookmarkEnd w:id="47"/>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48" w:name="_Toc114843656"/>
      <w:bookmarkStart w:id="49" w:name="_Toc115266769"/>
      <w:r>
        <w:rPr>
          <w:rStyle w:val="CharSectno"/>
        </w:rPr>
        <w:lastRenderedPageBreak/>
        <w:t>20B</w:t>
      </w:r>
      <w:r>
        <w:rPr>
          <w:snapToGrid w:val="0"/>
        </w:rPr>
        <w:t>.</w:t>
      </w:r>
      <w:r>
        <w:rPr>
          <w:snapToGrid w:val="0"/>
        </w:rPr>
        <w:tab/>
        <w:t>Recovery of, and liability for, licence fees, taxes and penalties</w:t>
      </w:r>
      <w:bookmarkEnd w:id="48"/>
      <w:bookmarkEnd w:id="49"/>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 xml:space="preserve">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w:t>
      </w:r>
      <w:r>
        <w:rPr>
          <w:snapToGrid w:val="0"/>
        </w:rPr>
        <w:lastRenderedPageBreak/>
        <w:t>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50" w:name="_Toc114843657"/>
      <w:bookmarkStart w:id="51" w:name="_Toc114844738"/>
      <w:bookmarkStart w:id="52" w:name="_Toc114844804"/>
      <w:bookmarkStart w:id="53" w:name="_Toc115162608"/>
      <w:bookmarkStart w:id="54" w:name="_Toc115266770"/>
      <w:r>
        <w:rPr>
          <w:rStyle w:val="CharPartNo"/>
        </w:rPr>
        <w:lastRenderedPageBreak/>
        <w:t>Part IV</w:t>
      </w:r>
      <w:r>
        <w:rPr>
          <w:rStyle w:val="CharDivNo"/>
        </w:rPr>
        <w:t> </w:t>
      </w:r>
      <w:r>
        <w:t>—</w:t>
      </w:r>
      <w:r>
        <w:rPr>
          <w:rStyle w:val="CharDivText"/>
        </w:rPr>
        <w:t> </w:t>
      </w:r>
      <w:r>
        <w:rPr>
          <w:rStyle w:val="CharPartText"/>
        </w:rPr>
        <w:t>Casino gaming licence</w:t>
      </w:r>
      <w:bookmarkEnd w:id="50"/>
      <w:bookmarkEnd w:id="51"/>
      <w:bookmarkEnd w:id="52"/>
      <w:bookmarkEnd w:id="53"/>
      <w:bookmarkEnd w:id="54"/>
    </w:p>
    <w:p>
      <w:pPr>
        <w:pStyle w:val="Heading5"/>
        <w:rPr>
          <w:snapToGrid w:val="0"/>
        </w:rPr>
      </w:pPr>
      <w:bookmarkStart w:id="55" w:name="_Toc114843658"/>
      <w:bookmarkStart w:id="56" w:name="_Toc115266771"/>
      <w:r>
        <w:rPr>
          <w:rStyle w:val="CharSectno"/>
        </w:rPr>
        <w:t>21</w:t>
      </w:r>
      <w:r>
        <w:rPr>
          <w:snapToGrid w:val="0"/>
        </w:rPr>
        <w:t>.</w:t>
      </w:r>
      <w:r>
        <w:rPr>
          <w:snapToGrid w:val="0"/>
        </w:rPr>
        <w:tab/>
        <w:t>Applications for and grant of casino gaming licences</w:t>
      </w:r>
      <w:bookmarkEnd w:id="55"/>
      <w:bookmarkEnd w:id="56"/>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lastRenderedPageBreak/>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lastRenderedPageBreak/>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57" w:name="_Toc114843659"/>
      <w:bookmarkStart w:id="58" w:name="_Toc115266772"/>
      <w:r>
        <w:rPr>
          <w:rStyle w:val="CharSectno"/>
        </w:rPr>
        <w:lastRenderedPageBreak/>
        <w:t>21A</w:t>
      </w:r>
      <w:r>
        <w:rPr>
          <w:snapToGrid w:val="0"/>
        </w:rPr>
        <w:t>.</w:t>
      </w:r>
      <w:r>
        <w:rPr>
          <w:snapToGrid w:val="0"/>
        </w:rPr>
        <w:tab/>
        <w:t>Investigations etc., Commission’s powers as to</w:t>
      </w:r>
      <w:bookmarkEnd w:id="57"/>
      <w:bookmarkEnd w:id="58"/>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 xml:space="preserve">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w:t>
      </w:r>
      <w:r>
        <w:rPr>
          <w:snapToGrid w:val="0"/>
        </w:rPr>
        <w:lastRenderedPageBreak/>
        <w:t>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lastRenderedPageBreak/>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lastRenderedPageBreak/>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59" w:name="_Toc114843660"/>
      <w:bookmarkStart w:id="60" w:name="_Toc115266773"/>
      <w:r>
        <w:rPr>
          <w:rStyle w:val="CharSectno"/>
        </w:rPr>
        <w:t>21B</w:t>
      </w:r>
      <w:r>
        <w:rPr>
          <w:snapToGrid w:val="0"/>
        </w:rPr>
        <w:t>.</w:t>
      </w:r>
      <w:r>
        <w:rPr>
          <w:snapToGrid w:val="0"/>
        </w:rPr>
        <w:tab/>
        <w:t>Report etc. under s. 21A, Minister’s powers on receiving</w:t>
      </w:r>
      <w:bookmarkEnd w:id="59"/>
      <w:bookmarkEnd w:id="60"/>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 xml:space="preserve">A person on whom a notice has been served under subsection (1) shall within the period of 14 days after the date of </w:t>
      </w:r>
      <w:r>
        <w:rPr>
          <w:snapToGrid w:val="0"/>
        </w:rPr>
        <w:lastRenderedPageBreak/>
        <w:t>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 million.</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 xml:space="preserve">A certificate signed by the Minister specifying the amount of a penalty imposed under subsection (3)(c) and that the amount has </w:t>
      </w:r>
      <w:r>
        <w:rPr>
          <w:snapToGrid w:val="0"/>
        </w:rPr>
        <w:lastRenderedPageBreak/>
        <w:t>not been paid is evidence that the amount so specified is payable in accordance with this Act and has not been paid.</w:t>
      </w:r>
    </w:p>
    <w:p>
      <w:pPr>
        <w:pStyle w:val="Footnotesection"/>
      </w:pPr>
      <w:r>
        <w:tab/>
        <w:t>[Section 21B inserted: No. 10 of 1985 s. 31; amended: No. 74 of 1987 s. 24; No. 24 of 1998 s. 17; No. 32 of 2022 s. 5.]</w:t>
      </w:r>
    </w:p>
    <w:p>
      <w:pPr>
        <w:pStyle w:val="Heading5"/>
        <w:rPr>
          <w:snapToGrid w:val="0"/>
        </w:rPr>
      </w:pPr>
      <w:bookmarkStart w:id="61" w:name="_Toc114843661"/>
      <w:bookmarkStart w:id="62" w:name="_Toc115266774"/>
      <w:r>
        <w:rPr>
          <w:rStyle w:val="CharSectno"/>
        </w:rPr>
        <w:t>21C</w:t>
      </w:r>
      <w:r>
        <w:rPr>
          <w:snapToGrid w:val="0"/>
        </w:rPr>
        <w:t>.</w:t>
      </w:r>
      <w:r>
        <w:rPr>
          <w:snapToGrid w:val="0"/>
        </w:rPr>
        <w:tab/>
        <w:t>Termination of casino complex agreement, Minister may revoke licence on</w:t>
      </w:r>
      <w:bookmarkEnd w:id="61"/>
      <w:bookmarkEnd w:id="62"/>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63" w:name="_Toc114843662"/>
      <w:bookmarkStart w:id="64" w:name="_Toc115266775"/>
      <w:r>
        <w:rPr>
          <w:rStyle w:val="CharSectno"/>
        </w:rPr>
        <w:t>21D</w:t>
      </w:r>
      <w:r>
        <w:rPr>
          <w:snapToGrid w:val="0"/>
        </w:rPr>
        <w:t>.</w:t>
      </w:r>
      <w:r>
        <w:rPr>
          <w:snapToGrid w:val="0"/>
        </w:rPr>
        <w:tab/>
        <w:t>Casino gaming licence may be surrendered</w:t>
      </w:r>
      <w:bookmarkEnd w:id="63"/>
      <w:bookmarkEnd w:id="64"/>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 No. 10 of 1985 s. 31; amended: No. 74 of 1987 s. 25.]</w:t>
      </w:r>
    </w:p>
    <w:p>
      <w:pPr>
        <w:pStyle w:val="Heading5"/>
        <w:rPr>
          <w:snapToGrid w:val="0"/>
        </w:rPr>
      </w:pPr>
      <w:bookmarkStart w:id="65" w:name="_Toc114843663"/>
      <w:bookmarkStart w:id="66" w:name="_Toc115266776"/>
      <w:r>
        <w:rPr>
          <w:rStyle w:val="CharSectno"/>
        </w:rPr>
        <w:lastRenderedPageBreak/>
        <w:t>21E</w:t>
      </w:r>
      <w:r>
        <w:rPr>
          <w:snapToGrid w:val="0"/>
        </w:rPr>
        <w:t>.</w:t>
      </w:r>
      <w:r>
        <w:rPr>
          <w:snapToGrid w:val="0"/>
        </w:rPr>
        <w:tab/>
        <w:t>Suspension or revocation of licence, administrator may be appointed</w:t>
      </w:r>
      <w:bookmarkEnd w:id="65"/>
      <w:bookmarkEnd w:id="66"/>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lastRenderedPageBreak/>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67" w:name="_Toc114843664"/>
      <w:bookmarkStart w:id="68" w:name="_Toc115266777"/>
      <w:r>
        <w:rPr>
          <w:rStyle w:val="CharSectno"/>
        </w:rPr>
        <w:lastRenderedPageBreak/>
        <w:t>21F</w:t>
      </w:r>
      <w:r>
        <w:rPr>
          <w:snapToGrid w:val="0"/>
        </w:rPr>
        <w:t>.</w:t>
      </w:r>
      <w:r>
        <w:rPr>
          <w:snapToGrid w:val="0"/>
        </w:rPr>
        <w:tab/>
        <w:t>Casino licensee’s powers to mortgage, sell, assign etc. its licence, premises etc.</w:t>
      </w:r>
      <w:bookmarkEnd w:id="67"/>
      <w:bookmarkEnd w:id="68"/>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 xml:space="preserve">A casino licensee shall not assign its casino gaming licence or any rights, benefits or obligations under the relevant casino </w:t>
      </w:r>
      <w:r>
        <w:rPr>
          <w:snapToGrid w:val="0"/>
        </w:rPr>
        <w:lastRenderedPageBreak/>
        <w:t>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lastRenderedPageBreak/>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69" w:name="_Toc106030228"/>
      <w:bookmarkStart w:id="70" w:name="_Toc106030554"/>
      <w:bookmarkStart w:id="71" w:name="_Toc106030747"/>
      <w:bookmarkStart w:id="72" w:name="_Toc114655961"/>
      <w:bookmarkStart w:id="73" w:name="_Toc115162616"/>
      <w:bookmarkStart w:id="74" w:name="_Toc115266778"/>
      <w:bookmarkStart w:id="75" w:name="_Toc114843665"/>
      <w:bookmarkStart w:id="76" w:name="_Toc114844746"/>
      <w:bookmarkStart w:id="77" w:name="_Toc114844812"/>
      <w:r>
        <w:rPr>
          <w:rStyle w:val="CharPartNo"/>
        </w:rPr>
        <w:lastRenderedPageBreak/>
        <w:t>Part IVA</w:t>
      </w:r>
      <w:r>
        <w:t> — </w:t>
      </w:r>
      <w:r>
        <w:rPr>
          <w:rStyle w:val="CharPartText"/>
        </w:rPr>
        <w:t>Remediation of management and operation of Burswood Casino</w:t>
      </w:r>
      <w:bookmarkEnd w:id="69"/>
      <w:bookmarkEnd w:id="70"/>
      <w:bookmarkEnd w:id="71"/>
      <w:bookmarkEnd w:id="72"/>
      <w:bookmarkEnd w:id="73"/>
      <w:bookmarkEnd w:id="74"/>
    </w:p>
    <w:p>
      <w:pPr>
        <w:pStyle w:val="Footnoteheading"/>
      </w:pPr>
      <w:r>
        <w:tab/>
        <w:t>[Heading inserted: No. 32 of 2022 s. 6.]</w:t>
      </w:r>
    </w:p>
    <w:p>
      <w:pPr>
        <w:pStyle w:val="Heading3"/>
      </w:pPr>
      <w:bookmarkStart w:id="78" w:name="_Toc106030229"/>
      <w:bookmarkStart w:id="79" w:name="_Toc106030555"/>
      <w:bookmarkStart w:id="80" w:name="_Toc106030748"/>
      <w:bookmarkStart w:id="81" w:name="_Toc114655962"/>
      <w:bookmarkStart w:id="82" w:name="_Toc115162617"/>
      <w:bookmarkStart w:id="83" w:name="_Toc115266779"/>
      <w:r>
        <w:rPr>
          <w:rStyle w:val="CharDivNo"/>
        </w:rPr>
        <w:t>Division 1</w:t>
      </w:r>
      <w:r>
        <w:t> — </w:t>
      </w:r>
      <w:r>
        <w:rPr>
          <w:rStyle w:val="CharDivText"/>
        </w:rPr>
        <w:t>Preliminary</w:t>
      </w:r>
      <w:bookmarkEnd w:id="78"/>
      <w:bookmarkEnd w:id="79"/>
      <w:bookmarkEnd w:id="80"/>
      <w:bookmarkEnd w:id="81"/>
      <w:bookmarkEnd w:id="82"/>
      <w:bookmarkEnd w:id="83"/>
    </w:p>
    <w:p>
      <w:pPr>
        <w:pStyle w:val="Footnoteheading"/>
      </w:pPr>
      <w:r>
        <w:tab/>
        <w:t>[Heading inserted: No. 32 of 2022 s. 6.]</w:t>
      </w:r>
    </w:p>
    <w:p>
      <w:pPr>
        <w:pStyle w:val="Heading5"/>
      </w:pPr>
      <w:bookmarkStart w:id="84" w:name="_Toc114655963"/>
      <w:bookmarkStart w:id="85" w:name="_Toc115266780"/>
      <w:r>
        <w:rPr>
          <w:rStyle w:val="CharSectno"/>
        </w:rPr>
        <w:t>21G</w:t>
      </w:r>
      <w:r>
        <w:t>.</w:t>
      </w:r>
      <w:r>
        <w:tab/>
        <w:t>Purpose of Part</w:t>
      </w:r>
      <w:bookmarkEnd w:id="84"/>
      <w:bookmarkEnd w:id="85"/>
    </w:p>
    <w:p>
      <w:pPr>
        <w:pStyle w:val="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Subsection"/>
      </w:pPr>
      <w:r>
        <w:tab/>
        <w:t>(2)</w:t>
      </w:r>
      <w:r>
        <w:tab/>
        <w:t xml:space="preserve">The framework includes that — </w:t>
      </w:r>
    </w:p>
    <w:p>
      <w:pPr>
        <w:pStyle w:val="Indenta"/>
      </w:pPr>
      <w:r>
        <w:tab/>
        <w:t>(a)</w:t>
      </w:r>
      <w:r>
        <w:tab/>
        <w:t>there be monitoring of and reporting on the remediation by an independent monitor; and</w:t>
      </w:r>
    </w:p>
    <w:p>
      <w:pPr>
        <w:pStyle w:val="Indenta"/>
      </w:pPr>
      <w:r>
        <w:tab/>
        <w:t>(b)</w:t>
      </w:r>
      <w:r>
        <w:tab/>
        <w:t>the reporting inform the Commission’s advice to the Minister, and the Minister’s decision, as to whether any action should be taken under section 21B in relation to the Burswood Casino.</w:t>
      </w:r>
    </w:p>
    <w:p>
      <w:pPr>
        <w:pStyle w:val="Footnotesection"/>
      </w:pPr>
      <w:r>
        <w:tab/>
        <w:t>[Section 21G inserted: No. 32 of 2022 s. 6.]</w:t>
      </w:r>
    </w:p>
    <w:p>
      <w:pPr>
        <w:pStyle w:val="Heading5"/>
      </w:pPr>
      <w:bookmarkStart w:id="86" w:name="_Toc114655964"/>
      <w:bookmarkStart w:id="87" w:name="_Toc115266781"/>
      <w:r>
        <w:rPr>
          <w:rStyle w:val="CharSectno"/>
        </w:rPr>
        <w:t>21H</w:t>
      </w:r>
      <w:r>
        <w:t>.</w:t>
      </w:r>
      <w:r>
        <w:tab/>
        <w:t>Terms used</w:t>
      </w:r>
      <w:bookmarkEnd w:id="86"/>
      <w:bookmarkEnd w:id="87"/>
    </w:p>
    <w:p>
      <w:pPr>
        <w:pStyle w:val="Subsection"/>
      </w:pPr>
      <w:r>
        <w:tab/>
        <w:t>(1)</w:t>
      </w:r>
      <w:r>
        <w:tab/>
        <w:t xml:space="preserve">In this Part — </w:t>
      </w:r>
    </w:p>
    <w:p>
      <w:pPr>
        <w:pStyle w:val="Defstart"/>
      </w:pPr>
      <w:r>
        <w:tab/>
      </w:r>
      <w:r>
        <w:rPr>
          <w:rStyle w:val="CharDefText"/>
        </w:rPr>
        <w:t>Burswood Casino</w:t>
      </w:r>
      <w:r>
        <w:t xml:space="preserve"> has the meaning given in the Burswood Island Agreement clause 2;</w:t>
      </w:r>
    </w:p>
    <w:p>
      <w:pPr>
        <w:pStyle w:val="Defstart"/>
      </w:pPr>
      <w:r>
        <w:tab/>
      </w:r>
      <w:r>
        <w:rPr>
          <w:rStyle w:val="CharDefText"/>
        </w:rPr>
        <w:t>Burswood Casino licensee</w:t>
      </w:r>
      <w:r>
        <w:t xml:space="preserve"> means the holder of the casino gaming licence for the Burswood Casino;</w:t>
      </w:r>
    </w:p>
    <w:p>
      <w:pPr>
        <w:pStyle w:val="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assisting in the administration of this Part;</w:t>
      </w:r>
    </w:p>
    <w:p>
      <w:pPr>
        <w:pStyle w:val="Defstart"/>
      </w:pPr>
      <w:r>
        <w:lastRenderedPageBreak/>
        <w:tab/>
      </w:r>
      <w:r>
        <w:rPr>
          <w:rStyle w:val="CharDefText"/>
        </w:rPr>
        <w:t>final report of the Perth Casino Royal Commission</w:t>
      </w:r>
      <w:r>
        <w:t xml:space="preserve"> means the report of the Perth Casino Royal Commission dated 4 March 2022;</w:t>
      </w:r>
    </w:p>
    <w:p>
      <w:pPr>
        <w:pStyle w:val="Defstart"/>
      </w:pPr>
      <w:r>
        <w:tab/>
      </w:r>
      <w:r>
        <w:rPr>
          <w:rStyle w:val="CharDefText"/>
        </w:rPr>
        <w:t>Independent Monitor</w:t>
      </w:r>
      <w:r>
        <w:t xml:space="preserve"> means the person holding the office of Independent Monitor under section 21J;</w:t>
      </w:r>
    </w:p>
    <w:p>
      <w:pPr>
        <w:pStyle w:val="Defstart"/>
      </w:pPr>
      <w:r>
        <w:tab/>
      </w:r>
      <w:r>
        <w:rPr>
          <w:rStyle w:val="CharDefText"/>
        </w:rPr>
        <w:t>management and operation of the Burswood Casino</w:t>
      </w:r>
      <w:r>
        <w:t xml:space="preserve"> means the organisation, management, control and use of the Burswood Casino, including — </w:t>
      </w:r>
    </w:p>
    <w:p>
      <w:pPr>
        <w:pStyle w:val="Defpara"/>
      </w:pPr>
      <w:r>
        <w:tab/>
        <w:t>(a)</w:t>
      </w:r>
      <w:r>
        <w:tab/>
        <w:t>the organisation, management and control of gaming operations at the Burswood Casino; and</w:t>
      </w:r>
    </w:p>
    <w:p>
      <w:pPr>
        <w:pStyle w:val="Defpara"/>
      </w:pPr>
      <w:r>
        <w:tab/>
        <w:t>(b)</w:t>
      </w:r>
      <w:r>
        <w:tab/>
        <w:t>the organisation, management and control of operations (whether of the Burswood Casino licensee or not) that relate to gaming operations at the Burswood Casino;</w:t>
      </w:r>
    </w:p>
    <w:p>
      <w:pPr>
        <w:pStyle w:val="Defstart"/>
      </w:pPr>
      <w:r>
        <w:tab/>
      </w:r>
      <w:r>
        <w:rPr>
          <w:rStyle w:val="CharDefText"/>
        </w:rPr>
        <w:t>member of the Independent Monitor’s staff</w:t>
      </w:r>
      <w:r>
        <w:t xml:space="preserve"> means a person whose services are made available under section 21ZG(1);</w:t>
      </w:r>
    </w:p>
    <w:p>
      <w:pPr>
        <w:pStyle w:val="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Defstart"/>
      </w:pPr>
      <w:r>
        <w:tab/>
      </w:r>
      <w:r>
        <w:rPr>
          <w:rStyle w:val="CharDefText"/>
        </w:rPr>
        <w:t>relevant person</w:t>
      </w:r>
      <w:r>
        <w:t xml:space="preserve">, in relation to the Burswood Casino licensee, means — </w:t>
      </w:r>
    </w:p>
    <w:p>
      <w:pPr>
        <w:pStyle w:val="Defpara"/>
      </w:pPr>
      <w:r>
        <w:tab/>
        <w:t>(a)</w:t>
      </w:r>
      <w:r>
        <w:tab/>
      </w:r>
      <w:r>
        <w:rPr>
          <w:szCs w:val="24"/>
        </w:rPr>
        <w:t xml:space="preserve">a person responsible for the management and operation of the </w:t>
      </w:r>
      <w:r>
        <w:t>Burswood Casino; and</w:t>
      </w:r>
    </w:p>
    <w:p>
      <w:pPr>
        <w:pStyle w:val="Defpara"/>
      </w:pPr>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p>
    <w:p>
      <w:pPr>
        <w:pStyle w:val="Defpara"/>
      </w:pPr>
      <w:r>
        <w:tab/>
        <w:t>(c)</w:t>
      </w:r>
      <w:r>
        <w:tab/>
        <w:t>an Approved Company as defined in the Burswood Island Agreement clause 2; and</w:t>
      </w:r>
    </w:p>
    <w:p>
      <w:pPr>
        <w:pStyle w:val="Defpara"/>
      </w:pPr>
      <w:r>
        <w:rPr>
          <w:szCs w:val="24"/>
        </w:rPr>
        <w:tab/>
        <w:t>(d)</w:t>
      </w:r>
      <w:r>
        <w:rPr>
          <w:szCs w:val="24"/>
        </w:rPr>
        <w:tab/>
        <w:t>a close associate (as defined in section 18) of the Burswood Casino licensee; and</w:t>
      </w:r>
    </w:p>
    <w:p>
      <w:pPr>
        <w:pStyle w:val="Defpara"/>
        <w:keepNext/>
        <w:keepLines/>
      </w:pPr>
      <w:r>
        <w:lastRenderedPageBreak/>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Defstart"/>
      </w:pPr>
      <w:r>
        <w:tab/>
      </w:r>
      <w:r>
        <w:rPr>
          <w:rStyle w:val="CharDefText"/>
        </w:rPr>
        <w:t>remediation period</w:t>
      </w:r>
      <w:r>
        <w:t xml:space="preserve"> has the meaning given in section 21I;</w:t>
      </w:r>
    </w:p>
    <w:p>
      <w:pPr>
        <w:pStyle w:val="Defstart"/>
      </w:pPr>
      <w:r>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Defstart"/>
      </w:pPr>
      <w:r>
        <w:tab/>
      </w:r>
      <w:r>
        <w:rPr>
          <w:rStyle w:val="CharDefText"/>
        </w:rPr>
        <w:t>specified</w:t>
      </w:r>
      <w:r>
        <w:t>, in relation to an instrument, direction, notice or other document under this Part, means specified in that document.</w:t>
      </w:r>
    </w:p>
    <w:p>
      <w:pPr>
        <w:pStyle w:val="Subsection"/>
      </w:pPr>
      <w:r>
        <w:tab/>
        <w:t>(2)</w:t>
      </w:r>
      <w:r>
        <w:tab/>
        <w:t xml:space="preserve">In this Part, a reference to a claim of confidence or privilege in relation to information is a reference to a claim that — </w:t>
      </w:r>
    </w:p>
    <w:p>
      <w:pPr>
        <w:pStyle w:val="Indenta"/>
      </w:pPr>
      <w:r>
        <w:tab/>
        <w:t>(a)</w:t>
      </w:r>
      <w:r>
        <w:tab/>
        <w:t>the information is subject to a duty of confidence or secrecy; or</w:t>
      </w:r>
    </w:p>
    <w:p>
      <w:pPr>
        <w:pStyle w:val="Indenta"/>
      </w:pPr>
      <w:r>
        <w:tab/>
        <w:t>(b)</w:t>
      </w:r>
      <w:r>
        <w:tab/>
        <w:t>the information is the subject of legal professional privilege; or</w:t>
      </w:r>
    </w:p>
    <w:p>
      <w:pPr>
        <w:pStyle w:val="Indenta"/>
      </w:pPr>
      <w:r>
        <w:tab/>
        <w:t>(c)</w:t>
      </w:r>
      <w:r>
        <w:tab/>
        <w:t>disclosure of the information might tend to incriminate the person making the claim or make them liable to a penalty.</w:t>
      </w:r>
    </w:p>
    <w:p>
      <w:pPr>
        <w:pStyle w:val="Footnotesection"/>
      </w:pPr>
      <w:r>
        <w:tab/>
        <w:t>[Section 21H inserted: No. 32 of 2022 s. 6.]</w:t>
      </w:r>
    </w:p>
    <w:p>
      <w:pPr>
        <w:pStyle w:val="Heading5"/>
      </w:pPr>
      <w:bookmarkStart w:id="88" w:name="_Toc114655965"/>
      <w:bookmarkStart w:id="89" w:name="_Toc115266782"/>
      <w:r>
        <w:rPr>
          <w:rStyle w:val="CharSectno"/>
        </w:rPr>
        <w:t>21I</w:t>
      </w:r>
      <w:r>
        <w:t>.</w:t>
      </w:r>
      <w:r>
        <w:tab/>
        <w:t>Remediation period</w:t>
      </w:r>
      <w:bookmarkEnd w:id="88"/>
      <w:bookmarkEnd w:id="89"/>
    </w:p>
    <w:p>
      <w:pPr>
        <w:pStyle w:val="Subsection"/>
      </w:pPr>
      <w:r>
        <w:rPr>
          <w:szCs w:val="24"/>
        </w:rPr>
        <w:tab/>
        <w:t>(1)</w:t>
      </w:r>
      <w:r>
        <w:rPr>
          <w:szCs w:val="24"/>
        </w:rPr>
        <w:tab/>
        <w:t xml:space="preserve">The remediation period is — </w:t>
      </w:r>
    </w:p>
    <w:p>
      <w:pPr>
        <w:pStyle w:val="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Indenta"/>
      </w:pPr>
      <w:r>
        <w:tab/>
        <w:t>(b)</w:t>
      </w:r>
      <w:r>
        <w:tab/>
        <w:t>that period as extended under subsection (2).</w:t>
      </w:r>
    </w:p>
    <w:p>
      <w:pPr>
        <w:pStyle w:val="Subsection"/>
      </w:pPr>
      <w:r>
        <w:tab/>
        <w:t>(2)</w:t>
      </w:r>
      <w:r>
        <w:tab/>
        <w:t>The Minister may extend the remediation period, whether or not it has expired and as many times as the Minister considers is necessary.</w:t>
      </w:r>
    </w:p>
    <w:p>
      <w:pPr>
        <w:pStyle w:val="Subsection"/>
        <w:keepNext/>
      </w:pPr>
      <w:r>
        <w:lastRenderedPageBreak/>
        <w:tab/>
        <w:t>(3)</w:t>
      </w:r>
      <w:r>
        <w:tab/>
        <w:t xml:space="preserve">Notice of extension of the remediation period must be — </w:t>
      </w:r>
    </w:p>
    <w:p>
      <w:pPr>
        <w:pStyle w:val="Indenta"/>
      </w:pPr>
      <w:r>
        <w:tab/>
        <w:t>(a)</w:t>
      </w:r>
      <w:r>
        <w:tab/>
        <w:t>given to the Burswood Casino licensee; and</w:t>
      </w:r>
    </w:p>
    <w:p>
      <w:pPr>
        <w:pStyle w:val="Indenta"/>
      </w:pPr>
      <w:r>
        <w:tab/>
        <w:t>(b)</w:t>
      </w:r>
      <w:r>
        <w:tab/>
        <w:t>published on the Department’s website.</w:t>
      </w:r>
    </w:p>
    <w:p>
      <w:pPr>
        <w:pStyle w:val="Footnotesection"/>
      </w:pPr>
      <w:r>
        <w:tab/>
        <w:t>[Section 21I inserted: No. 32 of 2022 s. 6.]</w:t>
      </w:r>
    </w:p>
    <w:p>
      <w:pPr>
        <w:pStyle w:val="Heading3"/>
      </w:pPr>
      <w:bookmarkStart w:id="90" w:name="_Toc106030233"/>
      <w:bookmarkStart w:id="91" w:name="_Toc106030559"/>
      <w:bookmarkStart w:id="92" w:name="_Toc106030752"/>
      <w:bookmarkStart w:id="93" w:name="_Toc114655966"/>
      <w:bookmarkStart w:id="94" w:name="_Toc115162621"/>
      <w:bookmarkStart w:id="95" w:name="_Toc115266783"/>
      <w:r>
        <w:rPr>
          <w:rStyle w:val="CharDivNo"/>
        </w:rPr>
        <w:t>Division 2</w:t>
      </w:r>
      <w:r>
        <w:t> — </w:t>
      </w:r>
      <w:r>
        <w:rPr>
          <w:rStyle w:val="CharDivText"/>
        </w:rPr>
        <w:t>Independent Monitor</w:t>
      </w:r>
      <w:bookmarkEnd w:id="90"/>
      <w:bookmarkEnd w:id="91"/>
      <w:bookmarkEnd w:id="92"/>
      <w:bookmarkEnd w:id="93"/>
      <w:bookmarkEnd w:id="94"/>
      <w:bookmarkEnd w:id="95"/>
    </w:p>
    <w:p>
      <w:pPr>
        <w:pStyle w:val="Footnoteheading"/>
      </w:pPr>
      <w:r>
        <w:tab/>
        <w:t>[Heading inserted: No. 32 of 2022 s. 6.]</w:t>
      </w:r>
    </w:p>
    <w:p>
      <w:pPr>
        <w:pStyle w:val="Heading5"/>
      </w:pPr>
      <w:bookmarkStart w:id="96" w:name="_Toc114655967"/>
      <w:bookmarkStart w:id="97" w:name="_Toc115266784"/>
      <w:r>
        <w:rPr>
          <w:rStyle w:val="CharSectno"/>
        </w:rPr>
        <w:t>21J</w:t>
      </w:r>
      <w:r>
        <w:t>.</w:t>
      </w:r>
      <w:r>
        <w:tab/>
        <w:t>Appointment</w:t>
      </w:r>
      <w:bookmarkEnd w:id="96"/>
      <w:bookmarkEnd w:id="97"/>
    </w:p>
    <w:p>
      <w:pPr>
        <w:pStyle w:val="Subsection"/>
      </w:pPr>
      <w:r>
        <w:tab/>
        <w:t>(1)</w:t>
      </w:r>
      <w:r>
        <w:tab/>
        <w:t>An office called the Independent Monitor is established.</w:t>
      </w:r>
    </w:p>
    <w:p>
      <w:pPr>
        <w:pStyle w:val="Subsection"/>
      </w:pPr>
      <w:r>
        <w:tab/>
        <w:t>(2)</w:t>
      </w:r>
      <w:r>
        <w:tab/>
        <w:t>The Minister may appoint an individual to the office.</w:t>
      </w:r>
    </w:p>
    <w:p>
      <w:pPr>
        <w:pStyle w:val="Subsection"/>
      </w:pPr>
      <w:r>
        <w:tab/>
        <w:t>(3)</w:t>
      </w:r>
      <w:r>
        <w:tab/>
        <w:t>The Independent Monitor holds office on the terms and conditions of appointment determined by the Minister.</w:t>
      </w:r>
    </w:p>
    <w:p>
      <w:pPr>
        <w:pStyle w:val="Subsection"/>
      </w:pPr>
      <w:r>
        <w:tab/>
        <w:t>(4)</w:t>
      </w:r>
      <w:r>
        <w:tab/>
        <w:t>The Independent Monitor is entitled to the remuneration determined by the Minister on the recommendation of the Public Sector Commissioner.</w:t>
      </w:r>
    </w:p>
    <w:p>
      <w:pPr>
        <w:pStyle w:val="Subsection"/>
      </w:pPr>
      <w:r>
        <w:tab/>
        <w:t>(5)</w:t>
      </w:r>
      <w:r>
        <w:tab/>
        <w:t>The Independent Monitor holds office for the term specified in the instrument of appointment and is eligible for reappointment.</w:t>
      </w:r>
    </w:p>
    <w:p>
      <w:pPr>
        <w:pStyle w:val="Subsection"/>
      </w:pPr>
      <w:r>
        <w:tab/>
        <w:t>(6)</w:t>
      </w:r>
      <w:r>
        <w:tab/>
        <w:t>The Independent Monitor may resign from office by notice in writing given to the Minister.</w:t>
      </w:r>
    </w:p>
    <w:p>
      <w:pPr>
        <w:pStyle w:val="Footnotesection"/>
      </w:pPr>
      <w:bookmarkStart w:id="98" w:name="_Toc114655968"/>
      <w:r>
        <w:tab/>
        <w:t>[Section 21J inserted: No. 32 of 2022 s. 6.]</w:t>
      </w:r>
    </w:p>
    <w:p>
      <w:pPr>
        <w:pStyle w:val="Heading5"/>
      </w:pPr>
      <w:bookmarkStart w:id="99" w:name="_Toc115266785"/>
      <w:r>
        <w:rPr>
          <w:rStyle w:val="CharSectno"/>
        </w:rPr>
        <w:t>21K</w:t>
      </w:r>
      <w:r>
        <w:t>.</w:t>
      </w:r>
      <w:r>
        <w:tab/>
        <w:t>Functions</w:t>
      </w:r>
      <w:bookmarkEnd w:id="98"/>
      <w:bookmarkEnd w:id="99"/>
    </w:p>
    <w:p>
      <w:pPr>
        <w:pStyle w:val="Subsection"/>
      </w:pPr>
      <w:r>
        <w:tab/>
        <w:t>(1)</w:t>
      </w:r>
      <w:r>
        <w:tab/>
        <w:t xml:space="preserve">The functions of the Independent Monitor are — </w:t>
      </w:r>
    </w:p>
    <w:p>
      <w:pPr>
        <w:pStyle w:val="Indenta"/>
      </w:pPr>
      <w:r>
        <w:tab/>
        <w:t>(a)</w:t>
      </w:r>
      <w:r>
        <w:tab/>
        <w:t>to consult on and advise in relation to the content and preparation of a plan for the remediation of the management and operation of the Burswood Casino;</w:t>
      </w:r>
    </w:p>
    <w:p>
      <w:pPr>
        <w:pStyle w:val="Indenta"/>
      </w:pPr>
      <w:r>
        <w:tab/>
        <w:t>(b)</w:t>
      </w:r>
      <w:r>
        <w:tab/>
        <w:t>to assess and approve a proposed remediation plan and amendments to the remediation plan;</w:t>
      </w:r>
    </w:p>
    <w:p>
      <w:pPr>
        <w:pStyle w:val="Indenta"/>
      </w:pPr>
      <w:r>
        <w:tab/>
        <w:t>(c)</w:t>
      </w:r>
      <w:r>
        <w:tab/>
        <w:t>to monitor and report on progress in the preparation and approval of the remediation plan and amendments to it;</w:t>
      </w:r>
    </w:p>
    <w:p>
      <w:pPr>
        <w:pStyle w:val="Indenta"/>
      </w:pPr>
      <w:r>
        <w:lastRenderedPageBreak/>
        <w:tab/>
        <w:t>(d)</w:t>
      </w:r>
      <w:r>
        <w:tab/>
        <w:t>to monitor and report on the suitability and efficacy of the remediation plan;</w:t>
      </w:r>
    </w:p>
    <w:p>
      <w:pPr>
        <w:pStyle w:val="Indenta"/>
      </w:pPr>
      <w:r>
        <w:tab/>
        <w:t>(e)</w:t>
      </w:r>
      <w:r>
        <w:tab/>
        <w:t>to monitor and report on the implementation of the remediation plan;</w:t>
      </w:r>
    </w:p>
    <w:p>
      <w:pPr>
        <w:pStyle w:val="Indenta"/>
      </w:pPr>
      <w:r>
        <w:tab/>
        <w:t>(f)</w:t>
      </w:r>
      <w:r>
        <w:tab/>
        <w:t>to monitor and report on the efficacy of the remediation of the management and operation of the Burswood Casino;</w:t>
      </w:r>
    </w:p>
    <w:p>
      <w:pPr>
        <w:pStyle w:val="Indenta"/>
      </w:pPr>
      <w:r>
        <w:tab/>
        <w:t>(g)</w:t>
      </w:r>
      <w:r>
        <w:tab/>
        <w:t>the other functions of the Independent Monitor under this Part;</w:t>
      </w:r>
    </w:p>
    <w:p>
      <w:pPr>
        <w:pStyle w:val="Indenta"/>
      </w:pPr>
      <w:r>
        <w:tab/>
        <w:t>(h)</w:t>
      </w:r>
      <w:r>
        <w:tab/>
        <w:t>any other function of the Independent Monitor specified in the Independent Monitor’s instrument of appointment.</w:t>
      </w:r>
    </w:p>
    <w:p>
      <w:pPr>
        <w:pStyle w:val="Subsection"/>
      </w:pPr>
      <w:r>
        <w:tab/>
        <w:t>(2)</w:t>
      </w:r>
      <w:r>
        <w:tab/>
        <w:t>A function specified under subsection (1)(h) cannot be inconsistent with this Part.</w:t>
      </w:r>
    </w:p>
    <w:p>
      <w:pPr>
        <w:pStyle w:val="Footnotesection"/>
      </w:pPr>
      <w:bookmarkStart w:id="100" w:name="_Toc114655969"/>
      <w:r>
        <w:tab/>
        <w:t>[Section 21K inserted: No. 32 of 2022 s. 6.]</w:t>
      </w:r>
    </w:p>
    <w:p>
      <w:pPr>
        <w:pStyle w:val="Heading5"/>
      </w:pPr>
      <w:bookmarkStart w:id="101" w:name="_Toc115266786"/>
      <w:r>
        <w:rPr>
          <w:rStyle w:val="CharSectno"/>
        </w:rPr>
        <w:t>21L</w:t>
      </w:r>
      <w:r>
        <w:t>.</w:t>
      </w:r>
      <w:r>
        <w:tab/>
        <w:t>Powers</w:t>
      </w:r>
      <w:bookmarkEnd w:id="100"/>
      <w:bookmarkEnd w:id="101"/>
    </w:p>
    <w:p>
      <w:pPr>
        <w:pStyle w:val="Subsection"/>
      </w:pPr>
      <w:r>
        <w:tab/>
      </w:r>
      <w:r>
        <w:tab/>
        <w:t>The Independent Monitor has all of the powers necessary to perform their functions.</w:t>
      </w:r>
    </w:p>
    <w:p>
      <w:pPr>
        <w:pStyle w:val="Footnotesection"/>
      </w:pPr>
      <w:bookmarkStart w:id="102" w:name="_Toc114655970"/>
      <w:r>
        <w:tab/>
        <w:t>[Section 21L inserted: No. 32 of 2022 s. 6.]</w:t>
      </w:r>
    </w:p>
    <w:p>
      <w:pPr>
        <w:pStyle w:val="Heading5"/>
      </w:pPr>
      <w:bookmarkStart w:id="103" w:name="_Toc115266787"/>
      <w:r>
        <w:rPr>
          <w:rStyle w:val="CharSectno"/>
        </w:rPr>
        <w:t>21M</w:t>
      </w:r>
      <w:r>
        <w:t>.</w:t>
      </w:r>
      <w:r>
        <w:tab/>
        <w:t>Delegation</w:t>
      </w:r>
      <w:bookmarkEnd w:id="102"/>
      <w:bookmarkEnd w:id="103"/>
    </w:p>
    <w:p>
      <w:pPr>
        <w:pStyle w:val="Subsection"/>
      </w:pPr>
      <w:r>
        <w:tab/>
        <w:t>(1)</w:t>
      </w:r>
      <w:r>
        <w:tab/>
        <w:t>The Independent Monitor may delegate to a member of the Independent Monitor’s staff any power or duty of the Independent Monitor under another provision of this Part.</w:t>
      </w:r>
    </w:p>
    <w:p>
      <w:pPr>
        <w:pStyle w:val="Subsection"/>
      </w:pPr>
      <w:r>
        <w:tab/>
        <w:t>(2)</w:t>
      </w:r>
      <w:r>
        <w:tab/>
        <w:t>The delegation must be in writing signed by the Independent Monitor.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(5)</w:t>
      </w:r>
      <w:r>
        <w:tab/>
        <w:t>Nothing in this section limits the ability of the Independent Monitor to perform a function through an officer or agent.</w:t>
      </w:r>
    </w:p>
    <w:p>
      <w:pPr>
        <w:pStyle w:val="Footnotesection"/>
      </w:pPr>
      <w:bookmarkStart w:id="104" w:name="_Toc106030238"/>
      <w:bookmarkStart w:id="105" w:name="_Toc106030564"/>
      <w:bookmarkStart w:id="106" w:name="_Toc106030757"/>
      <w:bookmarkStart w:id="107" w:name="_Toc114655971"/>
      <w:r>
        <w:tab/>
        <w:t>[Section 21M inserted: No. 32 of 2022 s. 6.]</w:t>
      </w:r>
    </w:p>
    <w:p>
      <w:pPr>
        <w:pStyle w:val="Heading3"/>
      </w:pPr>
      <w:bookmarkStart w:id="108" w:name="_Toc115162626"/>
      <w:bookmarkStart w:id="109" w:name="_Toc115266788"/>
      <w:r>
        <w:rPr>
          <w:rStyle w:val="CharDivNo"/>
        </w:rPr>
        <w:t>Division 3</w:t>
      </w:r>
      <w:r>
        <w:t> — </w:t>
      </w:r>
      <w:r>
        <w:rPr>
          <w:rStyle w:val="CharDivText"/>
        </w:rPr>
        <w:t>Remediation plans</w:t>
      </w:r>
      <w:bookmarkEnd w:id="104"/>
      <w:bookmarkEnd w:id="105"/>
      <w:bookmarkEnd w:id="106"/>
      <w:bookmarkEnd w:id="107"/>
      <w:bookmarkEnd w:id="108"/>
      <w:bookmarkEnd w:id="109"/>
    </w:p>
    <w:p>
      <w:pPr>
        <w:pStyle w:val="Footnoteheading"/>
      </w:pPr>
      <w:bookmarkStart w:id="110" w:name="_Toc114655972"/>
      <w:r>
        <w:tab/>
        <w:t>[Heading inserted: No. 32 of 2022 s. 6.]</w:t>
      </w:r>
    </w:p>
    <w:p>
      <w:pPr>
        <w:pStyle w:val="Heading5"/>
      </w:pPr>
      <w:bookmarkStart w:id="111" w:name="_Toc115266789"/>
      <w:r>
        <w:rPr>
          <w:rStyle w:val="CharSectno"/>
        </w:rPr>
        <w:t>21N</w:t>
      </w:r>
      <w:r>
        <w:t>.</w:t>
      </w:r>
      <w:r>
        <w:tab/>
        <w:t>Approval of remediation plan</w:t>
      </w:r>
      <w:bookmarkEnd w:id="110"/>
      <w:bookmarkEnd w:id="111"/>
    </w:p>
    <w:p>
      <w:pPr>
        <w:pStyle w:val="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Subsection"/>
      </w:pPr>
      <w:r>
        <w:tab/>
        <w:t>(2)</w:t>
      </w:r>
      <w:r>
        <w:tab/>
        <w:t>The remediation plan may be prepared and approved in stages.</w:t>
      </w:r>
    </w:p>
    <w:p>
      <w:pPr>
        <w:pStyle w:val="Subsection"/>
      </w:pPr>
      <w:r>
        <w:tab/>
        <w:t>(3)</w:t>
      </w:r>
      <w:r>
        <w:tab/>
        <w:t>The Independent Monitor may approve amendments to the remediation plan that are submitted to the Independent Monitor by the Burswood Casino licensee if satisfied as described in subsection (1) in relation to the plan as it would be amended.</w:t>
      </w:r>
    </w:p>
    <w:p>
      <w:pPr>
        <w:pStyle w:val="Subsection"/>
      </w:pPr>
      <w:r>
        <w:tab/>
        <w:t>(4)</w:t>
      </w:r>
      <w:r>
        <w:tab/>
        <w:t>Once approved, the Independent Monitor must give copies of the remediation plan and any amendments to the Minister and the Commission.</w:t>
      </w:r>
    </w:p>
    <w:p>
      <w:pPr>
        <w:pStyle w:val="Footnotesection"/>
      </w:pPr>
      <w:bookmarkStart w:id="112" w:name="_Toc114655973"/>
      <w:r>
        <w:tab/>
        <w:t>[Section 21N inserted: No. 32 of 2022 s. 6.]</w:t>
      </w:r>
    </w:p>
    <w:p>
      <w:pPr>
        <w:pStyle w:val="Heading5"/>
      </w:pPr>
      <w:bookmarkStart w:id="113" w:name="_Toc115266790"/>
      <w:r>
        <w:rPr>
          <w:rStyle w:val="CharSectno"/>
        </w:rPr>
        <w:t>21O</w:t>
      </w:r>
      <w:r>
        <w:t>.</w:t>
      </w:r>
      <w:r>
        <w:tab/>
        <w:t>Independent Monitor may give directions about remediation plan</w:t>
      </w:r>
      <w:bookmarkEnd w:id="112"/>
      <w:bookmarkEnd w:id="113"/>
    </w:p>
    <w:p>
      <w:pPr>
        <w:pStyle w:val="Subsection"/>
      </w:pPr>
      <w:r>
        <w:tab/>
        <w:t>(1)</w:t>
      </w:r>
      <w:r>
        <w:tab/>
        <w:t>The Independent Monitor may give directions to the Burswood Casino licensee relating to the performance of the Independent Monitor’s functions under section 21K(1)(a) and (b).</w:t>
      </w:r>
    </w:p>
    <w:p>
      <w:pPr>
        <w:pStyle w:val="PermNoteHeading"/>
      </w:pPr>
      <w:r>
        <w:tab/>
        <w:t>Note for this subsection:</w:t>
      </w:r>
    </w:p>
    <w:p>
      <w:pPr>
        <w:pStyle w:val="PermNoteText"/>
      </w:pPr>
      <w:r>
        <w:tab/>
      </w:r>
      <w:r>
        <w:tab/>
        <w:t>Section 33(1) requires that the licensee comply with the direction.</w:t>
      </w:r>
    </w:p>
    <w:p>
      <w:pPr>
        <w:pStyle w:val="Subsection"/>
      </w:pPr>
      <w:r>
        <w:tab/>
        <w:t>(2)</w:t>
      </w:r>
      <w:r>
        <w:tab/>
        <w:t xml:space="preserve">Without limiting subsection (1), the Independent Monitor may, in a direction, do 1 or more of the following — </w:t>
      </w:r>
    </w:p>
    <w:p>
      <w:pPr>
        <w:pStyle w:val="Indenta"/>
      </w:pPr>
      <w:r>
        <w:lastRenderedPageBreak/>
        <w:tab/>
        <w:t>(a)</w:t>
      </w:r>
      <w:r>
        <w:tab/>
        <w:t>require the Burswood Casino licensee to submit to the Independent Monitor a proposed remediation plan or an amendment to the remediation plan;</w:t>
      </w:r>
    </w:p>
    <w:p>
      <w:pPr>
        <w:pStyle w:val="Indenta"/>
      </w:pPr>
      <w:r>
        <w:tab/>
        <w:t>(b)</w:t>
      </w:r>
      <w:r>
        <w:tab/>
        <w:t>require that the plan or amendment cover specified matters, including in a specified way;</w:t>
      </w:r>
    </w:p>
    <w:p>
      <w:pPr>
        <w:pStyle w:val="Indenta"/>
      </w:pPr>
      <w:r>
        <w:tab/>
        <w:t>(c)</w:t>
      </w:r>
      <w:r>
        <w:tab/>
        <w:t>require that the plan or amendment be submitted on or before a specified day.</w:t>
      </w:r>
    </w:p>
    <w:p>
      <w:pPr>
        <w:pStyle w:val="Footnotesection"/>
      </w:pPr>
      <w:bookmarkStart w:id="114" w:name="_Toc114655974"/>
      <w:r>
        <w:tab/>
        <w:t>[Section 21O inserted: No. 32 of 2022 s. 6.]</w:t>
      </w:r>
    </w:p>
    <w:p>
      <w:pPr>
        <w:pStyle w:val="Heading5"/>
      </w:pPr>
      <w:bookmarkStart w:id="115" w:name="_Toc115266791"/>
      <w:r>
        <w:rPr>
          <w:rStyle w:val="CharSectno"/>
        </w:rPr>
        <w:t>21P</w:t>
      </w:r>
      <w:r>
        <w:t>.</w:t>
      </w:r>
      <w:r>
        <w:tab/>
        <w:t>Reports by Independent Monitor</w:t>
      </w:r>
      <w:bookmarkEnd w:id="114"/>
      <w:bookmarkEnd w:id="115"/>
    </w:p>
    <w:p>
      <w:pPr>
        <w:pStyle w:val="Subsection"/>
      </w:pPr>
      <w:r>
        <w:tab/>
        <w:t>(1)</w:t>
      </w:r>
      <w:r>
        <w:tab/>
        <w:t xml:space="preserve">During the remediation period the Independent Monitor must give an interim report to the Minister and the Commission — </w:t>
      </w:r>
    </w:p>
    <w:p>
      <w:pPr>
        <w:pStyle w:val="Indenta"/>
      </w:pPr>
      <w:r>
        <w:tab/>
        <w:t>(a)</w:t>
      </w:r>
      <w:r>
        <w:tab/>
        <w:t>at least every 3 months; and</w:t>
      </w:r>
    </w:p>
    <w:p>
      <w:pPr>
        <w:pStyle w:val="Indenta"/>
      </w:pPr>
      <w:r>
        <w:tab/>
        <w:t>(b)</w:t>
      </w:r>
      <w:r>
        <w:tab/>
        <w:t>as requested by the Minister.</w:t>
      </w:r>
    </w:p>
    <w:p>
      <w:pPr>
        <w:pStyle w:val="Subsection"/>
      </w:pPr>
      <w:r>
        <w:tab/>
        <w:t>(2)</w:t>
      </w:r>
      <w:r>
        <w:tab/>
        <w:t xml:space="preserve">An interim report must, where relevant, cover — </w:t>
      </w:r>
    </w:p>
    <w:p>
      <w:pPr>
        <w:pStyle w:val="Indenta"/>
      </w:pPr>
      <w:r>
        <w:tab/>
        <w:t>(a)</w:t>
      </w:r>
      <w:r>
        <w:tab/>
        <w:t>progress in the preparation and approval of the remediation plan; and</w:t>
      </w:r>
    </w:p>
    <w:p>
      <w:pPr>
        <w:pStyle w:val="Indenta"/>
      </w:pPr>
      <w:r>
        <w:tab/>
        <w:t>(b)</w:t>
      </w:r>
      <w:r>
        <w:tab/>
        <w:t>the suitability and efficacy of the remediation plan; and</w:t>
      </w:r>
    </w:p>
    <w:p>
      <w:pPr>
        <w:pStyle w:val="Indenta"/>
      </w:pPr>
      <w:r>
        <w:tab/>
        <w:t>(c)</w:t>
      </w:r>
      <w:r>
        <w:tab/>
        <w:t>implementation of the remediation plan; and</w:t>
      </w:r>
    </w:p>
    <w:p>
      <w:pPr>
        <w:pStyle w:val="Indenta"/>
      </w:pPr>
      <w:r>
        <w:tab/>
        <w:t>(d)</w:t>
      </w:r>
      <w:r>
        <w:tab/>
        <w:t>the efficacy of the remediation of the management and operation of the Burswood Casino; and</w:t>
      </w:r>
    </w:p>
    <w:p>
      <w:pPr>
        <w:pStyle w:val="Indenta"/>
      </w:pPr>
      <w:r>
        <w:tab/>
        <w:t>(e)</w:t>
      </w:r>
      <w:r>
        <w:tab/>
        <w:t>the number and nature of directions given under section 21O or 21T; and</w:t>
      </w:r>
    </w:p>
    <w:p>
      <w:pPr>
        <w:pStyle w:val="Indenta"/>
      </w:pPr>
      <w:r>
        <w:tab/>
        <w:t>(f)</w:t>
      </w:r>
      <w:r>
        <w:tab/>
        <w:t>the extent of cooperation with the Independent Monitor, in the performance of the Independent Monitor’s functions, by the Burswood Casino licensee and any other relevant person; and</w:t>
      </w:r>
    </w:p>
    <w:p>
      <w:pPr>
        <w:pStyle w:val="Indenta"/>
      </w:pPr>
      <w:r>
        <w:tab/>
        <w:t>(g)</w:t>
      </w:r>
      <w:r>
        <w:tab/>
        <w:t>any other related matter the Minister requests be covered by the report; and</w:t>
      </w:r>
    </w:p>
    <w:p>
      <w:pPr>
        <w:pStyle w:val="Indenta"/>
      </w:pPr>
      <w:r>
        <w:tab/>
        <w:t>(h)</w:t>
      </w:r>
      <w:r>
        <w:tab/>
        <w:t>any other matter that the Independent Monitor considers relevant.</w:t>
      </w:r>
    </w:p>
    <w:p>
      <w:pPr>
        <w:pStyle w:val="Subsection"/>
      </w:pPr>
      <w:r>
        <w:lastRenderedPageBreak/>
        <w:tab/>
        <w:t>(3)</w:t>
      </w:r>
      <w:r>
        <w:tab/>
        <w:t>At the end of the remediation period the Independent Monitor must give a final report to the Minister and the Commission.</w:t>
      </w:r>
    </w:p>
    <w:p>
      <w:pPr>
        <w:pStyle w:val="Subsection"/>
      </w:pPr>
      <w:r>
        <w:tab/>
        <w:t>(4)</w:t>
      </w:r>
      <w:r>
        <w:tab/>
        <w:t xml:space="preserve">The final report must cover — </w:t>
      </w:r>
    </w:p>
    <w:p>
      <w:pPr>
        <w:pStyle w:val="Indenta"/>
      </w:pPr>
      <w:r>
        <w:tab/>
        <w:t>(a)</w:t>
      </w:r>
      <w:r>
        <w:tab/>
        <w:t>the suitability and efficacy of the remediation plan over the course of the remediation period; and</w:t>
      </w:r>
    </w:p>
    <w:p>
      <w:pPr>
        <w:pStyle w:val="Indenta"/>
      </w:pPr>
      <w:r>
        <w:tab/>
        <w:t>(b)</w:t>
      </w:r>
      <w:r>
        <w:tab/>
        <w:t>implementation of the remediation plan; and</w:t>
      </w:r>
    </w:p>
    <w:p>
      <w:pPr>
        <w:pStyle w:val="Indenta"/>
      </w:pPr>
      <w:r>
        <w:tab/>
        <w:t>(c)</w:t>
      </w:r>
      <w:r>
        <w:tab/>
        <w:t>the efficacy of the remediation of the management and operation of the Burswood Casino; and</w:t>
      </w:r>
    </w:p>
    <w:p>
      <w:pPr>
        <w:pStyle w:val="Indenta"/>
      </w:pPr>
      <w:r>
        <w:tab/>
        <w:t>(d)</w:t>
      </w:r>
      <w:r>
        <w:tab/>
        <w:t>the number and nature of directions given under section 21O or 21T; and</w:t>
      </w:r>
    </w:p>
    <w:p>
      <w:pPr>
        <w:pStyle w:val="Indenta"/>
      </w:pPr>
      <w:r>
        <w:tab/>
        <w:t>(e)</w:t>
      </w:r>
      <w:r>
        <w:tab/>
        <w:t>the extent of cooperation with the Independent Monitor, in the performance of the Independent Monitor’s functions, by the Burswood Casino licensee and any other relevant person; and</w:t>
      </w:r>
    </w:p>
    <w:p>
      <w:pPr>
        <w:pStyle w:val="Indenta"/>
      </w:pPr>
      <w:r>
        <w:tab/>
        <w:t>(f)</w:t>
      </w:r>
      <w:r>
        <w:tab/>
        <w:t>any other related matter the Minister requests be covered by the report; and</w:t>
      </w:r>
    </w:p>
    <w:p>
      <w:pPr>
        <w:pStyle w:val="Indenta"/>
      </w:pPr>
      <w:r>
        <w:tab/>
        <w:t>(g)</w:t>
      </w:r>
      <w:r>
        <w:tab/>
        <w:t>any other matter that the Independent Monitor considers relevant.</w:t>
      </w:r>
    </w:p>
    <w:p>
      <w:pPr>
        <w:pStyle w:val="Footnotesection"/>
      </w:pPr>
      <w:bookmarkStart w:id="116" w:name="_Toc114655975"/>
      <w:r>
        <w:tab/>
        <w:t>[Section 21P inserted: No. 32 of 2022 s. 6.]</w:t>
      </w:r>
    </w:p>
    <w:p>
      <w:pPr>
        <w:pStyle w:val="Heading5"/>
      </w:pPr>
      <w:bookmarkStart w:id="117" w:name="_Toc115266792"/>
      <w:r>
        <w:rPr>
          <w:rStyle w:val="CharSectno"/>
        </w:rPr>
        <w:t>21Q</w:t>
      </w:r>
      <w:r>
        <w:t>.</w:t>
      </w:r>
      <w:r>
        <w:tab/>
        <w:t>Use of Independent Monitor’s reports</w:t>
      </w:r>
      <w:bookmarkEnd w:id="116"/>
      <w:bookmarkEnd w:id="117"/>
    </w:p>
    <w:p>
      <w:pPr>
        <w:pStyle w:val="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Subsection"/>
      </w:pPr>
      <w:r>
        <w:tab/>
        <w:t>(2)</w:t>
      </w:r>
      <w:r>
        <w:tab/>
        <w:t>In making a report and recommendations to the Minister under subsection (1), the Commission is not limited to the matters covered by the Independent Monitor’s report or bound by any opinion in it.</w:t>
      </w:r>
    </w:p>
    <w:p>
      <w:pPr>
        <w:pStyle w:val="Subsection"/>
      </w:pPr>
      <w:r>
        <w:tab/>
        <w:t>(3)</w:t>
      </w:r>
      <w:r>
        <w:tab/>
        <w:t>A report and recommendations made under subsection (1) are, for the purposes of section 21B, taken to be a report and recommendations made under section 21A(4).</w:t>
      </w:r>
    </w:p>
    <w:p>
      <w:pPr>
        <w:pStyle w:val="Subsection"/>
      </w:pPr>
      <w:r>
        <w:lastRenderedPageBreak/>
        <w:tab/>
        <w:t>(4)</w:t>
      </w:r>
      <w:r>
        <w:tab/>
        <w:t>Nothing in this section or Part prevents the Commission from using information in a report under section 21P for the performance of its other functions under this Act or any other written law relating to gaming.</w:t>
      </w:r>
    </w:p>
    <w:p>
      <w:pPr>
        <w:pStyle w:val="Footnotesection"/>
      </w:pPr>
      <w:bookmarkStart w:id="118" w:name="_Toc114655976"/>
      <w:r>
        <w:tab/>
        <w:t>[Section 21Q inserted: No. 32 of 2022 s. 6.]</w:t>
      </w:r>
    </w:p>
    <w:p>
      <w:pPr>
        <w:pStyle w:val="Heading5"/>
      </w:pPr>
      <w:bookmarkStart w:id="119" w:name="_Toc115266793"/>
      <w:r>
        <w:rPr>
          <w:rStyle w:val="CharSectno"/>
        </w:rPr>
        <w:t>21R</w:t>
      </w:r>
      <w:r>
        <w:t>.</w:t>
      </w:r>
      <w:r>
        <w:tab/>
        <w:t>Publishing Independent Monitor’s reports</w:t>
      </w:r>
      <w:bookmarkEnd w:id="118"/>
      <w:bookmarkEnd w:id="119"/>
    </w:p>
    <w:p>
      <w:pPr>
        <w:pStyle w:val="Subsection"/>
      </w:pPr>
      <w:r>
        <w:tab/>
        <w:t>(1)</w:t>
      </w:r>
      <w:r>
        <w:tab/>
        <w:t>The Minister may direct that a report of the Independent Monitor under section 21P be published on the Department’s website.</w:t>
      </w:r>
    </w:p>
    <w:p>
      <w:pPr>
        <w:pStyle w:val="Subsection"/>
      </w:pPr>
      <w:r>
        <w:tab/>
        <w:t>(2)</w:t>
      </w:r>
      <w:r>
        <w:tab/>
        <w:t>A report that includes information in respect of which there is a claim, in good faith, of confidence or privilege must not be published under this section unless the information is redacted.</w:t>
      </w:r>
    </w:p>
    <w:p>
      <w:pPr>
        <w:pStyle w:val="Footnotesection"/>
      </w:pPr>
      <w:bookmarkStart w:id="120" w:name="_Toc106030244"/>
      <w:bookmarkStart w:id="121" w:name="_Toc106030570"/>
      <w:bookmarkStart w:id="122" w:name="_Toc106030763"/>
      <w:bookmarkStart w:id="123" w:name="_Toc114655977"/>
      <w:r>
        <w:tab/>
        <w:t>[Section 21R inserted: No. 32 of 2022 s. 6.]</w:t>
      </w:r>
    </w:p>
    <w:p>
      <w:pPr>
        <w:pStyle w:val="Heading3"/>
      </w:pPr>
      <w:bookmarkStart w:id="124" w:name="_Toc115162632"/>
      <w:bookmarkStart w:id="125" w:name="_Toc115266794"/>
      <w:r>
        <w:rPr>
          <w:rStyle w:val="CharDivNo"/>
        </w:rPr>
        <w:t>Division 4</w:t>
      </w:r>
      <w:r>
        <w:t> — </w:t>
      </w:r>
      <w:r>
        <w:rPr>
          <w:rStyle w:val="CharDivText"/>
        </w:rPr>
        <w:t>Monitoring powers</w:t>
      </w:r>
      <w:bookmarkEnd w:id="120"/>
      <w:bookmarkEnd w:id="121"/>
      <w:bookmarkEnd w:id="122"/>
      <w:bookmarkEnd w:id="123"/>
      <w:bookmarkEnd w:id="124"/>
      <w:bookmarkEnd w:id="125"/>
    </w:p>
    <w:p>
      <w:pPr>
        <w:pStyle w:val="Footnoteheading"/>
      </w:pPr>
      <w:bookmarkStart w:id="126" w:name="_Toc114655978"/>
      <w:r>
        <w:tab/>
        <w:t>[Heading inserted: No. 32 of 2022 s. 6.]</w:t>
      </w:r>
    </w:p>
    <w:p>
      <w:pPr>
        <w:pStyle w:val="Heading5"/>
      </w:pPr>
      <w:bookmarkStart w:id="127" w:name="_Toc115266795"/>
      <w:r>
        <w:rPr>
          <w:rStyle w:val="CharSectno"/>
        </w:rPr>
        <w:t>21S</w:t>
      </w:r>
      <w:r>
        <w:t>.</w:t>
      </w:r>
      <w:r>
        <w:tab/>
        <w:t>Powers to obtain information</w:t>
      </w:r>
      <w:bookmarkEnd w:id="126"/>
      <w:bookmarkEnd w:id="127"/>
    </w:p>
    <w:p>
      <w:pPr>
        <w:pStyle w:val="Subsection"/>
      </w:pPr>
      <w:r>
        <w:tab/>
        <w:t>(1)</w:t>
      </w:r>
      <w:r>
        <w:tab/>
        <w:t xml:space="preserve">In this section — </w:t>
      </w:r>
    </w:p>
    <w:p>
      <w:pPr>
        <w:pStyle w:val="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Defstart"/>
      </w:pPr>
      <w:r>
        <w:tab/>
      </w:r>
      <w:r>
        <w:rPr>
          <w:rStyle w:val="CharDefText"/>
        </w:rPr>
        <w:t>relevant record</w:t>
      </w:r>
      <w:r>
        <w:t xml:space="preserve"> means a record that, in the Independent Monitor’s opinion, is or is likely to include relevant information (however compiled, recorded or stored).</w:t>
      </w:r>
    </w:p>
    <w:p>
      <w:pPr>
        <w:pStyle w:val="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Indenta"/>
      </w:pPr>
      <w:r>
        <w:tab/>
        <w:t>(a)</w:t>
      </w:r>
      <w:r>
        <w:tab/>
        <w:t xml:space="preserve">give the Independent Monitor a statement signed by the person or, if the person is a body corporate, by an officer </w:t>
      </w:r>
      <w:r>
        <w:lastRenderedPageBreak/>
        <w:t>of the body corporate, containing the specified relevant information;</w:t>
      </w:r>
    </w:p>
    <w:p>
      <w:pPr>
        <w:pStyle w:val="Indenta"/>
      </w:pPr>
      <w:r>
        <w:tab/>
        <w:t>(b)</w:t>
      </w:r>
      <w:r>
        <w:tab/>
        <w:t>give to the Independent Monitor the specified relevant records;</w:t>
      </w:r>
    </w:p>
    <w:p>
      <w:pPr>
        <w:pStyle w:val="Indenta"/>
      </w:pPr>
      <w:r>
        <w:tab/>
        <w:t>(c)</w:t>
      </w:r>
      <w:r>
        <w:tab/>
        <w:t>procure, and give to the Independent Monitor, a report prepared by an independent person on a specified matter relating to the management and operation of the Burswood Casino.</w:t>
      </w:r>
    </w:p>
    <w:p>
      <w:pPr>
        <w:pStyle w:val="Subsection"/>
      </w:pPr>
      <w:r>
        <w:tab/>
        <w:t>(3)</w:t>
      </w:r>
      <w:r>
        <w:tab/>
        <w:t>A notice under subsection (2) must specify the time and manner for giving the information, records or report.</w:t>
      </w:r>
    </w:p>
    <w:p>
      <w:pPr>
        <w:pStyle w:val="Subsection"/>
      </w:pPr>
      <w:r>
        <w:tab/>
        <w:t>(4)</w:t>
      </w:r>
      <w:r>
        <w:tab/>
        <w:t>A person given a notice under subsection (2) must comply with it.</w:t>
      </w:r>
    </w:p>
    <w:p>
      <w:pPr>
        <w:pStyle w:val="Footnotesection"/>
      </w:pPr>
      <w:bookmarkStart w:id="128" w:name="_Toc114655979"/>
      <w:r>
        <w:tab/>
        <w:t>[Section 21S inserted: No. 32 of 2022 s. 6.]</w:t>
      </w:r>
    </w:p>
    <w:p>
      <w:pPr>
        <w:pStyle w:val="Heading5"/>
      </w:pPr>
      <w:bookmarkStart w:id="129" w:name="_Toc115266796"/>
      <w:r>
        <w:rPr>
          <w:rStyle w:val="CharSectno"/>
        </w:rPr>
        <w:t>21T</w:t>
      </w:r>
      <w:r>
        <w:t>.</w:t>
      </w:r>
      <w:r>
        <w:tab/>
        <w:t>Independent Monitor may give directions about obtaining information</w:t>
      </w:r>
      <w:bookmarkEnd w:id="128"/>
      <w:bookmarkEnd w:id="129"/>
    </w:p>
    <w:p>
      <w:pPr>
        <w:pStyle w:val="Subsection"/>
      </w:pPr>
      <w:r>
        <w:tab/>
        <w:t>(1)</w:t>
      </w:r>
      <w:r>
        <w:tab/>
        <w:t>If a person given a notice under section 21S(2) does not comply with the notice, the Independent Monitor may give the person a direction requiring them to comply with the notice within a specified time.</w:t>
      </w:r>
    </w:p>
    <w:p>
      <w:pPr>
        <w:pStyle w:val="PermNoteHeading"/>
      </w:pPr>
      <w:r>
        <w:tab/>
        <w:t>Note for this subsection:</w:t>
      </w:r>
    </w:p>
    <w:p>
      <w:pPr>
        <w:pStyle w:val="PermNoteText"/>
      </w:pPr>
      <w:r>
        <w:tab/>
      </w:r>
      <w:r>
        <w:tab/>
        <w:t>Section 33(1) requires that the person comply with the direction.</w:t>
      </w:r>
    </w:p>
    <w:p>
      <w:pPr>
        <w:pStyle w:val="Subsection"/>
      </w:pPr>
      <w:r>
        <w:tab/>
        <w:t>(2)</w:t>
      </w:r>
      <w:r>
        <w:tab/>
        <w:t>The Independent Monitor may give the direction despite any claim of confidence or privilege.</w:t>
      </w:r>
    </w:p>
    <w:p>
      <w:pPr>
        <w:pStyle w:val="PermNoteHeading"/>
      </w:pPr>
      <w:r>
        <w:tab/>
        <w:t>Note for this subsection:</w:t>
      </w:r>
    </w:p>
    <w:p>
      <w:pPr>
        <w:pStyle w:val="PermNoteText"/>
      </w:pPr>
      <w:r>
        <w:tab/>
      </w:r>
      <w:r>
        <w:tab/>
        <w:t>See section 21W(1) in relation to legal professional privilege.</w:t>
      </w:r>
    </w:p>
    <w:p>
      <w:pPr>
        <w:pStyle w:val="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Subsection"/>
      </w:pPr>
      <w:r>
        <w:tab/>
        <w:t>(4)</w:t>
      </w:r>
      <w:r>
        <w:tab/>
        <w:t xml:space="preserve">A direction may include a requirement that a person making a claim of legal professional privilege procure, and give to the </w:t>
      </w:r>
      <w:r>
        <w:lastRenderedPageBreak/>
        <w:t>Independent Monitor, independent legal advice as to the basis of the claim.</w:t>
      </w:r>
    </w:p>
    <w:p>
      <w:pPr>
        <w:pStyle w:val="Subsection"/>
      </w:pPr>
      <w:r>
        <w:tab/>
        <w:t>(5)</w:t>
      </w:r>
      <w:r>
        <w:tab/>
        <w:t>Compliance with a requirement described in subsection (4) is not a waiver of any legal professional privilege that applies.</w:t>
      </w:r>
    </w:p>
    <w:p>
      <w:pPr>
        <w:pStyle w:val="Footnotesection"/>
      </w:pPr>
      <w:bookmarkStart w:id="130" w:name="_Toc114655980"/>
      <w:r>
        <w:tab/>
        <w:t>[Section 21T inserted: No. 32 of 2022 s. 6.]</w:t>
      </w:r>
    </w:p>
    <w:p>
      <w:pPr>
        <w:pStyle w:val="Heading5"/>
      </w:pPr>
      <w:bookmarkStart w:id="131" w:name="_Toc115266797"/>
      <w:r>
        <w:rPr>
          <w:rStyle w:val="CharSectno"/>
        </w:rPr>
        <w:t>21U</w:t>
      </w:r>
      <w:r>
        <w:t>.</w:t>
      </w:r>
      <w:r>
        <w:tab/>
        <w:t>Powers of and on entry</w:t>
      </w:r>
      <w:bookmarkEnd w:id="130"/>
      <w:bookmarkEnd w:id="131"/>
    </w:p>
    <w:p>
      <w:pPr>
        <w:pStyle w:val="Subsection"/>
      </w:pPr>
      <w:r>
        <w:tab/>
        <w:t>(1)</w:t>
      </w:r>
      <w:r>
        <w:tab/>
        <w:t>For the purposes of the performance of the Independent Monitor’s functions, the Independent Monitor may at any time enter a place that is part of the Burswood Casino.</w:t>
      </w:r>
    </w:p>
    <w:p>
      <w:pPr>
        <w:pStyle w:val="Subsection"/>
      </w:pPr>
      <w:r>
        <w:tab/>
        <w:t>(2)</w:t>
      </w:r>
      <w:r>
        <w:tab/>
        <w:t>An entry may be made under subsection (1) with or without the consent of the person in charge or control of the place.</w:t>
      </w:r>
    </w:p>
    <w:p>
      <w:pPr>
        <w:pStyle w:val="Subsection"/>
      </w:pPr>
      <w:r>
        <w:tab/>
        <w:t>(3)</w:t>
      </w:r>
      <w:r>
        <w:tab/>
        <w:t xml:space="preserve">On entering a place under this section the Independent Monitor may do any 1 or more of the following — </w:t>
      </w:r>
    </w:p>
    <w:p>
      <w:pPr>
        <w:pStyle w:val="Indenta"/>
      </w:pPr>
      <w:r>
        <w:tab/>
        <w:t>(a)</w:t>
      </w:r>
      <w:r>
        <w:tab/>
        <w:t>inspect the place;</w:t>
      </w:r>
    </w:p>
    <w:p>
      <w:pPr>
        <w:pStyle w:val="Indenta"/>
      </w:pPr>
      <w:r>
        <w:tab/>
        <w:t>(b)</w:t>
      </w:r>
      <w:r>
        <w:tab/>
        <w:t>generally make any investigation or inquiry that is relevant to the performance of the Independent Monitor’s functions;</w:t>
      </w:r>
    </w:p>
    <w:p>
      <w:pPr>
        <w:pStyle w:val="Indenta"/>
      </w:pPr>
      <w:r>
        <w:tab/>
        <w:t>(c)</w:t>
      </w:r>
      <w:r>
        <w:tab/>
        <w:t>require a person at the place to give information or answer a question that, in the opinion of the Independent Monitor, is or is likely to be relevant to the performance of the Independent Monitor’s functions;</w:t>
      </w:r>
    </w:p>
    <w:p>
      <w:pPr>
        <w:pStyle w:val="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Indenta"/>
      </w:pPr>
      <w:r>
        <w:lastRenderedPageBreak/>
        <w:tab/>
        <w:t>(f)</w:t>
      </w:r>
      <w:r>
        <w:tab/>
        <w:t>make copies of records or any part of them and, for that purpose, take away and retain any of those records or any part of them for any time that may be reasonably necessary;</w:t>
      </w:r>
    </w:p>
    <w:p>
      <w:pPr>
        <w:pStyle w:val="Indenta"/>
      </w:pPr>
      <w:r>
        <w:tab/>
        <w:t>(g)</w:t>
      </w:r>
      <w:r>
        <w:tab/>
        <w:t>require the person apparently in charge or control of the place to provide the Independent Monitor with assistance and facilities reasonably necessary to enable the Independent Monitor to exercise their powers under this section.</w:t>
      </w:r>
    </w:p>
    <w:p>
      <w:pPr>
        <w:pStyle w:val="Subsection"/>
      </w:pPr>
      <w:r>
        <w:tab/>
        <w:t>(4)</w:t>
      </w:r>
      <w:r>
        <w:tab/>
        <w:t>The powers under this section may be exercised by the Independent Monitor or by a member of the Independent Monitor’s staff.</w:t>
      </w:r>
    </w:p>
    <w:p>
      <w:pPr>
        <w:pStyle w:val="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Subsection"/>
      </w:pPr>
      <w:r>
        <w:tab/>
        <w:t>(6)</w:t>
      </w:r>
      <w:r>
        <w:tab/>
        <w:t xml:space="preserve">An assistant — </w:t>
      </w:r>
    </w:p>
    <w:p>
      <w:pPr>
        <w:pStyle w:val="Indenta"/>
      </w:pPr>
      <w:r>
        <w:tab/>
        <w:t>(a)</w:t>
      </w:r>
      <w:r>
        <w:tab/>
        <w:t>may do the things at the place and in the manner that the monitor reasonably requires to assist the monitor to exercise their powers under this section; but</w:t>
      </w:r>
    </w:p>
    <w:p>
      <w:pPr>
        <w:pStyle w:val="Indenta"/>
      </w:pPr>
      <w:r>
        <w:tab/>
        <w:t>(b)</w:t>
      </w:r>
      <w:r>
        <w:tab/>
        <w:t>must not do anything that the monitor does not have power to do.</w:t>
      </w:r>
    </w:p>
    <w:p>
      <w:pPr>
        <w:pStyle w:val="Subsection"/>
      </w:pPr>
      <w:r>
        <w:tab/>
        <w:t>(7)</w:t>
      </w:r>
      <w:r>
        <w:tab/>
        <w:t>Anything lawfully done by an assistant is taken to have been done by the monitor.</w:t>
      </w:r>
    </w:p>
    <w:p>
      <w:pPr>
        <w:pStyle w:val="Footnotesection"/>
      </w:pPr>
      <w:bookmarkStart w:id="132" w:name="_Toc114655981"/>
      <w:r>
        <w:tab/>
        <w:t>[Section 21U inserted: No. 32 of 2022 s. 6.]</w:t>
      </w:r>
    </w:p>
    <w:p>
      <w:pPr>
        <w:pStyle w:val="Heading5"/>
      </w:pPr>
      <w:bookmarkStart w:id="133" w:name="_Toc115266798"/>
      <w:r>
        <w:rPr>
          <w:rStyle w:val="CharSectno"/>
        </w:rPr>
        <w:t>21V</w:t>
      </w:r>
      <w:r>
        <w:t>.</w:t>
      </w:r>
      <w:r>
        <w:tab/>
        <w:t>Attendance at board meetings</w:t>
      </w:r>
      <w:bookmarkEnd w:id="132"/>
      <w:bookmarkEnd w:id="133"/>
    </w:p>
    <w:p>
      <w:pPr>
        <w:pStyle w:val="Subsection"/>
      </w:pPr>
      <w:r>
        <w:tab/>
        <w:t>(1)</w:t>
      </w:r>
      <w:r>
        <w:tab/>
        <w:t>The Independent Monitor may attend a meeting of the governing body (however described) of the Burswood Casino licensee or any other relevant person.</w:t>
      </w:r>
    </w:p>
    <w:p>
      <w:pPr>
        <w:pStyle w:val="Subsection"/>
      </w:pPr>
      <w:r>
        <w:tab/>
        <w:t>(2)</w:t>
      </w:r>
      <w:r>
        <w:tab/>
        <w:t>The Independent Monitor may do so in person, remotely or by a nominated person attending (in person or remotely) on the Independent Monitor’s behalf.</w:t>
      </w:r>
    </w:p>
    <w:p>
      <w:pPr>
        <w:pStyle w:val="Subsection"/>
      </w:pPr>
      <w:r>
        <w:lastRenderedPageBreak/>
        <w:tab/>
        <w:t>(3)</w:t>
      </w:r>
      <w:r>
        <w:tab/>
        <w:t>The Independent Monitor, or nominated person, is, for the purposes of this section, entitled to all information made available to any member of the governing body.</w:t>
      </w:r>
    </w:p>
    <w:p>
      <w:pPr>
        <w:pStyle w:val="Subsection"/>
      </w:pPr>
      <w:r>
        <w:tab/>
        <w:t>(4)</w:t>
      </w:r>
      <w:r>
        <w:tab/>
        <w:t>This section does not give the Independent Monitor or a nominated person a right to vote, and does not make them a member of the governing body.</w:t>
      </w:r>
    </w:p>
    <w:p>
      <w:pPr>
        <w:pStyle w:val="Footnotesection"/>
      </w:pPr>
      <w:bookmarkStart w:id="134" w:name="_Toc114655982"/>
      <w:r>
        <w:tab/>
        <w:t>[Section 21V inserted: No. 32 of 2022 s. 6.]</w:t>
      </w:r>
    </w:p>
    <w:p>
      <w:pPr>
        <w:pStyle w:val="Heading5"/>
      </w:pPr>
      <w:bookmarkStart w:id="135" w:name="_Toc115266799"/>
      <w:r>
        <w:rPr>
          <w:rStyle w:val="CharSectno"/>
        </w:rPr>
        <w:t>21W</w:t>
      </w:r>
      <w:r>
        <w:t>.</w:t>
      </w:r>
      <w:r>
        <w:tab/>
        <w:t>Compliance with requirements under s. 21S, 21T or 21U</w:t>
      </w:r>
      <w:bookmarkEnd w:id="134"/>
      <w:bookmarkEnd w:id="135"/>
    </w:p>
    <w:p>
      <w:pPr>
        <w:pStyle w:val="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Subsection"/>
      </w:pPr>
      <w:r>
        <w:tab/>
        <w:t>(2)</w:t>
      </w:r>
      <w:r>
        <w:tab/>
        <w:t xml:space="preserve">If information or an answer is given, or a thing is given or produced, in good faith in compliance with a requirement under section 21S, 21T or 21U(3) — </w:t>
      </w:r>
    </w:p>
    <w:p>
      <w:pPr>
        <w:pStyle w:val="Indenta"/>
      </w:pPr>
      <w:r>
        <w:tab/>
        <w:t>(a)</w:t>
      </w:r>
      <w:r>
        <w:tab/>
        <w:t>no civil or criminal liability is incurred as a result of the compliance; and</w:t>
      </w:r>
    </w:p>
    <w:p>
      <w:pPr>
        <w:pStyle w:val="Indenta"/>
      </w:pPr>
      <w:r>
        <w:tab/>
        <w:t>(b)</w:t>
      </w:r>
      <w:r>
        <w:tab/>
        <w:t>the compliance is not to be regarded as a breach of any duty of confidence or secrecy; and</w:t>
      </w:r>
    </w:p>
    <w:p>
      <w:pPr>
        <w:pStyle w:val="Indenta"/>
      </w:pPr>
      <w:r>
        <w:tab/>
        <w:t>(c)</w:t>
      </w:r>
      <w:r>
        <w:tab/>
        <w:t>the compliance is not to be regarded as a breach of professional ethics or standards or as unprofessional conduct.</w:t>
      </w:r>
    </w:p>
    <w:p>
      <w:pPr>
        <w:pStyle w:val="Footnotesection"/>
      </w:pPr>
      <w:bookmarkStart w:id="136" w:name="_Toc114655983"/>
      <w:r>
        <w:tab/>
        <w:t>[Section 21W inserted: No. 32 of 2022 s. 6.]</w:t>
      </w:r>
    </w:p>
    <w:p>
      <w:pPr>
        <w:pStyle w:val="Heading5"/>
      </w:pPr>
      <w:bookmarkStart w:id="137" w:name="_Toc115266800"/>
      <w:r>
        <w:rPr>
          <w:rStyle w:val="CharSectno"/>
        </w:rPr>
        <w:t>21X</w:t>
      </w:r>
      <w:r>
        <w:t>.</w:t>
      </w:r>
      <w:r>
        <w:tab/>
        <w:t>Offences</w:t>
      </w:r>
      <w:bookmarkEnd w:id="136"/>
      <w:bookmarkEnd w:id="137"/>
    </w:p>
    <w:p>
      <w:pPr>
        <w:pStyle w:val="Subsection"/>
      </w:pPr>
      <w:r>
        <w:tab/>
        <w:t>(1)</w:t>
      </w:r>
      <w:r>
        <w:tab/>
        <w:t>A person must not, without reasonable excuse, proof of which is on the person, hinder or obstruct the Independent Monitor or another person in exercising, or assisting in the exercise of, the powers under section 21U.</w:t>
      </w:r>
    </w:p>
    <w:p>
      <w:pPr>
        <w:pStyle w:val="Penstart"/>
      </w:pPr>
      <w:r>
        <w:tab/>
        <w:t>Penalty for this subsection: a fine of $50 000.</w:t>
      </w:r>
    </w:p>
    <w:p>
      <w:pPr>
        <w:pStyle w:val="Subsection"/>
      </w:pPr>
      <w:r>
        <w:tab/>
        <w:t>(2)</w:t>
      </w:r>
      <w:r>
        <w:tab/>
        <w:t xml:space="preserve">A person must not, without reasonable excuse, proof of which is on the person, fail to comply with a requirement under </w:t>
      </w:r>
      <w:r>
        <w:lastRenderedPageBreak/>
        <w:t>section 21U(3) to give information or answer a question or produce a thing.</w:t>
      </w:r>
    </w:p>
    <w:p>
      <w:pPr>
        <w:pStyle w:val="Penstart"/>
      </w:pPr>
      <w:r>
        <w:tab/>
        <w:t>Penalty for this subsection: a fine of $50 000.</w:t>
      </w:r>
    </w:p>
    <w:p>
      <w:pPr>
        <w:pStyle w:val="Subsection"/>
      </w:pPr>
      <w:r>
        <w:tab/>
        <w:t>(3)</w:t>
      </w:r>
      <w:r>
        <w:tab/>
        <w:t>A person must not, without reasonable excuse, proof of which is on the person, fail to provide assistance or facilities as required under section 21U(3).</w:t>
      </w:r>
    </w:p>
    <w:p>
      <w:pPr>
        <w:pStyle w:val="Penstart"/>
      </w:pPr>
      <w:r>
        <w:tab/>
        <w:t>Penalty for this subsection: a fine of $50 000.</w:t>
      </w:r>
    </w:p>
    <w:p>
      <w:pPr>
        <w:pStyle w:val="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Penstart"/>
      </w:pPr>
      <w:r>
        <w:tab/>
        <w:t>Penalty for this subsection: a fine of $50 000.</w:t>
      </w:r>
    </w:p>
    <w:p>
      <w:pPr>
        <w:pStyle w:val="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Indenta"/>
      </w:pPr>
      <w:r>
        <w:tab/>
        <w:t>(a)</w:t>
      </w:r>
      <w:r>
        <w:tab/>
        <w:t>without indicating that it is false or misleading and, to the extent the person can, how it is false or misleading; and</w:t>
      </w:r>
    </w:p>
    <w:p>
      <w:pPr>
        <w:pStyle w:val="Indenta"/>
      </w:pPr>
      <w:r>
        <w:tab/>
        <w:t>(b)</w:t>
      </w:r>
      <w:r>
        <w:tab/>
        <w:t>if the person has or can reasonably obtain the correct information — without providing the correct information.</w:t>
      </w:r>
    </w:p>
    <w:p>
      <w:pPr>
        <w:pStyle w:val="Penstart"/>
      </w:pPr>
      <w:r>
        <w:tab/>
        <w:t>Penalty for this subsection: a fine of $50 000.</w:t>
      </w:r>
    </w:p>
    <w:p>
      <w:pPr>
        <w:pStyle w:val="Subsection"/>
      </w:pPr>
      <w:r>
        <w:tab/>
        <w:t>(7)</w:t>
      </w:r>
      <w:r>
        <w:tab/>
        <w:t xml:space="preserve">It is enough for a prosecution notice lodged against a person for an offence under subsection (5) or (6) to state — </w:t>
      </w:r>
    </w:p>
    <w:p>
      <w:pPr>
        <w:pStyle w:val="Indenta"/>
      </w:pPr>
      <w:r>
        <w:lastRenderedPageBreak/>
        <w:tab/>
        <w:t>(a)</w:t>
      </w:r>
      <w:r>
        <w:tab/>
        <w:t>that the information, answer or thing was false or misleading to the person’s knowledge without stating which; or</w:t>
      </w:r>
    </w:p>
    <w:p>
      <w:pPr>
        <w:pStyle w:val="Indenta"/>
      </w:pPr>
      <w:r>
        <w:tab/>
        <w:t>(b)</w:t>
      </w:r>
      <w:r>
        <w:tab/>
        <w:t>that the person ought reasonably to have known that the information, answer or thing was false or misleading without stating which.</w:t>
      </w:r>
    </w:p>
    <w:p>
      <w:pPr>
        <w:pStyle w:val="Footnotesection"/>
      </w:pPr>
      <w:bookmarkStart w:id="138" w:name="_Toc106030251"/>
      <w:bookmarkStart w:id="139" w:name="_Toc106030577"/>
      <w:bookmarkStart w:id="140" w:name="_Toc106030770"/>
      <w:bookmarkStart w:id="141" w:name="_Toc114655984"/>
      <w:r>
        <w:tab/>
        <w:t>[Section 21X inserted: No. 32 of 2022 s. 6.]</w:t>
      </w:r>
    </w:p>
    <w:p>
      <w:pPr>
        <w:pStyle w:val="Heading3"/>
      </w:pPr>
      <w:bookmarkStart w:id="142" w:name="_Toc115162639"/>
      <w:bookmarkStart w:id="143" w:name="_Toc115266801"/>
      <w:r>
        <w:rPr>
          <w:rStyle w:val="CharDivNo"/>
        </w:rPr>
        <w:t>Division 5</w:t>
      </w:r>
      <w:r>
        <w:t> — </w:t>
      </w:r>
      <w:r>
        <w:rPr>
          <w:rStyle w:val="CharDivText"/>
        </w:rPr>
        <w:t>Miscellaneous</w:t>
      </w:r>
      <w:bookmarkEnd w:id="138"/>
      <w:bookmarkEnd w:id="139"/>
      <w:bookmarkEnd w:id="140"/>
      <w:bookmarkEnd w:id="141"/>
      <w:bookmarkEnd w:id="142"/>
      <w:bookmarkEnd w:id="143"/>
    </w:p>
    <w:p>
      <w:pPr>
        <w:pStyle w:val="Footnoteheading"/>
      </w:pPr>
      <w:bookmarkStart w:id="144" w:name="_Toc114655985"/>
      <w:r>
        <w:tab/>
        <w:t>[Heading inserted: No. 32 of 2022 s. 6.]</w:t>
      </w:r>
    </w:p>
    <w:p>
      <w:pPr>
        <w:pStyle w:val="Heading5"/>
      </w:pPr>
      <w:bookmarkStart w:id="145" w:name="_Toc115266802"/>
      <w:r>
        <w:rPr>
          <w:rStyle w:val="CharSectno"/>
        </w:rPr>
        <w:t>21Y</w:t>
      </w:r>
      <w:r>
        <w:t>.</w:t>
      </w:r>
      <w:r>
        <w:tab/>
        <w:t>Protection of information</w:t>
      </w:r>
      <w:bookmarkEnd w:id="144"/>
      <w:bookmarkEnd w:id="145"/>
    </w:p>
    <w:p>
      <w:pPr>
        <w:pStyle w:val="Subsection"/>
      </w:pPr>
      <w:r>
        <w:tab/>
        <w:t>(1)</w:t>
      </w:r>
      <w:r>
        <w:tab/>
        <w:t>A person must not, directly or indirectly, record, use or disclose information obtained because of a function the person has or had under this Part, except as permitted under subsection (2).</w:t>
      </w:r>
    </w:p>
    <w:p>
      <w:pPr>
        <w:pStyle w:val="Penstart"/>
      </w:pPr>
      <w:r>
        <w:tab/>
        <w:t>Penalty for this subsection: a fine of $50 000.</w:t>
      </w:r>
    </w:p>
    <w:p>
      <w:pPr>
        <w:pStyle w:val="Subsection"/>
      </w:pPr>
      <w:r>
        <w:tab/>
        <w:t>(2)</w:t>
      </w:r>
      <w:r>
        <w:tab/>
        <w:t xml:space="preserve">The person may record, use or disclose the information — </w:t>
      </w:r>
    </w:p>
    <w:p>
      <w:pPr>
        <w:pStyle w:val="Indenta"/>
      </w:pPr>
      <w:r>
        <w:tab/>
        <w:t>(a)</w:t>
      </w:r>
      <w:r>
        <w:tab/>
        <w:t>for the purpose of performing a function under this Part; or</w:t>
      </w:r>
    </w:p>
    <w:p>
      <w:pPr>
        <w:pStyle w:val="Indenta"/>
      </w:pPr>
      <w:r>
        <w:tab/>
        <w:t>(b)</w:t>
      </w:r>
      <w:r>
        <w:tab/>
        <w:t>to the Minister or the Commission; or</w:t>
      </w:r>
    </w:p>
    <w:p>
      <w:pPr>
        <w:pStyle w:val="Indenta"/>
      </w:pPr>
      <w:r>
        <w:tab/>
        <w:t>(c)</w:t>
      </w:r>
      <w:r>
        <w:tab/>
        <w:t>as required under this Act or another written law; or</w:t>
      </w:r>
    </w:p>
    <w:p>
      <w:pPr>
        <w:pStyle w:val="Indenta"/>
      </w:pPr>
      <w:r>
        <w:tab/>
        <w:t>(d)</w:t>
      </w:r>
      <w:r>
        <w:tab/>
        <w:t>to a court or person or body acting judicially in the course of proceedings before the court, person or body; or</w:t>
      </w:r>
    </w:p>
    <w:p>
      <w:pPr>
        <w:pStyle w:val="Indenta"/>
      </w:pPr>
      <w:r>
        <w:tab/>
        <w:t>(e)</w:t>
      </w:r>
      <w:r>
        <w:tab/>
        <w:t>under an order of a court or person or body acting judicially; or</w:t>
      </w:r>
    </w:p>
    <w:p>
      <w:pPr>
        <w:pStyle w:val="Indenta"/>
      </w:pPr>
      <w:r>
        <w:tab/>
        <w:t>(f)</w:t>
      </w:r>
      <w:r>
        <w:tab/>
        <w:t>for the purposes of investigating a suspected offence or the conduct of proceedings against a person for an offence.</w:t>
      </w:r>
    </w:p>
    <w:p>
      <w:pPr>
        <w:pStyle w:val="Footnotesection"/>
      </w:pPr>
      <w:bookmarkStart w:id="146" w:name="_Toc114655986"/>
      <w:r>
        <w:tab/>
        <w:t>[Section 21Y inserted: No. 32 of 2022 s. 6.]</w:t>
      </w:r>
    </w:p>
    <w:p>
      <w:pPr>
        <w:pStyle w:val="Heading5"/>
      </w:pPr>
      <w:bookmarkStart w:id="147" w:name="_Toc115266803"/>
      <w:r>
        <w:rPr>
          <w:rStyle w:val="CharSectno"/>
        </w:rPr>
        <w:lastRenderedPageBreak/>
        <w:t>21Z</w:t>
      </w:r>
      <w:r>
        <w:t>.</w:t>
      </w:r>
      <w:r>
        <w:tab/>
        <w:t>Information sharing</w:t>
      </w:r>
      <w:bookmarkEnd w:id="146"/>
      <w:bookmarkEnd w:id="147"/>
    </w:p>
    <w:p>
      <w:pPr>
        <w:pStyle w:val="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Subsection"/>
      </w:pPr>
      <w:r>
        <w:tab/>
        <w:t>(2)</w:t>
      </w:r>
      <w:r>
        <w:tab/>
        <w:t>The Commission may disclose to the Independent Monitor information obtained because of a function a person has or had under this Act or any other written law relating to gaming.</w:t>
      </w:r>
    </w:p>
    <w:p>
      <w:pPr>
        <w:pStyle w:val="Subsection"/>
      </w:pPr>
      <w:r>
        <w:tab/>
        <w:t>(3)</w:t>
      </w:r>
      <w:r>
        <w:tab/>
        <w:t>Section 21Y applies, in relation to information disclosed under subsection (2), to the Independent Monitor as if the information had been obtained because of a function under this Part.</w:t>
      </w:r>
    </w:p>
    <w:p>
      <w:pPr>
        <w:pStyle w:val="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Footnotesection"/>
      </w:pPr>
      <w:bookmarkStart w:id="148" w:name="_Toc114655987"/>
      <w:r>
        <w:tab/>
        <w:t>[Section 21Z inserted: No. 32 of 2022 s. 6.]</w:t>
      </w:r>
    </w:p>
    <w:p>
      <w:pPr>
        <w:pStyle w:val="Heading5"/>
      </w:pPr>
      <w:bookmarkStart w:id="149" w:name="_Toc115266804"/>
      <w:r>
        <w:rPr>
          <w:rStyle w:val="CharSectno"/>
        </w:rPr>
        <w:t>21ZA</w:t>
      </w:r>
      <w:r>
        <w:t>.</w:t>
      </w:r>
      <w:r>
        <w:tab/>
        <w:t>Cost recovery</w:t>
      </w:r>
      <w:bookmarkEnd w:id="148"/>
      <w:bookmarkEnd w:id="149"/>
    </w:p>
    <w:p>
      <w:pPr>
        <w:pStyle w:val="Subsection"/>
      </w:pPr>
      <w:r>
        <w:tab/>
        <w:t>(1)</w:t>
      </w:r>
      <w:r>
        <w:tab/>
        <w:t xml:space="preserve">The CEO may, by notice, require the Burswood Casino licensee to pay to the CEO an amount determined by the CEO, being an amount that, together with all other amounts paid or payable under this section, does not exceed the reasonable costs and expenses relating to — </w:t>
      </w:r>
    </w:p>
    <w:p>
      <w:pPr>
        <w:pStyle w:val="Indenta"/>
      </w:pPr>
      <w:r>
        <w:tab/>
        <w:t>(a)</w:t>
      </w:r>
      <w:r>
        <w:tab/>
        <w:t>the appointment of the Independent Monitor; and</w:t>
      </w:r>
    </w:p>
    <w:p>
      <w:pPr>
        <w:pStyle w:val="Indenta"/>
      </w:pPr>
      <w:r>
        <w:lastRenderedPageBreak/>
        <w:tab/>
        <w:t>(b)</w:t>
      </w:r>
      <w:r>
        <w:tab/>
        <w:t>the performance of the Independent Monitor’s functions under this Part.</w:t>
      </w:r>
    </w:p>
    <w:p>
      <w:pPr>
        <w:pStyle w:val="Subsection"/>
      </w:pPr>
      <w:r>
        <w:tab/>
        <w:t>(2)</w:t>
      </w:r>
      <w:r>
        <w:tab/>
        <w:t xml:space="preserve">The CEO may give a notice under subsection (1) to the Burswood Casino licensee — </w:t>
      </w:r>
    </w:p>
    <w:p>
      <w:pPr>
        <w:pStyle w:val="Indenta"/>
      </w:pPr>
      <w:r>
        <w:tab/>
        <w:t>(a)</w:t>
      </w:r>
      <w:r>
        <w:tab/>
        <w:t>during the remediation period — at intervals of between 3 and 6 months; and</w:t>
      </w:r>
    </w:p>
    <w:p>
      <w:pPr>
        <w:pStyle w:val="Indenta"/>
      </w:pPr>
      <w:r>
        <w:tab/>
        <w:t>(b)</w:t>
      </w:r>
      <w:r>
        <w:tab/>
        <w:t>following the expiry of the remediation period — as required.</w:t>
      </w:r>
    </w:p>
    <w:p>
      <w:pPr>
        <w:pStyle w:val="Subsection"/>
      </w:pPr>
      <w:r>
        <w:tab/>
        <w:t>(3)</w:t>
      </w:r>
      <w:r>
        <w:tab/>
        <w:t xml:space="preserve">A notice under subsection (1) must set out — </w:t>
      </w:r>
    </w:p>
    <w:p>
      <w:pPr>
        <w:pStyle w:val="Indenta"/>
      </w:pPr>
      <w:r>
        <w:tab/>
        <w:t>(a)</w:t>
      </w:r>
      <w:r>
        <w:tab/>
        <w:t>the amount to be paid by the Burswood Casino licensee in respect of the period to which the notice relates; and</w:t>
      </w:r>
    </w:p>
    <w:p>
      <w:pPr>
        <w:pStyle w:val="Indenta"/>
      </w:pPr>
      <w:r>
        <w:tab/>
        <w:t>(b)</w:t>
      </w:r>
      <w:r>
        <w:tab/>
        <w:t>how the amount was determined; and</w:t>
      </w:r>
    </w:p>
    <w:p>
      <w:pPr>
        <w:pStyle w:val="Indenta"/>
      </w:pPr>
      <w:r>
        <w:tab/>
        <w:t>(c)</w:t>
      </w:r>
      <w:r>
        <w:tab/>
        <w:t>when and how the amount must be paid to the CEO.</w:t>
      </w:r>
    </w:p>
    <w:p>
      <w:pPr>
        <w:pStyle w:val="Subsection"/>
      </w:pPr>
      <w:r>
        <w:tab/>
        <w:t>(4)</w:t>
      </w:r>
      <w:r>
        <w:tab/>
        <w:t xml:space="preserve">Without limiting subsection (1), the reasonable costs and expenses referred to include — </w:t>
      </w:r>
    </w:p>
    <w:p>
      <w:pPr>
        <w:pStyle w:val="Indenta"/>
      </w:pPr>
      <w:r>
        <w:tab/>
        <w:t>(a)</w:t>
      </w:r>
      <w:r>
        <w:tab/>
        <w:t>remuneration of the Independent Monitor; and</w:t>
      </w:r>
    </w:p>
    <w:p>
      <w:pPr>
        <w:pStyle w:val="Indenta"/>
      </w:pPr>
      <w:r>
        <w:tab/>
        <w:t>(b)</w:t>
      </w:r>
      <w:r>
        <w:tab/>
        <w:t>costs and expenses of the Department under section 21ZG; and</w:t>
      </w:r>
    </w:p>
    <w:p>
      <w:pPr>
        <w:pStyle w:val="Indenta"/>
      </w:pPr>
      <w:r>
        <w:tab/>
        <w:t>(c)</w:t>
      </w:r>
      <w:r>
        <w:tab/>
        <w:t>costs and expenses of the Department in acquiring services, including consultancy and advice, for the purposes of the performance of the Independent Monitor’s functions; and</w:t>
      </w:r>
    </w:p>
    <w:p>
      <w:pPr>
        <w:pStyle w:val="Indenta"/>
      </w:pPr>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p>
    <w:p>
      <w:pPr>
        <w:pStyle w:val="Footnotesection"/>
      </w:pPr>
      <w:bookmarkStart w:id="150" w:name="_Toc114655988"/>
      <w:r>
        <w:tab/>
        <w:t>[Section 21ZA inserted: No. 32 of 2022 s. 6.]</w:t>
      </w:r>
    </w:p>
    <w:p>
      <w:pPr>
        <w:pStyle w:val="Heading5"/>
      </w:pPr>
      <w:bookmarkStart w:id="151" w:name="_Toc115266805"/>
      <w:r>
        <w:rPr>
          <w:rStyle w:val="CharSectno"/>
        </w:rPr>
        <w:lastRenderedPageBreak/>
        <w:t>21ZB</w:t>
      </w:r>
      <w:r>
        <w:t>.</w:t>
      </w:r>
      <w:r>
        <w:tab/>
        <w:t>Interest on unpaid amounts</w:t>
      </w:r>
      <w:bookmarkEnd w:id="150"/>
      <w:bookmarkEnd w:id="151"/>
    </w:p>
    <w:p>
      <w:pPr>
        <w:pStyle w:val="Subsection"/>
      </w:pPr>
      <w:r>
        <w:tab/>
        <w:t>(1)</w:t>
      </w:r>
      <w:r>
        <w:tab/>
        <w:t>If the Burswood Casino licensee does not pay an amount under section 21ZA in full by the due date, interest on the amount outstanding is payable at the prescribed rate.</w:t>
      </w:r>
    </w:p>
    <w:p>
      <w:pPr>
        <w:pStyle w:val="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Subsection"/>
      </w:pPr>
      <w:r>
        <w:tab/>
        <w:t>(3)</w:t>
      </w:r>
      <w:r>
        <w:tab/>
        <w:t>Interest does not accrue on interest that is payable under subsection (1).</w:t>
      </w:r>
    </w:p>
    <w:p>
      <w:pPr>
        <w:pStyle w:val="Footnotesection"/>
      </w:pPr>
      <w:bookmarkStart w:id="152" w:name="_Toc114655989"/>
      <w:r>
        <w:tab/>
        <w:t>[Section 21ZB inserted: No. 32 of 2022 s. 6.]</w:t>
      </w:r>
    </w:p>
    <w:p>
      <w:pPr>
        <w:pStyle w:val="Heading5"/>
      </w:pPr>
      <w:bookmarkStart w:id="153" w:name="_Toc115266806"/>
      <w:r>
        <w:rPr>
          <w:rStyle w:val="CharSectno"/>
        </w:rPr>
        <w:t>21ZC</w:t>
      </w:r>
      <w:r>
        <w:t>.</w:t>
      </w:r>
      <w:r>
        <w:tab/>
        <w:t>Recovery of unpaid amounts</w:t>
      </w:r>
      <w:bookmarkEnd w:id="152"/>
      <w:bookmarkEnd w:id="153"/>
    </w:p>
    <w:p>
      <w:pPr>
        <w:pStyle w:val="Subsection"/>
      </w:pPr>
      <w:r>
        <w:tab/>
        <w:t>(1)</w:t>
      </w:r>
      <w:r>
        <w:tab/>
        <w:t>The CEO may recover an amount outstanding under section 21ZA, together with any interest payable under section 21ZB, from the Burswood Casino licensee, as a debt in a court of competent jurisdiction.</w:t>
      </w:r>
    </w:p>
    <w:p>
      <w:pPr>
        <w:pStyle w:val="Subsection"/>
      </w:pPr>
      <w:r>
        <w:tab/>
        <w:t>(2)</w:t>
      </w:r>
      <w:r>
        <w:tab/>
        <w:t xml:space="preserve">The CEO may, in a certificate signed by the CEO — </w:t>
      </w:r>
    </w:p>
    <w:p>
      <w:pPr>
        <w:pStyle w:val="Indenta"/>
      </w:pPr>
      <w:r>
        <w:tab/>
        <w:t>(a)</w:t>
      </w:r>
      <w:r>
        <w:tab/>
        <w:t>specify an amount as being outstanding under section 21ZA; and</w:t>
      </w:r>
    </w:p>
    <w:p>
      <w:pPr>
        <w:pStyle w:val="Indenta"/>
      </w:pPr>
      <w:r>
        <w:tab/>
        <w:t>(b)</w:t>
      </w:r>
      <w:r>
        <w:tab/>
        <w:t>specify an amount as being interest payable under section 21ZB; and</w:t>
      </w:r>
    </w:p>
    <w:p>
      <w:pPr>
        <w:pStyle w:val="Indenta"/>
      </w:pPr>
      <w:r>
        <w:tab/>
        <w:t>(c)</w:t>
      </w:r>
      <w:r>
        <w:tab/>
        <w:t>state that the specified amounts are unpaid.</w:t>
      </w:r>
    </w:p>
    <w:p>
      <w:pPr>
        <w:pStyle w:val="Subsection"/>
      </w:pPr>
      <w:r>
        <w:tab/>
        <w:t>(3)</w:t>
      </w:r>
      <w:r>
        <w:tab/>
        <w:t>In proceedings under subsection (1), a certificate is, without proof of the appointment of the CEO or of the authenticity of the signature, sufficient evidence of the matters specified or stated.</w:t>
      </w:r>
    </w:p>
    <w:p>
      <w:pPr>
        <w:pStyle w:val="Footnotesection"/>
      </w:pPr>
      <w:bookmarkStart w:id="154" w:name="_Toc114655990"/>
      <w:r>
        <w:tab/>
        <w:t>[Section 21ZC inserted: No. 32 of 2022 s. 6.]</w:t>
      </w:r>
    </w:p>
    <w:p>
      <w:pPr>
        <w:pStyle w:val="Heading5"/>
      </w:pPr>
      <w:bookmarkStart w:id="155" w:name="_Toc115266807"/>
      <w:r>
        <w:rPr>
          <w:rStyle w:val="CharSectno"/>
        </w:rPr>
        <w:lastRenderedPageBreak/>
        <w:t>21ZD</w:t>
      </w:r>
      <w:r>
        <w:t>.</w:t>
      </w:r>
      <w:r>
        <w:tab/>
        <w:t>Minister may direct Commission in relation to Burswood Casino and Royal Commission</w:t>
      </w:r>
      <w:bookmarkEnd w:id="154"/>
      <w:bookmarkEnd w:id="155"/>
    </w:p>
    <w:p>
      <w:pPr>
        <w:pStyle w:val="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Subsection"/>
      </w:pPr>
      <w:r>
        <w:tab/>
        <w:t>(2)</w:t>
      </w:r>
      <w:r>
        <w:tab/>
        <w:t>A direction under subsection (1) must relate to the recommendations in the final report of the Perth Casino Royal Commission.</w:t>
      </w:r>
    </w:p>
    <w:p>
      <w:pPr>
        <w:pStyle w:val="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Subsection"/>
      </w:pPr>
      <w:r>
        <w:tab/>
        <w:t>(4)</w:t>
      </w:r>
      <w:r>
        <w:tab/>
        <w:t>The Minister must cause the text of a direction under subsection (1) to be laid before each House of Parliament within 12 sitting days of the House after  the day on which the direction is given.</w:t>
      </w:r>
    </w:p>
    <w:p>
      <w:pPr>
        <w:pStyle w:val="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Footnotesection"/>
      </w:pPr>
      <w:bookmarkStart w:id="156" w:name="_Toc114655991"/>
      <w:r>
        <w:tab/>
        <w:t>[Section 21ZD inserted: No. 32 of 2022 s. 6.]</w:t>
      </w:r>
    </w:p>
    <w:p>
      <w:pPr>
        <w:pStyle w:val="Heading5"/>
      </w:pPr>
      <w:bookmarkStart w:id="157" w:name="_Toc115266808"/>
      <w:r>
        <w:rPr>
          <w:rStyle w:val="CharSectno"/>
        </w:rPr>
        <w:t>21ZE</w:t>
      </w:r>
      <w:r>
        <w:t>.</w:t>
      </w:r>
      <w:r>
        <w:tab/>
        <w:t>Notices and directions under this Part</w:t>
      </w:r>
      <w:bookmarkEnd w:id="156"/>
      <w:bookmarkEnd w:id="157"/>
    </w:p>
    <w:p>
      <w:pPr>
        <w:pStyle w:val="Subsection"/>
      </w:pPr>
      <w:r>
        <w:tab/>
        <w:t>(1)</w:t>
      </w:r>
      <w:r>
        <w:tab/>
        <w:t>A notice or direction given under this Part by the Independent Monitor or the CEO must be in writing signed by the Independent Monitor or CEO (as is relevant).</w:t>
      </w:r>
    </w:p>
    <w:p>
      <w:pPr>
        <w:pStyle w:val="Subsection"/>
      </w:pPr>
      <w:r>
        <w:tab/>
        <w:t>(2)</w:t>
      </w:r>
      <w:r>
        <w:tab/>
        <w:t>A notice or direction under this Part may be given by electronic means, and in that case, the requirement for a signature may be satisfied by an electronic signature.</w:t>
      </w:r>
    </w:p>
    <w:p>
      <w:pPr>
        <w:pStyle w:val="Subsection"/>
      </w:pPr>
      <w:r>
        <w:tab/>
        <w:t>(3)</w:t>
      </w:r>
      <w:r>
        <w:tab/>
        <w:t xml:space="preserve">A notice or direction given by electronic means is taken to have been given, unless there is indication of a malfunction in transmission, on the day on which the notice or direction is sent, </w:t>
      </w:r>
      <w:r>
        <w:lastRenderedPageBreak/>
        <w:t>if sent before 5 pm on a business day, otherwise on the next business day.</w:t>
      </w:r>
    </w:p>
    <w:p>
      <w:pPr>
        <w:pStyle w:val="Subsection"/>
      </w:pPr>
      <w:r>
        <w:tab/>
        <w:t>(4)</w:t>
      </w:r>
      <w:r>
        <w:tab/>
        <w:t xml:space="preserve">In subsection (3) — </w:t>
      </w:r>
    </w:p>
    <w:p>
      <w:pPr>
        <w:pStyle w:val="Defstart"/>
      </w:pPr>
      <w:r>
        <w:tab/>
      </w:r>
      <w:r>
        <w:rPr>
          <w:rStyle w:val="CharDefText"/>
        </w:rPr>
        <w:t>business day</w:t>
      </w:r>
      <w:r>
        <w:t xml:space="preserve"> means a day other than a Saturday, Sunday or public holiday.</w:t>
      </w:r>
    </w:p>
    <w:p>
      <w:pPr>
        <w:pStyle w:val="Footnotesection"/>
      </w:pPr>
      <w:bookmarkStart w:id="158" w:name="_Toc114655992"/>
      <w:r>
        <w:tab/>
        <w:t>[Section 21ZE inserted: No. 32 of 2022 s. 6.]</w:t>
      </w:r>
    </w:p>
    <w:p>
      <w:pPr>
        <w:pStyle w:val="Heading5"/>
      </w:pPr>
      <w:bookmarkStart w:id="159" w:name="_Toc115266809"/>
      <w:r>
        <w:rPr>
          <w:rStyle w:val="CharSectno"/>
        </w:rPr>
        <w:t>21ZF</w:t>
      </w:r>
      <w:r>
        <w:t>.</w:t>
      </w:r>
      <w:r>
        <w:tab/>
        <w:t>Prohibition on Independent Monitor, staff and agents gaming at Burswood Casino</w:t>
      </w:r>
      <w:bookmarkEnd w:id="158"/>
      <w:bookmarkEnd w:id="159"/>
    </w:p>
    <w:p>
      <w:pPr>
        <w:pStyle w:val="Subsection"/>
      </w:pPr>
      <w:r>
        <w:tab/>
        <w:t>(1)</w:t>
      </w:r>
      <w:r>
        <w:tab/>
        <w:t>The Independent Monitor must not participate in any game in the Burswood Casino.</w:t>
      </w:r>
    </w:p>
    <w:p>
      <w:pPr>
        <w:pStyle w:val="Penstart"/>
      </w:pPr>
      <w:r>
        <w:tab/>
        <w:t>Penalty for this subsection: a fine of $20 000.</w:t>
      </w:r>
    </w:p>
    <w:p>
      <w:pPr>
        <w:pStyle w:val="Subsection"/>
      </w:pPr>
      <w:r>
        <w:tab/>
        <w:t>(2)</w:t>
      </w:r>
      <w:r>
        <w:tab/>
        <w:t>A person who is a member of the Independent Monitor’s staff or an agent of the Independent Monitor must not participate in any game in the Burswood Casino.</w:t>
      </w:r>
    </w:p>
    <w:p>
      <w:pPr>
        <w:pStyle w:val="Penstart"/>
      </w:pPr>
      <w:r>
        <w:tab/>
        <w:t>Penalty for this subsection: a fine of $10 000.</w:t>
      </w:r>
    </w:p>
    <w:p>
      <w:pPr>
        <w:pStyle w:val="Subsection"/>
      </w:pPr>
      <w:r>
        <w:tab/>
        <w:t>(3)</w:t>
      </w:r>
      <w:r>
        <w:tab/>
        <w:t xml:space="preserve">In subsection (2) — </w:t>
      </w:r>
    </w:p>
    <w:p>
      <w:pPr>
        <w:pStyle w:val="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Footnotesection"/>
      </w:pPr>
      <w:bookmarkStart w:id="160" w:name="_Toc114655993"/>
      <w:r>
        <w:tab/>
        <w:t>[Section 21ZF inserted: No. 32 of 2022 s. 6.]</w:t>
      </w:r>
    </w:p>
    <w:p>
      <w:pPr>
        <w:pStyle w:val="Heading5"/>
      </w:pPr>
      <w:bookmarkStart w:id="161" w:name="_Toc115266810"/>
      <w:r>
        <w:rPr>
          <w:rStyle w:val="CharSectno"/>
        </w:rPr>
        <w:t>21ZG</w:t>
      </w:r>
      <w:r>
        <w:t>.</w:t>
      </w:r>
      <w:r>
        <w:tab/>
        <w:t>Use of Department’s staff and facilities</w:t>
      </w:r>
      <w:bookmarkEnd w:id="160"/>
      <w:bookmarkEnd w:id="161"/>
    </w:p>
    <w:p>
      <w:pPr>
        <w:pStyle w:val="Subsection"/>
      </w:pPr>
      <w:r>
        <w:tab/>
        <w:t>(1)</w:t>
      </w:r>
      <w:r>
        <w:tab/>
        <w:t>The Independent Monitor may by arrangement with the CEO, make use, either full</w:t>
      </w:r>
      <w:r>
        <w:noBreakHyphen/>
        <w:t>time or part</w:t>
      </w:r>
      <w:r>
        <w:noBreakHyphen/>
        <w:t>time, of the services of any officer or employee of the Department.</w:t>
      </w:r>
    </w:p>
    <w:p>
      <w:pPr>
        <w:pStyle w:val="Subsection"/>
      </w:pPr>
      <w:r>
        <w:tab/>
        <w:t>(2)</w:t>
      </w:r>
      <w:r>
        <w:tab/>
        <w:t>The Independent Monitor may, by arrangement with the CEO, make use of any facilities of the Department.</w:t>
      </w:r>
    </w:p>
    <w:p>
      <w:pPr>
        <w:pStyle w:val="Subsection"/>
        <w:keepNext/>
      </w:pPr>
      <w:r>
        <w:lastRenderedPageBreak/>
        <w:tab/>
        <w:t>(3)</w:t>
      </w:r>
      <w:r>
        <w:tab/>
        <w:t>An arrangement under subsection (1) or (2) must be made on terms agreed to by the parties.</w:t>
      </w:r>
    </w:p>
    <w:p>
      <w:pPr>
        <w:pStyle w:val="Footnotesection"/>
      </w:pPr>
      <w:bookmarkStart w:id="162" w:name="_Toc114655994"/>
      <w:r>
        <w:tab/>
        <w:t>[Section 21ZG inserted: No. 32 of 2022 s. 6.]</w:t>
      </w:r>
    </w:p>
    <w:p>
      <w:pPr>
        <w:pStyle w:val="Heading5"/>
      </w:pPr>
      <w:bookmarkStart w:id="163" w:name="_Toc115266811"/>
      <w:r>
        <w:rPr>
          <w:rStyle w:val="CharSectno"/>
        </w:rPr>
        <w:t>21ZH</w:t>
      </w:r>
      <w:r>
        <w:t>.</w:t>
      </w:r>
      <w:r>
        <w:tab/>
        <w:t>ID cards for Independent Monitor and staff</w:t>
      </w:r>
      <w:bookmarkEnd w:id="162"/>
      <w:bookmarkEnd w:id="163"/>
    </w:p>
    <w:p>
      <w:pPr>
        <w:pStyle w:val="Subsection"/>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p>
    <w:p>
      <w:pPr>
        <w:pStyle w:val="Indenta"/>
      </w:pPr>
      <w:r>
        <w:tab/>
        <w:t>(a)</w:t>
      </w:r>
      <w:r>
        <w:tab/>
        <w:t>a photograph of the person; and</w:t>
      </w:r>
    </w:p>
    <w:p>
      <w:pPr>
        <w:pStyle w:val="Indenta"/>
      </w:pPr>
      <w:r>
        <w:tab/>
        <w:t>(b)</w:t>
      </w:r>
      <w:r>
        <w:tab/>
        <w:t>the person’s name; and</w:t>
      </w:r>
    </w:p>
    <w:p>
      <w:pPr>
        <w:pStyle w:val="Indenta"/>
      </w:pPr>
      <w:r>
        <w:tab/>
        <w:t>(c)</w:t>
      </w:r>
      <w:r>
        <w:tab/>
        <w:t>a statement that the person is the Independent Monitor or a member of the Independent Monitor’s staff (as is relevant).</w:t>
      </w:r>
    </w:p>
    <w:p>
      <w:pPr>
        <w:pStyle w:val="Subsection"/>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Subsection"/>
      </w:pPr>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p>
    <w:p>
      <w:pPr>
        <w:pStyle w:val="Footnotesection"/>
      </w:pPr>
      <w:r>
        <w:tab/>
        <w:t>[Section 21ZH inserted: No. 32 of 2022 s. 6.]</w:t>
      </w:r>
    </w:p>
    <w:p>
      <w:pPr>
        <w:pStyle w:val="Heading2"/>
      </w:pPr>
      <w:bookmarkStart w:id="164" w:name="_Toc115162650"/>
      <w:bookmarkStart w:id="165" w:name="_Toc115266812"/>
      <w:r>
        <w:rPr>
          <w:rStyle w:val="CharPartNo"/>
        </w:rPr>
        <w:lastRenderedPageBreak/>
        <w:t>Part V</w:t>
      </w:r>
      <w:r>
        <w:rPr>
          <w:rStyle w:val="CharDivNo"/>
        </w:rPr>
        <w:t> </w:t>
      </w:r>
      <w:r>
        <w:t>—</w:t>
      </w:r>
      <w:r>
        <w:rPr>
          <w:rStyle w:val="CharDivText"/>
        </w:rPr>
        <w:t> </w:t>
      </w:r>
      <w:r>
        <w:rPr>
          <w:rStyle w:val="CharPartText"/>
        </w:rPr>
        <w:t>Control of casino</w:t>
      </w:r>
      <w:bookmarkEnd w:id="75"/>
      <w:bookmarkEnd w:id="76"/>
      <w:bookmarkEnd w:id="77"/>
      <w:bookmarkEnd w:id="164"/>
      <w:bookmarkEnd w:id="165"/>
    </w:p>
    <w:p>
      <w:pPr>
        <w:pStyle w:val="Heading5"/>
        <w:rPr>
          <w:snapToGrid w:val="0"/>
        </w:rPr>
      </w:pPr>
      <w:bookmarkStart w:id="166" w:name="_Toc114843666"/>
      <w:bookmarkStart w:id="167" w:name="_Toc115266813"/>
      <w:r>
        <w:rPr>
          <w:rStyle w:val="CharSectno"/>
        </w:rPr>
        <w:t>22</w:t>
      </w:r>
      <w:r>
        <w:rPr>
          <w:snapToGrid w:val="0"/>
        </w:rPr>
        <w:t>.</w:t>
      </w:r>
      <w:r>
        <w:rPr>
          <w:snapToGrid w:val="0"/>
        </w:rPr>
        <w:tab/>
        <w:t>Authorised games, rules of games</w:t>
      </w:r>
      <w:bookmarkEnd w:id="166"/>
      <w:bookmarkEnd w:id="167"/>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lastRenderedPageBreak/>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lastRenderedPageBreak/>
        <w:tab/>
        <w:t>(b)</w:t>
      </w:r>
      <w:r>
        <w:rPr>
          <w:snapToGrid w:val="0"/>
        </w:rPr>
        <w:tab/>
        <w:t>if the game is not conducted and played in accordance with the approved rules of the game.</w:t>
      </w:r>
    </w:p>
    <w:p>
      <w:pPr>
        <w:pStyle w:val="Penstart"/>
        <w:spacing w:before="70"/>
        <w:rPr>
          <w:snapToGrid w:val="0"/>
        </w:rPr>
      </w:pPr>
      <w:r>
        <w:rPr>
          <w:snapToGrid w:val="0"/>
        </w:rPr>
        <w:tab/>
        <w:t>Penalty: $5 000.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t>Penalty: $2 500.</w:t>
      </w:r>
    </w:p>
    <w:p>
      <w:pPr>
        <w:pStyle w:val="Footnotesection"/>
        <w:spacing w:before="80"/>
        <w:ind w:left="890" w:hanging="890"/>
        <w:rPr>
          <w:spacing w:val="-4"/>
        </w:rPr>
      </w:pPr>
      <w:r>
        <w:rPr>
          <w:spacing w:val="-4"/>
        </w:rPr>
        <w:tab/>
        <w:t>[Section 22 amended: No. 10 of 1985 s. 32; No. 74 of 1987 s. 26.]</w:t>
      </w:r>
    </w:p>
    <w:p>
      <w:pPr>
        <w:pStyle w:val="Heading5"/>
        <w:spacing w:before="180"/>
        <w:rPr>
          <w:snapToGrid w:val="0"/>
        </w:rPr>
      </w:pPr>
      <w:bookmarkStart w:id="168" w:name="_Toc114843667"/>
      <w:bookmarkStart w:id="169" w:name="_Toc115266814"/>
      <w:r>
        <w:rPr>
          <w:rStyle w:val="CharSectno"/>
        </w:rPr>
        <w:t>23</w:t>
      </w:r>
      <w:r>
        <w:rPr>
          <w:snapToGrid w:val="0"/>
        </w:rPr>
        <w:t>.</w:t>
      </w:r>
      <w:r>
        <w:rPr>
          <w:snapToGrid w:val="0"/>
        </w:rPr>
        <w:tab/>
        <w:t>Authorised games, miscellaneous provisions about</w:t>
      </w:r>
      <w:bookmarkEnd w:id="168"/>
      <w:bookmarkEnd w:id="169"/>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lastRenderedPageBreak/>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lastRenderedPageBreak/>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w:t>
      </w:r>
    </w:p>
    <w:p>
      <w:pPr>
        <w:pStyle w:val="Heading5"/>
        <w:rPr>
          <w:snapToGrid w:val="0"/>
        </w:rPr>
      </w:pPr>
      <w:bookmarkStart w:id="170" w:name="_Toc114843668"/>
      <w:bookmarkStart w:id="171" w:name="_Toc115266815"/>
      <w:r>
        <w:rPr>
          <w:rStyle w:val="CharSectno"/>
        </w:rPr>
        <w:t>24</w:t>
      </w:r>
      <w:r>
        <w:rPr>
          <w:snapToGrid w:val="0"/>
        </w:rPr>
        <w:t>.</w:t>
      </w:r>
      <w:r>
        <w:rPr>
          <w:snapToGrid w:val="0"/>
        </w:rPr>
        <w:tab/>
        <w:t>Gaming operations at casino, Commission may direct licensee as to</w:t>
      </w:r>
      <w:bookmarkEnd w:id="170"/>
      <w:bookmarkEnd w:id="171"/>
    </w:p>
    <w:p>
      <w:pPr>
        <w:pStyle w:val="Subsection"/>
      </w:pPr>
      <w:r>
        <w:tab/>
        <w:t>(1AA)</w:t>
      </w:r>
      <w:r>
        <w:tab/>
        <w:t xml:space="preserve">In this section — </w:t>
      </w:r>
    </w:p>
    <w:p>
      <w:pPr>
        <w:pStyle w:val="Defstart"/>
      </w:pPr>
      <w:r>
        <w:tab/>
      </w:r>
      <w:r>
        <w:rPr>
          <w:rStyle w:val="CharDefText"/>
        </w:rPr>
        <w:t>management and operation of a casino</w:t>
      </w:r>
      <w:r>
        <w:t xml:space="preserve"> means the organisation, management, control and use of the casino, including — </w:t>
      </w:r>
    </w:p>
    <w:p>
      <w:pPr>
        <w:pStyle w:val="Defpara"/>
      </w:pPr>
      <w:r>
        <w:tab/>
        <w:t>(a)</w:t>
      </w:r>
      <w:r>
        <w:tab/>
        <w:t>the organisation, management and control of gaming operations at the casino; and</w:t>
      </w:r>
    </w:p>
    <w:p>
      <w:pPr>
        <w:pStyle w:val="Defpara"/>
      </w:pPr>
      <w:r>
        <w:tab/>
        <w:t>(b)</w:t>
      </w:r>
      <w:r>
        <w:tab/>
        <w:t>the organisation, management and control of operations (whether of the casino licensee or not) that relate to gaming operations at the casino.</w:t>
      </w:r>
    </w:p>
    <w:p>
      <w:pPr>
        <w:pStyle w:val="Subsection"/>
        <w:rPr>
          <w:snapToGrid w:val="0"/>
        </w:rPr>
      </w:pPr>
      <w:r>
        <w:rPr>
          <w:snapToGrid w:val="0"/>
        </w:rPr>
        <w:tab/>
        <w:t>(1)</w:t>
      </w:r>
      <w:r>
        <w:rPr>
          <w:snapToGrid w:val="0"/>
        </w:rPr>
        <w:tab/>
        <w:t xml:space="preserve">Subject to regulations made under section 37, the Commission may give directions to a casino licensee </w:t>
      </w:r>
      <w:r>
        <w:t>about the management and operation of the casino.</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r>
        <w:t>Controls</w:t>
      </w:r>
      <w:r>
        <w:rPr>
          <w:snapToGrid w:val="0"/>
        </w:rPr>
        <w:t xml:space="preserve"> and procedures referred to in directions, or in amendments of directions, may be described in words or </w:t>
      </w:r>
      <w:r>
        <w:rPr>
          <w:snapToGrid w:val="0"/>
        </w:rPr>
        <w:lastRenderedPageBreak/>
        <w:t>represented diagrammatically, or by a combination of both methods.</w:t>
      </w:r>
    </w:p>
    <w:p>
      <w:pPr>
        <w:pStyle w:val="Subsection"/>
        <w:rPr>
          <w:snapToGrid w:val="0"/>
        </w:rPr>
      </w:pPr>
      <w:r>
        <w:rPr>
          <w:snapToGrid w:val="0"/>
        </w:rPr>
        <w:tab/>
        <w:t>(2)</w:t>
      </w:r>
      <w:r>
        <w:rPr>
          <w:snapToGrid w:val="0"/>
        </w:rPr>
        <w:tab/>
      </w:r>
      <w:r>
        <w:t>Without limiting subsection (1), the Commission</w:t>
      </w:r>
      <w:r>
        <w:rPr>
          <w:snapToGrid w:val="0"/>
        </w:rPr>
        <w:t xml:space="preserve"> may give a direction to a casino licensee to adopt, vary, cease or refrain from any practice in respect of the conduct of the gaming operations of the casino licensee or the playing of any game in the licensed casino.</w:t>
      </w:r>
    </w:p>
    <w:p>
      <w:pPr>
        <w:pStyle w:val="Subsection"/>
      </w:pPr>
      <w:r>
        <w:rPr>
          <w:snapToGrid w:val="0"/>
        </w:rPr>
        <w:tab/>
        <w:t>(3)</w:t>
      </w:r>
      <w:r>
        <w:rPr>
          <w:snapToGrid w:val="0"/>
        </w:rPr>
        <w:tab/>
        <w:t xml:space="preserve">A casino licensee shall ensure that any direction given </w:t>
      </w:r>
      <w:r>
        <w:t>to the licensee under</w:t>
      </w:r>
      <w:r>
        <w:rPr>
          <w:snapToGrid w:val="0"/>
        </w:rPr>
        <w:t xml:space="preserve"> this section is brought to the notice of, </w:t>
      </w:r>
      <w:r>
        <w:t xml:space="preserve">and is not contravened by the following persons — </w:t>
      </w:r>
    </w:p>
    <w:p>
      <w:pPr>
        <w:pStyle w:val="Indenta"/>
      </w:pPr>
      <w:r>
        <w:tab/>
        <w:t>(a)</w:t>
      </w:r>
      <w:r>
        <w:tab/>
        <w:t>a person responsible for the management and operation of the casino;</w:t>
      </w:r>
    </w:p>
    <w:p>
      <w:pPr>
        <w:pStyle w:val="Indenta"/>
        <w:rPr>
          <w:snapToGrid w:val="0"/>
        </w:rPr>
      </w:pPr>
      <w:r>
        <w:tab/>
        <w:t>(b)</w:t>
      </w:r>
      <w:r>
        <w:tab/>
        <w:t>any other person acting in relation to the management and operation of the casino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 No. 32 of 2022 s. 7.]</w:t>
      </w:r>
    </w:p>
    <w:p>
      <w:pPr>
        <w:pStyle w:val="Heading5"/>
        <w:rPr>
          <w:snapToGrid w:val="0"/>
        </w:rPr>
      </w:pPr>
      <w:bookmarkStart w:id="172" w:name="_Toc114843669"/>
      <w:bookmarkStart w:id="173" w:name="_Toc115266816"/>
      <w:r>
        <w:rPr>
          <w:rStyle w:val="CharSectno"/>
        </w:rPr>
        <w:t>25</w:t>
      </w:r>
      <w:r>
        <w:rPr>
          <w:snapToGrid w:val="0"/>
        </w:rPr>
        <w:t>.</w:t>
      </w:r>
      <w:r>
        <w:rPr>
          <w:snapToGrid w:val="0"/>
        </w:rPr>
        <w:tab/>
        <w:t>Records of gaming operations etc.</w:t>
      </w:r>
      <w:bookmarkEnd w:id="172"/>
      <w:bookmarkEnd w:id="173"/>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w:t>
      </w:r>
      <w:r>
        <w:rPr>
          <w:snapToGrid w:val="0"/>
        </w:rPr>
        <w:lastRenderedPageBreak/>
        <w:t xml:space="preserve">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174" w:name="_Toc114843670"/>
      <w:bookmarkStart w:id="175" w:name="_Toc115266817"/>
      <w:r>
        <w:rPr>
          <w:rStyle w:val="CharSectno"/>
        </w:rPr>
        <w:t>25A</w:t>
      </w:r>
      <w:r>
        <w:t>.</w:t>
      </w:r>
      <w:r>
        <w:tab/>
        <w:t>Junkets and junket operators, regulations about</w:t>
      </w:r>
      <w:bookmarkEnd w:id="174"/>
      <w:bookmarkEnd w:id="175"/>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lastRenderedPageBreak/>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 xml:space="preserve">arrangements for the provision of transport, accommodation, food, drink and entertainment for the participants in the arrangements, some or all of which </w:t>
      </w:r>
      <w:r>
        <w:lastRenderedPageBreak/>
        <w:t>are paid for by the casino licensee or are otherwise provided on a complimentary basis.</w:t>
      </w:r>
    </w:p>
    <w:p>
      <w:pPr>
        <w:pStyle w:val="Footnotesection"/>
      </w:pPr>
      <w:r>
        <w:tab/>
        <w:t>[Section 25A inserted: No. 24 of 1998 s. 21.]</w:t>
      </w:r>
    </w:p>
    <w:p>
      <w:pPr>
        <w:pStyle w:val="Heading5"/>
        <w:rPr>
          <w:snapToGrid w:val="0"/>
        </w:rPr>
      </w:pPr>
      <w:bookmarkStart w:id="176" w:name="_Toc114843671"/>
      <w:bookmarkStart w:id="177" w:name="_Toc115266818"/>
      <w:r>
        <w:rPr>
          <w:rStyle w:val="CharSectno"/>
        </w:rPr>
        <w:t>26</w:t>
      </w:r>
      <w:r>
        <w:rPr>
          <w:snapToGrid w:val="0"/>
        </w:rPr>
        <w:t>.</w:t>
      </w:r>
      <w:r>
        <w:rPr>
          <w:snapToGrid w:val="0"/>
        </w:rPr>
        <w:tab/>
        <w:t>Banning people from casinos</w:t>
      </w:r>
      <w:bookmarkEnd w:id="176"/>
      <w:bookmarkEnd w:id="177"/>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lastRenderedPageBreak/>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spacing w:before="180"/>
        <w:rPr>
          <w:snapToGrid w:val="0"/>
        </w:rPr>
      </w:pPr>
      <w:r>
        <w:rPr>
          <w:snapToGrid w:val="0"/>
        </w:rPr>
        <w:lastRenderedPageBreak/>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w:t>
      </w:r>
    </w:p>
    <w:p>
      <w:pPr>
        <w:pStyle w:val="Heading5"/>
        <w:spacing w:before="260"/>
        <w:rPr>
          <w:spacing w:val="-6"/>
        </w:rPr>
      </w:pPr>
      <w:bookmarkStart w:id="178" w:name="_Toc114843672"/>
      <w:bookmarkStart w:id="179" w:name="_Toc115266819"/>
      <w:r>
        <w:rPr>
          <w:rStyle w:val="CharSectno"/>
          <w:spacing w:val="-6"/>
        </w:rPr>
        <w:t>26A</w:t>
      </w:r>
      <w:r>
        <w:rPr>
          <w:spacing w:val="-6"/>
        </w:rPr>
        <w:t>.</w:t>
      </w:r>
      <w:r>
        <w:rPr>
          <w:spacing w:val="-6"/>
        </w:rPr>
        <w:tab/>
        <w:t>Ban under s. 26, review of</w:t>
      </w:r>
      <w:bookmarkEnd w:id="178"/>
      <w:bookmarkEnd w:id="179"/>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180" w:name="_Toc114843673"/>
      <w:bookmarkStart w:id="181" w:name="_Toc115266820"/>
      <w:r>
        <w:rPr>
          <w:rStyle w:val="CharSectno"/>
        </w:rPr>
        <w:lastRenderedPageBreak/>
        <w:t>27</w:t>
      </w:r>
      <w:r>
        <w:rPr>
          <w:snapToGrid w:val="0"/>
        </w:rPr>
        <w:t>.</w:t>
      </w:r>
      <w:r>
        <w:rPr>
          <w:snapToGrid w:val="0"/>
        </w:rPr>
        <w:tab/>
        <w:t>Children not permitted in casinos except in some cases</w:t>
      </w:r>
      <w:bookmarkEnd w:id="180"/>
      <w:bookmarkEnd w:id="181"/>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lastRenderedPageBreak/>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w:t>
      </w:r>
    </w:p>
    <w:p>
      <w:pPr>
        <w:pStyle w:val="Heading5"/>
      </w:pPr>
      <w:bookmarkStart w:id="182" w:name="_Toc114843674"/>
      <w:bookmarkStart w:id="183" w:name="_Toc115266821"/>
      <w:r>
        <w:rPr>
          <w:rStyle w:val="CharSectno"/>
        </w:rPr>
        <w:t>27A</w:t>
      </w:r>
      <w:r>
        <w:t>.</w:t>
      </w:r>
      <w:r>
        <w:tab/>
        <w:t>Proof of age may be required</w:t>
      </w:r>
      <w:bookmarkEnd w:id="182"/>
      <w:bookmarkEnd w:id="183"/>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lastRenderedPageBreak/>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w:t>
      </w:r>
    </w:p>
    <w:p>
      <w:pPr>
        <w:pStyle w:val="Heading5"/>
        <w:rPr>
          <w:snapToGrid w:val="0"/>
        </w:rPr>
      </w:pPr>
      <w:bookmarkStart w:id="184" w:name="_Toc114843675"/>
      <w:bookmarkStart w:id="185" w:name="_Toc115266822"/>
      <w:r>
        <w:rPr>
          <w:rStyle w:val="CharSectno"/>
        </w:rPr>
        <w:t>28</w:t>
      </w:r>
      <w:r>
        <w:rPr>
          <w:snapToGrid w:val="0"/>
        </w:rPr>
        <w:t>.</w:t>
      </w:r>
      <w:r>
        <w:rPr>
          <w:snapToGrid w:val="0"/>
        </w:rPr>
        <w:tab/>
        <w:t>Entry powers to licensed casinos of police and others</w:t>
      </w:r>
      <w:bookmarkEnd w:id="184"/>
      <w:bookmarkEnd w:id="185"/>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lastRenderedPageBreak/>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186" w:name="_Toc114843676"/>
      <w:bookmarkStart w:id="187" w:name="_Toc115266823"/>
      <w:r>
        <w:rPr>
          <w:rStyle w:val="CharSectno"/>
        </w:rPr>
        <w:t>29</w:t>
      </w:r>
      <w:r>
        <w:rPr>
          <w:snapToGrid w:val="0"/>
        </w:rPr>
        <w:t>.</w:t>
      </w:r>
      <w:r>
        <w:rPr>
          <w:snapToGrid w:val="0"/>
        </w:rPr>
        <w:tab/>
        <w:t>Casino gaming licence may contain conditions about casino staff</w:t>
      </w:r>
      <w:bookmarkEnd w:id="186"/>
      <w:bookmarkEnd w:id="187"/>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 xml:space="preserve">The conditions referred to in subsection (1) may be specified in the casino gaming licence, but where they comprise, wholly or </w:t>
      </w:r>
      <w:r>
        <w:rPr>
          <w:snapToGrid w:val="0"/>
        </w:rPr>
        <w:lastRenderedPageBreak/>
        <w:t>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188" w:name="_Toc114843677"/>
      <w:bookmarkStart w:id="189" w:name="_Toc114844758"/>
      <w:bookmarkStart w:id="190" w:name="_Toc114844824"/>
      <w:bookmarkStart w:id="191" w:name="_Toc115162662"/>
      <w:bookmarkStart w:id="192" w:name="_Toc115266824"/>
      <w:r>
        <w:rPr>
          <w:rStyle w:val="CharPartNo"/>
        </w:rPr>
        <w:lastRenderedPageBreak/>
        <w:t>Part VA</w:t>
      </w:r>
      <w:r>
        <w:t xml:space="preserve"> — </w:t>
      </w:r>
      <w:r>
        <w:rPr>
          <w:rStyle w:val="CharPartText"/>
        </w:rPr>
        <w:t>Controlled contracts</w:t>
      </w:r>
      <w:bookmarkEnd w:id="188"/>
      <w:bookmarkEnd w:id="189"/>
      <w:bookmarkEnd w:id="190"/>
      <w:bookmarkEnd w:id="191"/>
      <w:bookmarkEnd w:id="192"/>
    </w:p>
    <w:p>
      <w:pPr>
        <w:pStyle w:val="Footnoteheading"/>
        <w:tabs>
          <w:tab w:val="left" w:pos="851"/>
        </w:tabs>
      </w:pPr>
      <w:r>
        <w:tab/>
        <w:t>[Heading inserted: No. 24 of 1998 s. 27.]</w:t>
      </w:r>
    </w:p>
    <w:p>
      <w:pPr>
        <w:pStyle w:val="Heading5"/>
      </w:pPr>
      <w:bookmarkStart w:id="193" w:name="_Toc114843678"/>
      <w:bookmarkStart w:id="194" w:name="_Toc115266825"/>
      <w:r>
        <w:rPr>
          <w:rStyle w:val="CharSectno"/>
        </w:rPr>
        <w:t>29A</w:t>
      </w:r>
      <w:r>
        <w:t>.</w:t>
      </w:r>
      <w:r>
        <w:tab/>
        <w:t>Terms used</w:t>
      </w:r>
      <w:bookmarkEnd w:id="193"/>
      <w:bookmarkEnd w:id="194"/>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195" w:name="_Toc114843679"/>
      <w:bookmarkStart w:id="196" w:name="_Toc115266826"/>
      <w:r>
        <w:rPr>
          <w:rStyle w:val="CharSectno"/>
        </w:rPr>
        <w:t>29B</w:t>
      </w:r>
      <w:r>
        <w:t>.</w:t>
      </w:r>
      <w:r>
        <w:tab/>
        <w:t>Prerequisites for controlled contracts</w:t>
      </w:r>
      <w:bookmarkEnd w:id="195"/>
      <w:bookmarkEnd w:id="196"/>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lastRenderedPageBreak/>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197" w:name="_Toc114843680"/>
      <w:bookmarkStart w:id="198" w:name="_Toc115266827"/>
      <w:r>
        <w:rPr>
          <w:rStyle w:val="CharSectno"/>
        </w:rPr>
        <w:t>29C</w:t>
      </w:r>
      <w:r>
        <w:t>.</w:t>
      </w:r>
      <w:r>
        <w:tab/>
        <w:t>Commission may require controlled contract to be terminated</w:t>
      </w:r>
      <w:bookmarkEnd w:id="197"/>
      <w:bookmarkEnd w:id="198"/>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lastRenderedPageBreak/>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199" w:name="_Toc114843681"/>
      <w:bookmarkStart w:id="200" w:name="_Toc115266828"/>
      <w:r>
        <w:rPr>
          <w:rStyle w:val="CharSectno"/>
        </w:rPr>
        <w:t>29D</w:t>
      </w:r>
      <w:r>
        <w:t>.</w:t>
      </w:r>
      <w:r>
        <w:tab/>
        <w:t>Effect of termination under s. 29C</w:t>
      </w:r>
      <w:bookmarkEnd w:id="199"/>
      <w:bookmarkEnd w:id="200"/>
    </w:p>
    <w:p>
      <w:pPr>
        <w:pStyle w:val="Subsection"/>
      </w:pPr>
      <w:r>
        <w:tab/>
      </w:r>
      <w:r>
        <w:tab/>
        <w:t>If a contract is terminated under section 29C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201" w:name="_Toc114843682"/>
      <w:bookmarkStart w:id="202" w:name="_Toc115266829"/>
      <w:r>
        <w:rPr>
          <w:rStyle w:val="CharSectno"/>
        </w:rPr>
        <w:lastRenderedPageBreak/>
        <w:t>29E</w:t>
      </w:r>
      <w:r>
        <w:t>.</w:t>
      </w:r>
      <w:r>
        <w:tab/>
        <w:t>Parties not to give further effect to terminated contract</w:t>
      </w:r>
      <w:bookmarkEnd w:id="201"/>
      <w:bookmarkEnd w:id="202"/>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No. 24 of 1998 s. 27.]</w:t>
      </w:r>
    </w:p>
    <w:p>
      <w:pPr>
        <w:pStyle w:val="Heading2"/>
      </w:pPr>
      <w:bookmarkStart w:id="203" w:name="_Toc114843683"/>
      <w:bookmarkStart w:id="204" w:name="_Toc114844764"/>
      <w:bookmarkStart w:id="205" w:name="_Toc114844830"/>
      <w:bookmarkStart w:id="206" w:name="_Toc115162668"/>
      <w:bookmarkStart w:id="207" w:name="_Toc115266830"/>
      <w:r>
        <w:rPr>
          <w:rStyle w:val="CharPartNo"/>
        </w:rPr>
        <w:lastRenderedPageBreak/>
        <w:t>Part VB</w:t>
      </w:r>
      <w:r>
        <w:t xml:space="preserve"> — </w:t>
      </w:r>
      <w:r>
        <w:rPr>
          <w:rStyle w:val="CharPartText"/>
        </w:rPr>
        <w:t>Infringement notices</w:t>
      </w:r>
      <w:bookmarkEnd w:id="203"/>
      <w:bookmarkEnd w:id="204"/>
      <w:bookmarkEnd w:id="205"/>
      <w:bookmarkEnd w:id="206"/>
      <w:bookmarkEnd w:id="207"/>
    </w:p>
    <w:p>
      <w:pPr>
        <w:pStyle w:val="Footnoteheading"/>
        <w:tabs>
          <w:tab w:val="left" w:pos="851"/>
        </w:tabs>
      </w:pPr>
      <w:r>
        <w:tab/>
        <w:t>[Heading inserted: No. 24 of 1998 s. 27.]</w:t>
      </w:r>
    </w:p>
    <w:p>
      <w:pPr>
        <w:pStyle w:val="Heading5"/>
      </w:pPr>
      <w:bookmarkStart w:id="208" w:name="_Toc114843684"/>
      <w:bookmarkStart w:id="209" w:name="_Toc115266831"/>
      <w:r>
        <w:rPr>
          <w:rStyle w:val="CharSectno"/>
        </w:rPr>
        <w:t>29F</w:t>
      </w:r>
      <w:r>
        <w:t>.</w:t>
      </w:r>
      <w:r>
        <w:tab/>
        <w:t>Term used: authorised person</w:t>
      </w:r>
      <w:bookmarkEnd w:id="208"/>
      <w:bookmarkEnd w:id="209"/>
    </w:p>
    <w:p>
      <w:pPr>
        <w:pStyle w:val="Subsection"/>
      </w:pPr>
      <w:r>
        <w:tab/>
      </w:r>
      <w:r>
        <w:tab/>
        <w:t>In this Part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No. 24 of 1998 s. 27.]</w:t>
      </w:r>
    </w:p>
    <w:p>
      <w:pPr>
        <w:pStyle w:val="Heading5"/>
      </w:pPr>
      <w:bookmarkStart w:id="210" w:name="_Toc114843685"/>
      <w:bookmarkStart w:id="211" w:name="_Toc115266832"/>
      <w:r>
        <w:rPr>
          <w:rStyle w:val="CharSectno"/>
        </w:rPr>
        <w:t>29G</w:t>
      </w:r>
      <w:r>
        <w:t>.</w:t>
      </w:r>
      <w:r>
        <w:tab/>
        <w:t>Authorised persons, appointment of</w:t>
      </w:r>
      <w:bookmarkEnd w:id="210"/>
      <w:bookmarkEnd w:id="211"/>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No. 24 of 1998 s. 27.]</w:t>
      </w:r>
    </w:p>
    <w:p>
      <w:pPr>
        <w:pStyle w:val="Heading5"/>
      </w:pPr>
      <w:bookmarkStart w:id="212" w:name="_Toc114843686"/>
      <w:bookmarkStart w:id="213" w:name="_Toc115266833"/>
      <w:r>
        <w:rPr>
          <w:rStyle w:val="CharSectno"/>
        </w:rPr>
        <w:t>29H</w:t>
      </w:r>
      <w:r>
        <w:t>.</w:t>
      </w:r>
      <w:r>
        <w:tab/>
        <w:t>Serving infringement notices</w:t>
      </w:r>
      <w:bookmarkEnd w:id="212"/>
      <w:bookmarkEnd w:id="213"/>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lastRenderedPageBreak/>
        <w:tab/>
        <w:t>(2)</w:t>
      </w:r>
      <w:r>
        <w:tab/>
        <w:t>An infringement notice may be served personally or by registered post.</w:t>
      </w:r>
    </w:p>
    <w:p>
      <w:pPr>
        <w:pStyle w:val="Footnotesection"/>
      </w:pPr>
      <w:r>
        <w:tab/>
        <w:t>[Section 29H inserted: No. 24 of 1998 s. 27.]</w:t>
      </w:r>
    </w:p>
    <w:p>
      <w:pPr>
        <w:pStyle w:val="Heading5"/>
      </w:pPr>
      <w:bookmarkStart w:id="214" w:name="_Toc114843687"/>
      <w:bookmarkStart w:id="215" w:name="_Toc115266834"/>
      <w:r>
        <w:rPr>
          <w:rStyle w:val="CharSectno"/>
        </w:rPr>
        <w:t>29I</w:t>
      </w:r>
      <w:r>
        <w:t>.</w:t>
      </w:r>
      <w:r>
        <w:tab/>
        <w:t>Form of infringement notice</w:t>
      </w:r>
      <w:bookmarkEnd w:id="214"/>
      <w:bookmarkEnd w:id="215"/>
    </w:p>
    <w:p>
      <w:pPr>
        <w:pStyle w:val="Subsection"/>
      </w:pPr>
      <w:r>
        <w:tab/>
        <w:t>(1)</w:t>
      </w:r>
      <w:r>
        <w:tab/>
        <w:t>An infringement notice shall be in the prescribed form and shall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No. 24 of 1998 s. 27; amended: No. 84 of 2004 s. 80.]</w:t>
      </w:r>
    </w:p>
    <w:p>
      <w:pPr>
        <w:pStyle w:val="Heading5"/>
      </w:pPr>
      <w:bookmarkStart w:id="216" w:name="_Toc114843688"/>
      <w:bookmarkStart w:id="217" w:name="_Toc115266835"/>
      <w:r>
        <w:rPr>
          <w:rStyle w:val="CharSectno"/>
        </w:rPr>
        <w:t>29J</w:t>
      </w:r>
      <w:r>
        <w:t>.</w:t>
      </w:r>
      <w:r>
        <w:tab/>
        <w:t>Extension of time for payment of modified penalty</w:t>
      </w:r>
      <w:bookmarkEnd w:id="216"/>
      <w:bookmarkEnd w:id="21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No. 24 of 1998 s. 27.]</w:t>
      </w:r>
    </w:p>
    <w:p>
      <w:pPr>
        <w:pStyle w:val="Heading5"/>
      </w:pPr>
      <w:bookmarkStart w:id="218" w:name="_Toc114843689"/>
      <w:bookmarkStart w:id="219" w:name="_Toc115266836"/>
      <w:r>
        <w:rPr>
          <w:rStyle w:val="CharSectno"/>
        </w:rPr>
        <w:t>29K</w:t>
      </w:r>
      <w:r>
        <w:t>.</w:t>
      </w:r>
      <w:r>
        <w:tab/>
        <w:t>Withdrawal of infringement notices</w:t>
      </w:r>
      <w:bookmarkEnd w:id="218"/>
      <w:bookmarkEnd w:id="219"/>
    </w:p>
    <w:p>
      <w:pPr>
        <w:pStyle w:val="Subsection"/>
      </w:pPr>
      <w:r>
        <w:tab/>
        <w:t>(1)</w:t>
      </w:r>
      <w:r>
        <w:tab/>
        <w:t xml:space="preserve">An authorised person may, whether or not the modified penalty has been paid, withdraw an infringement notice by serving on </w:t>
      </w:r>
      <w:r>
        <w:lastRenderedPageBreak/>
        <w:t>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No. 24 of 1998 s. 27.]</w:t>
      </w:r>
    </w:p>
    <w:p>
      <w:pPr>
        <w:pStyle w:val="Heading5"/>
      </w:pPr>
      <w:bookmarkStart w:id="220" w:name="_Toc114843690"/>
      <w:bookmarkStart w:id="221" w:name="_Toc115266837"/>
      <w:r>
        <w:rPr>
          <w:rStyle w:val="CharSectno"/>
        </w:rPr>
        <w:t>29L</w:t>
      </w:r>
      <w:r>
        <w:t>.</w:t>
      </w:r>
      <w:r>
        <w:tab/>
        <w:t>Benefit of payment of modified penalty</w:t>
      </w:r>
      <w:bookmarkEnd w:id="220"/>
      <w:bookmarkEnd w:id="221"/>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No. 24 of 1998 s. 27.]</w:t>
      </w:r>
    </w:p>
    <w:p>
      <w:pPr>
        <w:pStyle w:val="Heading5"/>
      </w:pPr>
      <w:bookmarkStart w:id="222" w:name="_Toc114843691"/>
      <w:bookmarkStart w:id="223" w:name="_Toc115266838"/>
      <w:r>
        <w:rPr>
          <w:rStyle w:val="CharSectno"/>
        </w:rPr>
        <w:t>29M</w:t>
      </w:r>
      <w:r>
        <w:t>.</w:t>
      </w:r>
      <w:r>
        <w:tab/>
        <w:t>Application of modified penalties</w:t>
      </w:r>
      <w:bookmarkEnd w:id="222"/>
      <w:bookmarkEnd w:id="223"/>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No. 24 of 1998 s. 27; amended: No. 35 of 2003 s. 171(3).]</w:t>
      </w:r>
    </w:p>
    <w:p>
      <w:pPr>
        <w:pStyle w:val="Heading2"/>
      </w:pPr>
      <w:bookmarkStart w:id="224" w:name="_Toc114843692"/>
      <w:bookmarkStart w:id="225" w:name="_Toc114844773"/>
      <w:bookmarkStart w:id="226" w:name="_Toc114844839"/>
      <w:bookmarkStart w:id="227" w:name="_Toc115162677"/>
      <w:bookmarkStart w:id="228" w:name="_Toc115266839"/>
      <w:r>
        <w:rPr>
          <w:rStyle w:val="CharPartNo"/>
        </w:rPr>
        <w:lastRenderedPageBreak/>
        <w:t>Part VI</w:t>
      </w:r>
      <w:r>
        <w:rPr>
          <w:rStyle w:val="CharDivNo"/>
        </w:rPr>
        <w:t> </w:t>
      </w:r>
      <w:r>
        <w:t>—</w:t>
      </w:r>
      <w:r>
        <w:rPr>
          <w:rStyle w:val="CharDivText"/>
        </w:rPr>
        <w:t> </w:t>
      </w:r>
      <w:r>
        <w:rPr>
          <w:rStyle w:val="CharPartText"/>
        </w:rPr>
        <w:t>General</w:t>
      </w:r>
      <w:bookmarkEnd w:id="224"/>
      <w:bookmarkEnd w:id="225"/>
      <w:bookmarkEnd w:id="226"/>
      <w:bookmarkEnd w:id="227"/>
      <w:bookmarkEnd w:id="228"/>
    </w:p>
    <w:p>
      <w:pPr>
        <w:pStyle w:val="Heading5"/>
        <w:rPr>
          <w:snapToGrid w:val="0"/>
        </w:rPr>
      </w:pPr>
      <w:bookmarkStart w:id="229" w:name="_Toc114843693"/>
      <w:bookmarkStart w:id="230" w:name="_Toc115266840"/>
      <w:r>
        <w:rPr>
          <w:rStyle w:val="CharSectno"/>
        </w:rPr>
        <w:t>30</w:t>
      </w:r>
      <w:r>
        <w:rPr>
          <w:snapToGrid w:val="0"/>
        </w:rPr>
        <w:t>.</w:t>
      </w:r>
      <w:r>
        <w:rPr>
          <w:snapToGrid w:val="0"/>
        </w:rPr>
        <w:tab/>
        <w:t>Fraudulent etc. practices in casinos or gaming operations</w:t>
      </w:r>
      <w:bookmarkEnd w:id="229"/>
      <w:bookmarkEnd w:id="230"/>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lastRenderedPageBreak/>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w:t>
      </w:r>
    </w:p>
    <w:p>
      <w:pPr>
        <w:pStyle w:val="Heading5"/>
        <w:spacing w:before="200"/>
        <w:rPr>
          <w:snapToGrid w:val="0"/>
        </w:rPr>
      </w:pPr>
      <w:bookmarkStart w:id="231" w:name="_Toc114843694"/>
      <w:bookmarkStart w:id="232" w:name="_Toc115266841"/>
      <w:r>
        <w:rPr>
          <w:rStyle w:val="CharSectno"/>
        </w:rPr>
        <w:t>31</w:t>
      </w:r>
      <w:r>
        <w:rPr>
          <w:snapToGrid w:val="0"/>
        </w:rPr>
        <w:t>.</w:t>
      </w:r>
      <w:r>
        <w:rPr>
          <w:snapToGrid w:val="0"/>
        </w:rPr>
        <w:tab/>
        <w:t>Forging, personation etc. in casinos</w:t>
      </w:r>
      <w:bookmarkEnd w:id="231"/>
      <w:bookmarkEnd w:id="232"/>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lastRenderedPageBreak/>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31 inserted: No. 74 of 1987 s. 33.]</w:t>
      </w:r>
    </w:p>
    <w:p>
      <w:pPr>
        <w:pStyle w:val="Heading5"/>
        <w:rPr>
          <w:snapToGrid w:val="0"/>
        </w:rPr>
      </w:pPr>
      <w:bookmarkStart w:id="233" w:name="_Toc114843695"/>
      <w:bookmarkStart w:id="234" w:name="_Toc115266842"/>
      <w:r>
        <w:rPr>
          <w:rStyle w:val="CharSectno"/>
        </w:rPr>
        <w:t>32</w:t>
      </w:r>
      <w:r>
        <w:rPr>
          <w:snapToGrid w:val="0"/>
        </w:rPr>
        <w:t>.</w:t>
      </w:r>
      <w:r>
        <w:rPr>
          <w:snapToGrid w:val="0"/>
        </w:rPr>
        <w:tab/>
        <w:t>Suspected offenders may be detained until police attend</w:t>
      </w:r>
      <w:bookmarkEnd w:id="233"/>
      <w:bookmarkEnd w:id="23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lastRenderedPageBreak/>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235" w:name="_Toc114655997"/>
      <w:bookmarkStart w:id="236" w:name="_Toc114846369"/>
      <w:bookmarkStart w:id="237" w:name="_Toc115266843"/>
      <w:bookmarkStart w:id="238" w:name="_Toc114843696"/>
      <w:r>
        <w:rPr>
          <w:rStyle w:val="CharSectno"/>
        </w:rPr>
        <w:t>33</w:t>
      </w:r>
      <w:r>
        <w:t>.</w:t>
      </w:r>
      <w:r>
        <w:tab/>
        <w:t>Contravention of directions</w:t>
      </w:r>
      <w:bookmarkEnd w:id="235"/>
      <w:bookmarkEnd w:id="236"/>
      <w:bookmarkEnd w:id="237"/>
    </w:p>
    <w:p>
      <w:pPr>
        <w:pStyle w:val="Subsection"/>
      </w:pPr>
      <w:r>
        <w:tab/>
        <w:t>(1)</w:t>
      </w:r>
      <w:r>
        <w:tab/>
        <w:t>A person given a direction under this Act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(2)</w:t>
      </w:r>
      <w:r>
        <w:tab/>
        <w:t>If a direction under this Act is given to a casino licensee under section 24, a person to whom or which section 24(3)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lastRenderedPageBreak/>
        <w:tab/>
        <w:t>(3)</w:t>
      </w:r>
      <w:r>
        <w:tab/>
        <w:t>It is a defence to a charge of an offence under subsection (1) or (2) for the person charged to prove that they had a reasonable excuse for failing to comply with the direction.</w:t>
      </w:r>
    </w:p>
    <w:p>
      <w:pPr>
        <w:pStyle w:val="Footnotesection"/>
      </w:pPr>
      <w:r>
        <w:tab/>
        <w:t>[Section 33 inserted: No. 32 of 2022 s. 8.]</w:t>
      </w:r>
    </w:p>
    <w:bookmarkEnd w:id="238"/>
    <w:p>
      <w:pPr>
        <w:pStyle w:val="Ednotesection"/>
      </w:pPr>
      <w:r>
        <w:t>[</w:t>
      </w:r>
      <w:r>
        <w:rPr>
          <w:b/>
        </w:rPr>
        <w:t>34, 35.</w:t>
      </w:r>
      <w:r>
        <w:tab/>
        <w:t>Deleted: No. 74 of 1987 s. 35.]</w:t>
      </w:r>
    </w:p>
    <w:p>
      <w:pPr>
        <w:pStyle w:val="Heading5"/>
        <w:rPr>
          <w:snapToGrid w:val="0"/>
        </w:rPr>
      </w:pPr>
      <w:bookmarkStart w:id="239" w:name="_Toc114843697"/>
      <w:bookmarkStart w:id="240" w:name="_Toc115266844"/>
      <w:r>
        <w:rPr>
          <w:rStyle w:val="CharSectno"/>
        </w:rPr>
        <w:t>36</w:t>
      </w:r>
      <w:r>
        <w:rPr>
          <w:snapToGrid w:val="0"/>
        </w:rPr>
        <w:t>.</w:t>
      </w:r>
      <w:r>
        <w:rPr>
          <w:snapToGrid w:val="0"/>
        </w:rPr>
        <w:tab/>
        <w:t>Prosecutions, institution of, evidence in etc.</w:t>
      </w:r>
      <w:bookmarkEnd w:id="239"/>
      <w:bookmarkEnd w:id="240"/>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lastRenderedPageBreak/>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lastRenderedPageBreak/>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241" w:name="_Toc114843698"/>
      <w:bookmarkStart w:id="242" w:name="_Toc115266845"/>
      <w:r>
        <w:rPr>
          <w:rStyle w:val="CharSectno"/>
        </w:rPr>
        <w:t>37</w:t>
      </w:r>
      <w:r>
        <w:rPr>
          <w:snapToGrid w:val="0"/>
        </w:rPr>
        <w:t>.</w:t>
      </w:r>
      <w:r>
        <w:rPr>
          <w:snapToGrid w:val="0"/>
        </w:rPr>
        <w:tab/>
        <w:t>Regulations</w:t>
      </w:r>
      <w:bookmarkEnd w:id="241"/>
      <w:bookmarkEnd w:id="2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 xml:space="preserve">so as to provide that in specified cases, or a specified class of case, or specified classes of cases, whether on specified conditions or unconditionally, persons or things may be </w:t>
      </w:r>
      <w:r>
        <w:rPr>
          <w:snapToGrid w:val="0"/>
        </w:rPr>
        <w:lastRenderedPageBreak/>
        <w:t>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yEdnoteschedule"/>
      </w:pPr>
      <w:r>
        <w:t>[Schedule 1 deleted: No. 73 of 1994 s. 4.]</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43" w:name="_Toc114843699"/>
      <w:bookmarkStart w:id="244" w:name="_Toc114844780"/>
      <w:bookmarkStart w:id="245" w:name="_Toc114844846"/>
      <w:bookmarkStart w:id="246" w:name="_Toc115162684"/>
      <w:bookmarkStart w:id="247" w:name="_Toc115266846"/>
      <w:r>
        <w:rPr>
          <w:rStyle w:val="CharSchNo"/>
        </w:rPr>
        <w:lastRenderedPageBreak/>
        <w:t>Schedule 2</w:t>
      </w:r>
      <w:r>
        <w:t> — </w:t>
      </w:r>
      <w:r>
        <w:rPr>
          <w:rStyle w:val="CharSchText"/>
        </w:rPr>
        <w:t>Matters in respect of which Governor may make regulations</w:t>
      </w:r>
      <w:bookmarkEnd w:id="243"/>
      <w:bookmarkEnd w:id="244"/>
      <w:bookmarkEnd w:id="245"/>
      <w:bookmarkEnd w:id="246"/>
      <w:bookmarkEnd w:id="247"/>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[Schedule 2 amended: No. 10 of 1985 s. 43; No. 24 of 1998 s. 31.]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9" w:name="_Toc114844781"/>
      <w:bookmarkStart w:id="250" w:name="_Toc114844847"/>
      <w:bookmarkStart w:id="251" w:name="_Toc115162685"/>
      <w:bookmarkStart w:id="252" w:name="_Toc115266847"/>
      <w:bookmarkStart w:id="253" w:name="_Toc114843702"/>
      <w:r>
        <w:lastRenderedPageBreak/>
        <w:t>Notes</w:t>
      </w:r>
      <w:bookmarkEnd w:id="249"/>
      <w:bookmarkEnd w:id="250"/>
      <w:bookmarkEnd w:id="251"/>
      <w:bookmarkEnd w:id="252"/>
    </w:p>
    <w:p>
      <w:pPr>
        <w:pStyle w:val="nStatement"/>
      </w:pPr>
      <w:r>
        <w:t xml:space="preserve">This is a compilation of the </w:t>
      </w:r>
      <w:r>
        <w:rPr>
          <w:i/>
          <w:noProof/>
        </w:rPr>
        <w:t>Casino Control Act 1984</w:t>
      </w:r>
      <w:r>
        <w:t xml:space="preserve"> and includes amendments made by other written laws. For provisions that have come into operation, and for information about any reprints, see the compilation table.</w:t>
      </w:r>
    </w:p>
    <w:p>
      <w:pPr>
        <w:pStyle w:val="nHeading3"/>
      </w:pPr>
      <w:bookmarkStart w:id="254" w:name="_Toc115266848"/>
      <w:r>
        <w:t>Compilation table</w:t>
      </w:r>
      <w:bookmarkEnd w:id="25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1</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lastRenderedPageBreak/>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2</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r>
        <w:trPr>
          <w:cantSplit/>
        </w:trPr>
        <w:tc>
          <w:tcPr>
            <w:tcW w:w="2268" w:type="dxa"/>
            <w:tcBorders>
              <w:bottom w:val="single" w:sz="4" w:space="0" w:color="auto"/>
            </w:tcBorders>
            <w:shd w:val="clear" w:color="auto" w:fill="auto"/>
          </w:tcPr>
          <w:p>
            <w:pPr>
              <w:pStyle w:val="nTable"/>
              <w:spacing w:before="50" w:after="50"/>
              <w:ind w:right="113"/>
              <w:rPr>
                <w:iCs/>
                <w:snapToGrid w:val="0"/>
              </w:rPr>
            </w:pPr>
            <w:r>
              <w:rPr>
                <w:i/>
              </w:rPr>
              <w:t xml:space="preserve">Casino Legislation Amendment (Burswood Casino) Act 2022 </w:t>
            </w:r>
            <w:r>
              <w:t>Pt. 2</w:t>
            </w:r>
          </w:p>
        </w:tc>
        <w:tc>
          <w:tcPr>
            <w:tcW w:w="1134" w:type="dxa"/>
            <w:tcBorders>
              <w:bottom w:val="single" w:sz="4" w:space="0" w:color="auto"/>
            </w:tcBorders>
            <w:shd w:val="clear" w:color="auto" w:fill="auto"/>
          </w:tcPr>
          <w:p>
            <w:pPr>
              <w:pStyle w:val="nTable"/>
              <w:spacing w:before="50" w:after="50"/>
              <w:rPr>
                <w:snapToGrid w:val="0"/>
              </w:rPr>
            </w:pPr>
            <w:r>
              <w:rPr>
                <w:snapToGrid w:val="0"/>
              </w:rPr>
              <w:t>32 of 2022</w:t>
            </w:r>
          </w:p>
        </w:tc>
        <w:tc>
          <w:tcPr>
            <w:tcW w:w="1135" w:type="dxa"/>
            <w:tcBorders>
              <w:bottom w:val="single" w:sz="4" w:space="0" w:color="auto"/>
            </w:tcBorders>
            <w:shd w:val="clear" w:color="auto" w:fill="auto"/>
          </w:tcPr>
          <w:p>
            <w:pPr>
              <w:pStyle w:val="nTable"/>
              <w:spacing w:before="50" w:after="50"/>
              <w:rPr>
                <w:snapToGrid w:val="0"/>
              </w:rPr>
            </w:pPr>
            <w:r>
              <w:rPr>
                <w:snapToGrid w:val="0"/>
              </w:rPr>
              <w:t>28 Sep 2022</w:t>
            </w:r>
          </w:p>
        </w:tc>
        <w:tc>
          <w:tcPr>
            <w:tcW w:w="2551" w:type="dxa"/>
            <w:tcBorders>
              <w:bottom w:val="single" w:sz="4" w:space="0" w:color="auto"/>
            </w:tcBorders>
            <w:shd w:val="clear" w:color="auto" w:fill="auto"/>
          </w:tcPr>
          <w:p>
            <w:pPr>
              <w:pStyle w:val="nTable"/>
              <w:spacing w:before="50" w:after="50"/>
              <w:rPr>
                <w:snapToGrid w:val="0"/>
              </w:rPr>
            </w:pPr>
            <w:r>
              <w:rPr>
                <w:snapToGrid w:val="0"/>
              </w:rPr>
              <w:t>29 Sep 2022 (see s. 2(b))</w:t>
            </w:r>
          </w:p>
        </w:tc>
      </w:tr>
    </w:tbl>
    <w:p>
      <w:pPr>
        <w:pStyle w:val="nHeading3"/>
      </w:pPr>
      <w:bookmarkStart w:id="255" w:name="_Toc115266849"/>
      <w:r>
        <w:lastRenderedPageBreak/>
        <w:t>Other notes</w:t>
      </w:r>
      <w:bookmarkEnd w:id="255"/>
    </w:p>
    <w:p>
      <w:pPr>
        <w:pStyle w:val="nNote"/>
        <w:keepNext/>
        <w:spacing w:before="120"/>
      </w:pPr>
      <w:r>
        <w:rPr>
          <w:vertAlign w:val="superscript"/>
        </w:rPr>
        <w:t>1</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r>
        <w:rPr>
          <w:vertAlign w:val="superscript"/>
        </w:rPr>
        <w:t>2</w:t>
      </w:r>
      <w:r>
        <w:tab/>
        <w:t xml:space="preserve">The </w:t>
      </w:r>
      <w:r>
        <w:rPr>
          <w:i/>
        </w:rPr>
        <w:t xml:space="preserve">Acts Amendment (Gaming) Act 1998 </w:t>
      </w:r>
      <w:r>
        <w:t>s. 6(2) and 11(2) are transitional provisions that are of no further effect.</w:t>
      </w:r>
    </w:p>
    <w:p>
      <w:pPr>
        <w:pStyle w:val="nHeading3"/>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7" w:name="_Toc115266850"/>
      <w:bookmarkEnd w:id="253"/>
      <w:r>
        <w:rPr>
          <w:sz w:val="28"/>
        </w:rPr>
        <w:lastRenderedPageBreak/>
        <w:t>Defined terms</w:t>
      </w:r>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agent</w:t>
      </w:r>
      <w:r>
        <w:tab/>
        <w:t>21ZF(3)</w:t>
      </w:r>
    </w:p>
    <w:p>
      <w:pPr>
        <w:pStyle w:val="DefinedTerms"/>
      </w:pPr>
      <w:r>
        <w:t>applicant</w:t>
      </w:r>
      <w:r>
        <w:tab/>
        <w:t>21(1), 26A(1)</w:t>
      </w:r>
    </w:p>
    <w:p>
      <w:pPr>
        <w:pStyle w:val="DefinedTerms"/>
      </w:pPr>
      <w:r>
        <w:t>authorised game</w:t>
      </w:r>
      <w:r>
        <w:tab/>
        <w:t>3(1)</w:t>
      </w:r>
    </w:p>
    <w:p>
      <w:pPr>
        <w:pStyle w:val="DefinedTerms"/>
      </w:pPr>
      <w:r>
        <w:t>authorised person</w:t>
      </w:r>
      <w:r>
        <w:tab/>
        <w:t>27A(5), 29F</w:t>
      </w:r>
    </w:p>
    <w:p>
      <w:pPr>
        <w:pStyle w:val="DefinedTerms"/>
      </w:pPr>
      <w:r>
        <w:t>books</w:t>
      </w:r>
      <w:r>
        <w:tab/>
        <w:t>3(1)</w:t>
      </w:r>
    </w:p>
    <w:p>
      <w:pPr>
        <w:pStyle w:val="DefinedTerms"/>
      </w:pPr>
      <w:r>
        <w:t>Burswood Casino</w:t>
      </w:r>
      <w:r>
        <w:tab/>
        <w:t>21H(1)</w:t>
      </w:r>
    </w:p>
    <w:p>
      <w:pPr>
        <w:pStyle w:val="DefinedTerms"/>
      </w:pPr>
      <w:r>
        <w:t>Burswood Casino licensee</w:t>
      </w:r>
      <w:r>
        <w:tab/>
        <w:t>21H(1)</w:t>
      </w:r>
    </w:p>
    <w:p>
      <w:pPr>
        <w:pStyle w:val="DefinedTerms"/>
      </w:pPr>
      <w:r>
        <w:t>Burswood Island Agreement</w:t>
      </w:r>
      <w:r>
        <w:tab/>
        <w:t>21H(1)</w:t>
      </w:r>
    </w:p>
    <w:p>
      <w:pPr>
        <w:pStyle w:val="DefinedTerms"/>
      </w:pPr>
      <w:r>
        <w:t>business day</w:t>
      </w:r>
      <w:r>
        <w:tab/>
        <w:t>21ZE(4)</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employee</w:t>
      </w:r>
      <w:r>
        <w:tab/>
        <w:t>3(1)</w:t>
      </w:r>
    </w:p>
    <w:p>
      <w:pPr>
        <w:pStyle w:val="DefinedTerms"/>
      </w:pPr>
      <w:r>
        <w:t>casino gaming licence</w:t>
      </w:r>
      <w:r>
        <w:tab/>
        <w:t>3(1)</w:t>
      </w:r>
    </w:p>
    <w:p>
      <w:pPr>
        <w:pStyle w:val="DefinedTerms"/>
      </w:pPr>
      <w:r>
        <w:t>casino key employee</w:t>
      </w:r>
      <w:r>
        <w:tab/>
        <w:t>3(1)</w:t>
      </w:r>
    </w:p>
    <w:p>
      <w:pPr>
        <w:pStyle w:val="DefinedTerms"/>
      </w:pPr>
      <w:r>
        <w:t>casino licensee</w:t>
      </w:r>
      <w:r>
        <w:tab/>
        <w:t>3(1)</w:t>
      </w:r>
    </w:p>
    <w:p>
      <w:pPr>
        <w:pStyle w:val="DefinedTerms"/>
      </w:pPr>
      <w:r>
        <w:t>CEO</w:t>
      </w:r>
      <w:r>
        <w:tab/>
        <w:t>21H(1)</w:t>
      </w:r>
    </w:p>
    <w:p>
      <w:pPr>
        <w:pStyle w:val="DefinedTerms"/>
      </w:pPr>
      <w:r>
        <w:t>Chief Casino Officer</w:t>
      </w:r>
      <w:r>
        <w:tab/>
        <w:t>3(1)</w:t>
      </w:r>
    </w:p>
    <w:p>
      <w:pPr>
        <w:pStyle w:val="DefinedTerms"/>
      </w:pPr>
      <w:r>
        <w:t>close associate</w:t>
      </w:r>
      <w:r>
        <w:tab/>
        <w:t>18(1)</w:t>
      </w:r>
    </w:p>
    <w:p>
      <w:pPr>
        <w:pStyle w:val="DefinedTerms"/>
      </w:pPr>
      <w:r>
        <w:t>Commission</w:t>
      </w:r>
      <w:r>
        <w:tab/>
        <w:t>3(1)</w:t>
      </w:r>
    </w:p>
    <w:p>
      <w:pPr>
        <w:pStyle w:val="DefinedTerms"/>
      </w:pPr>
      <w:r>
        <w:t>common gaming house</w:t>
      </w:r>
      <w:r>
        <w:tab/>
        <w:t>3(1)</w:t>
      </w:r>
    </w:p>
    <w:p>
      <w:pPr>
        <w:pStyle w:val="DefinedTerms"/>
      </w:pPr>
      <w:r>
        <w:t>condition</w:t>
      </w:r>
      <w:r>
        <w:tab/>
        <w:t>3(2)</w:t>
      </w:r>
    </w:p>
    <w:p>
      <w:pPr>
        <w:pStyle w:val="DefinedTerms"/>
      </w:pPr>
      <w:r>
        <w:t>conduct</w:t>
      </w:r>
      <w:r>
        <w:tab/>
        <w:t>3(2)</w:t>
      </w:r>
    </w:p>
    <w:p>
      <w:pPr>
        <w:pStyle w:val="DefinedTerms"/>
      </w:pPr>
      <w:r>
        <w:t>contract</w:t>
      </w:r>
      <w:r>
        <w:tab/>
        <w:t>29A</w:t>
      </w:r>
    </w:p>
    <w:p>
      <w:pPr>
        <w:pStyle w:val="DefinedTerms"/>
      </w:pPr>
      <w:r>
        <w:t>contract notice</w:t>
      </w:r>
      <w:r>
        <w:tab/>
        <w:t>29B(1)</w:t>
      </w:r>
    </w:p>
    <w:p>
      <w:pPr>
        <w:pStyle w:val="DefinedTerms"/>
      </w:pPr>
      <w:r>
        <w:t>controlled contract</w:t>
      </w:r>
      <w:r>
        <w:tab/>
        <w:t>29A</w:t>
      </w:r>
    </w:p>
    <w:p>
      <w:pPr>
        <w:pStyle w:val="DefinedTerms"/>
      </w:pPr>
      <w:r>
        <w:t>Department</w:t>
      </w:r>
      <w:r>
        <w:tab/>
        <w:t>21H(1)</w:t>
      </w:r>
    </w:p>
    <w:p>
      <w:pPr>
        <w:pStyle w:val="DefinedTerms"/>
      </w:pPr>
      <w:r>
        <w:t>dispose of</w:t>
      </w:r>
      <w:r>
        <w:tab/>
        <w:t>21F(8)</w:t>
      </w:r>
    </w:p>
    <w:p>
      <w:pPr>
        <w:pStyle w:val="DefinedTerms"/>
      </w:pPr>
      <w:r>
        <w:t>final report of the Perth Casino Royal Commission</w:t>
      </w:r>
      <w:r>
        <w:tab/>
        <w:t>21H(1)</w:t>
      </w:r>
    </w:p>
    <w:p>
      <w:pPr>
        <w:pStyle w:val="DefinedTerms"/>
      </w:pPr>
      <w:r>
        <w:t>game</w:t>
      </w:r>
      <w:r>
        <w:tab/>
        <w:t>3(1)</w:t>
      </w:r>
    </w:p>
    <w:p>
      <w:pPr>
        <w:pStyle w:val="DefinedTerms"/>
      </w:pPr>
      <w:r>
        <w:t>gaming</w:t>
      </w:r>
      <w:r>
        <w:tab/>
        <w:t>3(2)</w:t>
      </w:r>
    </w:p>
    <w:p>
      <w:pPr>
        <w:pStyle w:val="DefinedTerms"/>
      </w:pPr>
      <w:r>
        <w:t>gaming equipment</w:t>
      </w:r>
      <w:r>
        <w:tab/>
        <w:t>3(2)</w:t>
      </w:r>
    </w:p>
    <w:p>
      <w:pPr>
        <w:pStyle w:val="DefinedTerms"/>
      </w:pPr>
      <w:r>
        <w:t>gaming operations</w:t>
      </w:r>
      <w:r>
        <w:tab/>
        <w:t>3(1)</w:t>
      </w:r>
    </w:p>
    <w:p>
      <w:pPr>
        <w:pStyle w:val="DefinedTerms"/>
      </w:pPr>
      <w:r>
        <w:t>government inspector</w:t>
      </w:r>
      <w:r>
        <w:tab/>
        <w:t>3(1)</w:t>
      </w:r>
    </w:p>
    <w:p>
      <w:pPr>
        <w:pStyle w:val="DefinedTerms"/>
      </w:pPr>
      <w:r>
        <w:t>ID card</w:t>
      </w:r>
      <w:r>
        <w:tab/>
        <w:t>21ZH(1)</w:t>
      </w:r>
    </w:p>
    <w:p>
      <w:pPr>
        <w:pStyle w:val="DefinedTerms"/>
      </w:pPr>
      <w:r>
        <w:t>Independent Monitor</w:t>
      </w:r>
      <w:r>
        <w:tab/>
        <w:t>21H(1)</w:t>
      </w:r>
    </w:p>
    <w:p>
      <w:pPr>
        <w:pStyle w:val="DefinedTerms"/>
      </w:pPr>
      <w:r>
        <w:t>instruments of gaming</w:t>
      </w:r>
      <w:r>
        <w:tab/>
        <w:t>3(2)</w:t>
      </w:r>
    </w:p>
    <w:p>
      <w:pPr>
        <w:pStyle w:val="DefinedTerms"/>
      </w:pPr>
      <w:r>
        <w:t>junket</w:t>
      </w:r>
      <w:r>
        <w:tab/>
        <w:t>25A(3)</w:t>
      </w:r>
    </w:p>
    <w:p>
      <w:pPr>
        <w:pStyle w:val="DefinedTerms"/>
      </w:pPr>
      <w:r>
        <w:t>licensed casino</w:t>
      </w:r>
      <w:r>
        <w:tab/>
        <w:t>3(1)</w:t>
      </w:r>
    </w:p>
    <w:p>
      <w:pPr>
        <w:pStyle w:val="DefinedTerms"/>
      </w:pPr>
      <w:r>
        <w:lastRenderedPageBreak/>
        <w:t>machine</w:t>
      </w:r>
      <w:r>
        <w:tab/>
        <w:t>3(2)</w:t>
      </w:r>
    </w:p>
    <w:p>
      <w:pPr>
        <w:pStyle w:val="DefinedTerms"/>
      </w:pPr>
      <w:r>
        <w:t>management and operation of a casino</w:t>
      </w:r>
      <w:r>
        <w:tab/>
        <w:t>24(1AA)</w:t>
      </w:r>
    </w:p>
    <w:p>
      <w:pPr>
        <w:pStyle w:val="DefinedTerms"/>
      </w:pPr>
      <w:r>
        <w:t>management and operation of the Burswood Casino</w:t>
      </w:r>
      <w:r>
        <w:tab/>
        <w:t>21H(1)</w:t>
      </w:r>
    </w:p>
    <w:p>
      <w:pPr>
        <w:pStyle w:val="DefinedTerms"/>
      </w:pPr>
      <w:r>
        <w:t>member of the Independent Monitor’s staff</w:t>
      </w:r>
      <w:r>
        <w:tab/>
        <w:t>21H(1)</w:t>
      </w:r>
    </w:p>
    <w:p>
      <w:pPr>
        <w:pStyle w:val="DefinedTerms"/>
      </w:pPr>
      <w:r>
        <w:t>monitor</w:t>
      </w:r>
      <w:r>
        <w:tab/>
        <w:t>21U(5)</w:t>
      </w:r>
    </w:p>
    <w:p>
      <w:pPr>
        <w:pStyle w:val="DefinedTerms"/>
      </w:pPr>
      <w:r>
        <w:t>mortgagee</w:t>
      </w:r>
      <w:r>
        <w:tab/>
        <w:t>3(1)</w:t>
      </w:r>
    </w:p>
    <w:p>
      <w:pPr>
        <w:pStyle w:val="DefinedTerms"/>
      </w:pPr>
      <w:r>
        <w:t>Perth Casino Royal Commission</w:t>
      </w:r>
      <w:r>
        <w:tab/>
        <w:t>21H(1)</w:t>
      </w:r>
    </w:p>
    <w:p>
      <w:pPr>
        <w:pStyle w:val="DefinedTerms"/>
      </w:pPr>
      <w:r>
        <w:t>possession</w:t>
      </w:r>
      <w:r>
        <w:tab/>
        <w:t>3(2)</w:t>
      </w:r>
    </w:p>
    <w:p>
      <w:pPr>
        <w:pStyle w:val="DefinedTerms"/>
      </w:pPr>
      <w:r>
        <w:t>preliminary requirements</w:t>
      </w:r>
      <w:r>
        <w:tab/>
        <w:t>21(6)</w:t>
      </w:r>
    </w:p>
    <w:p>
      <w:pPr>
        <w:pStyle w:val="DefinedTerms"/>
      </w:pPr>
      <w:r>
        <w:t>proposed assignee</w:t>
      </w:r>
      <w:r>
        <w:tab/>
        <w:t>21F(6)</w:t>
      </w:r>
    </w:p>
    <w:p>
      <w:pPr>
        <w:pStyle w:val="DefinedTerms"/>
      </w:pPr>
      <w:r>
        <w:t>proposed assignment</w:t>
      </w:r>
      <w:r>
        <w:tab/>
        <w:t>21F(6)</w:t>
      </w:r>
    </w:p>
    <w:p>
      <w:pPr>
        <w:pStyle w:val="DefinedTerms"/>
      </w:pPr>
      <w:r>
        <w:t>public company</w:t>
      </w:r>
      <w:r>
        <w:tab/>
        <w:t>3(1)</w:t>
      </w:r>
    </w:p>
    <w:p>
      <w:pPr>
        <w:pStyle w:val="DefinedTerms"/>
      </w:pPr>
      <w:r>
        <w:t>public interest</w:t>
      </w:r>
      <w:r>
        <w:tab/>
        <w:t>3(1)</w:t>
      </w:r>
    </w:p>
    <w:p>
      <w:pPr>
        <w:pStyle w:val="DefinedTerms"/>
      </w:pPr>
      <w:r>
        <w:t>receiver</w:t>
      </w:r>
      <w:r>
        <w:tab/>
        <w:t>21F(8)</w:t>
      </w:r>
    </w:p>
    <w:p>
      <w:pPr>
        <w:pStyle w:val="DefinedTerms"/>
      </w:pPr>
      <w:r>
        <w:t>relevant financial interest</w:t>
      </w:r>
      <w:r>
        <w:tab/>
        <w:t>18(2)</w:t>
      </w:r>
    </w:p>
    <w:p>
      <w:pPr>
        <w:pStyle w:val="DefinedTerms"/>
      </w:pPr>
      <w:r>
        <w:t>relevant information</w:t>
      </w:r>
      <w:r>
        <w:tab/>
        <w:t>21S(1)</w:t>
      </w:r>
    </w:p>
    <w:p>
      <w:pPr>
        <w:pStyle w:val="DefinedTerms"/>
      </w:pPr>
      <w:r>
        <w:t>relevant person</w:t>
      </w:r>
      <w:r>
        <w:tab/>
        <w:t>21H(1)</w:t>
      </w:r>
    </w:p>
    <w:p>
      <w:pPr>
        <w:pStyle w:val="DefinedTerms"/>
      </w:pPr>
      <w:r>
        <w:t>relevant position</w:t>
      </w:r>
      <w:r>
        <w:tab/>
        <w:t>18(2)</w:t>
      </w:r>
    </w:p>
    <w:p>
      <w:pPr>
        <w:pStyle w:val="DefinedTerms"/>
      </w:pPr>
      <w:r>
        <w:t>relevant power</w:t>
      </w:r>
      <w:r>
        <w:tab/>
        <w:t>18(2)</w:t>
      </w:r>
    </w:p>
    <w:p>
      <w:pPr>
        <w:pStyle w:val="DefinedTerms"/>
      </w:pPr>
      <w:r>
        <w:t>relevant record</w:t>
      </w:r>
      <w:r>
        <w:tab/>
        <w:t>21S(1)</w:t>
      </w:r>
    </w:p>
    <w:p>
      <w:pPr>
        <w:pStyle w:val="DefinedTerms"/>
      </w:pPr>
      <w:r>
        <w:t>remediation period</w:t>
      </w:r>
      <w:r>
        <w:tab/>
        <w:t>21H(1)</w:t>
      </w:r>
    </w:p>
    <w:p>
      <w:pPr>
        <w:pStyle w:val="DefinedTerms"/>
      </w:pPr>
      <w:r>
        <w:t>remediation plan</w:t>
      </w:r>
      <w:r>
        <w:tab/>
        <w:t>21H(1)</w:t>
      </w:r>
    </w:p>
    <w:p>
      <w:pPr>
        <w:pStyle w:val="DefinedTerms"/>
      </w:pPr>
      <w:r>
        <w:t>special circumstances</w:t>
      </w:r>
      <w:r>
        <w:tab/>
        <w:t>29B(6)</w:t>
      </w:r>
    </w:p>
    <w:p>
      <w:pPr>
        <w:pStyle w:val="DefinedTerms"/>
      </w:pPr>
      <w:r>
        <w:t>specified</w:t>
      </w:r>
      <w:r>
        <w:tab/>
        <w:t>21(6), 21H(1), 37(3)</w:t>
      </w:r>
    </w:p>
    <w:p>
      <w:pPr>
        <w:pStyle w:val="DefinedTerms"/>
      </w:pPr>
      <w:r>
        <w:t>specified person</w:t>
      </w:r>
      <w:r>
        <w:tab/>
        <w:t>21E(7)</w:t>
      </w:r>
    </w:p>
    <w:p>
      <w:pPr>
        <w:pStyle w:val="DefinedTerms"/>
      </w:pPr>
      <w:r>
        <w:t>token</w:t>
      </w:r>
      <w:r>
        <w:tab/>
        <w:t>3(2)</w:t>
      </w:r>
    </w:p>
    <w:p>
      <w:pPr>
        <w:pStyle w:val="DefinedTerms"/>
      </w:pPr>
      <w:r>
        <w:t>unclaimed winnings</w:t>
      </w:r>
      <w:r>
        <w:tab/>
        <w:t>15(1), 15(6)</w:t>
      </w:r>
    </w:p>
    <w:p>
      <w:pPr>
        <w:pStyle w:val="DefinedTerms"/>
      </w:pPr>
      <w:r>
        <w:t>winner</w:t>
      </w:r>
      <w:r>
        <w:tab/>
        <w:t>15(1)</w:t>
      </w:r>
    </w:p>
    <w:p>
      <w:pPr>
        <w:pStyle w:val="DefinedTerms"/>
      </w:pPr>
      <w:r>
        <w:t>winnings</w:t>
      </w:r>
      <w:r>
        <w:tab/>
        <w:t>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3163727"/>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23371</Words>
  <Characters>112885</Characters>
  <Application>Microsoft Office Word</Application>
  <DocSecurity>0</DocSecurity>
  <Lines>2970</Lines>
  <Paragraphs>1584</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134672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1984 - 04-b0-00</dc:title>
  <dc:subject/>
  <dc:creator/>
  <cp:keywords/>
  <dc:description/>
  <cp:lastModifiedBy>Master Repository Process</cp:lastModifiedBy>
  <cp:revision>4</cp:revision>
  <cp:lastPrinted>2011-12-20T02:25:00Z</cp:lastPrinted>
  <dcterms:created xsi:type="dcterms:W3CDTF">2022-09-28T09:08:00Z</dcterms:created>
  <dcterms:modified xsi:type="dcterms:W3CDTF">2022-09-28T09:08:00Z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AsAtDate">
    <vt:lpwstr>29 Sep 2022</vt:lpwstr>
  </property>
  <property fmtid="{D5CDD505-2E9C-101B-9397-08002B2CF9AE}" pid="8" name="Suffix">
    <vt:lpwstr>04-b0-00</vt:lpwstr>
  </property>
  <property fmtid="{D5CDD505-2E9C-101B-9397-08002B2CF9AE}" pid="9" name="CommencementDate">
    <vt:lpwstr>20220929</vt:lpwstr>
  </property>
</Properties>
</file>