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Gaming and Wagering Commission Act 1987</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Gaming and Wagering Commission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_Toc115267774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_Toc115267775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_Toc115267776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The Commission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Administration</w:t>
      </w:r>
    </w:p>
    <w:p>
      <w:pPr>
        <w:pStyle w:val="TOC8"/>
        <w:rPr>
          <w:rFonts w:asciiTheme="minorHAnsi" w:eastAsiaTheme="minorEastAsia" w:hAnsiTheme="minorHAnsi" w:cstheme="minorBidi"/>
          <w:szCs w:val="22"/>
        </w:rPr>
      </w:pPr>
      <w:r>
        <w:t>4</w:t>
      </w:r>
      <w:r>
        <w:rPr>
          <w:snapToGrid w:val="0"/>
        </w:rPr>
        <w:t>.</w:t>
      </w:r>
      <w:r>
        <w:rPr>
          <w:snapToGrid w:val="0"/>
        </w:rPr>
        <w:tab/>
        <w:t>Gaming and Wagering Commission established</w:t>
      </w:r>
      <w:r>
        <w:tab/>
      </w:r>
      <w:r>
        <w:fldChar w:fldCharType="begin"/>
      </w:r>
      <w:r>
        <w:instrText xml:space="preserve"> PAGEREF _Toc115267779 \h </w:instrText>
      </w:r>
      <w:r>
        <w:fldChar w:fldCharType="separate"/>
      </w:r>
      <w:r>
        <w:t>10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Trading name or symbol, use of by Commission</w:t>
      </w:r>
      <w:r>
        <w:tab/>
      </w:r>
      <w:r>
        <w:fldChar w:fldCharType="begin"/>
      </w:r>
      <w:r>
        <w:instrText xml:space="preserve"> PAGEREF _Toc115267780 \h </w:instrText>
      </w:r>
      <w:r>
        <w:fldChar w:fldCharType="separate"/>
      </w:r>
      <w:r>
        <w:t>10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Minister and Commission, relationship between</w:t>
      </w:r>
      <w:r>
        <w:tab/>
      </w:r>
      <w:r>
        <w:fldChar w:fldCharType="begin"/>
      </w:r>
      <w:r>
        <w:instrText xml:space="preserve"> PAGEREF _Toc115267781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Duties and powers</w:t>
      </w:r>
    </w:p>
    <w:p>
      <w:pPr>
        <w:pStyle w:val="TOC8"/>
        <w:rPr>
          <w:rFonts w:asciiTheme="minorHAnsi" w:eastAsiaTheme="minorEastAsia" w:hAnsiTheme="minorHAnsi" w:cstheme="minorBidi"/>
          <w:szCs w:val="22"/>
        </w:rPr>
      </w:pPr>
      <w:r>
        <w:t>7</w:t>
      </w:r>
      <w:r>
        <w:rPr>
          <w:snapToGrid w:val="0"/>
        </w:rPr>
        <w:t>.</w:t>
      </w:r>
      <w:r>
        <w:rPr>
          <w:snapToGrid w:val="0"/>
        </w:rPr>
        <w:tab/>
        <w:t>Duties of Commission</w:t>
      </w:r>
      <w:r>
        <w:tab/>
      </w:r>
      <w:r>
        <w:fldChar w:fldCharType="begin"/>
      </w:r>
      <w:r>
        <w:instrText xml:space="preserve"> PAGEREF _Toc115267783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Powers of Commission</w:t>
      </w:r>
      <w:r>
        <w:tab/>
      </w:r>
      <w:r>
        <w:fldChar w:fldCharType="begin"/>
      </w:r>
      <w:r>
        <w:instrText xml:space="preserve"> PAGEREF _Toc115267784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Finance</w:t>
      </w:r>
    </w:p>
    <w:p>
      <w:pPr>
        <w:pStyle w:val="TOC8"/>
        <w:rPr>
          <w:rFonts w:asciiTheme="minorHAnsi" w:eastAsiaTheme="minorEastAsia" w:hAnsiTheme="minorHAnsi" w:cstheme="minorBidi"/>
          <w:szCs w:val="22"/>
        </w:rPr>
      </w:pPr>
      <w:r>
        <w:t>9</w:t>
      </w:r>
      <w:r>
        <w:rPr>
          <w:snapToGrid w:val="0"/>
        </w:rPr>
        <w:t>.</w:t>
      </w:r>
      <w:r>
        <w:rPr>
          <w:snapToGrid w:val="0"/>
        </w:rPr>
        <w:tab/>
        <w:t>Funds of Commission; financial provisions</w:t>
      </w:r>
      <w:r>
        <w:tab/>
      </w:r>
      <w:r>
        <w:fldChar w:fldCharType="begin"/>
      </w:r>
      <w:r>
        <w:instrText xml:space="preserve"> PAGEREF _Toc115267786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r>
      <w:r>
        <w:rPr>
          <w:i/>
          <w:iCs/>
        </w:rPr>
        <w:t>Financial Management Act 2006</w:t>
      </w:r>
      <w:r>
        <w:t xml:space="preserve"> and </w:t>
      </w:r>
      <w:r>
        <w:rPr>
          <w:i/>
          <w:iCs/>
        </w:rPr>
        <w:t>Auditor General Act 2006</w:t>
      </w:r>
      <w:r>
        <w:rPr>
          <w:iCs/>
        </w:rPr>
        <w:t xml:space="preserve"> apply to Commission</w:t>
      </w:r>
      <w:r>
        <w:tab/>
      </w:r>
      <w:r>
        <w:fldChar w:fldCharType="begin"/>
      </w:r>
      <w:r>
        <w:instrText xml:space="preserve"> PAGEREF _Toc115267787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Some dealings by Commission need Treasurer’s approval</w:t>
      </w:r>
      <w:r>
        <w:tab/>
      </w:r>
      <w:r>
        <w:fldChar w:fldCharType="begin"/>
      </w:r>
      <w:r>
        <w:instrText xml:space="preserve"> PAGEREF _Toc115267788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Membership, co</w:t>
      </w:r>
      <w:r>
        <w:noBreakHyphen/>
        <w:t>option, consultation and committees</w:t>
      </w:r>
    </w:p>
    <w:p>
      <w:pPr>
        <w:pStyle w:val="TOC8"/>
        <w:rPr>
          <w:rFonts w:asciiTheme="minorHAnsi" w:eastAsiaTheme="minorEastAsia" w:hAnsiTheme="minorHAnsi" w:cstheme="minorBidi"/>
          <w:szCs w:val="22"/>
        </w:rPr>
      </w:pPr>
      <w:r>
        <w:t>12</w:t>
      </w:r>
      <w:r>
        <w:rPr>
          <w:snapToGrid w:val="0"/>
        </w:rPr>
        <w:t>.</w:t>
      </w:r>
      <w:r>
        <w:rPr>
          <w:snapToGrid w:val="0"/>
        </w:rPr>
        <w:tab/>
        <w:t>Members of Commission, attendance at meetings etc.</w:t>
      </w:r>
      <w:r>
        <w:tab/>
      </w:r>
      <w:r>
        <w:fldChar w:fldCharType="begin"/>
      </w:r>
      <w:r>
        <w:instrText xml:space="preserve"> PAGEREF _Toc115267790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Remuneration of members; effect of service with Commission on public servants</w:t>
      </w:r>
      <w:r>
        <w:tab/>
      </w:r>
      <w:r>
        <w:fldChar w:fldCharType="begin"/>
      </w:r>
      <w:r>
        <w:instrText xml:space="preserve"> PAGEREF _Toc115267791 \h </w:instrText>
      </w:r>
      <w:r>
        <w:fldChar w:fldCharType="separate"/>
      </w:r>
      <w:r>
        <w:t>21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w:t>
      </w:r>
      <w:r>
        <w:rPr>
          <w:snapToGrid w:val="0"/>
        </w:rPr>
        <w:noBreakHyphen/>
        <w:t>option, consultation etc., Commission’s powers as to</w:t>
      </w:r>
      <w:r>
        <w:tab/>
      </w:r>
      <w:r>
        <w:fldChar w:fldCharType="begin"/>
      </w:r>
      <w:r>
        <w:instrText xml:space="preserve"> PAGEREF _Toc115267792 \h </w:instrText>
      </w:r>
      <w:r>
        <w:fldChar w:fldCharType="separate"/>
      </w:r>
      <w:r>
        <w:t>22</w:t>
      </w:r>
      <w:r>
        <w:fldChar w:fldCharType="end"/>
      </w:r>
    </w:p>
    <w:p>
      <w:pPr>
        <w:pStyle w:val="TOC8"/>
        <w:rPr>
          <w:rFonts w:asciiTheme="minorHAnsi" w:eastAsiaTheme="minorEastAsia" w:hAnsiTheme="minorHAnsi" w:cstheme="minorBidi"/>
          <w:szCs w:val="22"/>
        </w:rPr>
      </w:pPr>
      <w:r>
        <w:lastRenderedPageBreak/>
        <w:t>15</w:t>
      </w:r>
      <w:r>
        <w:rPr>
          <w:snapToGrid w:val="0"/>
        </w:rPr>
        <w:t>.</w:t>
      </w:r>
      <w:r>
        <w:rPr>
          <w:snapToGrid w:val="0"/>
        </w:rPr>
        <w:tab/>
        <w:t>Committees, appointment of etc.</w:t>
      </w:r>
      <w:r>
        <w:tab/>
      </w:r>
      <w:r>
        <w:fldChar w:fldCharType="begin"/>
      </w:r>
      <w:r>
        <w:instrText xml:space="preserve"> PAGEREF _Toc115267793 \h </w:instrText>
      </w:r>
      <w:r>
        <w:fldChar w:fldCharType="separate"/>
      </w:r>
      <w:r>
        <w:t>22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Delegation powers</w:t>
      </w:r>
      <w:r>
        <w:tab/>
      </w:r>
      <w:r>
        <w:fldChar w:fldCharType="begin"/>
      </w:r>
      <w:r>
        <w:instrText xml:space="preserve"> PAGEREF _Toc115267794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Proceedings</w:t>
      </w:r>
    </w:p>
    <w:p>
      <w:pPr>
        <w:pStyle w:val="TOC8"/>
        <w:rPr>
          <w:rFonts w:asciiTheme="minorHAnsi" w:eastAsiaTheme="minorEastAsia" w:hAnsiTheme="minorHAnsi" w:cstheme="minorBidi"/>
          <w:szCs w:val="22"/>
        </w:rPr>
      </w:pPr>
      <w:r>
        <w:t>17</w:t>
      </w:r>
      <w:r>
        <w:rPr>
          <w:snapToGrid w:val="0"/>
        </w:rPr>
        <w:t>.</w:t>
      </w:r>
      <w:r>
        <w:rPr>
          <w:snapToGrid w:val="0"/>
        </w:rPr>
        <w:tab/>
        <w:t>Proceedings, meetings, declaring interests etc.</w:t>
      </w:r>
      <w:r>
        <w:tab/>
      </w:r>
      <w:r>
        <w:fldChar w:fldCharType="begin"/>
      </w:r>
      <w:r>
        <w:instrText xml:space="preserve"> PAGEREF _Toc115267796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Staff, etc.</w:t>
      </w:r>
    </w:p>
    <w:p>
      <w:pPr>
        <w:pStyle w:val="TOC8"/>
        <w:rPr>
          <w:rFonts w:asciiTheme="minorHAnsi" w:eastAsiaTheme="minorEastAsia" w:hAnsiTheme="minorHAnsi" w:cstheme="minorBidi"/>
          <w:szCs w:val="22"/>
        </w:rPr>
      </w:pPr>
      <w:r>
        <w:t>18</w:t>
      </w:r>
      <w:r>
        <w:rPr>
          <w:snapToGrid w:val="0"/>
        </w:rPr>
        <w:t>.</w:t>
      </w:r>
      <w:r>
        <w:rPr>
          <w:snapToGrid w:val="0"/>
        </w:rPr>
        <w:tab/>
        <w:t>Staff, contractors etc.; Commission may ask Commissioner of Police to inquire etc. into various matters</w:t>
      </w:r>
      <w:r>
        <w:tab/>
      </w:r>
      <w:r>
        <w:fldChar w:fldCharType="begin"/>
      </w:r>
      <w:r>
        <w:instrText xml:space="preserve"> PAGEREF _Toc115267798 \h </w:instrText>
      </w:r>
      <w:r>
        <w:fldChar w:fldCharType="separate"/>
      </w:r>
      <w:r>
        <w:t>25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Government departments, statutory bodies etc. to assist Commission</w:t>
      </w:r>
      <w:r>
        <w:tab/>
      </w:r>
      <w:r>
        <w:fldChar w:fldCharType="begin"/>
      </w:r>
      <w:r>
        <w:instrText xml:space="preserve"> PAGEREF _Toc115267799 \h </w:instrText>
      </w:r>
      <w:r>
        <w:fldChar w:fldCharType="separate"/>
      </w:r>
      <w:r>
        <w:t>28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Reports, effect of and privilege attached to; official information, disclosure of etc.</w:t>
      </w:r>
      <w:r>
        <w:tab/>
      </w:r>
      <w:r>
        <w:fldChar w:fldCharType="begin"/>
      </w:r>
      <w:r>
        <w:instrText xml:space="preserve"> PAGEREF _Toc115267800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7 — Confidential police information</w:t>
      </w:r>
    </w:p>
    <w:p>
      <w:pPr>
        <w:pStyle w:val="TOC8"/>
        <w:rPr>
          <w:rFonts w:asciiTheme="minorHAnsi" w:eastAsiaTheme="minorEastAsia" w:hAnsiTheme="minorHAnsi" w:cstheme="minorBidi"/>
          <w:szCs w:val="22"/>
        </w:rPr>
      </w:pPr>
      <w:r>
        <w:t>20A.</w:t>
      </w:r>
      <w:r>
        <w:tab/>
        <w:t>Certain information provided by police to be kept confidential</w:t>
      </w:r>
      <w:r>
        <w:tab/>
      </w:r>
      <w:r>
        <w:fldChar w:fldCharType="begin"/>
      </w:r>
      <w:r>
        <w:instrText xml:space="preserve"> PAGEREF _Toc115267802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III — Enforcement</w:t>
      </w:r>
    </w:p>
    <w:p>
      <w:pPr>
        <w:pStyle w:val="TOC8"/>
        <w:rPr>
          <w:rFonts w:asciiTheme="minorHAnsi" w:eastAsiaTheme="minorEastAsia" w:hAnsiTheme="minorHAnsi" w:cstheme="minorBidi"/>
          <w:szCs w:val="22"/>
        </w:rPr>
      </w:pPr>
      <w:r>
        <w:t>21</w:t>
      </w:r>
      <w:r>
        <w:rPr>
          <w:snapToGrid w:val="0"/>
        </w:rPr>
        <w:t>.</w:t>
      </w:r>
      <w:r>
        <w:rPr>
          <w:snapToGrid w:val="0"/>
        </w:rPr>
        <w:tab/>
        <w:t>Authorised officers, appointment and duties of and reports by</w:t>
      </w:r>
      <w:r>
        <w:tab/>
      </w:r>
      <w:r>
        <w:fldChar w:fldCharType="begin"/>
      </w:r>
      <w:r>
        <w:instrText xml:space="preserve"> PAGEREF _Toc115267804 \h </w:instrText>
      </w:r>
      <w:r>
        <w:fldChar w:fldCharType="separate"/>
      </w:r>
      <w:r>
        <w:t>33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Permitted gaming and social gambling, powers to scrutinize etc.</w:t>
      </w:r>
      <w:r>
        <w:tab/>
      </w:r>
      <w:r>
        <w:fldChar w:fldCharType="begin"/>
      </w:r>
      <w:r>
        <w:instrText xml:space="preserve"> PAGEREF _Toc115267805 \h </w:instrText>
      </w:r>
      <w:r>
        <w:fldChar w:fldCharType="separate"/>
      </w:r>
      <w:r>
        <w:t>34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Other police powers not limited by this Act</w:t>
      </w:r>
      <w:r>
        <w:tab/>
      </w:r>
      <w:r>
        <w:fldChar w:fldCharType="begin"/>
      </w:r>
      <w:r>
        <w:instrText xml:space="preserve"> PAGEREF _Toc115267806 \h </w:instrText>
      </w:r>
      <w:r>
        <w:fldChar w:fldCharType="separate"/>
      </w:r>
      <w:r>
        <w:t>35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Commissioner of Police, directions by to police officers</w:t>
      </w:r>
      <w:r>
        <w:tab/>
      </w:r>
      <w:r>
        <w:fldChar w:fldCharType="begin"/>
      </w:r>
      <w:r>
        <w:instrText xml:space="preserve"> PAGEREF _Toc115267807 \h </w:instrText>
      </w:r>
      <w:r>
        <w:fldChar w:fldCharType="separate"/>
      </w:r>
      <w:r>
        <w:t>36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Entry to premises, arrest etc., warrant authorising</w:t>
      </w:r>
      <w:r>
        <w:tab/>
      </w:r>
      <w:r>
        <w:fldChar w:fldCharType="begin"/>
      </w:r>
      <w:r>
        <w:instrText xml:space="preserve"> PAGEREF _Toc115267808 \h </w:instrText>
      </w:r>
      <w:r>
        <w:fldChar w:fldCharType="separate"/>
      </w:r>
      <w:r>
        <w:t>36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Evidence, information etc., powers to seize, obtain etc.</w:t>
      </w:r>
      <w:r>
        <w:tab/>
      </w:r>
      <w:r>
        <w:fldChar w:fldCharType="begin"/>
      </w:r>
      <w:r>
        <w:instrText xml:space="preserve"> PAGEREF _Toc115267809 \h </w:instrText>
      </w:r>
      <w:r>
        <w:fldChar w:fldCharType="separate"/>
      </w:r>
      <w:r>
        <w:t>38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Information, production of books, accounts etc., powers to require</w:t>
      </w:r>
      <w:r>
        <w:tab/>
      </w:r>
      <w:r>
        <w:fldChar w:fldCharType="begin"/>
      </w:r>
      <w:r>
        <w:instrText xml:space="preserve"> PAGEREF _Toc115267810 \h </w:instrText>
      </w:r>
      <w:r>
        <w:fldChar w:fldCharType="separate"/>
      </w:r>
      <w:r>
        <w:t>39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Recovering moneys payable to Commission</w:t>
      </w:r>
      <w:r>
        <w:tab/>
      </w:r>
      <w:r>
        <w:fldChar w:fldCharType="begin"/>
      </w:r>
      <w:r>
        <w:instrText xml:space="preserve"> PAGEREF _Toc115267811 \h </w:instrText>
      </w:r>
      <w:r>
        <w:fldChar w:fldCharType="separate"/>
      </w:r>
      <w:r>
        <w:t>40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Hindering etc. Commission etc. and false etc. answers, offences as to</w:t>
      </w:r>
      <w:r>
        <w:tab/>
      </w:r>
      <w:r>
        <w:fldChar w:fldCharType="begin"/>
      </w:r>
      <w:r>
        <w:instrText xml:space="preserve"> PAGEREF _Toc115267812 \h </w:instrText>
      </w:r>
      <w:r>
        <w:fldChar w:fldCharType="separate"/>
      </w:r>
      <w:r>
        <w:t>41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Incriminating information to be provided but is not admissible</w:t>
      </w:r>
      <w:r>
        <w:tab/>
      </w:r>
      <w:r>
        <w:fldChar w:fldCharType="begin"/>
      </w:r>
      <w:r>
        <w:instrText xml:space="preserve"> PAGEREF _Toc115267813 \h </w:instrText>
      </w:r>
      <w:r>
        <w:fldChar w:fldCharType="separate"/>
      </w:r>
      <w:r>
        <w:t>43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Seizure without warrant</w:t>
      </w:r>
      <w:r>
        <w:tab/>
      </w:r>
      <w:r>
        <w:fldChar w:fldCharType="begin"/>
      </w:r>
      <w:r>
        <w:instrText xml:space="preserve"> PAGEREF _Toc115267814 \h </w:instrText>
      </w:r>
      <w:r>
        <w:fldChar w:fldCharType="separate"/>
      </w:r>
      <w:r>
        <w:t>43</w:t>
      </w:r>
      <w:r>
        <w:fldChar w:fldCharType="end"/>
      </w:r>
    </w:p>
    <w:p>
      <w:pPr>
        <w:pStyle w:val="TOC8"/>
        <w:rPr>
          <w:rFonts w:asciiTheme="minorHAnsi" w:eastAsiaTheme="minorEastAsia" w:hAnsiTheme="minorHAnsi" w:cstheme="minorBidi"/>
          <w:szCs w:val="22"/>
        </w:rPr>
      </w:pPr>
      <w:r>
        <w:t>31A.</w:t>
      </w:r>
      <w:r>
        <w:tab/>
        <w:t>Powers to assist seizing things</w:t>
      </w:r>
      <w:r>
        <w:tab/>
      </w:r>
      <w:r>
        <w:fldChar w:fldCharType="begin"/>
      </w:r>
      <w:r>
        <w:instrText xml:space="preserve"> PAGEREF _Toc115267815 \h </w:instrText>
      </w:r>
      <w:r>
        <w:fldChar w:fldCharType="separate"/>
      </w:r>
      <w:r>
        <w:t>44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Certain seized things to be forfeited to Crown</w:t>
      </w:r>
      <w:r>
        <w:tab/>
      </w:r>
      <w:r>
        <w:fldChar w:fldCharType="begin"/>
      </w:r>
      <w:r>
        <w:instrText xml:space="preserve"> PAGEREF _Toc115267816 \h </w:instrText>
      </w:r>
      <w:r>
        <w:fldChar w:fldCharType="separate"/>
      </w:r>
      <w:r>
        <w:t>44</w:t>
      </w:r>
      <w:r>
        <w:fldChar w:fldCharType="end"/>
      </w:r>
    </w:p>
    <w:p>
      <w:pPr>
        <w:pStyle w:val="TOC8"/>
        <w:rPr>
          <w:rFonts w:asciiTheme="minorHAnsi" w:eastAsiaTheme="minorEastAsia" w:hAnsiTheme="minorHAnsi" w:cstheme="minorBidi"/>
          <w:szCs w:val="22"/>
        </w:rPr>
      </w:pPr>
      <w:r>
        <w:t>32A.</w:t>
      </w:r>
      <w:r>
        <w:tab/>
        <w:t>Disposing of seized or forfeited things</w:t>
      </w:r>
      <w:r>
        <w:tab/>
      </w:r>
      <w:r>
        <w:fldChar w:fldCharType="begin"/>
      </w:r>
      <w:r>
        <w:instrText xml:space="preserve"> PAGEREF _Toc115267817 \h </w:instrText>
      </w:r>
      <w:r>
        <w:fldChar w:fldCharType="separate"/>
      </w:r>
      <w:r>
        <w:t>44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Prosecuting offences</w:t>
      </w:r>
      <w:r>
        <w:tab/>
      </w:r>
      <w:r>
        <w:fldChar w:fldCharType="begin"/>
      </w:r>
      <w:r>
        <w:instrText xml:space="preserve"> PAGEREF _Toc115267818 \h </w:instrText>
      </w:r>
      <w:r>
        <w:fldChar w:fldCharType="separate"/>
      </w:r>
      <w:r>
        <w:t>45</w:t>
      </w:r>
      <w:r>
        <w:fldChar w:fldCharType="end"/>
      </w:r>
    </w:p>
    <w:p>
      <w:pPr>
        <w:pStyle w:val="TOC8"/>
        <w:rPr>
          <w:rFonts w:asciiTheme="minorHAnsi" w:eastAsiaTheme="minorEastAsia" w:hAnsiTheme="minorHAnsi" w:cstheme="minorBidi"/>
          <w:szCs w:val="22"/>
        </w:rPr>
      </w:pPr>
      <w:r>
        <w:lastRenderedPageBreak/>
        <w:t>34</w:t>
      </w:r>
      <w:r>
        <w:rPr>
          <w:bCs/>
        </w:rPr>
        <w:t>.</w:t>
      </w:r>
      <w:r>
        <w:rPr>
          <w:bCs/>
        </w:rPr>
        <w:tab/>
        <w:t>Offences to be dealt with by magistrate</w:t>
      </w:r>
      <w:r>
        <w:tab/>
      </w:r>
      <w:r>
        <w:fldChar w:fldCharType="begin"/>
      </w:r>
      <w:r>
        <w:instrText xml:space="preserve"> PAGEREF _Toc115267819 \h </w:instrText>
      </w:r>
      <w:r>
        <w:fldChar w:fldCharType="separate"/>
      </w:r>
      <w:r>
        <w:t>45</w:t>
      </w:r>
      <w:r>
        <w:fldChar w:fldCharType="end"/>
      </w:r>
    </w:p>
    <w:p>
      <w:pPr>
        <w:pStyle w:val="TOC8"/>
        <w:rPr>
          <w:rFonts w:asciiTheme="minorHAnsi" w:eastAsiaTheme="minorEastAsia" w:hAnsiTheme="minorHAnsi" w:cstheme="minorBidi"/>
          <w:szCs w:val="22"/>
        </w:rPr>
      </w:pPr>
      <w:r>
        <w:t>35.</w:t>
      </w:r>
      <w:r>
        <w:tab/>
        <w:t>General penalty</w:t>
      </w:r>
      <w:r>
        <w:tab/>
      </w:r>
      <w:r>
        <w:fldChar w:fldCharType="begin"/>
      </w:r>
      <w:r>
        <w:instrText xml:space="preserve"> PAGEREF _Toc115267820 \h </w:instrText>
      </w:r>
      <w:r>
        <w:fldChar w:fldCharType="separate"/>
      </w:r>
      <w:r>
        <w:t>46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Infringement notices</w:t>
      </w:r>
      <w:r>
        <w:tab/>
      </w:r>
      <w:r>
        <w:fldChar w:fldCharType="begin"/>
      </w:r>
      <w:r>
        <w:instrText xml:space="preserve"> PAGEREF _Toc115267821 \h </w:instrText>
      </w:r>
      <w:r>
        <w:fldChar w:fldCharType="separate"/>
      </w:r>
      <w:r>
        <w:t>46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Criminal liability of directors etc.</w:t>
      </w:r>
      <w:r>
        <w:tab/>
      </w:r>
      <w:r>
        <w:fldChar w:fldCharType="begin"/>
      </w:r>
      <w:r>
        <w:instrText xml:space="preserve"> PAGEREF _Toc115267822 \h </w:instrText>
      </w:r>
      <w:r>
        <w:fldChar w:fldCharType="separate"/>
      </w:r>
      <w:r>
        <w:t>48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Service of notices</w:t>
      </w:r>
      <w:r>
        <w:tab/>
      </w:r>
      <w:r>
        <w:fldChar w:fldCharType="begin"/>
      </w:r>
      <w:r>
        <w:instrText xml:space="preserve"> PAGEREF _Toc115267823 \h </w:instrText>
      </w:r>
      <w:r>
        <w:fldChar w:fldCharType="separate"/>
      </w:r>
      <w:r>
        <w:t>48</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Evidentiary provisions for charges of offences</w:t>
      </w:r>
      <w:r>
        <w:tab/>
      </w:r>
      <w:r>
        <w:fldChar w:fldCharType="begin"/>
      </w:r>
      <w:r>
        <w:instrText xml:space="preserve"> PAGEREF _Toc115267824 \h </w:instrText>
      </w:r>
      <w:r>
        <w:fldChar w:fldCharType="separate"/>
      </w:r>
      <w:r>
        <w:t>49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Evidentiary provisions for charges involving common gaming houses</w:t>
      </w:r>
      <w:r>
        <w:tab/>
      </w:r>
      <w:r>
        <w:fldChar w:fldCharType="begin"/>
      </w:r>
      <w:r>
        <w:instrText xml:space="preserve"> PAGEREF _Toc115267825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IV — Common gaming houses, unlawful gaming, cheating etc.</w:t>
      </w:r>
    </w:p>
    <w:p>
      <w:pPr>
        <w:pStyle w:val="TOC8"/>
        <w:rPr>
          <w:rFonts w:asciiTheme="minorHAnsi" w:eastAsiaTheme="minorEastAsia" w:hAnsiTheme="minorHAnsi" w:cstheme="minorBidi"/>
          <w:szCs w:val="22"/>
        </w:rPr>
      </w:pPr>
      <w:r>
        <w:t>40A.</w:t>
      </w:r>
      <w:r>
        <w:tab/>
        <w:t>Part does not apply to gambling under other written laws</w:t>
      </w:r>
      <w:r>
        <w:tab/>
      </w:r>
      <w:r>
        <w:fldChar w:fldCharType="begin"/>
      </w:r>
      <w:r>
        <w:instrText xml:space="preserve"> PAGEREF _Toc115267827 \h </w:instrText>
      </w:r>
      <w:r>
        <w:fldChar w:fldCharType="separate"/>
      </w:r>
      <w:r>
        <w:t>57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Common gaming house, meaning of and offences as to</w:t>
      </w:r>
      <w:r>
        <w:tab/>
      </w:r>
      <w:r>
        <w:fldChar w:fldCharType="begin"/>
      </w:r>
      <w:r>
        <w:instrText xml:space="preserve"> PAGEREF _Toc115267828 \h </w:instrText>
      </w:r>
      <w:r>
        <w:fldChar w:fldCharType="separate"/>
      </w:r>
      <w:r>
        <w:t>57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Prohibited gaming and unlawful games defined and offences as to</w:t>
      </w:r>
      <w:r>
        <w:tab/>
      </w:r>
      <w:r>
        <w:fldChar w:fldCharType="begin"/>
      </w:r>
      <w:r>
        <w:instrText xml:space="preserve"> PAGEREF _Toc115267829 \h </w:instrText>
      </w:r>
      <w:r>
        <w:fldChar w:fldCharType="separate"/>
      </w:r>
      <w:r>
        <w:t>59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Defence of restricted access not available to charge of s. 41 or 42 offence</w:t>
      </w:r>
      <w:r>
        <w:tab/>
      </w:r>
      <w:r>
        <w:fldChar w:fldCharType="begin"/>
      </w:r>
      <w:r>
        <w:instrText xml:space="preserve"> PAGEREF _Toc115267830 \h </w:instrText>
      </w:r>
      <w:r>
        <w:fldChar w:fldCharType="separate"/>
      </w:r>
      <w:r>
        <w:t>61</w:t>
      </w:r>
      <w:r>
        <w:fldChar w:fldCharType="end"/>
      </w:r>
    </w:p>
    <w:p>
      <w:pPr>
        <w:pStyle w:val="TOC8"/>
        <w:rPr>
          <w:rFonts w:asciiTheme="minorHAnsi" w:eastAsiaTheme="minorEastAsia" w:hAnsiTheme="minorHAnsi" w:cstheme="minorBidi"/>
          <w:szCs w:val="22"/>
        </w:rPr>
      </w:pPr>
      <w:r>
        <w:t>43A.</w:t>
      </w:r>
      <w:r>
        <w:tab/>
        <w:t xml:space="preserve">Advertising </w:t>
      </w:r>
      <w:r>
        <w:rPr>
          <w:snapToGrid w:val="0"/>
        </w:rPr>
        <w:t>unlawful</w:t>
      </w:r>
      <w:r>
        <w:t xml:space="preserve"> gambling</w:t>
      </w:r>
      <w:r>
        <w:tab/>
      </w:r>
      <w:r>
        <w:fldChar w:fldCharType="begin"/>
      </w:r>
      <w:r>
        <w:instrText xml:space="preserve"> PAGEREF _Toc115267831 \h </w:instrText>
      </w:r>
      <w:r>
        <w:fldChar w:fldCharType="separate"/>
      </w:r>
      <w:r>
        <w:t>61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Cheating in games etc. to obtain prize etc., offence</w:t>
      </w:r>
      <w:r>
        <w:tab/>
      </w:r>
      <w:r>
        <w:fldChar w:fldCharType="begin"/>
      </w:r>
      <w:r>
        <w:instrText xml:space="preserve"> PAGEREF _Toc115267832 \h </w:instrText>
      </w:r>
      <w:r>
        <w:fldChar w:fldCharType="separate"/>
      </w:r>
      <w:r>
        <w:t>63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Permitted gaming, offences as to</w:t>
      </w:r>
      <w:r>
        <w:tab/>
      </w:r>
      <w:r>
        <w:fldChar w:fldCharType="begin"/>
      </w:r>
      <w:r>
        <w:instrText xml:space="preserve"> PAGEREF _Toc115267833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V — Permitted gambling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Gaming generally</w:t>
      </w:r>
    </w:p>
    <w:p>
      <w:pPr>
        <w:pStyle w:val="TOC8"/>
        <w:rPr>
          <w:rFonts w:asciiTheme="minorHAnsi" w:eastAsiaTheme="minorEastAsia" w:hAnsiTheme="minorHAnsi" w:cstheme="minorBidi"/>
          <w:szCs w:val="22"/>
        </w:rPr>
      </w:pPr>
      <w:r>
        <w:t>46</w:t>
      </w:r>
      <w:r>
        <w:rPr>
          <w:snapToGrid w:val="0"/>
        </w:rPr>
        <w:t>.</w:t>
      </w:r>
      <w:r>
        <w:rPr>
          <w:snapToGrid w:val="0"/>
        </w:rPr>
        <w:tab/>
        <w:t>Permitted gaming defined</w:t>
      </w:r>
      <w:r>
        <w:tab/>
      </w:r>
      <w:r>
        <w:fldChar w:fldCharType="begin"/>
      </w:r>
      <w:r>
        <w:instrText xml:space="preserve"> PAGEREF _Toc115267836 \h </w:instrText>
      </w:r>
      <w:r>
        <w:fldChar w:fldCharType="separate"/>
      </w:r>
      <w:r>
        <w:t>66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Gaming permits, types, issue and effect of</w:t>
      </w:r>
      <w:r>
        <w:tab/>
      </w:r>
      <w:r>
        <w:fldChar w:fldCharType="begin"/>
      </w:r>
      <w:r>
        <w:instrText xml:space="preserve"> PAGEREF _Toc115267837 \h </w:instrText>
      </w:r>
      <w:r>
        <w:fldChar w:fldCharType="separate"/>
      </w:r>
      <w:r>
        <w:t>67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Issue of permit on direction by Minister</w:t>
      </w:r>
      <w:r>
        <w:tab/>
      </w:r>
      <w:r>
        <w:fldChar w:fldCharType="begin"/>
      </w:r>
      <w:r>
        <w:instrText xml:space="preserve"> PAGEREF _Toc115267838 \h </w:instrText>
      </w:r>
      <w:r>
        <w:fldChar w:fldCharType="separate"/>
      </w:r>
      <w:r>
        <w:t>68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Applications for issue or renewal of permit, matters that may be considered when deciding</w:t>
      </w:r>
      <w:r>
        <w:tab/>
      </w:r>
      <w:r>
        <w:fldChar w:fldCharType="begin"/>
      </w:r>
      <w:r>
        <w:instrText xml:space="preserve"> PAGEREF _Toc115267839 \h </w:instrText>
      </w:r>
      <w:r>
        <w:fldChar w:fldCharType="separate"/>
      </w:r>
      <w:r>
        <w:t>69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Register of approvals, permit holders etc., Commission to keep and allow inspection of etc.</w:t>
      </w:r>
      <w:r>
        <w:tab/>
      </w:r>
      <w:r>
        <w:fldChar w:fldCharType="begin"/>
      </w:r>
      <w:r>
        <w:instrText xml:space="preserve"> PAGEREF _Toc115267840 \h </w:instrText>
      </w:r>
      <w:r>
        <w:fldChar w:fldCharType="separate"/>
      </w:r>
      <w:r>
        <w:t>71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Persons eligible to hold gaming permits, approval of</w:t>
      </w:r>
      <w:r>
        <w:tab/>
      </w:r>
      <w:r>
        <w:fldChar w:fldCharType="begin"/>
      </w:r>
      <w:r>
        <w:instrText xml:space="preserve"> PAGEREF _Toc115267841 \h </w:instrText>
      </w:r>
      <w:r>
        <w:fldChar w:fldCharType="separate"/>
      </w:r>
      <w:r>
        <w:t>72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Applications for gaming permits</w:t>
      </w:r>
      <w:r>
        <w:tab/>
      </w:r>
      <w:r>
        <w:fldChar w:fldCharType="begin"/>
      </w:r>
      <w:r>
        <w:instrText xml:space="preserve"> PAGEREF _Toc115267842 \h </w:instrText>
      </w:r>
      <w:r>
        <w:fldChar w:fldCharType="separate"/>
      </w:r>
      <w:r>
        <w:t>74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Fees and charges for gaming permits</w:t>
      </w:r>
      <w:r>
        <w:tab/>
      </w:r>
      <w:r>
        <w:fldChar w:fldCharType="begin"/>
      </w:r>
      <w:r>
        <w:instrText xml:space="preserve"> PAGEREF _Toc115267843 \h </w:instrText>
      </w:r>
      <w:r>
        <w:fldChar w:fldCharType="separate"/>
      </w:r>
      <w:r>
        <w:t>75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Charging people to take part in permitted gaming</w:t>
      </w:r>
      <w:r>
        <w:tab/>
      </w:r>
      <w:r>
        <w:fldChar w:fldCharType="begin"/>
      </w:r>
      <w:r>
        <w:instrText xml:space="preserve"> PAGEREF _Toc115267844 \h </w:instrText>
      </w:r>
      <w:r>
        <w:fldChar w:fldCharType="separate"/>
      </w:r>
      <w:r>
        <w:t>76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Approving premises for gaming</w:t>
      </w:r>
      <w:r>
        <w:tab/>
      </w:r>
      <w:r>
        <w:fldChar w:fldCharType="begin"/>
      </w:r>
      <w:r>
        <w:instrText xml:space="preserve"> PAGEREF _Toc115267845 \h </w:instrText>
      </w:r>
      <w:r>
        <w:fldChar w:fldCharType="separate"/>
      </w:r>
      <w:r>
        <w:t>78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Renewing approvals, permits and certificates</w:t>
      </w:r>
      <w:r>
        <w:tab/>
      </w:r>
      <w:r>
        <w:fldChar w:fldCharType="begin"/>
      </w:r>
      <w:r>
        <w:instrText xml:space="preserve"> PAGEREF _Toc115267846 \h </w:instrText>
      </w:r>
      <w:r>
        <w:fldChar w:fldCharType="separate"/>
      </w:r>
      <w:r>
        <w:t>81</w:t>
      </w:r>
      <w:r>
        <w:fldChar w:fldCharType="end"/>
      </w:r>
    </w:p>
    <w:p>
      <w:pPr>
        <w:pStyle w:val="TOC8"/>
        <w:rPr>
          <w:rFonts w:asciiTheme="minorHAnsi" w:eastAsiaTheme="minorEastAsia" w:hAnsiTheme="minorHAnsi" w:cstheme="minorBidi"/>
          <w:szCs w:val="22"/>
        </w:rPr>
      </w:pPr>
      <w:r>
        <w:lastRenderedPageBreak/>
        <w:t>57</w:t>
      </w:r>
      <w:r>
        <w:rPr>
          <w:snapToGrid w:val="0"/>
        </w:rPr>
        <w:t>.</w:t>
      </w:r>
      <w:r>
        <w:rPr>
          <w:snapToGrid w:val="0"/>
        </w:rPr>
        <w:tab/>
        <w:t>Reports by permit holders, when required, content of etc.</w:t>
      </w:r>
      <w:r>
        <w:tab/>
      </w:r>
      <w:r>
        <w:fldChar w:fldCharType="begin"/>
      </w:r>
      <w:r>
        <w:instrText xml:space="preserve"> PAGEREF _Toc115267847 \h </w:instrText>
      </w:r>
      <w:r>
        <w:fldChar w:fldCharType="separate"/>
      </w:r>
      <w:r>
        <w:t>82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Gaming permit may regulate use of proceeds from permitted gaming etc.</w:t>
      </w:r>
      <w:r>
        <w:tab/>
      </w:r>
      <w:r>
        <w:fldChar w:fldCharType="begin"/>
      </w:r>
      <w:r>
        <w:instrText xml:space="preserve"> PAGEREF _Toc115267848 \h </w:instrText>
      </w:r>
      <w:r>
        <w:fldChar w:fldCharType="separate"/>
      </w:r>
      <w:r>
        <w:t>83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Approvals etc. may require security to be given</w:t>
      </w:r>
      <w:r>
        <w:tab/>
      </w:r>
      <w:r>
        <w:fldChar w:fldCharType="begin"/>
      </w:r>
      <w:r>
        <w:instrText xml:space="preserve"> PAGEREF _Toc115267849 \h </w:instrText>
      </w:r>
      <w:r>
        <w:fldChar w:fldCharType="separate"/>
      </w:r>
      <w:r>
        <w:t>85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Revoking and amending permits and certain approvals</w:t>
      </w:r>
      <w:r>
        <w:tab/>
      </w:r>
      <w:r>
        <w:fldChar w:fldCharType="begin"/>
      </w:r>
      <w:r>
        <w:instrText xml:space="preserve"> PAGEREF _Toc115267850 \h </w:instrText>
      </w:r>
      <w:r>
        <w:fldChar w:fldCharType="separate"/>
      </w:r>
      <w:r>
        <w:t>87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Revocation or amendment of current approval etc., Commission to report to Minister; appeals to Minister</w:t>
      </w:r>
      <w:r>
        <w:tab/>
      </w:r>
      <w:r>
        <w:fldChar w:fldCharType="begin"/>
      </w:r>
      <w:r>
        <w:instrText xml:space="preserve"> PAGEREF _Toc115267851 \h </w:instrText>
      </w:r>
      <w:r>
        <w:fldChar w:fldCharType="separate"/>
      </w:r>
      <w:r>
        <w:t>88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No credit to be given to person for permitted gaming; cheques for permitted gaming</w:t>
      </w:r>
      <w:r>
        <w:tab/>
      </w:r>
      <w:r>
        <w:fldChar w:fldCharType="begin"/>
      </w:r>
      <w:r>
        <w:instrText xml:space="preserve"> PAGEREF _Toc115267852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Social gambling</w:t>
      </w:r>
    </w:p>
    <w:p>
      <w:pPr>
        <w:pStyle w:val="TOC8"/>
        <w:rPr>
          <w:rFonts w:asciiTheme="minorHAnsi" w:eastAsiaTheme="minorEastAsia" w:hAnsiTheme="minorHAnsi" w:cstheme="minorBidi"/>
          <w:szCs w:val="22"/>
        </w:rPr>
      </w:pPr>
      <w:r>
        <w:t>64</w:t>
      </w:r>
      <w:r>
        <w:rPr>
          <w:snapToGrid w:val="0"/>
        </w:rPr>
        <w:t>.</w:t>
      </w:r>
      <w:r>
        <w:rPr>
          <w:snapToGrid w:val="0"/>
        </w:rPr>
        <w:tab/>
        <w:t>Social gambling defined</w:t>
      </w:r>
      <w:r>
        <w:tab/>
      </w:r>
      <w:r>
        <w:fldChar w:fldCharType="begin"/>
      </w:r>
      <w:r>
        <w:instrText xml:space="preserve"> PAGEREF _Toc115267854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Permitted two</w:t>
      </w:r>
      <w:r>
        <w:noBreakHyphen/>
        <w:t>up</w:t>
      </w:r>
    </w:p>
    <w:p>
      <w:pPr>
        <w:pStyle w:val="TOC8"/>
        <w:rPr>
          <w:rFonts w:asciiTheme="minorHAnsi" w:eastAsiaTheme="minorEastAsia" w:hAnsiTheme="minorHAnsi" w:cstheme="minorBidi"/>
          <w:szCs w:val="22"/>
        </w:rPr>
      </w:pPr>
      <w:r>
        <w:t>80</w:t>
      </w:r>
      <w:r>
        <w:rPr>
          <w:snapToGrid w:val="0"/>
        </w:rPr>
        <w:t>.</w:t>
      </w:r>
      <w:r>
        <w:rPr>
          <w:snapToGrid w:val="0"/>
        </w:rPr>
        <w:tab/>
        <w:t>Two</w:t>
      </w:r>
      <w:r>
        <w:rPr>
          <w:snapToGrid w:val="0"/>
        </w:rPr>
        <w:noBreakHyphen/>
        <w:t>up at country race meetings</w:t>
      </w:r>
      <w:r>
        <w:tab/>
      </w:r>
      <w:r>
        <w:fldChar w:fldCharType="begin"/>
      </w:r>
      <w:r>
        <w:instrText xml:space="preserve"> PAGEREF _Toc115267856 \h </w:instrText>
      </w:r>
      <w:r>
        <w:fldChar w:fldCharType="separate"/>
      </w:r>
      <w:r>
        <w:t>93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Two</w:t>
      </w:r>
      <w:r>
        <w:rPr>
          <w:snapToGrid w:val="0"/>
        </w:rPr>
        <w:noBreakHyphen/>
        <w:t>up at other places</w:t>
      </w:r>
      <w:r>
        <w:tab/>
      </w:r>
      <w:r>
        <w:fldChar w:fldCharType="begin"/>
      </w:r>
      <w:r>
        <w:instrText xml:space="preserve"> PAGEREF _Toc115267857 \h </w:instrText>
      </w:r>
      <w:r>
        <w:fldChar w:fldCharType="separate"/>
      </w:r>
      <w:r>
        <w:t>95</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Conditions deemed in certain permits</w:t>
      </w:r>
      <w:r>
        <w:tab/>
      </w:r>
      <w:r>
        <w:fldChar w:fldCharType="begin"/>
      </w:r>
      <w:r>
        <w:instrText xml:space="preserve"> PAGEREF _Toc115267858 \h </w:instrText>
      </w:r>
      <w:r>
        <w:fldChar w:fldCharType="separate"/>
      </w:r>
      <w:r>
        <w:t>97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Regulations for this Division</w:t>
      </w:r>
      <w:r>
        <w:tab/>
      </w:r>
      <w:r>
        <w:fldChar w:fldCharType="begin"/>
      </w:r>
      <w:r>
        <w:instrText xml:space="preserve"> PAGEREF _Toc115267859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Gaming machines and other gaming equipment and its operation</w:t>
      </w:r>
    </w:p>
    <w:p>
      <w:pPr>
        <w:pStyle w:val="TOC8"/>
        <w:rPr>
          <w:rFonts w:asciiTheme="minorHAnsi" w:eastAsiaTheme="minorEastAsia" w:hAnsiTheme="minorHAnsi" w:cstheme="minorBidi"/>
          <w:szCs w:val="22"/>
        </w:rPr>
      </w:pPr>
      <w:r>
        <w:t>84</w:t>
      </w:r>
      <w:r>
        <w:rPr>
          <w:snapToGrid w:val="0"/>
        </w:rPr>
        <w:t>.</w:t>
      </w:r>
      <w:r>
        <w:rPr>
          <w:snapToGrid w:val="0"/>
        </w:rPr>
        <w:tab/>
        <w:t>Terms used</w:t>
      </w:r>
      <w:r>
        <w:tab/>
      </w:r>
      <w:r>
        <w:fldChar w:fldCharType="begin"/>
      </w:r>
      <w:r>
        <w:instrText xml:space="preserve"> PAGEREF _Toc115267861 \h </w:instrText>
      </w:r>
      <w:r>
        <w:fldChar w:fldCharType="separate"/>
      </w:r>
      <w:r>
        <w:t>98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Unlawful gaming machines etc., use and possession of prohibited</w:t>
      </w:r>
      <w:r>
        <w:tab/>
      </w:r>
      <w:r>
        <w:fldChar w:fldCharType="begin"/>
      </w:r>
      <w:r>
        <w:instrText xml:space="preserve"> PAGEREF _Toc115267862 \h </w:instrText>
      </w:r>
      <w:r>
        <w:fldChar w:fldCharType="separate"/>
      </w:r>
      <w:r>
        <w:t>99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Use of unlawful cash or tokens in gaming machines</w:t>
      </w:r>
      <w:r>
        <w:tab/>
      </w:r>
      <w:r>
        <w:fldChar w:fldCharType="begin"/>
      </w:r>
      <w:r>
        <w:instrText xml:space="preserve"> PAGEREF _Toc115267863 \h </w:instrText>
      </w:r>
      <w:r>
        <w:fldChar w:fldCharType="separate"/>
      </w:r>
      <w:r>
        <w:t>102</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Records about gaming equipment, powers to require keeping of</w:t>
      </w:r>
      <w:r>
        <w:tab/>
      </w:r>
      <w:r>
        <w:fldChar w:fldCharType="begin"/>
      </w:r>
      <w:r>
        <w:instrText xml:space="preserve"> PAGEREF _Toc115267864 \h </w:instrText>
      </w:r>
      <w:r>
        <w:fldChar w:fldCharType="separate"/>
      </w:r>
      <w:r>
        <w:t>103</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Prescribed gaming equipment, regulations about, certificates for sellers etc. of</w:t>
      </w:r>
      <w:r>
        <w:tab/>
      </w:r>
      <w:r>
        <w:fldChar w:fldCharType="begin"/>
      </w:r>
      <w:r>
        <w:instrText xml:space="preserve"> PAGEREF _Toc115267865 \h </w:instrText>
      </w:r>
      <w:r>
        <w:fldChar w:fldCharType="separate"/>
      </w:r>
      <w:r>
        <w:t>103</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Prescribed gaming equipment, sale etc. of</w:t>
      </w:r>
      <w:r>
        <w:tab/>
      </w:r>
      <w:r>
        <w:fldChar w:fldCharType="begin"/>
      </w:r>
      <w:r>
        <w:instrText xml:space="preserve"> PAGEREF _Toc115267866 \h </w:instrText>
      </w:r>
      <w:r>
        <w:fldChar w:fldCharType="separate"/>
      </w:r>
      <w:r>
        <w:t>106</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Application of s. 88 and 89 to concessionaires</w:t>
      </w:r>
      <w:r>
        <w:tab/>
      </w:r>
      <w:r>
        <w:fldChar w:fldCharType="begin"/>
      </w:r>
      <w:r>
        <w:instrText xml:space="preserve"> PAGEREF _Toc115267867 \h </w:instrText>
      </w:r>
      <w:r>
        <w:fldChar w:fldCharType="separate"/>
      </w:r>
      <w:r>
        <w:t>107</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Permitted gaming, restrictions on certain people in relation to</w:t>
      </w:r>
      <w:r>
        <w:tab/>
      </w:r>
      <w:r>
        <w:fldChar w:fldCharType="begin"/>
      </w:r>
      <w:r>
        <w:instrText xml:space="preserve"> PAGEREF _Toc115267868 \h </w:instrText>
      </w:r>
      <w:r>
        <w:fldChar w:fldCharType="separate"/>
      </w:r>
      <w:r>
        <w:t>107</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Certificates for s. 91</w:t>
      </w:r>
      <w:r>
        <w:tab/>
      </w:r>
      <w:r>
        <w:fldChar w:fldCharType="begin"/>
      </w:r>
      <w:r>
        <w:instrText xml:space="preserve"> PAGEREF _Toc115267869 \h </w:instrText>
      </w:r>
      <w:r>
        <w:fldChar w:fldCharType="separate"/>
      </w:r>
      <w:r>
        <w:t>109</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Offences in relation to s. 91</w:t>
      </w:r>
      <w:r>
        <w:tab/>
      </w:r>
      <w:r>
        <w:fldChar w:fldCharType="begin"/>
      </w:r>
      <w:r>
        <w:instrText xml:space="preserve"> PAGEREF _Toc115267870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5A — Remote gambling devices</w:t>
      </w:r>
    </w:p>
    <w:p>
      <w:pPr>
        <w:pStyle w:val="TOC8"/>
        <w:rPr>
          <w:rFonts w:asciiTheme="minorHAnsi" w:eastAsiaTheme="minorEastAsia" w:hAnsiTheme="minorHAnsi" w:cstheme="minorBidi"/>
          <w:szCs w:val="22"/>
        </w:rPr>
      </w:pPr>
      <w:r>
        <w:t>93A.</w:t>
      </w:r>
      <w:r>
        <w:tab/>
        <w:t>Terms used</w:t>
      </w:r>
      <w:r>
        <w:tab/>
      </w:r>
      <w:r>
        <w:fldChar w:fldCharType="begin"/>
      </w:r>
      <w:r>
        <w:instrText xml:space="preserve"> PAGEREF _Toc115267872 \h </w:instrText>
      </w:r>
      <w:r>
        <w:fldChar w:fldCharType="separate"/>
      </w:r>
      <w:r>
        <w:t>111</w:t>
      </w:r>
      <w:r>
        <w:fldChar w:fldCharType="end"/>
      </w:r>
    </w:p>
    <w:p>
      <w:pPr>
        <w:pStyle w:val="TOC8"/>
        <w:rPr>
          <w:rFonts w:asciiTheme="minorHAnsi" w:eastAsiaTheme="minorEastAsia" w:hAnsiTheme="minorHAnsi" w:cstheme="minorBidi"/>
          <w:szCs w:val="22"/>
        </w:rPr>
      </w:pPr>
      <w:r>
        <w:t>93B.</w:t>
      </w:r>
      <w:r>
        <w:tab/>
        <w:t>Offences relating to remote gambling devices</w:t>
      </w:r>
      <w:r>
        <w:tab/>
      </w:r>
      <w:r>
        <w:fldChar w:fldCharType="begin"/>
      </w:r>
      <w:r>
        <w:instrText xml:space="preserve"> PAGEREF _Toc115267873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w:t>
      </w:r>
      <w:r>
        <w:rPr>
          <w:snapToGrid w:val="0"/>
        </w:rPr>
        <w:t> — </w:t>
      </w:r>
      <w:r>
        <w:t>Permitted bingo</w:t>
      </w:r>
    </w:p>
    <w:p>
      <w:pPr>
        <w:pStyle w:val="TOC8"/>
        <w:rPr>
          <w:rFonts w:asciiTheme="minorHAnsi" w:eastAsiaTheme="minorEastAsia" w:hAnsiTheme="minorHAnsi" w:cstheme="minorBidi"/>
          <w:szCs w:val="22"/>
        </w:rPr>
      </w:pPr>
      <w:r>
        <w:t>94</w:t>
      </w:r>
      <w:r>
        <w:rPr>
          <w:snapToGrid w:val="0"/>
        </w:rPr>
        <w:t>.</w:t>
      </w:r>
      <w:r>
        <w:rPr>
          <w:snapToGrid w:val="0"/>
        </w:rPr>
        <w:tab/>
        <w:t>Terms used</w:t>
      </w:r>
      <w:r>
        <w:tab/>
      </w:r>
      <w:r>
        <w:fldChar w:fldCharType="begin"/>
      </w:r>
      <w:r>
        <w:instrText xml:space="preserve"> PAGEREF _Toc115267875 \h </w:instrText>
      </w:r>
      <w:r>
        <w:fldChar w:fldCharType="separate"/>
      </w:r>
      <w:r>
        <w:t>112</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Permits to conduct bingo; who may play permitted bingo</w:t>
      </w:r>
      <w:r>
        <w:tab/>
      </w:r>
      <w:r>
        <w:fldChar w:fldCharType="begin"/>
      </w:r>
      <w:r>
        <w:instrText xml:space="preserve"> PAGEREF _Toc115267876 \h </w:instrText>
      </w:r>
      <w:r>
        <w:fldChar w:fldCharType="separate"/>
      </w:r>
      <w:r>
        <w:t>113</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Multiple bingo</w:t>
      </w:r>
      <w:r>
        <w:tab/>
      </w:r>
      <w:r>
        <w:fldChar w:fldCharType="begin"/>
      </w:r>
      <w:r>
        <w:instrText xml:space="preserve"> PAGEREF _Toc115267877 \h </w:instrText>
      </w:r>
      <w:r>
        <w:fldChar w:fldCharType="separate"/>
      </w:r>
      <w:r>
        <w:t>114</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Simultaneous bingo</w:t>
      </w:r>
      <w:r>
        <w:tab/>
      </w:r>
      <w:r>
        <w:fldChar w:fldCharType="begin"/>
      </w:r>
      <w:r>
        <w:instrText xml:space="preserve"> PAGEREF _Toc115267878 \h </w:instrText>
      </w:r>
      <w:r>
        <w:fldChar w:fldCharType="separate"/>
      </w:r>
      <w:r>
        <w:t>116</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Conduct of bingo</w:t>
      </w:r>
      <w:r>
        <w:tab/>
      </w:r>
      <w:r>
        <w:fldChar w:fldCharType="begin"/>
      </w:r>
      <w:r>
        <w:instrText xml:space="preserve"> PAGEREF _Toc115267879 \h </w:instrText>
      </w:r>
      <w:r>
        <w:fldChar w:fldCharType="separate"/>
      </w:r>
      <w:r>
        <w:t>117</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Recovering moneys payable to Commission for bingo</w:t>
      </w:r>
      <w:r>
        <w:tab/>
      </w:r>
      <w:r>
        <w:fldChar w:fldCharType="begin"/>
      </w:r>
      <w:r>
        <w:instrText xml:space="preserve"> PAGEREF _Toc115267880 \h </w:instrText>
      </w:r>
      <w:r>
        <w:fldChar w:fldCharType="separate"/>
      </w:r>
      <w:r>
        <w:t>117</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Regulations as to bingo</w:t>
      </w:r>
      <w:r>
        <w:tab/>
      </w:r>
      <w:r>
        <w:fldChar w:fldCharType="begin"/>
      </w:r>
      <w:r>
        <w:instrText xml:space="preserve"> PAGEREF _Toc115267881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Lotteries, and amusements with prizes etc.</w:t>
      </w:r>
    </w:p>
    <w:p>
      <w:pPr>
        <w:pStyle w:val="TOC8"/>
        <w:rPr>
          <w:rFonts w:asciiTheme="minorHAnsi" w:eastAsiaTheme="minorEastAsia" w:hAnsiTheme="minorHAnsi" w:cstheme="minorBidi"/>
          <w:szCs w:val="22"/>
        </w:rPr>
      </w:pPr>
      <w:r>
        <w:t>101</w:t>
      </w:r>
      <w:r>
        <w:rPr>
          <w:snapToGrid w:val="0"/>
        </w:rPr>
        <w:t>.</w:t>
      </w:r>
      <w:r>
        <w:rPr>
          <w:snapToGrid w:val="0"/>
        </w:rPr>
        <w:tab/>
        <w:t>Terms used</w:t>
      </w:r>
      <w:r>
        <w:tab/>
      </w:r>
      <w:r>
        <w:fldChar w:fldCharType="begin"/>
      </w:r>
      <w:r>
        <w:instrText xml:space="preserve"> PAGEREF _Toc115267883 \h </w:instrText>
      </w:r>
      <w:r>
        <w:fldChar w:fldCharType="separate"/>
      </w:r>
      <w:r>
        <w:t>120</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Certain lotteries unlawful</w:t>
      </w:r>
      <w:r>
        <w:tab/>
      </w:r>
      <w:r>
        <w:fldChar w:fldCharType="begin"/>
      </w:r>
      <w:r>
        <w:instrText xml:space="preserve"> PAGEREF _Toc115267884 \h </w:instrText>
      </w:r>
      <w:r>
        <w:fldChar w:fldCharType="separate"/>
      </w:r>
      <w:r>
        <w:t>122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Permitted lotteries (deemed)</w:t>
      </w:r>
      <w:r>
        <w:tab/>
      </w:r>
      <w:r>
        <w:fldChar w:fldCharType="begin"/>
      </w:r>
      <w:r>
        <w:instrText xml:space="preserve"> PAGEREF _Toc115267885 \h </w:instrText>
      </w:r>
      <w:r>
        <w:fldChar w:fldCharType="separate"/>
      </w:r>
      <w:r>
        <w:t>122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Permits for lotteries; duties of holders of permit for standard lottery</w:t>
      </w:r>
      <w:r>
        <w:tab/>
      </w:r>
      <w:r>
        <w:fldChar w:fldCharType="begin"/>
      </w:r>
      <w:r>
        <w:instrText xml:space="preserve"> PAGEREF _Toc115267886 \h </w:instrText>
      </w:r>
      <w:r>
        <w:fldChar w:fldCharType="separate"/>
      </w:r>
      <w:r>
        <w:t>124</w:t>
      </w:r>
      <w:r>
        <w:fldChar w:fldCharType="end"/>
      </w:r>
    </w:p>
    <w:p>
      <w:pPr>
        <w:pStyle w:val="TOC8"/>
        <w:rPr>
          <w:rFonts w:asciiTheme="minorHAnsi" w:eastAsiaTheme="minorEastAsia" w:hAnsiTheme="minorHAnsi" w:cstheme="minorBidi"/>
          <w:szCs w:val="22"/>
        </w:rPr>
      </w:pPr>
      <w:r>
        <w:t>104A.</w:t>
      </w:r>
      <w:r>
        <w:tab/>
        <w:t>Commission not liable for unpaid lottery prizes</w:t>
      </w:r>
      <w:r>
        <w:tab/>
      </w:r>
      <w:r>
        <w:fldChar w:fldCharType="begin"/>
      </w:r>
      <w:r>
        <w:instrText xml:space="preserve"> PAGEREF _Toc115267887 \h </w:instrText>
      </w:r>
      <w:r>
        <w:fldChar w:fldCharType="separate"/>
      </w:r>
      <w:r>
        <w:t>127</w:t>
      </w:r>
      <w:r>
        <w:fldChar w:fldCharType="end"/>
      </w:r>
    </w:p>
    <w:p>
      <w:pPr>
        <w:pStyle w:val="TOC8"/>
        <w:rPr>
          <w:rFonts w:asciiTheme="minorHAnsi" w:eastAsiaTheme="minorEastAsia" w:hAnsiTheme="minorHAnsi" w:cstheme="minorBidi"/>
          <w:szCs w:val="22"/>
        </w:rPr>
      </w:pPr>
      <w:r>
        <w:t>104B.</w:t>
      </w:r>
      <w:r>
        <w:tab/>
        <w:t>Licensing of suppliers of lottery tickets</w:t>
      </w:r>
      <w:r>
        <w:tab/>
      </w:r>
      <w:r>
        <w:fldChar w:fldCharType="begin"/>
      </w:r>
      <w:r>
        <w:instrText xml:space="preserve"> PAGEREF _Toc115267888 \h </w:instrText>
      </w:r>
      <w:r>
        <w:fldChar w:fldCharType="separate"/>
      </w:r>
      <w:r>
        <w:t>127</w:t>
      </w:r>
      <w:r>
        <w:fldChar w:fldCharType="end"/>
      </w:r>
    </w:p>
    <w:p>
      <w:pPr>
        <w:pStyle w:val="TOC8"/>
        <w:rPr>
          <w:rFonts w:asciiTheme="minorHAnsi" w:eastAsiaTheme="minorEastAsia" w:hAnsiTheme="minorHAnsi" w:cstheme="minorBidi"/>
          <w:szCs w:val="22"/>
        </w:rPr>
      </w:pPr>
      <w:r>
        <w:t>104C.</w:t>
      </w:r>
      <w:r>
        <w:tab/>
        <w:t>Licences of licensed suppliers, cancelling etc.</w:t>
      </w:r>
      <w:r>
        <w:tab/>
      </w:r>
      <w:r>
        <w:fldChar w:fldCharType="begin"/>
      </w:r>
      <w:r>
        <w:instrText xml:space="preserve"> PAGEREF _Toc115267889 \h </w:instrText>
      </w:r>
      <w:r>
        <w:fldChar w:fldCharType="separate"/>
      </w:r>
      <w:r>
        <w:t>128</w:t>
      </w:r>
      <w:r>
        <w:fldChar w:fldCharType="end"/>
      </w:r>
    </w:p>
    <w:p>
      <w:pPr>
        <w:pStyle w:val="TOC8"/>
        <w:rPr>
          <w:rFonts w:asciiTheme="minorHAnsi" w:eastAsiaTheme="minorEastAsia" w:hAnsiTheme="minorHAnsi" w:cstheme="minorBidi"/>
          <w:szCs w:val="22"/>
        </w:rPr>
      </w:pPr>
      <w:r>
        <w:t>104D.</w:t>
      </w:r>
      <w:r>
        <w:tab/>
        <w:t>Refusal or cancellation of supplier’s licence, Commission to report to Minister; appeals to Minister</w:t>
      </w:r>
      <w:r>
        <w:tab/>
      </w:r>
      <w:r>
        <w:fldChar w:fldCharType="begin"/>
      </w:r>
      <w:r>
        <w:instrText xml:space="preserve"> PAGEREF _Toc115267890 \h </w:instrText>
      </w:r>
      <w:r>
        <w:fldChar w:fldCharType="separate"/>
      </w:r>
      <w:r>
        <w:t>130</w:t>
      </w:r>
      <w:r>
        <w:fldChar w:fldCharType="end"/>
      </w:r>
    </w:p>
    <w:p>
      <w:pPr>
        <w:pStyle w:val="TOC8"/>
        <w:rPr>
          <w:rFonts w:asciiTheme="minorHAnsi" w:eastAsiaTheme="minorEastAsia" w:hAnsiTheme="minorHAnsi" w:cstheme="minorBidi"/>
          <w:szCs w:val="22"/>
        </w:rPr>
      </w:pPr>
      <w:r>
        <w:t>104E.</w:t>
      </w:r>
      <w:r>
        <w:tab/>
        <w:t>Suppliers to give Commission tickets if licence cancelled etc.</w:t>
      </w:r>
      <w:r>
        <w:tab/>
      </w:r>
      <w:r>
        <w:fldChar w:fldCharType="begin"/>
      </w:r>
      <w:r>
        <w:instrText xml:space="preserve"> PAGEREF _Toc115267891 \h </w:instrText>
      </w:r>
      <w:r>
        <w:fldChar w:fldCharType="separate"/>
      </w:r>
      <w:r>
        <w:t>130</w:t>
      </w:r>
      <w:r>
        <w:fldChar w:fldCharType="end"/>
      </w:r>
    </w:p>
    <w:p>
      <w:pPr>
        <w:pStyle w:val="TOC8"/>
        <w:rPr>
          <w:rFonts w:asciiTheme="minorHAnsi" w:eastAsiaTheme="minorEastAsia" w:hAnsiTheme="minorHAnsi" w:cstheme="minorBidi"/>
          <w:szCs w:val="22"/>
        </w:rPr>
      </w:pPr>
      <w:r>
        <w:t>104F.</w:t>
      </w:r>
      <w:r>
        <w:tab/>
        <w:t>Licensed suppliers to lodge returns and pay continuing lotteries levy</w:t>
      </w:r>
      <w:r>
        <w:tab/>
      </w:r>
      <w:r>
        <w:fldChar w:fldCharType="begin"/>
      </w:r>
      <w:r>
        <w:instrText xml:space="preserve"> PAGEREF _Toc115267892 \h </w:instrText>
      </w:r>
      <w:r>
        <w:fldChar w:fldCharType="separate"/>
      </w:r>
      <w:r>
        <w:t>132</w:t>
      </w:r>
      <w:r>
        <w:fldChar w:fldCharType="end"/>
      </w:r>
    </w:p>
    <w:p>
      <w:pPr>
        <w:pStyle w:val="TOC8"/>
        <w:rPr>
          <w:rFonts w:asciiTheme="minorHAnsi" w:eastAsiaTheme="minorEastAsia" w:hAnsiTheme="minorHAnsi" w:cstheme="minorBidi"/>
          <w:szCs w:val="22"/>
        </w:rPr>
      </w:pPr>
      <w:r>
        <w:t>104G.</w:t>
      </w:r>
      <w:r>
        <w:tab/>
        <w:t>Continuing lotteries levy, application of</w:t>
      </w:r>
      <w:r>
        <w:tab/>
      </w:r>
      <w:r>
        <w:fldChar w:fldCharType="begin"/>
      </w:r>
      <w:r>
        <w:instrText xml:space="preserve"> PAGEREF _Toc115267893 \h </w:instrText>
      </w:r>
      <w:r>
        <w:fldChar w:fldCharType="separate"/>
      </w:r>
      <w:r>
        <w:t>133</w:t>
      </w:r>
      <w:r>
        <w:fldChar w:fldCharType="end"/>
      </w:r>
    </w:p>
    <w:p>
      <w:pPr>
        <w:pStyle w:val="TOC8"/>
        <w:rPr>
          <w:rFonts w:asciiTheme="minorHAnsi" w:eastAsiaTheme="minorEastAsia" w:hAnsiTheme="minorHAnsi" w:cstheme="minorBidi"/>
          <w:szCs w:val="22"/>
        </w:rPr>
      </w:pPr>
      <w:r>
        <w:t>104H.</w:t>
      </w:r>
      <w:r>
        <w:tab/>
        <w:t>Exemption from levy</w:t>
      </w:r>
      <w:r>
        <w:tab/>
      </w:r>
      <w:r>
        <w:fldChar w:fldCharType="begin"/>
      </w:r>
      <w:r>
        <w:instrText xml:space="preserve"> PAGEREF _Toc115267894 \h </w:instrText>
      </w:r>
      <w:r>
        <w:fldChar w:fldCharType="separate"/>
      </w:r>
      <w:r>
        <w:t>134</w:t>
      </w:r>
      <w:r>
        <w:fldChar w:fldCharType="end"/>
      </w:r>
    </w:p>
    <w:p>
      <w:pPr>
        <w:pStyle w:val="TOC8"/>
        <w:rPr>
          <w:rFonts w:asciiTheme="minorHAnsi" w:eastAsiaTheme="minorEastAsia" w:hAnsiTheme="minorHAnsi" w:cstheme="minorBidi"/>
          <w:szCs w:val="22"/>
        </w:rPr>
      </w:pPr>
      <w:r>
        <w:t>104I.</w:t>
      </w:r>
      <w:r>
        <w:tab/>
        <w:t>Refund of levy</w:t>
      </w:r>
      <w:r>
        <w:tab/>
      </w:r>
      <w:r>
        <w:fldChar w:fldCharType="begin"/>
      </w:r>
      <w:r>
        <w:instrText xml:space="preserve"> PAGEREF _Toc115267895 \h </w:instrText>
      </w:r>
      <w:r>
        <w:fldChar w:fldCharType="separate"/>
      </w:r>
      <w:r>
        <w:t>134</w:t>
      </w:r>
      <w:r>
        <w:fldChar w:fldCharType="end"/>
      </w:r>
    </w:p>
    <w:p>
      <w:pPr>
        <w:pStyle w:val="TOC8"/>
        <w:rPr>
          <w:rFonts w:asciiTheme="minorHAnsi" w:eastAsiaTheme="minorEastAsia" w:hAnsiTheme="minorHAnsi" w:cstheme="minorBidi"/>
          <w:szCs w:val="22"/>
        </w:rPr>
      </w:pPr>
      <w:r>
        <w:t>104J.</w:t>
      </w:r>
      <w:r>
        <w:tab/>
        <w:t>Tickets, protecting and accounting for; estimating levy for lost etc. tickets</w:t>
      </w:r>
      <w:r>
        <w:tab/>
      </w:r>
      <w:r>
        <w:fldChar w:fldCharType="begin"/>
      </w:r>
      <w:r>
        <w:instrText xml:space="preserve"> PAGEREF _Toc115267896 \h </w:instrText>
      </w:r>
      <w:r>
        <w:fldChar w:fldCharType="separate"/>
      </w:r>
      <w:r>
        <w:t>135</w:t>
      </w:r>
      <w:r>
        <w:fldChar w:fldCharType="end"/>
      </w:r>
    </w:p>
    <w:p>
      <w:pPr>
        <w:pStyle w:val="TOC8"/>
        <w:rPr>
          <w:rFonts w:asciiTheme="minorHAnsi" w:eastAsiaTheme="minorEastAsia" w:hAnsiTheme="minorHAnsi" w:cstheme="minorBidi"/>
          <w:szCs w:val="22"/>
        </w:rPr>
      </w:pPr>
      <w:r>
        <w:t>104K.</w:t>
      </w:r>
      <w:r>
        <w:tab/>
        <w:t>Tickets may be given to Commission for destruction</w:t>
      </w:r>
      <w:r>
        <w:tab/>
      </w:r>
      <w:r>
        <w:fldChar w:fldCharType="begin"/>
      </w:r>
      <w:r>
        <w:instrText xml:space="preserve"> PAGEREF _Toc115267897 \h </w:instrText>
      </w:r>
      <w:r>
        <w:fldChar w:fldCharType="separate"/>
      </w:r>
      <w:r>
        <w:t>136</w:t>
      </w:r>
      <w:r>
        <w:fldChar w:fldCharType="end"/>
      </w:r>
    </w:p>
    <w:p>
      <w:pPr>
        <w:pStyle w:val="TOC8"/>
        <w:rPr>
          <w:rFonts w:asciiTheme="minorHAnsi" w:eastAsiaTheme="minorEastAsia" w:hAnsiTheme="minorHAnsi" w:cstheme="minorBidi"/>
          <w:szCs w:val="22"/>
        </w:rPr>
      </w:pPr>
      <w:r>
        <w:t>104L.</w:t>
      </w:r>
      <w:r>
        <w:tab/>
        <w:t>Offences by licensed suppliers</w:t>
      </w:r>
      <w:r>
        <w:tab/>
      </w:r>
      <w:r>
        <w:fldChar w:fldCharType="begin"/>
      </w:r>
      <w:r>
        <w:instrText xml:space="preserve"> PAGEREF _Toc115267898 \h </w:instrText>
      </w:r>
      <w:r>
        <w:fldChar w:fldCharType="separate"/>
      </w:r>
      <w:r>
        <w:t>136</w:t>
      </w:r>
      <w:r>
        <w:fldChar w:fldCharType="end"/>
      </w:r>
    </w:p>
    <w:p>
      <w:pPr>
        <w:pStyle w:val="TOC8"/>
        <w:rPr>
          <w:rFonts w:asciiTheme="minorHAnsi" w:eastAsiaTheme="minorEastAsia" w:hAnsiTheme="minorHAnsi" w:cstheme="minorBidi"/>
          <w:szCs w:val="22"/>
        </w:rPr>
      </w:pPr>
      <w:r>
        <w:t>104M.</w:t>
      </w:r>
      <w:r>
        <w:tab/>
        <w:t>Offences involving continuing lottery tickets</w:t>
      </w:r>
      <w:r>
        <w:tab/>
      </w:r>
      <w:r>
        <w:fldChar w:fldCharType="begin"/>
      </w:r>
      <w:r>
        <w:instrText xml:space="preserve"> PAGEREF _Toc115267899 \h </w:instrText>
      </w:r>
      <w:r>
        <w:fldChar w:fldCharType="separate"/>
      </w:r>
      <w:r>
        <w:t>138</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Continuing lotteries, use of vending machines to sell tickets for</w:t>
      </w:r>
      <w:r>
        <w:tab/>
      </w:r>
      <w:r>
        <w:fldChar w:fldCharType="begin"/>
      </w:r>
      <w:r>
        <w:instrText xml:space="preserve"> PAGEREF _Toc115267900 \h </w:instrText>
      </w:r>
      <w:r>
        <w:fldChar w:fldCharType="separate"/>
      </w:r>
      <w:r>
        <w:t>138</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Offences involving lotteries</w:t>
      </w:r>
      <w:r>
        <w:tab/>
      </w:r>
      <w:r>
        <w:fldChar w:fldCharType="begin"/>
      </w:r>
      <w:r>
        <w:instrText xml:space="preserve"> PAGEREF _Toc115267901 \h </w:instrText>
      </w:r>
      <w:r>
        <w:fldChar w:fldCharType="separate"/>
      </w:r>
      <w:r>
        <w:t>139</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Amusements with prizes, which are permitted</w:t>
      </w:r>
      <w:r>
        <w:tab/>
      </w:r>
      <w:r>
        <w:fldChar w:fldCharType="begin"/>
      </w:r>
      <w:r>
        <w:instrText xml:space="preserve"> PAGEREF _Toc115267902 \h </w:instrText>
      </w:r>
      <w:r>
        <w:fldChar w:fldCharType="separate"/>
      </w:r>
      <w:r>
        <w:t>141</w:t>
      </w:r>
      <w:r>
        <w:fldChar w:fldCharType="end"/>
      </w:r>
    </w:p>
    <w:p>
      <w:pPr>
        <w:pStyle w:val="TOC8"/>
        <w:rPr>
          <w:rFonts w:asciiTheme="minorHAnsi" w:eastAsiaTheme="minorEastAsia" w:hAnsiTheme="minorHAnsi" w:cstheme="minorBidi"/>
          <w:szCs w:val="22"/>
        </w:rPr>
      </w:pPr>
      <w:r>
        <w:lastRenderedPageBreak/>
        <w:t>108</w:t>
      </w:r>
      <w:r>
        <w:rPr>
          <w:snapToGrid w:val="0"/>
        </w:rPr>
        <w:t>.</w:t>
      </w:r>
      <w:r>
        <w:rPr>
          <w:snapToGrid w:val="0"/>
        </w:rPr>
        <w:tab/>
        <w:t>Some fund raising activities deemed permitted amusement with prizes</w:t>
      </w:r>
      <w:r>
        <w:tab/>
      </w:r>
      <w:r>
        <w:fldChar w:fldCharType="begin"/>
      </w:r>
      <w:r>
        <w:instrText xml:space="preserve"> PAGEREF _Toc115267903 \h </w:instrText>
      </w:r>
      <w:r>
        <w:fldChar w:fldCharType="separate"/>
      </w:r>
      <w:r>
        <w:t>142</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Regulations for this Division</w:t>
      </w:r>
      <w:r>
        <w:tab/>
      </w:r>
      <w:r>
        <w:fldChar w:fldCharType="begin"/>
      </w:r>
      <w:r>
        <w:instrText xml:space="preserve"> PAGEREF _Toc115267904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Unclaimed winnings</w:t>
      </w:r>
    </w:p>
    <w:p>
      <w:pPr>
        <w:pStyle w:val="TOC8"/>
        <w:rPr>
          <w:rFonts w:asciiTheme="minorHAnsi" w:eastAsiaTheme="minorEastAsia" w:hAnsiTheme="minorHAnsi" w:cstheme="minorBidi"/>
          <w:szCs w:val="22"/>
        </w:rPr>
      </w:pPr>
      <w:r>
        <w:t>109A.</w:t>
      </w:r>
      <w:r>
        <w:tab/>
        <w:t>Terms used</w:t>
      </w:r>
      <w:r>
        <w:tab/>
      </w:r>
      <w:r>
        <w:fldChar w:fldCharType="begin"/>
      </w:r>
      <w:r>
        <w:instrText xml:space="preserve"> PAGEREF _Toc115267906 \h </w:instrText>
      </w:r>
      <w:r>
        <w:fldChar w:fldCharType="separate"/>
      </w:r>
      <w:r>
        <w:t>144</w:t>
      </w:r>
      <w:r>
        <w:fldChar w:fldCharType="end"/>
      </w:r>
    </w:p>
    <w:p>
      <w:pPr>
        <w:pStyle w:val="TOC8"/>
        <w:rPr>
          <w:rFonts w:asciiTheme="minorHAnsi" w:eastAsiaTheme="minorEastAsia" w:hAnsiTheme="minorHAnsi" w:cstheme="minorBidi"/>
          <w:szCs w:val="22"/>
        </w:rPr>
      </w:pPr>
      <w:r>
        <w:t>109B.</w:t>
      </w:r>
      <w:r>
        <w:tab/>
        <w:t>Unclaimed winnings, Commission to be notified of etc.</w:t>
      </w:r>
      <w:r>
        <w:tab/>
      </w:r>
      <w:r>
        <w:fldChar w:fldCharType="begin"/>
      </w:r>
      <w:r>
        <w:instrText xml:space="preserve"> PAGEREF _Toc115267907 \h </w:instrText>
      </w:r>
      <w:r>
        <w:fldChar w:fldCharType="separate"/>
      </w:r>
      <w:r>
        <w:t>145</w:t>
      </w:r>
      <w:r>
        <w:fldChar w:fldCharType="end"/>
      </w:r>
    </w:p>
    <w:p>
      <w:pPr>
        <w:pStyle w:val="TOC8"/>
        <w:rPr>
          <w:rFonts w:asciiTheme="minorHAnsi" w:eastAsiaTheme="minorEastAsia" w:hAnsiTheme="minorHAnsi" w:cstheme="minorBidi"/>
          <w:szCs w:val="22"/>
        </w:rPr>
      </w:pPr>
      <w:r>
        <w:t>109C.</w:t>
      </w:r>
      <w:r>
        <w:tab/>
        <w:t>Gaming Community Trust Account</w:t>
      </w:r>
      <w:r>
        <w:tab/>
      </w:r>
      <w:r>
        <w:fldChar w:fldCharType="begin"/>
      </w:r>
      <w:r>
        <w:instrText xml:space="preserve"> PAGEREF _Toc115267908 \h </w:instrText>
      </w:r>
      <w:r>
        <w:fldChar w:fldCharType="separate"/>
      </w:r>
      <w:r>
        <w:t>146</w:t>
      </w:r>
      <w:r>
        <w:fldChar w:fldCharType="end"/>
      </w:r>
    </w:p>
    <w:p>
      <w:pPr>
        <w:pStyle w:val="TOC8"/>
        <w:rPr>
          <w:rFonts w:asciiTheme="minorHAnsi" w:eastAsiaTheme="minorEastAsia" w:hAnsiTheme="minorHAnsi" w:cstheme="minorBidi"/>
          <w:szCs w:val="22"/>
        </w:rPr>
      </w:pPr>
      <w:r>
        <w:t>109D.</w:t>
      </w:r>
      <w:r>
        <w:tab/>
        <w:t>Gaming Community Trust</w:t>
      </w:r>
      <w:r>
        <w:tab/>
      </w:r>
      <w:r>
        <w:fldChar w:fldCharType="begin"/>
      </w:r>
      <w:r>
        <w:instrText xml:space="preserve"> PAGEREF _Toc115267909 \h </w:instrText>
      </w:r>
      <w:r>
        <w:fldChar w:fldCharType="separate"/>
      </w:r>
      <w:r>
        <w:t>147</w:t>
      </w:r>
      <w:r>
        <w:fldChar w:fldCharType="end"/>
      </w:r>
    </w:p>
    <w:p>
      <w:pPr>
        <w:pStyle w:val="TOC2"/>
        <w:tabs>
          <w:tab w:val="right" w:leader="dot" w:pos="7077"/>
        </w:tabs>
        <w:rPr>
          <w:rFonts w:asciiTheme="minorHAnsi" w:eastAsiaTheme="minorEastAsia" w:hAnsiTheme="minorHAnsi" w:cstheme="minorBidi"/>
          <w:b w:val="0"/>
          <w:sz w:val="22"/>
          <w:szCs w:val="22"/>
        </w:rPr>
      </w:pPr>
      <w:r>
        <w:t>Part VA — Supervision of RWWA</w:t>
      </w:r>
    </w:p>
    <w:p>
      <w:pPr>
        <w:pStyle w:val="TOC8"/>
        <w:rPr>
          <w:rFonts w:asciiTheme="minorHAnsi" w:eastAsiaTheme="minorEastAsia" w:hAnsiTheme="minorHAnsi" w:cstheme="minorBidi"/>
          <w:szCs w:val="22"/>
        </w:rPr>
      </w:pPr>
      <w:r>
        <w:t>109E.</w:t>
      </w:r>
      <w:r>
        <w:tab/>
        <w:t>Gambling operations of RWWA, meaning of</w:t>
      </w:r>
      <w:r>
        <w:tab/>
      </w:r>
      <w:r>
        <w:fldChar w:fldCharType="begin"/>
      </w:r>
      <w:r>
        <w:instrText xml:space="preserve"> PAGEREF _Toc115267911 \h </w:instrText>
      </w:r>
      <w:r>
        <w:fldChar w:fldCharType="separate"/>
      </w:r>
      <w:r>
        <w:t>149</w:t>
      </w:r>
      <w:r>
        <w:fldChar w:fldCharType="end"/>
      </w:r>
    </w:p>
    <w:p>
      <w:pPr>
        <w:pStyle w:val="TOC8"/>
        <w:rPr>
          <w:rFonts w:asciiTheme="minorHAnsi" w:eastAsiaTheme="minorEastAsia" w:hAnsiTheme="minorHAnsi" w:cstheme="minorBidi"/>
          <w:szCs w:val="22"/>
        </w:rPr>
      </w:pPr>
      <w:r>
        <w:t>109F.</w:t>
      </w:r>
      <w:r>
        <w:tab/>
        <w:t>Supervision of RWWA by Commission etc.</w:t>
      </w:r>
      <w:r>
        <w:tab/>
      </w:r>
      <w:r>
        <w:fldChar w:fldCharType="begin"/>
      </w:r>
      <w:r>
        <w:instrText xml:space="preserve"> PAGEREF _Toc115267912 \h </w:instrText>
      </w:r>
      <w:r>
        <w:fldChar w:fldCharType="separate"/>
      </w:r>
      <w:r>
        <w:t>149</w:t>
      </w:r>
      <w:r>
        <w:fldChar w:fldCharType="end"/>
      </w:r>
    </w:p>
    <w:p>
      <w:pPr>
        <w:pStyle w:val="TOC8"/>
        <w:rPr>
          <w:rFonts w:asciiTheme="minorHAnsi" w:eastAsiaTheme="minorEastAsia" w:hAnsiTheme="minorHAnsi" w:cstheme="minorBidi"/>
          <w:szCs w:val="22"/>
        </w:rPr>
      </w:pPr>
      <w:r>
        <w:t>109G.</w:t>
      </w:r>
      <w:r>
        <w:tab/>
        <w:t>Directions to RWWA, Commission may give</w:t>
      </w:r>
      <w:r>
        <w:tab/>
      </w:r>
      <w:r>
        <w:fldChar w:fldCharType="begin"/>
      </w:r>
      <w:r>
        <w:instrText xml:space="preserve"> PAGEREF _Toc115267913 \h </w:instrText>
      </w:r>
      <w:r>
        <w:fldChar w:fldCharType="separate"/>
      </w:r>
      <w:r>
        <w:t>150</w:t>
      </w:r>
      <w:r>
        <w:fldChar w:fldCharType="end"/>
      </w:r>
    </w:p>
    <w:p>
      <w:pPr>
        <w:pStyle w:val="TOC8"/>
        <w:rPr>
          <w:rFonts w:asciiTheme="minorHAnsi" w:eastAsiaTheme="minorEastAsia" w:hAnsiTheme="minorHAnsi" w:cstheme="minorBidi"/>
          <w:szCs w:val="22"/>
        </w:rPr>
      </w:pPr>
      <w:r>
        <w:t>109H.</w:t>
      </w:r>
      <w:r>
        <w:tab/>
        <w:t>RWWA must comply with directions</w:t>
      </w:r>
      <w:r>
        <w:tab/>
      </w:r>
      <w:r>
        <w:fldChar w:fldCharType="begin"/>
      </w:r>
      <w:r>
        <w:instrText xml:space="preserve"> PAGEREF _Toc115267914 \h </w:instrText>
      </w:r>
      <w:r>
        <w:fldChar w:fldCharType="separate"/>
      </w:r>
      <w:r>
        <w:t>150</w:t>
      </w:r>
      <w:r>
        <w:fldChar w:fldCharType="end"/>
      </w:r>
    </w:p>
    <w:p>
      <w:pPr>
        <w:pStyle w:val="TOC8"/>
        <w:rPr>
          <w:rFonts w:asciiTheme="minorHAnsi" w:eastAsiaTheme="minorEastAsia" w:hAnsiTheme="minorHAnsi" w:cstheme="minorBidi"/>
          <w:szCs w:val="22"/>
        </w:rPr>
      </w:pPr>
      <w:r>
        <w:t>109I.</w:t>
      </w:r>
      <w:r>
        <w:tab/>
        <w:t>Complaints about RWWA, Commission’s functions as to</w:t>
      </w:r>
      <w:r>
        <w:tab/>
      </w:r>
      <w:r>
        <w:fldChar w:fldCharType="begin"/>
      </w:r>
      <w:r>
        <w:instrText xml:space="preserve"> PAGEREF _Toc115267915 \h </w:instrText>
      </w:r>
      <w:r>
        <w:fldChar w:fldCharType="separate"/>
      </w:r>
      <w:r>
        <w:t>151</w:t>
      </w:r>
      <w:r>
        <w:fldChar w:fldCharType="end"/>
      </w:r>
    </w:p>
    <w:p>
      <w:pPr>
        <w:pStyle w:val="TOC8"/>
        <w:rPr>
          <w:rFonts w:asciiTheme="minorHAnsi" w:eastAsiaTheme="minorEastAsia" w:hAnsiTheme="minorHAnsi" w:cstheme="minorBidi"/>
          <w:szCs w:val="22"/>
        </w:rPr>
      </w:pPr>
      <w:r>
        <w:t>109J.</w:t>
      </w:r>
      <w:r>
        <w:tab/>
        <w:t>Reports on and inquiries into RWWA</w:t>
      </w:r>
      <w:r>
        <w:tab/>
      </w:r>
      <w:r>
        <w:fldChar w:fldCharType="begin"/>
      </w:r>
      <w:r>
        <w:instrText xml:space="preserve"> PAGEREF _Toc115267916 \h </w:instrText>
      </w:r>
      <w:r>
        <w:fldChar w:fldCharType="separate"/>
      </w:r>
      <w:r>
        <w:t>151</w:t>
      </w:r>
      <w:r>
        <w:fldChar w:fldCharType="end"/>
      </w:r>
    </w:p>
    <w:p>
      <w:pPr>
        <w:pStyle w:val="TOC8"/>
        <w:rPr>
          <w:rFonts w:asciiTheme="minorHAnsi" w:eastAsiaTheme="minorEastAsia" w:hAnsiTheme="minorHAnsi" w:cstheme="minorBidi"/>
          <w:szCs w:val="22"/>
        </w:rPr>
      </w:pPr>
      <w:r>
        <w:t>109K.</w:t>
      </w:r>
      <w:r>
        <w:tab/>
        <w:t>Report or inquiry under s. 109J, Minister’s powers following</w:t>
      </w:r>
      <w:r>
        <w:tab/>
      </w:r>
      <w:r>
        <w:fldChar w:fldCharType="begin"/>
      </w:r>
      <w:r>
        <w:instrText xml:space="preserve"> PAGEREF _Toc115267917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Part VI — Ancillary</w:t>
      </w:r>
    </w:p>
    <w:p>
      <w:pPr>
        <w:pStyle w:val="TOC8"/>
        <w:rPr>
          <w:rFonts w:asciiTheme="minorHAnsi" w:eastAsiaTheme="minorEastAsia" w:hAnsiTheme="minorHAnsi" w:cstheme="minorBidi"/>
          <w:szCs w:val="22"/>
        </w:rPr>
      </w:pPr>
      <w:r>
        <w:t>110</w:t>
      </w:r>
      <w:r>
        <w:rPr>
          <w:snapToGrid w:val="0"/>
        </w:rPr>
        <w:t>.</w:t>
      </w:r>
      <w:r>
        <w:rPr>
          <w:snapToGrid w:val="0"/>
        </w:rPr>
        <w:tab/>
        <w:t>Gambling on premises licensed for retail sale of liquor</w:t>
      </w:r>
      <w:r>
        <w:tab/>
      </w:r>
      <w:r>
        <w:fldChar w:fldCharType="begin"/>
      </w:r>
      <w:r>
        <w:instrText xml:space="preserve"> PAGEREF _Toc115267919 \h </w:instrText>
      </w:r>
      <w:r>
        <w:fldChar w:fldCharType="separate"/>
      </w:r>
      <w:r>
        <w:t>155</w:t>
      </w:r>
      <w:r>
        <w:fldChar w:fldCharType="end"/>
      </w:r>
    </w:p>
    <w:p>
      <w:pPr>
        <w:pStyle w:val="TOC8"/>
        <w:rPr>
          <w:rFonts w:asciiTheme="minorHAnsi" w:eastAsiaTheme="minorEastAsia" w:hAnsiTheme="minorHAnsi" w:cstheme="minorBidi"/>
          <w:szCs w:val="22"/>
        </w:rPr>
      </w:pPr>
      <w:r>
        <w:t>110A.</w:t>
      </w:r>
      <w:r>
        <w:tab/>
        <w:t>Sports Wagering Account</w:t>
      </w:r>
      <w:r>
        <w:tab/>
      </w:r>
      <w:r>
        <w:fldChar w:fldCharType="begin"/>
      </w:r>
      <w:r>
        <w:instrText xml:space="preserve"> PAGEREF _Toc115267920 \h </w:instrText>
      </w:r>
      <w:r>
        <w:fldChar w:fldCharType="separate"/>
      </w:r>
      <w:r>
        <w:t>156</w:t>
      </w:r>
      <w:r>
        <w:fldChar w:fldCharType="end"/>
      </w:r>
    </w:p>
    <w:p>
      <w:pPr>
        <w:pStyle w:val="TOC8"/>
        <w:rPr>
          <w:rFonts w:asciiTheme="minorHAnsi" w:eastAsiaTheme="minorEastAsia" w:hAnsiTheme="minorHAnsi" w:cstheme="minorBidi"/>
          <w:szCs w:val="22"/>
        </w:rPr>
      </w:pPr>
      <w:r>
        <w:t>110B.</w:t>
      </w:r>
      <w:r>
        <w:tab/>
        <w:t>Racing Bets Levy Account</w:t>
      </w:r>
      <w:r>
        <w:tab/>
      </w:r>
      <w:r>
        <w:fldChar w:fldCharType="begin"/>
      </w:r>
      <w:r>
        <w:instrText xml:space="preserve"> PAGEREF _Toc115267921 \h </w:instrText>
      </w:r>
      <w:r>
        <w:fldChar w:fldCharType="separate"/>
      </w:r>
      <w:r>
        <w:t>157</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Burswood Casino Agreement cl. 22, when Commission may decide questions as to</w:t>
      </w:r>
      <w:r>
        <w:tab/>
      </w:r>
      <w:r>
        <w:fldChar w:fldCharType="begin"/>
      </w:r>
      <w:r>
        <w:instrText xml:space="preserve"> PAGEREF _Toc115267922 \h </w:instrText>
      </w:r>
      <w:r>
        <w:fldChar w:fldCharType="separate"/>
      </w:r>
      <w:r>
        <w:t>158</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 xml:space="preserve">Transitional provisions as to </w:t>
      </w:r>
      <w:r>
        <w:rPr>
          <w:i/>
          <w:snapToGrid w:val="0"/>
        </w:rPr>
        <w:t>Casino Control Act 1984</w:t>
      </w:r>
      <w:r>
        <w:tab/>
      </w:r>
      <w:r>
        <w:fldChar w:fldCharType="begin"/>
      </w:r>
      <w:r>
        <w:instrText xml:space="preserve"> PAGEREF _Toc115267923 \h </w:instrText>
      </w:r>
      <w:r>
        <w:fldChar w:fldCharType="separate"/>
      </w:r>
      <w:r>
        <w:t>158</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Regulations</w:t>
      </w:r>
      <w:r>
        <w:tab/>
      </w:r>
      <w:r>
        <w:fldChar w:fldCharType="begin"/>
      </w:r>
      <w:r>
        <w:instrText xml:space="preserve"> PAGEREF _Toc115267924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_Toc115267926 \h </w:instrText>
      </w:r>
      <w:r>
        <w:fldChar w:fldCharType="separate"/>
      </w:r>
      <w:r>
        <w:t>161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_Toc115267927 \h </w:instrText>
      </w:r>
      <w:r>
        <w:fldChar w:fldCharType="separate"/>
      </w:r>
      <w:r>
        <w:t>165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_Toc115267928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NameofActReg"/>
      </w:pPr>
      <w:r>
        <w:t>Gaming and Wagering Commission Act 1987</w:t>
      </w:r>
    </w:p>
    <w:p>
      <w:pPr>
        <w:pStyle w:val="LongTitle"/>
        <w:spacing w:before="360"/>
        <w:rPr>
          <w:snapToGrid w:val="0"/>
        </w:rPr>
      </w:pPr>
      <w:r>
        <w:rPr>
          <w:snapToGrid w:val="0"/>
        </w:rPr>
        <w:t>An Act to constitute the Gaming and Wagering Commission of Western Australia, to consolidate and amend the law relating to gaming and wagering, and for related purposes.</w:t>
      </w:r>
    </w:p>
    <w:p>
      <w:pPr>
        <w:pStyle w:val="Footnotelongtitle"/>
      </w:pPr>
      <w:r>
        <w:tab/>
        <w:t>[Long title amended: No. 35 of 2003 s. 121.]</w:t>
      </w:r>
    </w:p>
    <w:p>
      <w:pPr>
        <w:pStyle w:val="Heading2"/>
      </w:pPr>
      <w:bookmarkStart w:id="3" w:name="_Toc115166542"/>
      <w:bookmarkStart w:id="4" w:name="_Toc115166699"/>
      <w:bookmarkStart w:id="5" w:name="_Toc115267773"/>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15267774"/>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w:t>
      </w:r>
    </w:p>
    <w:p>
      <w:pPr>
        <w:pStyle w:val="Footnotesection"/>
      </w:pPr>
      <w:r>
        <w:tab/>
        <w:t>[Section 1 amended: No. 35 of 2003 s. 122.]</w:t>
      </w:r>
    </w:p>
    <w:p>
      <w:pPr>
        <w:pStyle w:val="Heading5"/>
        <w:rPr>
          <w:snapToGrid w:val="0"/>
        </w:rPr>
      </w:pPr>
      <w:bookmarkStart w:id="7" w:name="_Toc115267775"/>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8" w:name="_Toc115267776"/>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approved</w:t>
      </w:r>
      <w:r>
        <w:t xml:space="preserve"> means approved by the Commission;</w:t>
      </w:r>
    </w:p>
    <w:p>
      <w:pPr>
        <w:pStyle w:val="Defstart"/>
      </w:pPr>
      <w:r>
        <w:rPr>
          <w:b/>
        </w:rPr>
        <w:tab/>
      </w:r>
      <w:r>
        <w:rPr>
          <w:rStyle w:val="CharDefText"/>
        </w:rPr>
        <w:t>approved premises</w:t>
      </w:r>
      <w:r>
        <w:t xml:space="preserve"> means premises approved under section 55;</w:t>
      </w:r>
    </w:p>
    <w:p>
      <w:pPr>
        <w:pStyle w:val="Defstart"/>
      </w:pPr>
      <w:r>
        <w:tab/>
      </w:r>
      <w:r>
        <w:rPr>
          <w:rStyle w:val="CharDefText"/>
        </w:rPr>
        <w:t>authorised officer</w:t>
      </w:r>
      <w:r>
        <w:t xml:space="preserve"> means —</w:t>
      </w:r>
    </w:p>
    <w:p>
      <w:pPr>
        <w:pStyle w:val="Defpara"/>
      </w:pPr>
      <w:r>
        <w:tab/>
        <w:t>(a)</w:t>
      </w:r>
      <w:r>
        <w:tab/>
        <w:t>a member of the Commission; or</w:t>
      </w:r>
    </w:p>
    <w:p>
      <w:pPr>
        <w:pStyle w:val="Defpara"/>
      </w:pPr>
      <w:r>
        <w:tab/>
        <w:t>(b)</w:t>
      </w:r>
      <w:r>
        <w:tab/>
        <w:t xml:space="preserve">the Chief Casino Officer, a government inspector or any other person appointed for the purposes of section 9(1) of the </w:t>
      </w:r>
      <w:r>
        <w:rPr>
          <w:i/>
        </w:rPr>
        <w:t>Casino Control Act 1984</w:t>
      </w:r>
      <w:r>
        <w:t>; or</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r>
      <w:r>
        <w:rPr>
          <w:rStyle w:val="CharDefText"/>
        </w:rPr>
        <w:t>books</w:t>
      </w:r>
      <w:r>
        <w:t xml:space="preserve"> includes any register or other record of information and accounts or accounting records, however compiled, recorded or stored, and also any document;</w:t>
      </w:r>
    </w:p>
    <w:p>
      <w:pPr>
        <w:pStyle w:val="Defstart"/>
      </w:pPr>
      <w:r>
        <w:rPr>
          <w:b/>
        </w:rPr>
        <w:tab/>
      </w:r>
      <w:r>
        <w:rPr>
          <w:rStyle w:val="CharDefText"/>
        </w:rPr>
        <w:t>casino</w:t>
      </w:r>
      <w:r>
        <w:t xml:space="preserve"> means a building or room in which games are conducted and played, or in which money counting, surveillance, storage and other activities related to the conduct and playing of games are carried on, pursuant to a casino gaming licence granted under section 21 of the </w:t>
      </w:r>
      <w:r>
        <w:rPr>
          <w:i/>
        </w:rPr>
        <w:t>Casino Control Act 1984</w:t>
      </w:r>
      <w:r>
        <w:t>;</w:t>
      </w:r>
    </w:p>
    <w:p>
      <w:pPr>
        <w:pStyle w:val="Defstart"/>
      </w:pPr>
      <w:r>
        <w:rPr>
          <w:b/>
        </w:rPr>
        <w:lastRenderedPageBreak/>
        <w:tab/>
      </w:r>
      <w:r>
        <w:rPr>
          <w:rStyle w:val="CharDefText"/>
        </w:rPr>
        <w:t>casino complex agreement</w:t>
      </w:r>
      <w:r>
        <w:t xml:space="preserve"> means agreement entered into by the Minister with a public company under section 19(1) of the </w:t>
      </w:r>
      <w:r>
        <w:rPr>
          <w:i/>
        </w:rPr>
        <w:t>Casino Control Act 1984</w:t>
      </w:r>
      <w:r>
        <w:t>;</w:t>
      </w:r>
    </w:p>
    <w:p>
      <w:pPr>
        <w:pStyle w:val="Defstart"/>
      </w:pPr>
      <w:r>
        <w:rPr>
          <w:b/>
        </w:rPr>
        <w:tab/>
      </w:r>
      <w:r>
        <w:rPr>
          <w:rStyle w:val="CharDefText"/>
        </w:rPr>
        <w:t>certificate</w:t>
      </w:r>
      <w:r>
        <w:t xml:space="preserve"> means a certificate issued under Part V Division 5;</w:t>
      </w:r>
    </w:p>
    <w:p>
      <w:pPr>
        <w:pStyle w:val="Defstart"/>
      </w:pPr>
      <w:r>
        <w:rPr>
          <w:b/>
        </w:rPr>
        <w:tab/>
      </w:r>
      <w:r>
        <w:rPr>
          <w:rStyle w:val="CharDefText"/>
        </w:rPr>
        <w:t>Commission</w:t>
      </w:r>
      <w:r>
        <w:t xml:space="preserve"> means the Gaming and Wagering Commission of Western Australia established under section 4;</w:t>
      </w:r>
    </w:p>
    <w:p>
      <w:pPr>
        <w:pStyle w:val="Defstart"/>
      </w:pPr>
      <w:r>
        <w:rPr>
          <w:b/>
        </w:rPr>
        <w:tab/>
      </w:r>
      <w:r>
        <w:rPr>
          <w:rStyle w:val="CharDefText"/>
        </w:rPr>
        <w:t>condition</w:t>
      </w:r>
      <w:r>
        <w:t xml:space="preserve"> includes a term, requirement, limitation or restriction;</w:t>
      </w:r>
    </w:p>
    <w:p>
      <w:pPr>
        <w:pStyle w:val="Defstart"/>
      </w:pPr>
      <w:r>
        <w:rPr>
          <w:b/>
        </w:rPr>
        <w:tab/>
      </w:r>
      <w:r>
        <w:rPr>
          <w:rStyle w:val="CharDefText"/>
        </w:rPr>
        <w:t>conduct</w:t>
      </w:r>
      <w:r>
        <w:t xml:space="preserve"> includes promote, organise, manage or operate;</w:t>
      </w:r>
    </w:p>
    <w:p>
      <w:pPr>
        <w:pStyle w:val="Defstart"/>
      </w:pPr>
      <w:r>
        <w:rPr>
          <w:b/>
        </w:rPr>
        <w:tab/>
      </w:r>
      <w:r>
        <w:rPr>
          <w:rStyle w:val="CharDefText"/>
        </w:rPr>
        <w:t>continuing lotteries levy</w:t>
      </w:r>
      <w:r>
        <w:t xml:space="preserve"> means the levy imposed by the </w:t>
      </w:r>
      <w:r>
        <w:rPr>
          <w:i/>
        </w:rPr>
        <w:t>Gaming and Wagering Commission (Continuing Lotteries Levy) Act 2000</w:t>
      </w:r>
      <w:r>
        <w:t>;</w:t>
      </w:r>
    </w:p>
    <w:p>
      <w:pPr>
        <w:pStyle w:val="Defstart"/>
      </w:pPr>
      <w:r>
        <w:rPr>
          <w:b/>
        </w:rPr>
        <w:tab/>
      </w:r>
      <w:r>
        <w:rPr>
          <w:rStyle w:val="CharDefText"/>
        </w:rPr>
        <w:t>credit card</w:t>
      </w:r>
      <w:r>
        <w:t xml:space="preserve"> includes any card or other article intended for use by a person in obtaining cash, goods or services on credit;</w:t>
      </w:r>
    </w:p>
    <w:p>
      <w:pPr>
        <w:pStyle w:val="Defstart"/>
      </w:pPr>
      <w:r>
        <w:rPr>
          <w:b/>
        </w:rPr>
        <w:tab/>
      </w:r>
      <w:r>
        <w:rPr>
          <w:rStyle w:val="CharDefText"/>
        </w:rPr>
        <w:t>debit card</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event</w:t>
      </w:r>
      <w:r>
        <w:t xml:space="preserve"> has the meaning given in the </w:t>
      </w:r>
      <w:r>
        <w:rPr>
          <w:i/>
        </w:rPr>
        <w:t>Betting Control Act 1954</w:t>
      </w:r>
      <w:r>
        <w:t xml:space="preserve"> section 4(1);</w:t>
      </w:r>
    </w:p>
    <w:p>
      <w:pPr>
        <w:pStyle w:val="Defstart"/>
      </w:pPr>
      <w:r>
        <w:rPr>
          <w:b/>
        </w:rPr>
        <w:tab/>
      </w:r>
      <w:r>
        <w:rPr>
          <w:rStyle w:val="CharDefText"/>
        </w:rPr>
        <w:t>gambling</w:t>
      </w:r>
      <w:r>
        <w:t xml:space="preserve"> means gaming or wagering;</w:t>
      </w:r>
    </w:p>
    <w:p>
      <w:pPr>
        <w:pStyle w:val="Defstart"/>
      </w:pPr>
      <w:r>
        <w:rPr>
          <w:b/>
        </w:rPr>
        <w:tab/>
      </w:r>
      <w:r>
        <w:rPr>
          <w:rStyle w:val="CharDefText"/>
        </w:rPr>
        <w:t>game of chance</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r>
      <w:r>
        <w:rPr>
          <w:rStyle w:val="CharDefText"/>
        </w:rPr>
        <w:t>gaming</w:t>
      </w:r>
      <w:r>
        <w:t>, subject to section 39(2)(d) and (e), means the playing of a game of chance for winnings in money or money’s worth, whether any person playing the game is at risk of losing any money or money’s worth or not;</w:t>
      </w:r>
    </w:p>
    <w:p>
      <w:pPr>
        <w:pStyle w:val="Defstart"/>
      </w:pPr>
      <w:r>
        <w:rPr>
          <w:b/>
        </w:rPr>
        <w:tab/>
      </w:r>
      <w:r>
        <w:rPr>
          <w:rStyle w:val="CharDefText"/>
        </w:rPr>
        <w:t>gaming equipment</w:t>
      </w:r>
      <w:r>
        <w:t xml:space="preserve"> includes any machine used in the course of, or in relation to, gaming;</w:t>
      </w:r>
    </w:p>
    <w:p>
      <w:pPr>
        <w:pStyle w:val="Defstart"/>
      </w:pPr>
      <w:r>
        <w:rPr>
          <w:b/>
        </w:rPr>
        <w:lastRenderedPageBreak/>
        <w:tab/>
      </w:r>
      <w:r>
        <w:rPr>
          <w:rStyle w:val="CharDefText"/>
        </w:rPr>
        <w:t>house</w:t>
      </w:r>
      <w:r>
        <w:t xml:space="preserve">, in relation to the interpretation of the term </w:t>
      </w:r>
      <w:r>
        <w:rPr>
          <w:b/>
          <w:i/>
        </w:rPr>
        <w:t>common gaming house</w:t>
      </w:r>
      <w:r>
        <w:t>, includes any premises;</w:t>
      </w:r>
    </w:p>
    <w:p>
      <w:pPr>
        <w:pStyle w:val="Defstart"/>
      </w:pPr>
      <w:r>
        <w:rPr>
          <w:b/>
        </w:rPr>
        <w:tab/>
      </w:r>
      <w:r>
        <w:rPr>
          <w:rStyle w:val="CharDefText"/>
        </w:rPr>
        <w:t>imposed</w:t>
      </w:r>
      <w:r>
        <w:t>, in relation to a condition, includes implied by or prescribed under this Act;</w:t>
      </w:r>
    </w:p>
    <w:p>
      <w:pPr>
        <w:pStyle w:val="Defstart"/>
      </w:pPr>
      <w:r>
        <w:rPr>
          <w:b/>
        </w:rPr>
        <w:tab/>
      </w:r>
      <w:r>
        <w:rPr>
          <w:rStyle w:val="CharDefText"/>
        </w:rPr>
        <w:t>instruments of gaming</w:t>
      </w:r>
      <w:r>
        <w:t xml:space="preserve"> includes any cards, dice, board, kip, tables, tokens or other thing used in the course and for the purposes of gaming;</w:t>
      </w:r>
    </w:p>
    <w:p>
      <w:pPr>
        <w:pStyle w:val="Defstart"/>
      </w:pPr>
      <w:r>
        <w:rPr>
          <w:b/>
        </w:rPr>
        <w:tab/>
      </w:r>
      <w:r>
        <w:rPr>
          <w:rStyle w:val="CharDefText"/>
        </w:rPr>
        <w:t>licence</w:t>
      </w:r>
      <w:r>
        <w:t xml:space="preserve"> means a licence issued under Part V Division 7;</w:t>
      </w:r>
    </w:p>
    <w:p>
      <w:pPr>
        <w:pStyle w:val="Defstart"/>
      </w:pPr>
      <w:r>
        <w:tab/>
      </w:r>
      <w:r>
        <w:rPr>
          <w:rStyle w:val="CharDefText"/>
        </w:rPr>
        <w:t>licensed supplier</w:t>
      </w:r>
      <w:r>
        <w:t xml:space="preserve"> means a person licensed under Part V Division 7 as a licensed supplier;</w:t>
      </w:r>
    </w:p>
    <w:p>
      <w:pPr>
        <w:pStyle w:val="Defstart"/>
      </w:pPr>
      <w:r>
        <w:rPr>
          <w:b/>
        </w:rPr>
        <w:tab/>
      </w:r>
      <w:r>
        <w:rPr>
          <w:rStyle w:val="CharDefText"/>
        </w:rPr>
        <w:t>lottery</w:t>
      </w:r>
      <w:r>
        <w:t xml:space="preserve"> includes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 and</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 and</w:t>
      </w:r>
    </w:p>
    <w:p>
      <w:pPr>
        <w:pStyle w:val="Defpara"/>
      </w:pPr>
      <w:r>
        <w:tab/>
        <w:t>(b)</w:t>
      </w:r>
      <w:r>
        <w:tab/>
        <w:t>a scheme or device for the disposition of property of the kind commonly known as an art union, raffles, guessing competitions, and the like; and</w:t>
      </w:r>
    </w:p>
    <w:p>
      <w:pPr>
        <w:pStyle w:val="Defpara"/>
      </w:pPr>
      <w:r>
        <w:tab/>
        <w:t>(c)</w:t>
      </w:r>
      <w:r>
        <w:tab/>
        <w:t xml:space="preserve">any disposition of property under any other scheme or competition which the public or any specified section of </w:t>
      </w:r>
      <w:r>
        <w:lastRenderedPageBreak/>
        <w:t>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r>
      <w:r>
        <w:rPr>
          <w:rStyle w:val="CharDefText"/>
        </w:rPr>
        <w:t>machine</w:t>
      </w:r>
      <w:r>
        <w:t xml:space="preserve"> includes a telecommunications device and any other apparatus or device;</w:t>
      </w:r>
    </w:p>
    <w:p>
      <w:pPr>
        <w:pStyle w:val="Defstart"/>
      </w:pPr>
      <w:r>
        <w:rPr>
          <w:b/>
        </w:rPr>
        <w:tab/>
      </w:r>
      <w:r>
        <w:rPr>
          <w:rStyle w:val="CharDefText"/>
        </w:rPr>
        <w:t>minor fund raising activity</w:t>
      </w:r>
      <w:r>
        <w:t xml:space="preserve"> means an activity to which section 108 applies;</w:t>
      </w:r>
    </w:p>
    <w:p>
      <w:pPr>
        <w:pStyle w:val="Defstart"/>
      </w:pPr>
      <w:r>
        <w:rPr>
          <w:b/>
        </w:rPr>
        <w:tab/>
      </w:r>
      <w:r>
        <w:rPr>
          <w:rStyle w:val="CharDefText"/>
        </w:rPr>
        <w:t>money</w:t>
      </w:r>
      <w:r>
        <w:t xml:space="preserve"> includes any bank note, postal note, cheque, credit card, debit card, security or authority for money or the payment of money;</w:t>
      </w:r>
    </w:p>
    <w:p>
      <w:pPr>
        <w:pStyle w:val="Defstart"/>
      </w:pPr>
      <w:r>
        <w:rPr>
          <w:b/>
        </w:rPr>
        <w:tab/>
      </w:r>
      <w:r>
        <w:rPr>
          <w:rStyle w:val="CharDefText"/>
        </w:rPr>
        <w:t>multiple bingo</w:t>
      </w:r>
      <w:r>
        <w:t xml:space="preserve"> means bingo of the kind referred to in section 96(4);</w:t>
      </w:r>
    </w:p>
    <w:p>
      <w:pPr>
        <w:pStyle w:val="Defstart"/>
      </w:pPr>
      <w:r>
        <w:rPr>
          <w:b/>
        </w:rPr>
        <w:tab/>
      </w:r>
      <w:r>
        <w:rPr>
          <w:rStyle w:val="CharDefText"/>
        </w:rPr>
        <w:t>occupier</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r>
      <w:r>
        <w:rPr>
          <w:rStyle w:val="CharDefText"/>
        </w:rPr>
        <w:t>owner</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r>
      <w:r>
        <w:rPr>
          <w:rStyle w:val="CharDefText"/>
        </w:rPr>
        <w:t>permit</w:t>
      </w:r>
      <w:r>
        <w:t xml:space="preserve"> or </w:t>
      </w:r>
      <w:r>
        <w:rPr>
          <w:rStyle w:val="CharDefText"/>
        </w:rPr>
        <w:t>gaming permit</w:t>
      </w:r>
      <w:r>
        <w:t xml:space="preserve"> means a permit issued under this Act;</w:t>
      </w:r>
    </w:p>
    <w:p>
      <w:pPr>
        <w:pStyle w:val="Defstart"/>
      </w:pPr>
      <w:r>
        <w:rPr>
          <w:b/>
        </w:rPr>
        <w:tab/>
      </w:r>
      <w:r>
        <w:rPr>
          <w:rStyle w:val="CharDefText"/>
        </w:rPr>
        <w:t>permit holder</w:t>
      </w:r>
      <w:r>
        <w:t xml:space="preserve"> means a person to whom or which a permit is issued;</w:t>
      </w:r>
    </w:p>
    <w:p>
      <w:pPr>
        <w:pStyle w:val="Defstart"/>
        <w:keepNext/>
      </w:pPr>
      <w:r>
        <w:rPr>
          <w:b/>
        </w:rPr>
        <w:lastRenderedPageBreak/>
        <w:tab/>
      </w:r>
      <w:r>
        <w:rPr>
          <w:rStyle w:val="CharDefText"/>
        </w:rPr>
        <w:t>permitted amusement with prizes</w:t>
      </w:r>
      <w:r>
        <w:t xml:space="preserve"> means an amusement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r>
      <w:r>
        <w:rPr>
          <w:rStyle w:val="CharDefText"/>
        </w:rPr>
        <w:t>permitted bingo</w:t>
      </w:r>
      <w:r>
        <w:t xml:space="preserve"> means bingo conducted under, and which does not contravene, Part V Division 6;</w:t>
      </w:r>
    </w:p>
    <w:p>
      <w:pPr>
        <w:pStyle w:val="Defstart"/>
      </w:pPr>
      <w:r>
        <w:rPr>
          <w:b/>
        </w:rPr>
        <w:tab/>
      </w:r>
      <w:r>
        <w:rPr>
          <w:rStyle w:val="CharDefText"/>
        </w:rPr>
        <w:t>permitted gaming</w:t>
      </w:r>
      <w:r>
        <w:t xml:space="preserve"> means gaming which is conducted under, and in all respects in accordance with, a permit;</w:t>
      </w:r>
    </w:p>
    <w:p>
      <w:pPr>
        <w:pStyle w:val="Defstart"/>
      </w:pPr>
      <w:r>
        <w:rPr>
          <w:b/>
        </w:rPr>
        <w:tab/>
      </w:r>
      <w:r>
        <w:rPr>
          <w:rStyle w:val="CharDefText"/>
        </w:rPr>
        <w:t>permitted lottery</w:t>
      </w:r>
      <w:r>
        <w:t xml:space="preserve"> means a lottery conducted under and which does not contravene Part V Division 7;</w:t>
      </w:r>
    </w:p>
    <w:p>
      <w:pPr>
        <w:pStyle w:val="Defstart"/>
      </w:pPr>
      <w:r>
        <w:rPr>
          <w:b/>
        </w:rPr>
        <w:tab/>
      </w:r>
      <w:r>
        <w:rPr>
          <w:rStyle w:val="CharDefText"/>
        </w:rPr>
        <w:t>permitted two</w:t>
      </w:r>
      <w:r>
        <w:rPr>
          <w:rStyle w:val="CharDefText"/>
        </w:rPr>
        <w:noBreakHyphen/>
        <w:t>up</w:t>
      </w:r>
      <w:r>
        <w:t xml:space="preserve"> means two</w:t>
      </w:r>
      <w:r>
        <w:noBreakHyphen/>
        <w:t>up gaming conducted under, and which does not contravene, Part V Division 4;</w:t>
      </w:r>
    </w:p>
    <w:p>
      <w:pPr>
        <w:pStyle w:val="Defstart"/>
        <w:keepNext/>
      </w:pPr>
      <w:r>
        <w:rPr>
          <w:b/>
        </w:rPr>
        <w:tab/>
      </w:r>
      <w:r>
        <w:rPr>
          <w:rStyle w:val="CharDefText"/>
        </w:rPr>
        <w:t>player</w:t>
      </w:r>
      <w:r>
        <w:t>, in relation to a game of chance, includes any person taking part in the game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r>
      <w:r>
        <w:rPr>
          <w:rStyle w:val="CharDefText"/>
        </w:rPr>
        <w:t>playing</w:t>
      </w:r>
      <w:r>
        <w:t xml:space="preserve"> includes operating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r>
        <w:rPr>
          <w:rStyle w:val="CharDefText"/>
        </w:rPr>
        <w:t>premises</w:t>
      </w:r>
      <w:r>
        <w:t xml:space="preserve"> means any place, whether or not enclosed or otherwise defined by boundaries, and includes any land, building, structure, vehicle, railway vehicle, vessel, or aircraft, or any part thereof;</w:t>
      </w:r>
    </w:p>
    <w:p>
      <w:pPr>
        <w:pStyle w:val="Defstart"/>
      </w:pPr>
      <w:r>
        <w:rPr>
          <w:b/>
        </w:rPr>
        <w:tab/>
      </w:r>
      <w:r>
        <w:rPr>
          <w:rStyle w:val="CharDefText"/>
        </w:rPr>
        <w:t>public place</w:t>
      </w:r>
      <w:r>
        <w:t xml:space="preserve"> includes the doorways or entrances abutting upon, or any ground adjoining and open to, such a place;</w:t>
      </w:r>
    </w:p>
    <w:p>
      <w:pPr>
        <w:pStyle w:val="Defstart"/>
      </w:pPr>
      <w:r>
        <w:rPr>
          <w:b/>
        </w:rPr>
        <w:lastRenderedPageBreak/>
        <w:tab/>
      </w:r>
      <w:r>
        <w:rPr>
          <w:rStyle w:val="CharDefText"/>
        </w:rPr>
        <w:t>race</w:t>
      </w:r>
      <w:r>
        <w:t xml:space="preserve"> means a race of any kind by horses, whether ridden or driven, or by greyhounds;</w:t>
      </w:r>
    </w:p>
    <w:p>
      <w:pPr>
        <w:pStyle w:val="Defstart"/>
      </w:pPr>
      <w:r>
        <w:rPr>
          <w:b/>
        </w:rPr>
        <w:tab/>
      </w:r>
      <w:r>
        <w:rPr>
          <w:rStyle w:val="CharDefText"/>
        </w:rPr>
        <w:t>race club</w:t>
      </w:r>
      <w:r>
        <w:t xml:space="preserve"> means a body which conducts race meetings;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related furnishings</w:t>
      </w:r>
      <w:r>
        <w:t xml:space="preserve"> means any furniture or furnishings or equipment used in, or ancillary to, the conduct of a common gaming house;</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simultaneous bingo</w:t>
      </w:r>
      <w:r>
        <w:t xml:space="preserve"> means bingo played in the circumstances referred to in section 97(1);</w:t>
      </w:r>
    </w:p>
    <w:p>
      <w:pPr>
        <w:pStyle w:val="Defstart"/>
      </w:pPr>
      <w:r>
        <w:rPr>
          <w:b/>
        </w:rPr>
        <w:tab/>
      </w:r>
      <w:r>
        <w:rPr>
          <w:rStyle w:val="CharDefText"/>
        </w:rPr>
        <w:t>social gambling</w:t>
      </w:r>
      <w:r>
        <w:t xml:space="preserve"> means gambling of a kind which by the operation of Part V Division 2 is to be taken to constitute social gambling;</w:t>
      </w:r>
    </w:p>
    <w:p>
      <w:pPr>
        <w:pStyle w:val="Defstart"/>
      </w:pPr>
      <w:r>
        <w:tab/>
      </w:r>
      <w:r>
        <w:rPr>
          <w:rStyle w:val="CharDefText"/>
        </w:rPr>
        <w:t>telecommunication device</w:t>
      </w:r>
      <w:r>
        <w:t xml:space="preserve"> means — </w:t>
      </w:r>
    </w:p>
    <w:p>
      <w:pPr>
        <w:pStyle w:val="Defpara"/>
      </w:pPr>
      <w:r>
        <w:tab/>
        <w:t>(a)</w:t>
      </w:r>
      <w:r>
        <w:tab/>
        <w:t>a computer adapted for communicating by way of the Internet or another communications network; or</w:t>
      </w:r>
    </w:p>
    <w:p>
      <w:pPr>
        <w:pStyle w:val="Defpara"/>
      </w:pPr>
      <w:r>
        <w:tab/>
        <w:t>(b)</w:t>
      </w:r>
      <w:r>
        <w:tab/>
        <w:t>a television receiver adapted to allow the viewer to transmit information by way of a cable television network or another communications network; or</w:t>
      </w:r>
    </w:p>
    <w:p>
      <w:pPr>
        <w:pStyle w:val="Defpara"/>
      </w:pPr>
      <w:r>
        <w:tab/>
        <w:t>(c)</w:t>
      </w:r>
      <w:r>
        <w:tab/>
        <w:t>a telephone; or</w:t>
      </w:r>
    </w:p>
    <w:p>
      <w:pPr>
        <w:pStyle w:val="Defpara"/>
      </w:pPr>
      <w:r>
        <w:tab/>
        <w:t>(d)</w:t>
      </w:r>
      <w:r>
        <w:tab/>
        <w:t>any other electronic device or thing for communicating at a distance;</w:t>
      </w:r>
    </w:p>
    <w:p>
      <w:pPr>
        <w:pStyle w:val="Defstart"/>
        <w:keepNext/>
      </w:pPr>
      <w:r>
        <w:rPr>
          <w:b/>
        </w:rPr>
        <w:tab/>
      </w:r>
      <w:r>
        <w:rPr>
          <w:rStyle w:val="CharDefText"/>
        </w:rPr>
        <w:t>token</w:t>
      </w:r>
      <w:r>
        <w:t xml:space="preserve"> means a gaming chip or other substitute for money which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lastRenderedPageBreak/>
        <w:tab/>
      </w:r>
      <w:r>
        <w:rPr>
          <w:rStyle w:val="CharDefText"/>
        </w:rPr>
        <w:t>trade promotion lottery</w:t>
      </w:r>
      <w:r>
        <w:t xml:space="preserve"> means a lottery conducted to promote the sale of goods or the use of services, in which every participant takes part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rStyle w:val="CharDefText"/>
        </w:rPr>
        <w:t>two</w:t>
      </w:r>
      <w:r>
        <w:rPr>
          <w:rStyle w:val="CharDefText"/>
        </w:rPr>
        <w:noBreakHyphen/>
        <w:t>up</w:t>
      </w:r>
      <w:r>
        <w:t xml:space="preserve"> means two</w:t>
      </w:r>
      <w:r>
        <w:noBreakHyphen/>
        <w:t>up gaming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r>
      <w:r>
        <w:rPr>
          <w:rStyle w:val="CharDefText"/>
        </w:rPr>
        <w:t>unlawful game</w:t>
      </w:r>
      <w:r>
        <w:t xml:space="preserve"> means a game to which section 42(2) applies;</w:t>
      </w:r>
    </w:p>
    <w:p>
      <w:pPr>
        <w:pStyle w:val="Defstart"/>
      </w:pPr>
      <w:r>
        <w:rPr>
          <w:b/>
        </w:rPr>
        <w:tab/>
      </w:r>
      <w:r>
        <w:rPr>
          <w:rStyle w:val="CharDefText"/>
        </w:rPr>
        <w:t>vehicle</w:t>
      </w:r>
      <w:r>
        <w:t xml:space="preserve"> includes every description of vehicle, whether stationary or in motion;</w:t>
      </w:r>
    </w:p>
    <w:p>
      <w:pPr>
        <w:pStyle w:val="Defstart"/>
      </w:pPr>
      <w:r>
        <w:rPr>
          <w:b/>
        </w:rPr>
        <w:tab/>
      </w:r>
      <w:r>
        <w:rPr>
          <w:rStyle w:val="CharDefText"/>
        </w:rPr>
        <w:t>vessel</w:t>
      </w:r>
      <w:r>
        <w:t xml:space="preserve"> includes every description of craft used in navigation;</w:t>
      </w:r>
    </w:p>
    <w:p>
      <w:pPr>
        <w:pStyle w:val="Defstart"/>
      </w:pPr>
      <w:r>
        <w:rPr>
          <w:b/>
        </w:rPr>
        <w:tab/>
      </w:r>
      <w:r>
        <w:rPr>
          <w:rStyle w:val="CharDefText"/>
        </w:rPr>
        <w:t>wagering</w:t>
      </w:r>
      <w:r>
        <w:t xml:space="preserve"> includes the staking or hazarding of money or other value —</w:t>
      </w:r>
    </w:p>
    <w:p>
      <w:pPr>
        <w:pStyle w:val="Defpara"/>
      </w:pPr>
      <w:r>
        <w:tab/>
        <w:t>(a)</w:t>
      </w:r>
      <w:r>
        <w:tab/>
        <w:t>on some question to be decided; or</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t>and the collection or payment of winnings on a wager;</w:t>
      </w:r>
    </w:p>
    <w:p>
      <w:pPr>
        <w:pStyle w:val="Defstart"/>
      </w:pPr>
      <w:r>
        <w:rPr>
          <w:b/>
        </w:rPr>
        <w:tab/>
      </w:r>
      <w:r>
        <w:rPr>
          <w:rStyle w:val="CharDefText"/>
        </w:rPr>
        <w:t>winnings</w:t>
      </w:r>
      <w:r>
        <w:t xml:space="preserve"> includes any prizes or other winnings of any kind.</w:t>
      </w:r>
    </w:p>
    <w:p>
      <w:pPr>
        <w:pStyle w:val="Subsection"/>
        <w:keepNext/>
        <w:rPr>
          <w:snapToGrid w:val="0"/>
        </w:rPr>
      </w:pPr>
      <w:r>
        <w:rPr>
          <w:snapToGrid w:val="0"/>
        </w:rPr>
        <w:lastRenderedPageBreak/>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For the purposes of this Act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For removal of doubt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[Section 3 amended: No. 16 of 1990 s. 33; No. 14 of 1996 s. 4; No. 24 of 1998 s. 33; No. 6 of 2000 s. 9; No. 35 of 2003 s. 123, 166 and 167; No. 41 of 2018 s. 17.]</w:t>
      </w:r>
    </w:p>
    <w:p>
      <w:pPr>
        <w:pStyle w:val="Heading2"/>
      </w:pPr>
      <w:bookmarkStart w:id="9" w:name="_Toc115166546"/>
      <w:bookmarkStart w:id="10" w:name="_Toc115166703"/>
      <w:bookmarkStart w:id="11" w:name="_Toc115267777"/>
      <w:r>
        <w:rPr>
          <w:rStyle w:val="CharPartNo"/>
        </w:rPr>
        <w:lastRenderedPageBreak/>
        <w:t>Part II</w:t>
      </w:r>
      <w:r>
        <w:t> — </w:t>
      </w:r>
      <w:r>
        <w:rPr>
          <w:rStyle w:val="CharPartText"/>
        </w:rPr>
        <w:t>The Commission</w:t>
      </w:r>
      <w:bookmarkEnd w:id="9"/>
      <w:bookmarkEnd w:id="10"/>
      <w:bookmarkEnd w:id="11"/>
    </w:p>
    <w:p>
      <w:pPr>
        <w:pStyle w:val="Heading3"/>
      </w:pPr>
      <w:bookmarkStart w:id="12" w:name="_Toc115166547"/>
      <w:bookmarkStart w:id="13" w:name="_Toc115166704"/>
      <w:bookmarkStart w:id="14" w:name="_Toc115267778"/>
      <w:r>
        <w:rPr>
          <w:rStyle w:val="CharDivNo"/>
        </w:rPr>
        <w:t>Division 1</w:t>
      </w:r>
      <w:r>
        <w:rPr>
          <w:snapToGrid w:val="0"/>
        </w:rPr>
        <w:t> — </w:t>
      </w:r>
      <w:r>
        <w:rPr>
          <w:rStyle w:val="CharDivText"/>
        </w:rPr>
        <w:t>Administration</w:t>
      </w:r>
      <w:bookmarkEnd w:id="12"/>
      <w:bookmarkEnd w:id="13"/>
      <w:bookmarkEnd w:id="14"/>
    </w:p>
    <w:p>
      <w:pPr>
        <w:pStyle w:val="Heading5"/>
        <w:rPr>
          <w:snapToGrid w:val="0"/>
        </w:rPr>
      </w:pPr>
      <w:bookmarkStart w:id="15" w:name="_Toc115267779"/>
      <w:r>
        <w:rPr>
          <w:rStyle w:val="CharSectno"/>
        </w:rPr>
        <w:t>4</w:t>
      </w:r>
      <w:r>
        <w:rPr>
          <w:snapToGrid w:val="0"/>
        </w:rPr>
        <w:t>.</w:t>
      </w:r>
      <w:r>
        <w:rPr>
          <w:snapToGrid w:val="0"/>
        </w:rPr>
        <w:tab/>
        <w:t>Gaming and Wagering Commission established</w:t>
      </w:r>
      <w:bookmarkEnd w:id="15"/>
    </w:p>
    <w:p>
      <w:pPr>
        <w:pStyle w:val="Subsection"/>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w:t>
      </w:r>
    </w:p>
    <w:p>
      <w:pPr>
        <w:pStyle w:val="Indenta"/>
        <w:spacing w:before="70"/>
        <w:rPr>
          <w:snapToGrid w:val="0"/>
        </w:rPr>
      </w:pPr>
      <w:r>
        <w:rPr>
          <w:snapToGrid w:val="0"/>
        </w:rPr>
        <w:tab/>
        <w:t>(a)</w:t>
      </w:r>
      <w:r>
        <w:rPr>
          <w:snapToGrid w:val="0"/>
        </w:rPr>
        <w:tab/>
        <w:t>is a corporate body which under its corporate name —</w:t>
      </w:r>
    </w:p>
    <w:p>
      <w:pPr>
        <w:pStyle w:val="Indenti"/>
        <w:spacing w:before="70"/>
        <w:rPr>
          <w:snapToGrid w:val="0"/>
        </w:rPr>
      </w:pPr>
      <w:r>
        <w:rPr>
          <w:snapToGrid w:val="0"/>
        </w:rPr>
        <w:tab/>
        <w:t>(i)</w:t>
      </w:r>
      <w:r>
        <w:rPr>
          <w:snapToGrid w:val="0"/>
        </w:rPr>
        <w:tab/>
        <w:t>has perpetual succession; and</w:t>
      </w:r>
    </w:p>
    <w:p>
      <w:pPr>
        <w:pStyle w:val="Indenti"/>
        <w:spacing w:before="70"/>
        <w:rPr>
          <w:snapToGrid w:val="0"/>
        </w:rPr>
      </w:pPr>
      <w:r>
        <w:rPr>
          <w:snapToGrid w:val="0"/>
        </w:rPr>
        <w:tab/>
        <w:t>(ii)</w:t>
      </w:r>
      <w:r>
        <w:rPr>
          <w:snapToGrid w:val="0"/>
        </w:rPr>
        <w:tab/>
        <w:t>is capable, subject to this Act, of doing and suffering all that bodies corporate may lawfully do or suffer;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may have a common seal, which shall —</w:t>
      </w:r>
    </w:p>
    <w:p>
      <w:pPr>
        <w:pStyle w:val="Indenti"/>
        <w:spacing w:before="70"/>
        <w:rPr>
          <w:snapToGrid w:val="0"/>
        </w:rPr>
      </w:pPr>
      <w:r>
        <w:rPr>
          <w:snapToGrid w:val="0"/>
        </w:rPr>
        <w:tab/>
        <w:t>(i)</w:t>
      </w:r>
      <w:r>
        <w:rPr>
          <w:snapToGrid w:val="0"/>
        </w:rPr>
        <w:tab/>
        <w:t>be kept in such custody as the Commission directs; and</w:t>
      </w:r>
    </w:p>
    <w:p>
      <w:pPr>
        <w:pStyle w:val="Indenti"/>
        <w:spacing w:before="70"/>
        <w:rPr>
          <w:snapToGrid w:val="0"/>
        </w:rPr>
      </w:pPr>
      <w:r>
        <w:rPr>
          <w:snapToGrid w:val="0"/>
        </w:rPr>
        <w:tab/>
        <w:t>(ii)</w:t>
      </w:r>
      <w:r>
        <w:rPr>
          <w:snapToGrid w:val="0"/>
        </w:rPr>
        <w:tab/>
        <w:t>be used only as authorised by the Commission;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shall be constituted in accordance with section 12.</w:t>
      </w:r>
    </w:p>
    <w:p>
      <w:pPr>
        <w:pStyle w:val="Footnotesection"/>
      </w:pPr>
      <w:r>
        <w:tab/>
        <w:t>[Section 4 amended: No. 35 of 2003 s. 124.]</w:t>
      </w:r>
    </w:p>
    <w:p>
      <w:pPr>
        <w:pStyle w:val="Heading5"/>
        <w:spacing w:before="160"/>
        <w:rPr>
          <w:snapToGrid w:val="0"/>
        </w:rPr>
      </w:pPr>
      <w:bookmarkStart w:id="16" w:name="_Toc115267780"/>
      <w:r>
        <w:rPr>
          <w:rStyle w:val="CharSectno"/>
        </w:rPr>
        <w:t>5</w:t>
      </w:r>
      <w:r>
        <w:rPr>
          <w:snapToGrid w:val="0"/>
        </w:rPr>
        <w:t>.</w:t>
      </w:r>
      <w:r>
        <w:rPr>
          <w:snapToGrid w:val="0"/>
        </w:rPr>
        <w:tab/>
        <w:t>Trading name or symbol, use of by Commission</w:t>
      </w:r>
      <w:bookmarkEnd w:id="16"/>
    </w:p>
    <w:p>
      <w:pPr>
        <w:pStyle w:val="Subsection"/>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rPr>
          <w:snapToGrid w:val="0"/>
        </w:rPr>
      </w:pPr>
      <w:bookmarkStart w:id="17" w:name="_Toc115267781"/>
      <w:r>
        <w:rPr>
          <w:rStyle w:val="CharSectno"/>
        </w:rPr>
        <w:t>6</w:t>
      </w:r>
      <w:r>
        <w:rPr>
          <w:snapToGrid w:val="0"/>
        </w:rPr>
        <w:t>.</w:t>
      </w:r>
      <w:r>
        <w:rPr>
          <w:snapToGrid w:val="0"/>
        </w:rPr>
        <w:tab/>
        <w:t>Minister and Commission, relationship between</w:t>
      </w:r>
      <w:bookmarkEnd w:id="17"/>
      <w:r>
        <w:rPr>
          <w:snapToGrid w:val="0"/>
        </w:rPr>
        <w:t xml:space="preserve"> </w:t>
      </w:r>
    </w:p>
    <w:p>
      <w:pPr>
        <w:pStyle w:val="Subsection"/>
        <w:rPr>
          <w:snapToGrid w:val="0"/>
        </w:rPr>
      </w:pPr>
      <w:r>
        <w:rPr>
          <w:snapToGrid w:val="0"/>
        </w:rPr>
        <w:tab/>
        <w:t>(1)</w:t>
      </w:r>
      <w:r>
        <w:rPr>
          <w:snapToGrid w:val="0"/>
        </w:rPr>
        <w:tab/>
        <w:t>Subject to the Minister, it shall be the function of the Commission to carry out the administration of this Act.</w:t>
      </w:r>
    </w:p>
    <w:p>
      <w:pPr>
        <w:pStyle w:val="Subsection"/>
        <w:rPr>
          <w:snapToGrid w:val="0"/>
        </w:rPr>
      </w:pPr>
      <w:r>
        <w:rPr>
          <w:snapToGrid w:val="0"/>
        </w:rPr>
        <w:lastRenderedPageBreak/>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 xml:space="preserve">Where the Minister has referred a question or matter to the Commission for advice, the Minister may act notwithstanding that the advice has not been </w:t>
      </w:r>
      <w:r>
        <w:t>received.</w:t>
      </w:r>
    </w:p>
    <w:p>
      <w:pPr>
        <w:pStyle w:val="Subsection"/>
      </w:pPr>
      <w:r>
        <w:tab/>
        <w:t>(3A)</w:t>
      </w:r>
      <w:r>
        <w:tab/>
        <w:t>Where advice (including recommendations) is received from the Commission, whether or not at the request or direction of the Minister,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[Section 6 amended: No. 16 of 1990 s. 33; No. 35 of 2003 s. 125 and 166; No. 32 of 2022 s. 10.]</w:t>
      </w:r>
    </w:p>
    <w:p>
      <w:pPr>
        <w:pStyle w:val="Heading3"/>
      </w:pPr>
      <w:bookmarkStart w:id="18" w:name="_Toc115166551"/>
      <w:bookmarkStart w:id="19" w:name="_Toc115166708"/>
      <w:bookmarkStart w:id="20" w:name="_Toc115267782"/>
      <w:r>
        <w:rPr>
          <w:rStyle w:val="CharDivNo"/>
        </w:rPr>
        <w:t>Division 2</w:t>
      </w:r>
      <w:r>
        <w:rPr>
          <w:snapToGrid w:val="0"/>
        </w:rPr>
        <w:t> — </w:t>
      </w:r>
      <w:r>
        <w:rPr>
          <w:rStyle w:val="CharDivText"/>
        </w:rPr>
        <w:t>Duties and powers</w:t>
      </w:r>
      <w:bookmarkEnd w:id="18"/>
      <w:bookmarkEnd w:id="19"/>
      <w:bookmarkEnd w:id="20"/>
    </w:p>
    <w:p>
      <w:pPr>
        <w:pStyle w:val="Heading5"/>
        <w:rPr>
          <w:snapToGrid w:val="0"/>
        </w:rPr>
      </w:pPr>
      <w:bookmarkStart w:id="21" w:name="_Toc115267783"/>
      <w:r>
        <w:rPr>
          <w:rStyle w:val="CharSectno"/>
        </w:rPr>
        <w:t>7</w:t>
      </w:r>
      <w:r>
        <w:rPr>
          <w:snapToGrid w:val="0"/>
        </w:rPr>
        <w:t>.</w:t>
      </w:r>
      <w:r>
        <w:rPr>
          <w:snapToGrid w:val="0"/>
        </w:rPr>
        <w:tab/>
        <w:t>Duties of Commission</w:t>
      </w:r>
      <w:bookmarkEnd w:id="21"/>
    </w:p>
    <w:p>
      <w:pPr>
        <w:pStyle w:val="Subsection"/>
        <w:rPr>
          <w:snapToGrid w:val="0"/>
        </w:rPr>
      </w:pPr>
      <w:r>
        <w:rPr>
          <w:snapToGrid w:val="0"/>
        </w:rPr>
        <w:tab/>
        <w:t>(1)</w:t>
      </w:r>
      <w:r>
        <w:rPr>
          <w:snapToGrid w:val="0"/>
        </w:rPr>
        <w:tab/>
        <w:t>It shall be the duty of the Commission —</w:t>
      </w:r>
    </w:p>
    <w:p>
      <w:pPr>
        <w:pStyle w:val="Indenta"/>
        <w:rPr>
          <w:snapToGrid w:val="0"/>
        </w:rPr>
      </w:pPr>
      <w:r>
        <w:rPr>
          <w:snapToGrid w:val="0"/>
        </w:rPr>
        <w:tab/>
        <w:t>(a)</w:t>
      </w:r>
      <w:r>
        <w:rPr>
          <w:snapToGrid w:val="0"/>
        </w:rPr>
        <w:tab/>
        <w:t>to administer the law relating to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r>
      <w:r>
        <w:tab/>
        <w:t>and</w:t>
      </w:r>
    </w:p>
    <w:p>
      <w:pPr>
        <w:pStyle w:val="Indenta"/>
        <w:keepNext/>
      </w:pPr>
      <w:r>
        <w:lastRenderedPageBreak/>
        <w:tab/>
        <w:t>(b)</w:t>
      </w:r>
      <w:r>
        <w:tab/>
        <w:t>to keep under review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r>
      <w:r>
        <w:tab/>
        <w:t>and</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 and</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 and</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 and</w:t>
      </w:r>
    </w:p>
    <w:p>
      <w:pPr>
        <w:pStyle w:val="Indenta"/>
      </w:pPr>
      <w:r>
        <w:tab/>
        <w:t>(da)</w:t>
      </w:r>
      <w:r>
        <w:tab/>
        <w:t>to perform the functions of the Commission prescribed by or under the RWWA Act and to administer all matters relating to those functions; and</w:t>
      </w:r>
    </w:p>
    <w:p>
      <w:pPr>
        <w:pStyle w:val="Indenta"/>
      </w:pPr>
      <w:r>
        <w:tab/>
        <w:t>(e)</w:t>
      </w:r>
      <w:r>
        <w:tab/>
        <w:t>to cause licences, permits, approvals, authorisations and certificates, as appropriate, to be issued in relation to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r>
      <w:r>
        <w:tab/>
        <w:t>and</w:t>
      </w:r>
    </w:p>
    <w:p>
      <w:pPr>
        <w:pStyle w:val="Ednotepara"/>
      </w:pPr>
      <w:r>
        <w:lastRenderedPageBreak/>
        <w:tab/>
        <w:t>[(ea)</w:t>
      </w:r>
      <w:r>
        <w:tab/>
        <w:t>deleted]</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 and</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 and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No. 35 of 2003 s. 126 and 166; No. 77 of 2006 s. 4; No. 37 of 2018 s. 64.]</w:t>
      </w:r>
    </w:p>
    <w:p>
      <w:pPr>
        <w:pStyle w:val="Heading5"/>
        <w:rPr>
          <w:snapToGrid w:val="0"/>
        </w:rPr>
      </w:pPr>
      <w:bookmarkStart w:id="22" w:name="_Toc115267784"/>
      <w:r>
        <w:rPr>
          <w:rStyle w:val="CharSectno"/>
        </w:rPr>
        <w:t>8</w:t>
      </w:r>
      <w:r>
        <w:rPr>
          <w:snapToGrid w:val="0"/>
        </w:rPr>
        <w:t>.</w:t>
      </w:r>
      <w:r>
        <w:rPr>
          <w:snapToGrid w:val="0"/>
        </w:rPr>
        <w:tab/>
        <w:t>Powers of Commission</w:t>
      </w:r>
      <w:bookmarkEnd w:id="22"/>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keepNext/>
        <w:keepLines/>
        <w:rPr>
          <w:snapToGrid w:val="0"/>
        </w:rPr>
      </w:pPr>
      <w:r>
        <w:rPr>
          <w:snapToGrid w:val="0"/>
        </w:rPr>
        <w:tab/>
        <w:t>(2)</w:t>
      </w:r>
      <w:r>
        <w:rPr>
          <w:snapToGrid w:val="0"/>
        </w:rPr>
        <w:tab/>
        <w:t>Without derogating from the generality of subsection (1), the Commission may —</w:t>
      </w:r>
    </w:p>
    <w:p>
      <w:pPr>
        <w:pStyle w:val="Indenta"/>
        <w:keepLines/>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 and</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r>
        <w:rPr>
          <w:snapToGrid w:val="0"/>
        </w:rPr>
        <w:t xml:space="preserve"> and</w:t>
      </w:r>
    </w:p>
    <w:p>
      <w:pPr>
        <w:pStyle w:val="Indenta"/>
      </w:pPr>
      <w:r>
        <w:lastRenderedPageBreak/>
        <w:tab/>
        <w:t>(c)</w:t>
      </w:r>
      <w:r>
        <w:tab/>
        <w:t>formulate and impose prohibitions or conditions to be applicable to, or in relation to —</w:t>
      </w:r>
    </w:p>
    <w:p>
      <w:pPr>
        <w:pStyle w:val="Indenti"/>
      </w:pPr>
      <w:r>
        <w:tab/>
        <w:t>(i)</w:t>
      </w:r>
      <w:r>
        <w:tab/>
        <w:t>the conduct of gambling;</w:t>
      </w:r>
      <w:r>
        <w:rPr>
          <w:snapToGrid w:val="0"/>
        </w:rPr>
        <w:t xml:space="preserve"> and</w:t>
      </w:r>
    </w:p>
    <w:p>
      <w:pPr>
        <w:pStyle w:val="Indenti"/>
      </w:pPr>
      <w:r>
        <w:tab/>
        <w:t>(ii)</w:t>
      </w:r>
      <w:r>
        <w:tab/>
        <w:t>the types of wagering which may or may not be conducted;</w:t>
      </w:r>
      <w:r>
        <w:rPr>
          <w:snapToGrid w:val="0"/>
        </w:rPr>
        <w:t xml:space="preserve"> and</w:t>
      </w:r>
    </w:p>
    <w:p>
      <w:pPr>
        <w:pStyle w:val="Indenti"/>
      </w:pPr>
      <w:r>
        <w:tab/>
        <w:t>(iii)</w:t>
      </w:r>
      <w:r>
        <w:tab/>
        <w:t>the games which may or may not be played; and</w:t>
      </w:r>
    </w:p>
    <w:p>
      <w:pPr>
        <w:pStyle w:val="Indenti"/>
      </w:pPr>
      <w:r>
        <w:tab/>
        <w:t>(iiia)</w:t>
      </w:r>
      <w:r>
        <w:tab/>
        <w:t>the advertising of live odds during events, whether generally or by specific classes of persons or in a specified manner or place; and</w:t>
      </w:r>
    </w:p>
    <w:p>
      <w:pPr>
        <w:pStyle w:val="Indenti"/>
      </w:pPr>
      <w:r>
        <w:tab/>
        <w:t>(iv)</w:t>
      </w:r>
      <w:r>
        <w:tab/>
        <w:t>the rules under which wagering is to be conducted and games are to be played;</w:t>
      </w:r>
    </w:p>
    <w:p>
      <w:pPr>
        <w:pStyle w:val="Indenta"/>
      </w:pPr>
      <w:r>
        <w:tab/>
      </w:r>
      <w:r>
        <w:tab/>
        <w:t>and</w:t>
      </w:r>
    </w:p>
    <w:p>
      <w:pPr>
        <w:pStyle w:val="Indenta"/>
      </w:pPr>
      <w:r>
        <w:tab/>
        <w:t>(d)</w:t>
      </w:r>
      <w:r>
        <w:tab/>
        <w:t>grant or issue and amend or revoke —</w:t>
      </w:r>
    </w:p>
    <w:p>
      <w:pPr>
        <w:pStyle w:val="Indenti"/>
      </w:pPr>
      <w:r>
        <w:tab/>
        <w:t>(i)</w:t>
      </w:r>
      <w:r>
        <w:tab/>
        <w:t>approvals, permits, certificates and authorisations relating to gambling and the use of premises for gambling;</w:t>
      </w:r>
      <w:r>
        <w:rPr>
          <w:snapToGrid w:val="0"/>
        </w:rPr>
        <w:t xml:space="preserve"> and</w:t>
      </w:r>
    </w:p>
    <w:p>
      <w:pPr>
        <w:pStyle w:val="Indenti"/>
      </w:pPr>
      <w:r>
        <w:tab/>
        <w:t>(ia)</w:t>
      </w:r>
      <w:r>
        <w:tab/>
        <w:t xml:space="preserve">approvals of associates of wagering licensees under the </w:t>
      </w:r>
      <w:r>
        <w:rPr>
          <w:i/>
        </w:rPr>
        <w:t>Betting Control Act 1954</w:t>
      </w:r>
      <w:r>
        <w:t xml:space="preserve"> section 10X; and</w:t>
      </w:r>
    </w:p>
    <w:p>
      <w:pPr>
        <w:pStyle w:val="Indenti"/>
      </w:pPr>
      <w:r>
        <w:tab/>
        <w:t>(ib)</w:t>
      </w:r>
      <w:r>
        <w:tab/>
        <w:t xml:space="preserve">licences of key employees of wagering licensees under regulations made under the </w:t>
      </w:r>
      <w:r>
        <w:rPr>
          <w:i/>
        </w:rPr>
        <w:t>Betting Control Act 1954</w:t>
      </w:r>
      <w:r>
        <w:t xml:space="preserve"> section 8; and</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r>
        <w:rPr>
          <w:snapToGrid w:val="0"/>
        </w:rPr>
        <w:t xml:space="preserve"> and</w:t>
      </w:r>
    </w:p>
    <w:p>
      <w:pPr>
        <w:pStyle w:val="Indenti"/>
      </w:pPr>
      <w:r>
        <w:tab/>
        <w:t>(iv)</w:t>
      </w:r>
      <w:r>
        <w:tab/>
        <w:t>subject to the RWWA Act, licences under that Act relating to directors and key employees;</w:t>
      </w:r>
    </w:p>
    <w:p>
      <w:pPr>
        <w:pStyle w:val="Indenta"/>
      </w:pPr>
      <w:r>
        <w:tab/>
      </w:r>
      <w:r>
        <w:tab/>
        <w:t>and</w:t>
      </w:r>
    </w:p>
    <w:p>
      <w:pPr>
        <w:pStyle w:val="Indenta"/>
      </w:pPr>
      <w:r>
        <w:tab/>
        <w:t>(da)</w:t>
      </w:r>
      <w:r>
        <w:tab/>
        <w:t>take steps to minimise harm to the community, or any part of the community, caused by gambling;</w:t>
      </w:r>
      <w:r>
        <w:rPr>
          <w:snapToGrid w:val="0"/>
        </w:rPr>
        <w:t xml:space="preserve"> and</w:t>
      </w:r>
    </w:p>
    <w:p>
      <w:pPr>
        <w:pStyle w:val="Indenta"/>
        <w:rPr>
          <w:snapToGrid w:val="0"/>
        </w:rPr>
      </w:pPr>
      <w:r>
        <w:rPr>
          <w:snapToGrid w:val="0"/>
        </w:rPr>
        <w:lastRenderedPageBreak/>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No. 35 of 2003 s. 127 and 166; No. 8 of 2009 s. 63; No. 41 of 2018 s. 18; No. 21 of 2019 s. 89.]</w:t>
      </w:r>
    </w:p>
    <w:p>
      <w:pPr>
        <w:pStyle w:val="Heading3"/>
        <w:spacing w:before="220"/>
      </w:pPr>
      <w:bookmarkStart w:id="23" w:name="_Toc115166554"/>
      <w:bookmarkStart w:id="24" w:name="_Toc115166711"/>
      <w:bookmarkStart w:id="25" w:name="_Toc115267785"/>
      <w:r>
        <w:rPr>
          <w:rStyle w:val="CharDivNo"/>
        </w:rPr>
        <w:t>Division 3</w:t>
      </w:r>
      <w:r>
        <w:rPr>
          <w:snapToGrid w:val="0"/>
        </w:rPr>
        <w:t> — </w:t>
      </w:r>
      <w:r>
        <w:rPr>
          <w:rStyle w:val="CharDivText"/>
        </w:rPr>
        <w:t>Finance</w:t>
      </w:r>
      <w:bookmarkEnd w:id="23"/>
      <w:bookmarkEnd w:id="24"/>
      <w:bookmarkEnd w:id="25"/>
    </w:p>
    <w:p>
      <w:pPr>
        <w:pStyle w:val="Heading5"/>
        <w:rPr>
          <w:snapToGrid w:val="0"/>
        </w:rPr>
      </w:pPr>
      <w:bookmarkStart w:id="26" w:name="_Toc115267786"/>
      <w:r>
        <w:rPr>
          <w:rStyle w:val="CharSectno"/>
        </w:rPr>
        <w:t>9</w:t>
      </w:r>
      <w:r>
        <w:rPr>
          <w:snapToGrid w:val="0"/>
        </w:rPr>
        <w:t>.</w:t>
      </w:r>
      <w:r>
        <w:rPr>
          <w:snapToGrid w:val="0"/>
        </w:rPr>
        <w:tab/>
        <w:t>Funds of Commission; financial provisions</w:t>
      </w:r>
      <w:bookmarkEnd w:id="26"/>
    </w:p>
    <w:p>
      <w:pPr>
        <w:pStyle w:val="Subsection"/>
        <w:rPr>
          <w:snapToGrid w:val="0"/>
        </w:rPr>
      </w:pPr>
      <w:r>
        <w:rPr>
          <w:snapToGrid w:val="0"/>
        </w:rPr>
        <w:tab/>
        <w:t>(1)</w:t>
      </w:r>
      <w:r>
        <w:rPr>
          <w:snapToGrid w:val="0"/>
        </w:rPr>
        <w:tab/>
        <w:t>The funds available to the Commission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keepNext/>
        <w:spacing w:before="120"/>
      </w:pPr>
      <w:r>
        <w:tab/>
        <w:t>(2)</w:t>
      </w:r>
      <w:r>
        <w:tab/>
        <w:t>An account called the Gaming and Wagering Commission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r>
      <w:r>
        <w:tab/>
        <w:t>to which the moneys received by the Commission are to be credited.</w:t>
      </w:r>
    </w:p>
    <w:p>
      <w:pPr>
        <w:pStyle w:val="Ednotesubsection"/>
      </w:pPr>
      <w:r>
        <w:lastRenderedPageBreak/>
        <w:tab/>
        <w:t>[(2a)</w:t>
      </w:r>
      <w:r>
        <w:tab/>
        <w:t>deleted]</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w:t>
      </w:r>
    </w:p>
    <w:p>
      <w:pPr>
        <w:pStyle w:val="Indenta"/>
        <w:spacing w:before="60"/>
        <w:rPr>
          <w:snapToGrid w:val="0"/>
        </w:rPr>
      </w:pPr>
      <w:r>
        <w:rPr>
          <w:snapToGrid w:val="0"/>
        </w:rPr>
        <w:tab/>
        <w:t>(a)</w:t>
      </w:r>
      <w:r>
        <w:rPr>
          <w:snapToGrid w:val="0"/>
        </w:rPr>
        <w:tab/>
        <w:t>be controlled by the Commission; and</w:t>
      </w:r>
    </w:p>
    <w:p>
      <w:pPr>
        <w:pStyle w:val="Indenta"/>
        <w:spacing w:before="60"/>
        <w:rPr>
          <w:snapToGrid w:val="0"/>
        </w:rPr>
      </w:pPr>
      <w:r>
        <w:rPr>
          <w:snapToGrid w:val="0"/>
        </w:rPr>
        <w:tab/>
        <w:t>(b)</w:t>
      </w:r>
      <w:r>
        <w:rPr>
          <w:snapToGrid w:val="0"/>
        </w:rPr>
        <w:tab/>
        <w:t>be operated in such manner as the Treasurer approves from time to time; and</w:t>
      </w:r>
    </w:p>
    <w:p>
      <w:pPr>
        <w:pStyle w:val="Indenta"/>
        <w:spacing w:before="60"/>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rPr>
          <w:snapToGrid w:val="0"/>
        </w:rPr>
      </w:pPr>
      <w:r>
        <w:rPr>
          <w:snapToGrid w:val="0"/>
        </w:rPr>
        <w:tab/>
      </w:r>
      <w:r>
        <w:rPr>
          <w:snapToGrid w:val="0"/>
        </w:rPr>
        <w:tab/>
        <w:t>and all expenditure incurred by the Commission shall be drawn from that Account.</w:t>
      </w:r>
    </w:p>
    <w:p>
      <w:pPr>
        <w:pStyle w:val="Subsection"/>
        <w:rPr>
          <w:snapToGrid w:val="0"/>
        </w:rPr>
      </w:pPr>
      <w:r>
        <w:rPr>
          <w:snapToGrid w:val="0"/>
        </w:rPr>
        <w:tab/>
        <w:t>(4)</w:t>
      </w:r>
      <w:r>
        <w:rPr>
          <w:snapToGrid w:val="0"/>
        </w:rPr>
        <w:tab/>
        <w:t>There shall be paid from the moneys from time to time credited to or placed to the credit of the Account —</w:t>
      </w:r>
    </w:p>
    <w:p>
      <w:pPr>
        <w:pStyle w:val="Indenta"/>
        <w:spacing w:before="60"/>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 and</w:t>
      </w:r>
    </w:p>
    <w:p>
      <w:pPr>
        <w:pStyle w:val="Indenta"/>
        <w:spacing w:before="60"/>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Account.</w:t>
      </w:r>
    </w:p>
    <w:p>
      <w:pPr>
        <w:pStyle w:val="Subsection"/>
        <w:rPr>
          <w:snapToGrid w:val="0"/>
        </w:rPr>
      </w:pPr>
      <w:r>
        <w:rPr>
          <w:snapToGrid w:val="0"/>
        </w:rPr>
        <w:tab/>
        <w:t>(5)</w:t>
      </w:r>
      <w:r>
        <w:rPr>
          <w:snapToGrid w:val="0"/>
        </w:rPr>
        <w:tab/>
        <w:t>The Commission shall pay to the Treasurer such amounts, if any, as are fixed by the Treasurer —</w:t>
      </w:r>
    </w:p>
    <w:p>
      <w:pPr>
        <w:pStyle w:val="Indenta"/>
        <w:rPr>
          <w:snapToGrid w:val="0"/>
        </w:rPr>
      </w:pPr>
      <w:r>
        <w:rPr>
          <w:snapToGrid w:val="0"/>
        </w:rPr>
        <w:tab/>
        <w:t>(a)</w:t>
      </w:r>
      <w:r>
        <w:rPr>
          <w:snapToGrid w:val="0"/>
        </w:rPr>
        <w:tab/>
        <w:t>as the interest and sinking fund contributions for each financial year in respect of such proportion of the Consolidated Account as is, or has been, applied for any purpose to which the function of the Commission relates; and</w:t>
      </w:r>
    </w:p>
    <w:p>
      <w:pPr>
        <w:pStyle w:val="Indenta"/>
        <w:keepNext/>
        <w:keepLines/>
        <w:rPr>
          <w:snapToGrid w:val="0"/>
        </w:rPr>
      </w:pPr>
      <w:r>
        <w:rPr>
          <w:snapToGrid w:val="0"/>
        </w:rPr>
        <w:lastRenderedPageBreak/>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ind w:left="890" w:hanging="890"/>
      </w:pPr>
      <w:r>
        <w:tab/>
        <w:t>[Section 9 amended: No. 6 of 1993 s. 11 and 15; No. 49 of 1996 s. 55 and 64; No. 24 of 1998 s. 34(1) and (2); No. 35 of 2003 s. 128 and 166; No. 28 of 2006 s. 402; No. 77 of 2006 s. 4 and Sch. 1 cl. 71(1); No. 37 of 2018 s. 65.]</w:t>
      </w:r>
    </w:p>
    <w:p>
      <w:pPr>
        <w:pStyle w:val="Heading5"/>
        <w:rPr>
          <w:snapToGrid w:val="0"/>
        </w:rPr>
      </w:pPr>
      <w:bookmarkStart w:id="27" w:name="_Toc115267787"/>
      <w:r>
        <w:rPr>
          <w:rStyle w:val="CharSectno"/>
        </w:rPr>
        <w:t>10</w:t>
      </w:r>
      <w:r>
        <w:rPr>
          <w:snapToGrid w:val="0"/>
        </w:rPr>
        <w:t>.</w:t>
      </w:r>
      <w:r>
        <w:rPr>
          <w:snapToGrid w:val="0"/>
        </w:rPr>
        <w:tab/>
      </w:r>
      <w:r>
        <w:rPr>
          <w:i/>
          <w:iCs/>
        </w:rPr>
        <w:t>Financial Management Act 2006</w:t>
      </w:r>
      <w:r>
        <w:t xml:space="preserve"> and </w:t>
      </w:r>
      <w:r>
        <w:rPr>
          <w:i/>
          <w:iCs/>
        </w:rPr>
        <w:t>Auditor General Act 2006</w:t>
      </w:r>
      <w:r>
        <w:rPr>
          <w:iCs/>
        </w:rPr>
        <w:t xml:space="preserve"> apply to Commission</w:t>
      </w:r>
      <w:bookmarkEnd w:id="27"/>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10 amended: No. 77 of 2006 Sch. 1 cl. 71(2).]</w:t>
      </w:r>
    </w:p>
    <w:p>
      <w:pPr>
        <w:pStyle w:val="Heading5"/>
        <w:rPr>
          <w:snapToGrid w:val="0"/>
        </w:rPr>
      </w:pPr>
      <w:bookmarkStart w:id="28" w:name="_Toc115267788"/>
      <w:r>
        <w:rPr>
          <w:rStyle w:val="CharSectno"/>
        </w:rPr>
        <w:t>11</w:t>
      </w:r>
      <w:r>
        <w:rPr>
          <w:snapToGrid w:val="0"/>
        </w:rPr>
        <w:t>.</w:t>
      </w:r>
      <w:r>
        <w:rPr>
          <w:snapToGrid w:val="0"/>
        </w:rPr>
        <w:tab/>
        <w:t>Some dealings by Commission need Treasurer’s approval</w:t>
      </w:r>
      <w:bookmarkEnd w:id="28"/>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pPr>
      <w:bookmarkStart w:id="29" w:name="_Toc115166558"/>
      <w:bookmarkStart w:id="30" w:name="_Toc115166715"/>
      <w:bookmarkStart w:id="31" w:name="_Toc115267789"/>
      <w:r>
        <w:rPr>
          <w:rStyle w:val="CharDivNo"/>
        </w:rPr>
        <w:lastRenderedPageBreak/>
        <w:t>Division 4</w:t>
      </w:r>
      <w:r>
        <w:rPr>
          <w:snapToGrid w:val="0"/>
        </w:rPr>
        <w:t> — </w:t>
      </w:r>
      <w:r>
        <w:rPr>
          <w:rStyle w:val="CharDivText"/>
        </w:rPr>
        <w:t>Membership, co</w:t>
      </w:r>
      <w:r>
        <w:rPr>
          <w:rStyle w:val="CharDivText"/>
        </w:rPr>
        <w:noBreakHyphen/>
        <w:t>option, consultation and committees</w:t>
      </w:r>
      <w:bookmarkEnd w:id="29"/>
      <w:bookmarkEnd w:id="30"/>
      <w:bookmarkEnd w:id="31"/>
    </w:p>
    <w:p>
      <w:pPr>
        <w:pStyle w:val="Heading5"/>
        <w:rPr>
          <w:snapToGrid w:val="0"/>
        </w:rPr>
      </w:pPr>
      <w:bookmarkStart w:id="32" w:name="_Toc115267790"/>
      <w:r>
        <w:rPr>
          <w:rStyle w:val="CharSectno"/>
        </w:rPr>
        <w:t>12</w:t>
      </w:r>
      <w:r>
        <w:rPr>
          <w:snapToGrid w:val="0"/>
        </w:rPr>
        <w:t>.</w:t>
      </w:r>
      <w:r>
        <w:rPr>
          <w:snapToGrid w:val="0"/>
        </w:rPr>
        <w:tab/>
        <w:t>Members of Commission, attendance at meetings etc.</w:t>
      </w:r>
      <w:bookmarkEnd w:id="32"/>
    </w:p>
    <w:p>
      <w:pPr>
        <w:pStyle w:val="Subsection"/>
      </w:pPr>
      <w:r>
        <w:tab/>
        <w:t>(1)</w:t>
      </w:r>
      <w:r>
        <w:tab/>
        <w:t>The membership of the Commission shall comprise —</w:t>
      </w:r>
    </w:p>
    <w:p>
      <w:pPr>
        <w:pStyle w:val="Indenta"/>
      </w:pPr>
      <w:r>
        <w:tab/>
        <w:t>(a)</w:t>
      </w:r>
      <w:r>
        <w:tab/>
        <w:t>the chairperson, appointed by the Minister; and</w:t>
      </w:r>
    </w:p>
    <w:p>
      <w:pPr>
        <w:pStyle w:val="Indenta"/>
      </w:pPr>
      <w:r>
        <w:tab/>
        <w:t>(b)</w:t>
      </w:r>
      <w:r>
        <w:tab/>
        <w:t>not less than 5, nor more than 7, other members, appointed by the Minister,</w:t>
      </w:r>
    </w:p>
    <w:p>
      <w:pPr>
        <w:pStyle w:val="Subsection"/>
      </w:pPr>
      <w:r>
        <w:tab/>
      </w:r>
      <w:r>
        <w:tab/>
        <w:t xml:space="preserve">and the Minister shall cause notice of the appointments to be published in the </w:t>
      </w:r>
      <w:r>
        <w:rPr>
          <w:i/>
        </w:rPr>
        <w:t>Gazette</w:t>
      </w:r>
      <w:r>
        <w:t>.</w:t>
      </w:r>
    </w:p>
    <w:p>
      <w:pPr>
        <w:pStyle w:val="Subsection"/>
      </w:pPr>
      <w:r>
        <w:tab/>
        <w:t>(2)</w:t>
      </w:r>
      <w:r>
        <w:tab/>
        <w:t>Members appointed under subsection (1) shall be persons who, in the opinion of the Minister, are persons of integrity, good repute and relevant experience.</w:t>
      </w:r>
    </w:p>
    <w:p>
      <w:pPr>
        <w:pStyle w:val="Subsection"/>
      </w:pPr>
      <w:r>
        <w:tab/>
        <w:t>(2A)</w:t>
      </w:r>
      <w:r>
        <w:tab/>
        <w:t>The members of the Commission must select one of their number to be the deputy chairperson.</w:t>
      </w:r>
    </w:p>
    <w:p>
      <w:pPr>
        <w:pStyle w:val="Subsection"/>
      </w:pPr>
      <w:r>
        <w:tab/>
        <w:t>(2B)</w:t>
      </w:r>
      <w:r>
        <w:tab/>
        <w:t>If the chairperson is unable to act because of absence or incapacity, or the office of chairperson is vacant, the deputy chairperson must act in the chairperson’s place.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w:t>
      </w:r>
    </w:p>
    <w:p>
      <w:pPr>
        <w:pStyle w:val="Ednotepara"/>
        <w:spacing w:before="8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xml:space="preserve">, the person appointed under this subsection is entitled to attend any meeting of the Commission at which the member to whom that person is </w:t>
      </w:r>
      <w:r>
        <w:rPr>
          <w:snapToGrid w:val="0"/>
        </w:rPr>
        <w:lastRenderedPageBreak/>
        <w:t>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xml:space="preserve">, and of </w:t>
      </w:r>
      <w:r>
        <w:t>the deputy</w:t>
      </w:r>
      <w:r>
        <w:rPr>
          <w:snapToGrid w:val="0"/>
        </w:rPr>
        <w:t xml:space="preserve"> </w:t>
      </w:r>
      <w:r>
        <w:t>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pPr>
      <w:r>
        <w:tab/>
        <w:t>(5A)</w:t>
      </w:r>
      <w:r>
        <w:tab/>
        <w:t>Subject to this Act, the chairperson holds office for the period, not exceeding 5 years, specified in their instrument of appointment, and is eligible for reappointment.</w:t>
      </w:r>
    </w:p>
    <w:p>
      <w:pPr>
        <w:pStyle w:val="Subsection"/>
        <w:rPr>
          <w:snapToGrid w:val="0"/>
        </w:rPr>
      </w:pPr>
      <w:r>
        <w:rPr>
          <w:snapToGrid w:val="0"/>
        </w:rPr>
        <w:tab/>
        <w:t>(6)</w:t>
      </w:r>
      <w:r>
        <w:rPr>
          <w:snapToGrid w:val="0"/>
        </w:rPr>
        <w:tab/>
        <w:t xml:space="preserve">Subject to this Act, a member </w:t>
      </w:r>
      <w:r>
        <w:t xml:space="preserve">appointed under subsection (1)(b) holds </w:t>
      </w:r>
      <w:r>
        <w:rPr>
          <w:snapToGrid w:val="0"/>
        </w:rPr>
        <w:t>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 xml:space="preserve">If at any time </w:t>
      </w:r>
      <w:r>
        <w:t xml:space="preserve">a member appointed under subsection (1)(b) </w:t>
      </w:r>
      <w:r>
        <w:rPr>
          <w:snapToGrid w:val="0"/>
        </w:rPr>
        <w:t>ceases to hold office, a person who is at that time the deputy of that member shall until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 xml:space="preserve">both a member </w:t>
      </w:r>
      <w:r>
        <w:t xml:space="preserve">appointed under subsection (1)(b) </w:t>
      </w:r>
      <w:r>
        <w:rPr>
          <w:snapToGrid w:val="0"/>
        </w:rPr>
        <w:t>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lastRenderedPageBreak/>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pPr>
      <w:r>
        <w:tab/>
        <w:t>(10)</w:t>
      </w:r>
      <w:r>
        <w:tab/>
        <w:t>An act or omission of a person acting in place of another under this section cannot be questioned on the ground that the occasion for acting had not arisen or had ceased.</w:t>
      </w:r>
    </w:p>
    <w:p>
      <w:pPr>
        <w:pStyle w:val="Subsection"/>
        <w:keepNext/>
        <w:rPr>
          <w:snapToGrid w:val="0"/>
        </w:rPr>
      </w:pPr>
      <w:r>
        <w:rPr>
          <w:snapToGrid w:val="0"/>
        </w:rPr>
        <w:tab/>
        <w:t>(11)</w:t>
      </w:r>
      <w:r>
        <w:rPr>
          <w:snapToGrid w:val="0"/>
        </w:rPr>
        <w:tab/>
        <w:t>If a member of the Commission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lastRenderedPageBreak/>
        <w:tab/>
        <w:t>(13)</w:t>
      </w:r>
      <w:r>
        <w:rPr>
          <w:snapToGrid w:val="0"/>
        </w:rPr>
        <w:tab/>
        <w:t>A person who is or has been a member is not personally liable for any act done or omitted to be done in good faith by the Commission or by that person in acting as a member.</w:t>
      </w:r>
    </w:p>
    <w:p>
      <w:pPr>
        <w:pStyle w:val="Subsection"/>
      </w:pPr>
      <w:r>
        <w:tab/>
        <w:t>(14)</w:t>
      </w:r>
      <w:r>
        <w:tab/>
        <w:t xml:space="preserve">Until a person is appointed to the office of chairperson under subsection (1), as amended by the </w:t>
      </w:r>
      <w:r>
        <w:rPr>
          <w:i/>
        </w:rPr>
        <w:t>Casino Legislation Amendment (Burswood Casino) Act 2022</w:t>
      </w:r>
      <w:r>
        <w:t xml:space="preserve"> section 11, the chief executive officer of the Department is, ex officio, the chairperson of the Commission.</w:t>
      </w:r>
    </w:p>
    <w:p>
      <w:pPr>
        <w:pStyle w:val="Footnotesection"/>
      </w:pPr>
      <w:r>
        <w:tab/>
        <w:t>[Section 12 amended: No. 16 of 1990 s. 33; No. 24 of 1998 s. 35; No. 10 of 2001 s. 85; No. 35 of 2003 s. 129 and 168; No. 25 of 2014 s. 62; No. 32 of 2022 s. 11.]</w:t>
      </w:r>
    </w:p>
    <w:p>
      <w:pPr>
        <w:pStyle w:val="Heading5"/>
        <w:rPr>
          <w:snapToGrid w:val="0"/>
        </w:rPr>
      </w:pPr>
      <w:bookmarkStart w:id="33" w:name="_Toc115267791"/>
      <w:r>
        <w:rPr>
          <w:rStyle w:val="CharSectno"/>
        </w:rPr>
        <w:t>13</w:t>
      </w:r>
      <w:r>
        <w:rPr>
          <w:snapToGrid w:val="0"/>
        </w:rPr>
        <w:t>.</w:t>
      </w:r>
      <w:r>
        <w:rPr>
          <w:snapToGrid w:val="0"/>
        </w:rPr>
        <w:tab/>
        <w:t>Remuneration of members; effect of service with Commission on public servants</w:t>
      </w:r>
      <w:bookmarkEnd w:id="33"/>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w:t>
      </w:r>
      <w:r>
        <w:t xml:space="preserve"> Public Sector Commissioner</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xml:space="preserve">, or any other Act applying to persons as officers of the Public Service of the State, applicable to that person, or affect or prejudice the application to that person of those provisions if </w:t>
      </w:r>
      <w:r>
        <w:rPr>
          <w:snapToGrid w:val="0"/>
        </w:rPr>
        <w:lastRenderedPageBreak/>
        <w:t>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[Section 13 amended: No. 32 of 1994 s. 19; No. 24 of 1998 s. 36; No. 39 of 2010 s. 89.]</w:t>
      </w:r>
    </w:p>
    <w:p>
      <w:pPr>
        <w:pStyle w:val="Heading5"/>
        <w:rPr>
          <w:snapToGrid w:val="0"/>
        </w:rPr>
      </w:pPr>
      <w:bookmarkStart w:id="34" w:name="_Toc115267792"/>
      <w:r>
        <w:rPr>
          <w:rStyle w:val="CharSectno"/>
        </w:rPr>
        <w:t>14</w:t>
      </w:r>
      <w:r>
        <w:rPr>
          <w:snapToGrid w:val="0"/>
        </w:rPr>
        <w:t>.</w:t>
      </w:r>
      <w:r>
        <w:rPr>
          <w:snapToGrid w:val="0"/>
        </w:rPr>
        <w:tab/>
        <w:t>Co</w:t>
      </w:r>
      <w:r>
        <w:rPr>
          <w:snapToGrid w:val="0"/>
        </w:rPr>
        <w:noBreakHyphen/>
        <w:t>option, consultation etc., Commission’s powers as to</w:t>
      </w:r>
      <w:bookmarkEnd w:id="34"/>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35" w:name="_Toc115267793"/>
      <w:r>
        <w:rPr>
          <w:rStyle w:val="CharSectno"/>
        </w:rPr>
        <w:t>15</w:t>
      </w:r>
      <w:r>
        <w:rPr>
          <w:snapToGrid w:val="0"/>
        </w:rPr>
        <w:t>.</w:t>
      </w:r>
      <w:r>
        <w:rPr>
          <w:snapToGrid w:val="0"/>
        </w:rPr>
        <w:tab/>
        <w:t>Committees, appointment of etc.</w:t>
      </w:r>
      <w:bookmarkEnd w:id="35"/>
    </w:p>
    <w:p>
      <w:pPr>
        <w:pStyle w:val="Subsection"/>
        <w:spacing w:before="130"/>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spacing w:before="130"/>
        <w:rPr>
          <w:snapToGrid w:val="0"/>
        </w:rPr>
      </w:pPr>
      <w:r>
        <w:rPr>
          <w:snapToGrid w:val="0"/>
        </w:rPr>
        <w:lastRenderedPageBreak/>
        <w:tab/>
        <w:t>(2)</w:t>
      </w:r>
      <w:r>
        <w:rPr>
          <w:snapToGrid w:val="0"/>
        </w:rPr>
        <w:tab/>
        <w:t>The carrying out of any duty or the exercise of any power by a committee of the Commission does not relieve the Commission of the responsibility for the decisions of that committee.</w:t>
      </w:r>
    </w:p>
    <w:p>
      <w:pPr>
        <w:pStyle w:val="Subsection"/>
        <w:spacing w:before="130"/>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spacing w:before="130"/>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spacing w:before="80"/>
        <w:ind w:left="890" w:hanging="890"/>
      </w:pPr>
      <w:r>
        <w:tab/>
        <w:t>[Section 15 amended: No. 35 of 2003 s. 130.]</w:t>
      </w:r>
    </w:p>
    <w:p>
      <w:pPr>
        <w:pStyle w:val="Heading5"/>
        <w:spacing w:before="200"/>
        <w:rPr>
          <w:snapToGrid w:val="0"/>
        </w:rPr>
      </w:pPr>
      <w:bookmarkStart w:id="36" w:name="_Toc115267794"/>
      <w:r>
        <w:rPr>
          <w:rStyle w:val="CharSectno"/>
        </w:rPr>
        <w:t>16</w:t>
      </w:r>
      <w:r>
        <w:rPr>
          <w:snapToGrid w:val="0"/>
        </w:rPr>
        <w:t>.</w:t>
      </w:r>
      <w:r>
        <w:rPr>
          <w:snapToGrid w:val="0"/>
        </w:rPr>
        <w:tab/>
        <w:t>Delegation powers</w:t>
      </w:r>
      <w:bookmarkEnd w:id="36"/>
    </w:p>
    <w:p>
      <w:pPr>
        <w:pStyle w:val="Subsection"/>
        <w:spacing w:before="140"/>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w:t>
      </w:r>
    </w:p>
    <w:p>
      <w:pPr>
        <w:pStyle w:val="Indenta"/>
        <w:spacing w:before="60"/>
        <w:rPr>
          <w:snapToGrid w:val="0"/>
        </w:rPr>
      </w:pPr>
      <w:r>
        <w:rPr>
          <w:snapToGrid w:val="0"/>
        </w:rPr>
        <w:tab/>
        <w:t>(a)</w:t>
      </w:r>
      <w:r>
        <w:rPr>
          <w:snapToGrid w:val="0"/>
        </w:rPr>
        <w:tab/>
        <w:t>a member or a committee of the Commission; or</w:t>
      </w:r>
    </w:p>
    <w:p>
      <w:pPr>
        <w:pStyle w:val="Indenta"/>
        <w:spacing w:before="60"/>
        <w:rPr>
          <w:snapToGrid w:val="0"/>
        </w:rPr>
      </w:pPr>
      <w:r>
        <w:rPr>
          <w:snapToGrid w:val="0"/>
        </w:rPr>
        <w:tab/>
        <w:t>(b)</w:t>
      </w:r>
      <w:r>
        <w:rPr>
          <w:snapToGrid w:val="0"/>
        </w:rPr>
        <w:tab/>
        <w:t>the Chief Casino Officer, or a government inspector; or</w:t>
      </w:r>
    </w:p>
    <w:p>
      <w:pPr>
        <w:pStyle w:val="Indenta"/>
        <w:spacing w:before="60"/>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spacing w:before="120"/>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lastRenderedPageBreak/>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government inspector</w:t>
      </w:r>
      <w:r>
        <w:t xml:space="preserve"> and </w:t>
      </w:r>
      <w:r>
        <w:rPr>
          <w:rStyle w:val="CharDefText"/>
        </w:rPr>
        <w:t>Chief Casino Officer</w:t>
      </w:r>
      <w:r>
        <w:t xml:space="preserve"> have the meanings given in the </w:t>
      </w:r>
      <w:r>
        <w:rPr>
          <w:i/>
        </w:rPr>
        <w:t>Casino Control Act 1984</w:t>
      </w:r>
      <w:r>
        <w:t>.</w:t>
      </w:r>
    </w:p>
    <w:p>
      <w:pPr>
        <w:pStyle w:val="Footnotesection"/>
      </w:pPr>
      <w:r>
        <w:tab/>
        <w:t>[Section 16 amended: No. 24 of 1998 s. 37; No. 35 of 2003 s. 131.]</w:t>
      </w:r>
    </w:p>
    <w:p>
      <w:pPr>
        <w:pStyle w:val="Heading3"/>
      </w:pPr>
      <w:bookmarkStart w:id="37" w:name="_Toc115166564"/>
      <w:bookmarkStart w:id="38" w:name="_Toc115166721"/>
      <w:bookmarkStart w:id="39" w:name="_Toc115267795"/>
      <w:r>
        <w:rPr>
          <w:rStyle w:val="CharDivNo"/>
        </w:rPr>
        <w:t>Division 5</w:t>
      </w:r>
      <w:r>
        <w:rPr>
          <w:snapToGrid w:val="0"/>
        </w:rPr>
        <w:t> — </w:t>
      </w:r>
      <w:r>
        <w:rPr>
          <w:rStyle w:val="CharDivText"/>
        </w:rPr>
        <w:t>Proceedings</w:t>
      </w:r>
      <w:bookmarkEnd w:id="37"/>
      <w:bookmarkEnd w:id="38"/>
      <w:bookmarkEnd w:id="39"/>
    </w:p>
    <w:p>
      <w:pPr>
        <w:pStyle w:val="Heading5"/>
        <w:rPr>
          <w:snapToGrid w:val="0"/>
        </w:rPr>
      </w:pPr>
      <w:bookmarkStart w:id="40" w:name="_Toc115267796"/>
      <w:r>
        <w:rPr>
          <w:rStyle w:val="CharSectno"/>
        </w:rPr>
        <w:t>17</w:t>
      </w:r>
      <w:r>
        <w:rPr>
          <w:snapToGrid w:val="0"/>
        </w:rPr>
        <w:t>.</w:t>
      </w:r>
      <w:r>
        <w:rPr>
          <w:snapToGrid w:val="0"/>
        </w:rPr>
        <w:tab/>
        <w:t>Proceedings, meetings, declaring interests etc.</w:t>
      </w:r>
      <w:bookmarkEnd w:id="40"/>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lastRenderedPageBreak/>
        <w:tab/>
        <w:t>(5)</w:t>
      </w:r>
      <w:r>
        <w:rPr>
          <w:snapToGrid w:val="0"/>
        </w:rPr>
        <w:tab/>
        <w:t>A member who has a direct or indirect pecuniary interest in a matter referred to the Commission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No. 35 of 2003 s. 168.]</w:t>
      </w:r>
    </w:p>
    <w:p>
      <w:pPr>
        <w:pStyle w:val="Heading3"/>
      </w:pPr>
      <w:bookmarkStart w:id="41" w:name="_Toc115166566"/>
      <w:bookmarkStart w:id="42" w:name="_Toc115166723"/>
      <w:bookmarkStart w:id="43" w:name="_Toc115267797"/>
      <w:r>
        <w:rPr>
          <w:rStyle w:val="CharDivNo"/>
        </w:rPr>
        <w:t>Division 6</w:t>
      </w:r>
      <w:r>
        <w:rPr>
          <w:snapToGrid w:val="0"/>
        </w:rPr>
        <w:t> — </w:t>
      </w:r>
      <w:r>
        <w:rPr>
          <w:rStyle w:val="CharDivText"/>
        </w:rPr>
        <w:t>Staff, etc.</w:t>
      </w:r>
      <w:bookmarkEnd w:id="41"/>
      <w:bookmarkEnd w:id="42"/>
      <w:bookmarkEnd w:id="43"/>
    </w:p>
    <w:p>
      <w:pPr>
        <w:pStyle w:val="Heading5"/>
        <w:rPr>
          <w:snapToGrid w:val="0"/>
        </w:rPr>
      </w:pPr>
      <w:bookmarkStart w:id="44" w:name="_Toc115267798"/>
      <w:r>
        <w:rPr>
          <w:rStyle w:val="CharSectno"/>
        </w:rPr>
        <w:t>18</w:t>
      </w:r>
      <w:r>
        <w:rPr>
          <w:snapToGrid w:val="0"/>
        </w:rPr>
        <w:t>.</w:t>
      </w:r>
      <w:r>
        <w:rPr>
          <w:snapToGrid w:val="0"/>
        </w:rPr>
        <w:tab/>
        <w:t>Staff, contractors etc.; Commission may ask Commissioner of Police to inquire etc. into various matters</w:t>
      </w:r>
      <w:bookmarkEnd w:id="44"/>
    </w:p>
    <w:p>
      <w:pPr>
        <w:pStyle w:val="Subsection"/>
      </w:pPr>
      <w:r>
        <w:tab/>
        <w:t>(1)</w:t>
      </w:r>
      <w:r>
        <w:tab/>
        <w:t>The Commission may by arrangement with the relevant employing authority make use, either full</w:t>
      </w:r>
      <w:r>
        <w:noBreakHyphen/>
        <w:t>time or part</w:t>
      </w:r>
      <w:r>
        <w:noBreakHyphen/>
        <w:t>time, of the services of any officer or employee —</w:t>
      </w:r>
    </w:p>
    <w:p>
      <w:pPr>
        <w:pStyle w:val="Indenta"/>
      </w:pPr>
      <w:r>
        <w:tab/>
        <w:t>(a)</w:t>
      </w:r>
      <w:r>
        <w:tab/>
        <w:t>in the Public Service; or</w:t>
      </w:r>
    </w:p>
    <w:p>
      <w:pPr>
        <w:pStyle w:val="Indenta"/>
      </w:pPr>
      <w:r>
        <w:lastRenderedPageBreak/>
        <w:tab/>
        <w:t>(b)</w:t>
      </w:r>
      <w:r>
        <w:tab/>
        <w:t>in a State agency or instrumentality; or</w:t>
      </w:r>
    </w:p>
    <w:p>
      <w:pPr>
        <w:pStyle w:val="Indenta"/>
      </w:pPr>
      <w:r>
        <w:tab/>
        <w:t>(c)</w:t>
      </w:r>
      <w:r>
        <w:tab/>
        <w:t>otherwise in the service of the Crown in right of the State.</w:t>
      </w:r>
    </w:p>
    <w:p>
      <w:pPr>
        <w:pStyle w:val="Subsection"/>
      </w:pPr>
      <w:r>
        <w:tab/>
        <w:t>(1a)</w:t>
      </w:r>
      <w:r>
        <w:tab/>
        <w:t>The Commission may by arrangement with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In subsections (1) and (1a) —</w:t>
      </w:r>
    </w:p>
    <w:p>
      <w:pPr>
        <w:pStyle w:val="Defstart"/>
      </w:pPr>
      <w:r>
        <w:rPr>
          <w:b/>
        </w:rPr>
        <w:tab/>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meanings as they have in that Act.</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w:t>
      </w:r>
    </w:p>
    <w:p>
      <w:pPr>
        <w:pStyle w:val="Indenta"/>
        <w:spacing w:before="76"/>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xml:space="preserve">, the </w:t>
      </w:r>
      <w:r>
        <w:lastRenderedPageBreak/>
        <w:t>RWWA Act or any other</w:t>
      </w:r>
      <w:r>
        <w:rPr>
          <w:snapToGrid w:val="0"/>
        </w:rPr>
        <w:t xml:space="preserve"> written law that relates to</w:t>
      </w:r>
      <w:r>
        <w:t xml:space="preserve"> gambling</w:t>
      </w:r>
      <w:r>
        <w:rPr>
          <w:snapToGrid w:val="0"/>
        </w:rPr>
        <w:t>; and</w:t>
      </w:r>
    </w:p>
    <w:p>
      <w:pPr>
        <w:pStyle w:val="Indenta"/>
        <w:spacing w:before="76"/>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 and</w:t>
      </w:r>
    </w:p>
    <w:p>
      <w:pPr>
        <w:pStyle w:val="Indenta"/>
        <w:keepNext/>
        <w:keepLines/>
        <w:spacing w:before="76"/>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 and</w:t>
      </w:r>
    </w:p>
    <w:p>
      <w:pPr>
        <w:pStyle w:val="Indenta"/>
        <w:spacing w:before="76"/>
      </w:pPr>
      <w:r>
        <w:tab/>
        <w:t>(ca)</w:t>
      </w:r>
      <w:r>
        <w:tab/>
        <w:t>the suitability of —</w:t>
      </w:r>
    </w:p>
    <w:p>
      <w:pPr>
        <w:pStyle w:val="Indenti"/>
        <w:spacing w:before="76"/>
      </w:pPr>
      <w:r>
        <w:tab/>
        <w:t>(i)</w:t>
      </w:r>
      <w:r>
        <w:tab/>
        <w:t xml:space="preserve">such a person to conduct, or to be concerned in the conduct of, wagering under the </w:t>
      </w:r>
      <w:r>
        <w:rPr>
          <w:i/>
        </w:rPr>
        <w:t>Betting Control Act 1954</w:t>
      </w:r>
      <w:r>
        <w:t xml:space="preserve"> or the RWWA Act; or</w:t>
      </w:r>
    </w:p>
    <w:p>
      <w:pPr>
        <w:pStyle w:val="Indenti"/>
        <w:spacing w:before="76"/>
      </w:pPr>
      <w:r>
        <w:tab/>
        <w:t>(ii)</w:t>
      </w:r>
      <w:r>
        <w:tab/>
        <w:t>any individual appointed on behalf of such a person, whether as a nominee or otherwise; or</w:t>
      </w:r>
    </w:p>
    <w:p>
      <w:pPr>
        <w:pStyle w:val="Indenti"/>
        <w:spacing w:before="76"/>
      </w:pPr>
      <w:r>
        <w:tab/>
        <w:t>(iii)</w:t>
      </w:r>
      <w:r>
        <w:tab/>
        <w:t>a person for whom another acts, whether as a nominee or otherwise;</w:t>
      </w:r>
    </w:p>
    <w:p>
      <w:pPr>
        <w:pStyle w:val="Indenta"/>
        <w:spacing w:before="76"/>
      </w:pPr>
      <w:r>
        <w:tab/>
      </w:r>
      <w:r>
        <w:tab/>
        <w:t>and</w:t>
      </w:r>
    </w:p>
    <w:p>
      <w:pPr>
        <w:pStyle w:val="Indenta"/>
        <w:spacing w:before="76"/>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 and</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w:t>
      </w:r>
      <w:r>
        <w:rPr>
          <w:snapToGrid w:val="0"/>
        </w:rPr>
        <w:lastRenderedPageBreak/>
        <w:t xml:space="preserve">used in connection with </w:t>
      </w:r>
      <w:r>
        <w:t>gambling</w:t>
      </w:r>
      <w:r>
        <w:rPr>
          <w:snapToGrid w:val="0"/>
        </w:rPr>
        <w:t xml:space="preserve"> or suspected</w:t>
      </w:r>
      <w:r>
        <w:t xml:space="preserve"> gambling</w:t>
      </w:r>
      <w:r>
        <w:rPr>
          <w:snapToGrid w:val="0"/>
        </w:rPr>
        <w:t>, or intended to be so used; and</w:t>
      </w:r>
    </w:p>
    <w:p>
      <w:pPr>
        <w:pStyle w:val="Indenta"/>
        <w:rPr>
          <w:snapToGrid w:val="0"/>
        </w:rPr>
      </w:pPr>
      <w:r>
        <w:rPr>
          <w:snapToGrid w:val="0"/>
        </w:rPr>
        <w:tab/>
        <w:t>(e)</w:t>
      </w:r>
      <w:r>
        <w:rPr>
          <w:snapToGrid w:val="0"/>
        </w:rPr>
        <w:tab/>
        <w:t>any matter concerning a licensed casino; and</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[Section 18 amended: No. 32 of 1994 s. 19; No. 24 of 1998 s. 38; No. 35 of 2003 s. 132 and 166.]</w:t>
      </w:r>
    </w:p>
    <w:p>
      <w:pPr>
        <w:pStyle w:val="Heading5"/>
        <w:spacing w:before="160"/>
        <w:rPr>
          <w:snapToGrid w:val="0"/>
        </w:rPr>
      </w:pPr>
      <w:bookmarkStart w:id="45" w:name="_Toc115267799"/>
      <w:r>
        <w:rPr>
          <w:rStyle w:val="CharSectno"/>
        </w:rPr>
        <w:t>19</w:t>
      </w:r>
      <w:r>
        <w:rPr>
          <w:snapToGrid w:val="0"/>
        </w:rPr>
        <w:t>.</w:t>
      </w:r>
      <w:r>
        <w:rPr>
          <w:snapToGrid w:val="0"/>
        </w:rPr>
        <w:tab/>
        <w:t>Government departments, statutory bodies etc. to assist Commission</w:t>
      </w:r>
      <w:bookmarkEnd w:id="45"/>
    </w:p>
    <w:p>
      <w:pPr>
        <w:pStyle w:val="Subsection"/>
        <w:spacing w:before="100"/>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spacing w:before="100"/>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spacing w:before="100"/>
        <w:ind w:left="890" w:hanging="890"/>
      </w:pPr>
      <w:r>
        <w:tab/>
        <w:t>[Section 19 amended: No. 32 of 1994 s. 19; No. 14 of 1996 s. 4; No. 35 of 2003 s. 133.]</w:t>
      </w:r>
    </w:p>
    <w:p>
      <w:pPr>
        <w:pStyle w:val="Heading5"/>
        <w:spacing w:before="180"/>
        <w:rPr>
          <w:snapToGrid w:val="0"/>
        </w:rPr>
      </w:pPr>
      <w:bookmarkStart w:id="46" w:name="_Toc115267800"/>
      <w:r>
        <w:rPr>
          <w:rStyle w:val="CharSectno"/>
        </w:rPr>
        <w:lastRenderedPageBreak/>
        <w:t>20</w:t>
      </w:r>
      <w:r>
        <w:rPr>
          <w:snapToGrid w:val="0"/>
        </w:rPr>
        <w:t>.</w:t>
      </w:r>
      <w:r>
        <w:rPr>
          <w:snapToGrid w:val="0"/>
        </w:rPr>
        <w:tab/>
        <w:t>Reports, effect of and privilege attached to; official information, disclosure of etc.</w:t>
      </w:r>
      <w:bookmarkEnd w:id="46"/>
    </w:p>
    <w:p>
      <w:pPr>
        <w:pStyle w:val="Subsection"/>
        <w:spacing w:before="120"/>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spacing w:before="120"/>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spacing w:before="100"/>
        <w:rPr>
          <w:snapToGrid w:val="0"/>
        </w:rPr>
      </w:pPr>
      <w:r>
        <w:rPr>
          <w:snapToGrid w:val="0"/>
        </w:rPr>
        <w:tab/>
      </w:r>
      <w:r>
        <w:rPr>
          <w:snapToGrid w:val="0"/>
        </w:rPr>
        <w:tab/>
        <w:t>unless the Commission or a judge otherwise directs.</w:t>
      </w:r>
    </w:p>
    <w:p>
      <w:pPr>
        <w:pStyle w:val="Subsection"/>
        <w:spacing w:before="120"/>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for this subsection: a fine of $2 500.</w:t>
      </w:r>
    </w:p>
    <w:p>
      <w:pPr>
        <w:pStyle w:val="Footnotesection"/>
        <w:spacing w:before="100"/>
        <w:ind w:left="890" w:hanging="890"/>
      </w:pPr>
      <w:r>
        <w:tab/>
        <w:t>[Section 20 amended: No. 35 of 2003 s. 134 and 166; No. 50 of 2003 s. 66(2); No. 41 of 2018 s. 25(1).]</w:t>
      </w:r>
    </w:p>
    <w:p>
      <w:pPr>
        <w:pStyle w:val="Heading3"/>
      </w:pPr>
      <w:bookmarkStart w:id="47" w:name="_Toc115166570"/>
      <w:bookmarkStart w:id="48" w:name="_Toc115166727"/>
      <w:bookmarkStart w:id="49" w:name="_Toc115267801"/>
      <w:r>
        <w:rPr>
          <w:rStyle w:val="CharDivNo"/>
        </w:rPr>
        <w:lastRenderedPageBreak/>
        <w:t>Division 7</w:t>
      </w:r>
      <w:r>
        <w:t> — </w:t>
      </w:r>
      <w:r>
        <w:rPr>
          <w:rStyle w:val="CharDivText"/>
        </w:rPr>
        <w:t>Confidential police information</w:t>
      </w:r>
      <w:bookmarkEnd w:id="47"/>
      <w:bookmarkEnd w:id="48"/>
      <w:bookmarkEnd w:id="49"/>
    </w:p>
    <w:p>
      <w:pPr>
        <w:pStyle w:val="Footnoteheading"/>
        <w:keepNext/>
      </w:pPr>
      <w:r>
        <w:tab/>
        <w:t>[Heading inserted: No. 73 of 2006 s. 113.]</w:t>
      </w:r>
    </w:p>
    <w:p>
      <w:pPr>
        <w:pStyle w:val="Heading5"/>
      </w:pPr>
      <w:bookmarkStart w:id="50" w:name="_Toc115267802"/>
      <w:r>
        <w:rPr>
          <w:rStyle w:val="CharSectno"/>
        </w:rPr>
        <w:t>20A</w:t>
      </w:r>
      <w:r>
        <w:t>.</w:t>
      </w:r>
      <w:r>
        <w:tab/>
        <w:t>Certain information provided by police to be kept confidential</w:t>
      </w:r>
      <w:bookmarkEnd w:id="50"/>
    </w:p>
    <w:p>
      <w:pPr>
        <w:pStyle w:val="Subsection"/>
      </w:pPr>
      <w:r>
        <w:tab/>
        <w:t>(1)</w:t>
      </w:r>
      <w:r>
        <w:tab/>
        <w:t xml:space="preserve">In this </w:t>
      </w:r>
      <w:r>
        <w:rPr>
          <w:snapToGrid w:val="0"/>
        </w:rPr>
        <w:t>section</w:t>
      </w:r>
      <w:r>
        <w:t> —</w:t>
      </w:r>
    </w:p>
    <w:p>
      <w:pPr>
        <w:pStyle w:val="Defstart"/>
        <w:spacing w:before="70"/>
      </w:pPr>
      <w:r>
        <w:rPr>
          <w:b/>
        </w:rPr>
        <w:tab/>
      </w:r>
      <w:r>
        <w:rPr>
          <w:rStyle w:val="CharDefText"/>
        </w:rPr>
        <w:t>confidential police information</w:t>
      </w:r>
      <w:r>
        <w:t xml:space="preserve"> means any information or document classified as confidential under subsection (2);</w:t>
      </w:r>
    </w:p>
    <w:p>
      <w:pPr>
        <w:pStyle w:val="Defstart"/>
        <w:spacing w:before="70"/>
      </w:pPr>
      <w:r>
        <w:rPr>
          <w:b/>
        </w:rPr>
        <w:tab/>
      </w:r>
      <w:r>
        <w:rPr>
          <w:rStyle w:val="CharDefText"/>
        </w:rPr>
        <w:t>relevant Act</w:t>
      </w:r>
      <w:r>
        <w:t xml:space="preserve"> means this Act, the </w:t>
      </w:r>
      <w:r>
        <w:rPr>
          <w:i/>
          <w:iCs/>
        </w:rPr>
        <w:t>Betting Control Act 1954</w:t>
      </w:r>
      <w:r>
        <w:t xml:space="preserve">, the RWWA Act or the </w:t>
      </w:r>
      <w:r>
        <w:rPr>
          <w:i/>
          <w:iCs/>
        </w:rPr>
        <w:t>Casino Control Act 1984</w:t>
      </w:r>
      <w:r>
        <w:t>.</w:t>
      </w:r>
    </w:p>
    <w:p>
      <w:pPr>
        <w:pStyle w:val="Subsection"/>
      </w:pPr>
      <w:r>
        <w:tab/>
        <w:t>(2)</w:t>
      </w:r>
      <w:r>
        <w:tab/>
        <w:t xml:space="preserve">For the </w:t>
      </w:r>
      <w:r>
        <w:rPr>
          <w:snapToGrid w:val="0"/>
        </w:rPr>
        <w:t>purposes</w:t>
      </w:r>
      <w:r>
        <w:t xml:space="preserve"> of this section, the Commissioner of Police may classify as confidential any information or document that is —</w:t>
      </w:r>
    </w:p>
    <w:p>
      <w:pPr>
        <w:pStyle w:val="Indenta"/>
        <w:spacing w:before="60"/>
      </w:pPr>
      <w:r>
        <w:tab/>
        <w:t>(a)</w:t>
      </w:r>
      <w:r>
        <w:tab/>
        <w:t>provided by the Commissioner of Police to the Commission as a report, or part of a report, under section 18(4); or</w:t>
      </w:r>
    </w:p>
    <w:p>
      <w:pPr>
        <w:pStyle w:val="Indenta"/>
        <w:spacing w:before="60"/>
      </w:pPr>
      <w:r>
        <w:tab/>
        <w:t>(b)</w:t>
      </w:r>
      <w:r>
        <w:tab/>
        <w:t>otherwise provided by the Commissioner of Police to the Commission for the purposes of a relevant Act.</w:t>
      </w:r>
    </w:p>
    <w:p>
      <w:pPr>
        <w:pStyle w:val="Subsection"/>
      </w:pPr>
      <w:r>
        <w:tab/>
        <w:t>(3)</w:t>
      </w:r>
      <w:r>
        <w:tab/>
        <w:t xml:space="preserve">Despite any provision of a relevant Act, any information or document provided by the Commissioner of Police to the Commission for the purposes of a relevant Act must not be published or disclosed by the Commission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keepNext/>
        <w:spacing w:before="100"/>
      </w:pPr>
      <w:r>
        <w:lastRenderedPageBreak/>
        <w:tab/>
        <w:t>(4)</w:t>
      </w:r>
      <w:r>
        <w:tab/>
      </w:r>
      <w:r>
        <w:rPr>
          <w:snapToGrid w:val="0"/>
        </w:rPr>
        <w:t>If</w:t>
      </w:r>
      <w:r>
        <w:t> —</w:t>
      </w:r>
    </w:p>
    <w:p>
      <w:pPr>
        <w:pStyle w:val="Indenta"/>
        <w:keepNext/>
        <w:spacing w:before="100"/>
      </w:pPr>
      <w:r>
        <w:tab/>
        <w:t>(a)</w:t>
      </w:r>
      <w:r>
        <w:tab/>
        <w:t>the Commission —</w:t>
      </w:r>
    </w:p>
    <w:p>
      <w:pPr>
        <w:pStyle w:val="Indenti"/>
        <w:spacing w:before="100"/>
      </w:pPr>
      <w:r>
        <w:tab/>
        <w:t>(i)</w:t>
      </w:r>
      <w:r>
        <w:tab/>
        <w:t>refuses to grant or issue or renew; or</w:t>
      </w:r>
    </w:p>
    <w:p>
      <w:pPr>
        <w:pStyle w:val="Indenti"/>
        <w:spacing w:before="100"/>
      </w:pPr>
      <w:r>
        <w:tab/>
        <w:t>(ii)</w:t>
      </w:r>
      <w:r>
        <w:tab/>
        <w:t>amends, suspends, cancels or revokes,</w:t>
      </w:r>
    </w:p>
    <w:p>
      <w:pPr>
        <w:pStyle w:val="Indenta"/>
        <w:spacing w:before="100"/>
      </w:pPr>
      <w:r>
        <w:tab/>
      </w:r>
      <w:r>
        <w:tab/>
        <w:t>any permit, approval, certificate, licence or authorisation under a relevant Act; and</w:t>
      </w:r>
    </w:p>
    <w:p>
      <w:pPr>
        <w:pStyle w:val="Indenta"/>
        <w:spacing w:before="100"/>
      </w:pPr>
      <w:r>
        <w:tab/>
        <w:t>(b)</w:t>
      </w:r>
      <w:r>
        <w:tab/>
        <w:t>the decision to do so is made solely or partly on the basis of confidential police information provided to the Commission,</w:t>
      </w:r>
    </w:p>
    <w:p>
      <w:pPr>
        <w:pStyle w:val="Subsection"/>
        <w:spacing w:before="140"/>
      </w:pPr>
      <w:r>
        <w:tab/>
      </w:r>
      <w:r>
        <w:tab/>
        <w:t>the Commission is not required to give any reasons for the decision other than that the decision is made in the public interest.</w:t>
      </w:r>
    </w:p>
    <w:p>
      <w:pPr>
        <w:pStyle w:val="Subsection"/>
        <w:spacing w:before="140"/>
      </w:pPr>
      <w:r>
        <w:tab/>
        <w:t>(5)</w:t>
      </w:r>
      <w:r>
        <w:tab/>
        <w:t>In any proceedings (other than proceedings for an offence) before a court under a relevant Act, the court —</w:t>
      </w:r>
    </w:p>
    <w:p>
      <w:pPr>
        <w:pStyle w:val="Indenta"/>
        <w:spacing w:before="100"/>
      </w:pPr>
      <w:r>
        <w:tab/>
        <w:t>(a)</w:t>
      </w:r>
      <w:r>
        <w:tab/>
        <w:t>must, on the application of the Commissioner of Police, take all reasonable steps to maintain the confidentiality of confidential police information, including steps —</w:t>
      </w:r>
    </w:p>
    <w:p>
      <w:pPr>
        <w:pStyle w:val="Indenti"/>
        <w:spacing w:before="60"/>
      </w:pPr>
      <w:r>
        <w:tab/>
        <w:t>(i)</w:t>
      </w:r>
      <w:r>
        <w:tab/>
        <w:t>to receive evidence and hear argument about confidential police information in private and in the absence of any party to the proceedings other than the Commission or the Commissioner of Police or their representatives; and</w:t>
      </w:r>
    </w:p>
    <w:p>
      <w:pPr>
        <w:pStyle w:val="Indenti"/>
        <w:spacing w:before="60"/>
      </w:pPr>
      <w:r>
        <w:tab/>
        <w:t>(ii)</w:t>
      </w:r>
      <w:r>
        <w:tab/>
        <w:t>to prohibit the publication of evidence about confidential police information;</w:t>
      </w:r>
    </w:p>
    <w:p>
      <w:pPr>
        <w:pStyle w:val="Indenta"/>
        <w:spacing w:before="100"/>
      </w:pPr>
      <w:r>
        <w:tab/>
      </w:r>
      <w:r>
        <w:tab/>
        <w:t>and</w:t>
      </w:r>
    </w:p>
    <w:p>
      <w:pPr>
        <w:pStyle w:val="Indenta"/>
        <w:spacing w:before="100"/>
      </w:pPr>
      <w:r>
        <w:tab/>
        <w:t>(b)</w:t>
      </w:r>
      <w:r>
        <w:tab/>
        <w:t>may take evidence consisting of or relating to confidential police information by way of an affidavit of a member of the Police Force of or above the rank of Superintendent.</w:t>
      </w:r>
    </w:p>
    <w:p>
      <w:pPr>
        <w:pStyle w:val="Subsection"/>
        <w:spacing w:before="140"/>
      </w:pPr>
      <w:r>
        <w:tab/>
        <w:t>(6)</w:t>
      </w:r>
      <w:r>
        <w:tab/>
        <w:t xml:space="preserve">The Commissioner of Police must not delegate the function of classifying information or documents as confidential police </w:t>
      </w:r>
      <w:r>
        <w:lastRenderedPageBreak/>
        <w:t>information except to a Deputy Commissioner of Police or an Assistant Commissioner of Police.</w:t>
      </w:r>
    </w:p>
    <w:p>
      <w:pPr>
        <w:pStyle w:val="Footnotesection"/>
      </w:pPr>
      <w:r>
        <w:tab/>
        <w:t>[Section 20A inserted: No. 73 of 2006 s. 113; amended: No. 35 of 2014 s. 39.]</w:t>
      </w:r>
    </w:p>
    <w:p>
      <w:pPr>
        <w:pStyle w:val="Heading2"/>
      </w:pPr>
      <w:bookmarkStart w:id="51" w:name="_Toc115166572"/>
      <w:bookmarkStart w:id="52" w:name="_Toc115166729"/>
      <w:bookmarkStart w:id="53" w:name="_Toc115267803"/>
      <w:r>
        <w:rPr>
          <w:rStyle w:val="CharPartNo"/>
        </w:rPr>
        <w:lastRenderedPageBreak/>
        <w:t>Part III</w:t>
      </w:r>
      <w:r>
        <w:rPr>
          <w:rStyle w:val="CharDivNo"/>
        </w:rPr>
        <w:t> </w:t>
      </w:r>
      <w:r>
        <w:t>—</w:t>
      </w:r>
      <w:r>
        <w:rPr>
          <w:rStyle w:val="CharDivText"/>
        </w:rPr>
        <w:t> </w:t>
      </w:r>
      <w:r>
        <w:rPr>
          <w:rStyle w:val="CharPartText"/>
        </w:rPr>
        <w:t>Enforcement</w:t>
      </w:r>
      <w:bookmarkEnd w:id="51"/>
      <w:bookmarkEnd w:id="52"/>
      <w:bookmarkEnd w:id="53"/>
    </w:p>
    <w:p>
      <w:pPr>
        <w:pStyle w:val="Heading5"/>
        <w:rPr>
          <w:snapToGrid w:val="0"/>
        </w:rPr>
      </w:pPr>
      <w:bookmarkStart w:id="54" w:name="_Toc115267804"/>
      <w:r>
        <w:rPr>
          <w:rStyle w:val="CharSectno"/>
        </w:rPr>
        <w:t>21</w:t>
      </w:r>
      <w:r>
        <w:rPr>
          <w:snapToGrid w:val="0"/>
        </w:rPr>
        <w:t>.</w:t>
      </w:r>
      <w:r>
        <w:rPr>
          <w:snapToGrid w:val="0"/>
        </w:rPr>
        <w:tab/>
        <w:t>Authorised officers, appointment and duties of and reports by</w:t>
      </w:r>
      <w:bookmarkEnd w:id="54"/>
    </w:p>
    <w:p>
      <w:pPr>
        <w:pStyle w:val="Subsection"/>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w:t>
      </w:r>
    </w:p>
    <w:p>
      <w:pPr>
        <w:pStyle w:val="Indenta"/>
        <w:spacing w:before="100"/>
        <w:rPr>
          <w:snapToGrid w:val="0"/>
        </w:rPr>
      </w:pPr>
      <w:r>
        <w:rPr>
          <w:snapToGrid w:val="0"/>
        </w:rPr>
        <w:tab/>
        <w:t>(a)</w:t>
      </w:r>
      <w:r>
        <w:rPr>
          <w:snapToGrid w:val="0"/>
        </w:rPr>
        <w:tab/>
        <w:t>to report to the Commission on the conduct, nature, extent and standard of any gaming, and as to the facilities provided, at approved premises and elsewhere; and</w:t>
      </w:r>
    </w:p>
    <w:p>
      <w:pPr>
        <w:pStyle w:val="Indenta"/>
        <w:spacing w:before="10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 and</w:t>
      </w:r>
    </w:p>
    <w:p>
      <w:pPr>
        <w:pStyle w:val="Indenta"/>
        <w:spacing w:before="10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100"/>
        <w:rPr>
          <w:snapToGrid w:val="0"/>
        </w:rPr>
      </w:pPr>
      <w:r>
        <w:rPr>
          <w:snapToGrid w:val="0"/>
        </w:rPr>
        <w:tab/>
        <w:t>(d)</w:t>
      </w:r>
      <w:r>
        <w:rPr>
          <w:snapToGrid w:val="0"/>
        </w:rPr>
        <w:tab/>
        <w:t>otherwise, to assist and advise the Commission whenever so required by the Commission.</w:t>
      </w:r>
    </w:p>
    <w:p>
      <w:pPr>
        <w:pStyle w:val="Subsection"/>
        <w:keepNext/>
        <w:keepLines/>
        <w:rPr>
          <w:snapToGrid w:val="0"/>
        </w:rPr>
      </w:pPr>
      <w:r>
        <w:rPr>
          <w:snapToGrid w:val="0"/>
        </w:rPr>
        <w:lastRenderedPageBreak/>
        <w:tab/>
        <w:t>(4)</w:t>
      </w:r>
      <w:r>
        <w:rPr>
          <w:snapToGrid w:val="0"/>
        </w:rPr>
        <w:tab/>
        <w:t>Where an authorised officer makes a report with respect to any particular premises, but not in so far as the report relates to the nature, extent or standard of gaming conducted, the Commission —</w:t>
      </w:r>
    </w:p>
    <w:p>
      <w:pPr>
        <w:pStyle w:val="Indenta"/>
        <w:widowControl w:val="0"/>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[Section 21 amended: No. 14 of 1996 s. 4; No. 35 of 2003 s. 135.]</w:t>
      </w:r>
    </w:p>
    <w:p>
      <w:pPr>
        <w:pStyle w:val="Heading5"/>
        <w:spacing w:before="260"/>
        <w:rPr>
          <w:snapToGrid w:val="0"/>
        </w:rPr>
      </w:pPr>
      <w:bookmarkStart w:id="55" w:name="_Toc115267805"/>
      <w:r>
        <w:rPr>
          <w:rStyle w:val="CharSectno"/>
        </w:rPr>
        <w:t>22</w:t>
      </w:r>
      <w:r>
        <w:rPr>
          <w:snapToGrid w:val="0"/>
        </w:rPr>
        <w:t>.</w:t>
      </w:r>
      <w:r>
        <w:rPr>
          <w:snapToGrid w:val="0"/>
        </w:rPr>
        <w:tab/>
        <w:t>Permitted gaming and social gambling, powers to scrutinize etc.</w:t>
      </w:r>
      <w:bookmarkEnd w:id="55"/>
    </w:p>
    <w:p>
      <w:pPr>
        <w:pStyle w:val="Subsection"/>
        <w:rPr>
          <w:snapToGrid w:val="0"/>
        </w:rPr>
      </w:pPr>
      <w:r>
        <w:rPr>
          <w:snapToGrid w:val="0"/>
        </w:rPr>
        <w:tab/>
        <w:t>(1)</w:t>
      </w:r>
      <w:r>
        <w:rPr>
          <w:snapToGrid w:val="0"/>
        </w:rPr>
        <w:tab/>
        <w:t>An authorised officer or a member of the Police Force is entitled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keepNext/>
        <w:keepLines/>
        <w:rPr>
          <w:snapToGrid w:val="0"/>
        </w:rPr>
      </w:pPr>
      <w:r>
        <w:rPr>
          <w:snapToGrid w:val="0"/>
        </w:rPr>
        <w:lastRenderedPageBreak/>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w:t>
      </w:r>
    </w:p>
    <w:p>
      <w:pPr>
        <w:pStyle w:val="Indenta"/>
        <w:spacing w:before="60"/>
        <w:rPr>
          <w:snapToGrid w:val="0"/>
        </w:rPr>
      </w:pPr>
      <w:r>
        <w:rPr>
          <w:snapToGrid w:val="0"/>
        </w:rPr>
        <w:tab/>
        <w:t>(a)</w:t>
      </w:r>
      <w:r>
        <w:rPr>
          <w:snapToGrid w:val="0"/>
        </w:rPr>
        <w:tab/>
        <w:t>approved premises; or</w:t>
      </w:r>
    </w:p>
    <w:p>
      <w:pPr>
        <w:pStyle w:val="Indenta"/>
        <w:spacing w:before="60"/>
        <w:rPr>
          <w:snapToGrid w:val="0"/>
        </w:rPr>
      </w:pPr>
      <w:r>
        <w:rPr>
          <w:snapToGrid w:val="0"/>
        </w:rPr>
        <w:tab/>
        <w:t>(b)</w:t>
      </w:r>
      <w:r>
        <w:rPr>
          <w:snapToGrid w:val="0"/>
        </w:rPr>
        <w:tab/>
        <w:t>subject to the consent of the occupier, any premises in relation to which the approval of the Commission is sought.</w:t>
      </w:r>
    </w:p>
    <w:p>
      <w:pPr>
        <w:pStyle w:val="Subsection"/>
        <w:spacing w:before="120"/>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spacing w:before="120"/>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spacing w:before="120"/>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spacing w:before="60"/>
        <w:rPr>
          <w:snapToGrid w:val="0"/>
        </w:rPr>
      </w:pPr>
      <w:r>
        <w:rPr>
          <w:snapToGrid w:val="0"/>
        </w:rPr>
        <w:tab/>
      </w:r>
      <w:r>
        <w:t>Penalty for this subsection: a fine of</w:t>
      </w:r>
      <w:r>
        <w:rPr>
          <w:snapToGrid w:val="0"/>
        </w:rPr>
        <w:t xml:space="preserve"> $5 000, or imprisonment for 1 year, or both.</w:t>
      </w:r>
    </w:p>
    <w:p>
      <w:pPr>
        <w:pStyle w:val="Footnotesection"/>
        <w:spacing w:before="80"/>
        <w:ind w:left="890" w:hanging="890"/>
      </w:pPr>
      <w:r>
        <w:tab/>
        <w:t>[Section 22 amended: No. 24 of 1998 s. 39; No. 35 of 2003 s. 136 and 166; No. 41 of 2018 s. 25(1).]</w:t>
      </w:r>
    </w:p>
    <w:p>
      <w:pPr>
        <w:pStyle w:val="Heading5"/>
        <w:spacing w:before="180"/>
        <w:rPr>
          <w:snapToGrid w:val="0"/>
        </w:rPr>
      </w:pPr>
      <w:bookmarkStart w:id="56" w:name="_Toc115267806"/>
      <w:r>
        <w:rPr>
          <w:rStyle w:val="CharSectno"/>
        </w:rPr>
        <w:t>23</w:t>
      </w:r>
      <w:r>
        <w:rPr>
          <w:snapToGrid w:val="0"/>
        </w:rPr>
        <w:t>.</w:t>
      </w:r>
      <w:r>
        <w:rPr>
          <w:snapToGrid w:val="0"/>
        </w:rPr>
        <w:tab/>
        <w:t>Other police powers not limited by this Act</w:t>
      </w:r>
      <w:bookmarkEnd w:id="56"/>
    </w:p>
    <w:p>
      <w:pPr>
        <w:pStyle w:val="Subsection"/>
        <w:spacing w:before="120"/>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keepLines w:val="0"/>
        <w:spacing w:before="180"/>
        <w:rPr>
          <w:snapToGrid w:val="0"/>
        </w:rPr>
      </w:pPr>
      <w:bookmarkStart w:id="57" w:name="_Toc115267807"/>
      <w:r>
        <w:rPr>
          <w:rStyle w:val="CharSectno"/>
        </w:rPr>
        <w:lastRenderedPageBreak/>
        <w:t>24</w:t>
      </w:r>
      <w:r>
        <w:rPr>
          <w:snapToGrid w:val="0"/>
        </w:rPr>
        <w:t>.</w:t>
      </w:r>
      <w:r>
        <w:rPr>
          <w:snapToGrid w:val="0"/>
        </w:rPr>
        <w:tab/>
        <w:t>Commissioner of Police, directions by to police officers</w:t>
      </w:r>
      <w:bookmarkEnd w:id="57"/>
    </w:p>
    <w:p>
      <w:pPr>
        <w:pStyle w:val="Subsection"/>
        <w:spacing w:before="120"/>
        <w:rPr>
          <w:snapToGrid w:val="0"/>
        </w:rPr>
      </w:pPr>
      <w:r>
        <w:rPr>
          <w:snapToGrid w:val="0"/>
        </w:rPr>
        <w:tab/>
      </w:r>
      <w:r>
        <w:rPr>
          <w:snapToGrid w:val="0"/>
        </w:rPr>
        <w:tab/>
        <w:t>The Commissioner of Police shall issue all such orders, and give all such directions, to members of the Police Force as may, in his opinion, be necessary or expedient to —</w:t>
      </w:r>
    </w:p>
    <w:p>
      <w:pPr>
        <w:pStyle w:val="Indenta"/>
        <w:spacing w:before="50"/>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 and</w:t>
      </w:r>
    </w:p>
    <w:p>
      <w:pPr>
        <w:pStyle w:val="Indenta"/>
      </w:pPr>
      <w:r>
        <w:tab/>
        <w:t>(b)</w:t>
      </w:r>
      <w:r>
        <w:tab/>
        <w:t xml:space="preserve">ensure the proper and lawful exercise of the following — </w:t>
      </w:r>
    </w:p>
    <w:p>
      <w:pPr>
        <w:pStyle w:val="Indenti"/>
      </w:pPr>
      <w:r>
        <w:tab/>
        <w:t>(i)</w:t>
      </w:r>
      <w:r>
        <w:tab/>
        <w:t xml:space="preserve">a permit granted under this Act; </w:t>
      </w:r>
    </w:p>
    <w:p>
      <w:pPr>
        <w:pStyle w:val="Indenti"/>
      </w:pPr>
      <w:r>
        <w:tab/>
        <w:t>(ii)</w:t>
      </w:r>
      <w:r>
        <w:tab/>
        <w:t>a permit or licence granted by the Commission under any other Act;</w:t>
      </w:r>
    </w:p>
    <w:p>
      <w:pPr>
        <w:pStyle w:val="Indenti"/>
      </w:pPr>
      <w:r>
        <w:tab/>
        <w:t>(iii)</w:t>
      </w:r>
      <w:r>
        <w:tab/>
        <w:t xml:space="preserve">a wagering licence as defined in the </w:t>
      </w:r>
      <w:r>
        <w:rPr>
          <w:i/>
        </w:rPr>
        <w:t>Betting Control Act 1954</w:t>
      </w:r>
      <w:r>
        <w:t xml:space="preserve"> section 4(1);</w:t>
      </w:r>
    </w:p>
    <w:p>
      <w:pPr>
        <w:pStyle w:val="Indenta"/>
      </w:pPr>
      <w:r>
        <w:tab/>
      </w:r>
      <w:r>
        <w:tab/>
        <w:t>and</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No. 35 of 2003 s. 166; No. 21 of 2019 s. 93.]</w:t>
      </w:r>
    </w:p>
    <w:p>
      <w:pPr>
        <w:pStyle w:val="Heading5"/>
        <w:rPr>
          <w:snapToGrid w:val="0"/>
        </w:rPr>
      </w:pPr>
      <w:bookmarkStart w:id="58" w:name="_Toc115267808"/>
      <w:r>
        <w:rPr>
          <w:rStyle w:val="CharSectno"/>
        </w:rPr>
        <w:t>25</w:t>
      </w:r>
      <w:r>
        <w:rPr>
          <w:snapToGrid w:val="0"/>
        </w:rPr>
        <w:t>.</w:t>
      </w:r>
      <w:r>
        <w:rPr>
          <w:snapToGrid w:val="0"/>
        </w:rPr>
        <w:tab/>
        <w:t>Entry to premises, arrest etc., warrant authorising</w:t>
      </w:r>
      <w:bookmarkEnd w:id="58"/>
    </w:p>
    <w:p>
      <w:pPr>
        <w:pStyle w:val="Subsection"/>
        <w:rPr>
          <w:snapToGrid w:val="0"/>
        </w:rPr>
      </w:pPr>
      <w:r>
        <w:rPr>
          <w:snapToGrid w:val="0"/>
        </w:rPr>
        <w:tab/>
        <w:t>(1)</w:t>
      </w:r>
      <w:r>
        <w:rPr>
          <w:snapToGrid w:val="0"/>
        </w:rPr>
        <w:tab/>
        <w:t>Where a justice is satisfied, upon an application supported by evidence on oath, that there is reason to suspect that —</w:t>
      </w:r>
    </w:p>
    <w:p>
      <w:pPr>
        <w:pStyle w:val="Indenta"/>
        <w:rPr>
          <w:snapToGrid w:val="0"/>
        </w:rPr>
      </w:pPr>
      <w:r>
        <w:rPr>
          <w:snapToGrid w:val="0"/>
        </w:rPr>
        <w:tab/>
        <w:t>(a)</w:t>
      </w:r>
      <w:r>
        <w:rPr>
          <w:snapToGrid w:val="0"/>
        </w:rPr>
        <w:tab/>
        <w:t>any premises are, have been or are about to be opened, kept or used as a common gaming house; or</w:t>
      </w:r>
    </w:p>
    <w:p>
      <w:pPr>
        <w:pStyle w:val="Indenta"/>
        <w:rPr>
          <w:snapToGrid w:val="0"/>
        </w:rPr>
      </w:pPr>
      <w:r>
        <w:rPr>
          <w:snapToGrid w:val="0"/>
        </w:rPr>
        <w:lastRenderedPageBreak/>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widowControl w:val="0"/>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w:t>
      </w:r>
    </w:p>
    <w:p>
      <w:pPr>
        <w:pStyle w:val="Indenta"/>
        <w:rPr>
          <w:snapToGrid w:val="0"/>
        </w:rPr>
      </w:pPr>
      <w:r>
        <w:rPr>
          <w:snapToGrid w:val="0"/>
        </w:rPr>
        <w:tab/>
        <w:t>(a)</w:t>
      </w:r>
      <w:r>
        <w:rPr>
          <w:snapToGrid w:val="0"/>
        </w:rPr>
        <w:tab/>
        <w:t>to arrest any person found on the premises to which the warrant relates; and</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25 amended: No. 35 of 2003 s. 166; No. 84 of 2004 s. 80.]</w:t>
      </w:r>
    </w:p>
    <w:p>
      <w:pPr>
        <w:pStyle w:val="Heading5"/>
        <w:rPr>
          <w:snapToGrid w:val="0"/>
        </w:rPr>
      </w:pPr>
      <w:bookmarkStart w:id="59" w:name="_Toc115267809"/>
      <w:r>
        <w:rPr>
          <w:rStyle w:val="CharSectno"/>
        </w:rPr>
        <w:lastRenderedPageBreak/>
        <w:t>26</w:t>
      </w:r>
      <w:r>
        <w:rPr>
          <w:snapToGrid w:val="0"/>
        </w:rPr>
        <w:t>.</w:t>
      </w:r>
      <w:r>
        <w:rPr>
          <w:snapToGrid w:val="0"/>
        </w:rPr>
        <w:tab/>
        <w:t>Evidence, information etc., powers to seize, obtain etc.</w:t>
      </w:r>
      <w:bookmarkEnd w:id="59"/>
    </w:p>
    <w:p>
      <w:pPr>
        <w:pStyle w:val="Subsection"/>
        <w:keepNext/>
        <w:keepLines/>
        <w:rPr>
          <w:snapToGrid w:val="0"/>
        </w:rPr>
      </w:pPr>
      <w:r>
        <w:rPr>
          <w:snapToGrid w:val="0"/>
        </w:rPr>
        <w:tab/>
        <w:t>(1)</w:t>
      </w:r>
      <w:r>
        <w:rPr>
          <w:snapToGrid w:val="0"/>
        </w:rPr>
        <w:tab/>
        <w:t>The Commission, an authorised officer or a member of the Police Force may for the purposes of this Act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rPr>
          <w:snapToGrid w:val="0"/>
        </w:rPr>
      </w:pPr>
      <w:r>
        <w:rPr>
          <w:snapToGrid w:val="0"/>
        </w:rPr>
        <w:tab/>
        <w:t>(2)</w:t>
      </w:r>
      <w:r>
        <w:rPr>
          <w:snapToGrid w:val="0"/>
        </w:rPr>
        <w:tab/>
        <w:t xml:space="preserve">In subsection (1), </w:t>
      </w:r>
      <w:r>
        <w:rPr>
          <w:rStyle w:val="CharDefText"/>
        </w:rPr>
        <w:t>material evidence</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No. 24 of 1998 s. 40.]</w:t>
      </w:r>
    </w:p>
    <w:p>
      <w:pPr>
        <w:pStyle w:val="Heading5"/>
        <w:rPr>
          <w:snapToGrid w:val="0"/>
        </w:rPr>
      </w:pPr>
      <w:bookmarkStart w:id="60" w:name="_Toc115267810"/>
      <w:r>
        <w:rPr>
          <w:rStyle w:val="CharSectno"/>
        </w:rPr>
        <w:lastRenderedPageBreak/>
        <w:t>27</w:t>
      </w:r>
      <w:r>
        <w:rPr>
          <w:snapToGrid w:val="0"/>
        </w:rPr>
        <w:t>.</w:t>
      </w:r>
      <w:r>
        <w:rPr>
          <w:snapToGrid w:val="0"/>
        </w:rPr>
        <w:tab/>
        <w:t>Information, production of books, accounts etc., powers to require</w:t>
      </w:r>
      <w:bookmarkEnd w:id="60"/>
    </w:p>
    <w:p>
      <w:pPr>
        <w:pStyle w:val="Subsection"/>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 and</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 and</w:t>
      </w:r>
    </w:p>
    <w:p>
      <w:pPr>
        <w:pStyle w:val="Indenta"/>
        <w:rPr>
          <w:snapToGrid w:val="0"/>
        </w:rPr>
      </w:pPr>
      <w:r>
        <w:rPr>
          <w:snapToGrid w:val="0"/>
        </w:rPr>
        <w:lastRenderedPageBreak/>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In connection with any pending application for a permit the Commission may at any time require accounts to be furnished by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spacing w:before="140"/>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No. 24 of 1998 s. 41; No. 10 of 2001 s. 86; No. 35 of 2003 s. 166 and 167.]</w:t>
      </w:r>
    </w:p>
    <w:p>
      <w:pPr>
        <w:pStyle w:val="Heading5"/>
        <w:rPr>
          <w:snapToGrid w:val="0"/>
        </w:rPr>
      </w:pPr>
      <w:bookmarkStart w:id="61" w:name="_Toc115267811"/>
      <w:r>
        <w:rPr>
          <w:rStyle w:val="CharSectno"/>
        </w:rPr>
        <w:t>28</w:t>
      </w:r>
      <w:r>
        <w:rPr>
          <w:snapToGrid w:val="0"/>
        </w:rPr>
        <w:t>.</w:t>
      </w:r>
      <w:r>
        <w:rPr>
          <w:snapToGrid w:val="0"/>
        </w:rPr>
        <w:tab/>
        <w:t>Recovering moneys payable to Commission</w:t>
      </w:r>
      <w:bookmarkEnd w:id="61"/>
    </w:p>
    <w:p>
      <w:pPr>
        <w:pStyle w:val="Subsection"/>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rPr>
          <w:snapToGrid w:val="0"/>
        </w:rPr>
      </w:pPr>
      <w:r>
        <w:rPr>
          <w:snapToGrid w:val="0"/>
        </w:rPr>
        <w:tab/>
        <w:t>(2)</w:t>
      </w:r>
      <w:r>
        <w:rPr>
          <w:snapToGrid w:val="0"/>
        </w:rPr>
        <w:tab/>
        <w:t xml:space="preserve">Where an amount is payable to the Commission by any person, but by reason of his failure to keep or to produce or furnish to the Commission or other proper person the report, return, </w:t>
      </w:r>
      <w:r>
        <w:rPr>
          <w:snapToGrid w:val="0"/>
        </w:rPr>
        <w:lastRenderedPageBreak/>
        <w:t>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62" w:name="_Toc115267812"/>
      <w:r>
        <w:rPr>
          <w:rStyle w:val="CharSectno"/>
        </w:rPr>
        <w:t>29</w:t>
      </w:r>
      <w:r>
        <w:rPr>
          <w:snapToGrid w:val="0"/>
        </w:rPr>
        <w:t>.</w:t>
      </w:r>
      <w:r>
        <w:rPr>
          <w:snapToGrid w:val="0"/>
        </w:rPr>
        <w:tab/>
        <w:t>Hindering etc. Commission etc. and false etc. answers, offences as to</w:t>
      </w:r>
      <w:bookmarkEnd w:id="62"/>
    </w:p>
    <w:p>
      <w:pPr>
        <w:pStyle w:val="Subsection"/>
        <w:keepNext/>
        <w:keepLines/>
        <w:rPr>
          <w:snapToGrid w:val="0"/>
        </w:rPr>
      </w:pPr>
      <w:r>
        <w:rPr>
          <w:snapToGrid w:val="0"/>
        </w:rPr>
        <w:tab/>
        <w:t>(1)</w:t>
      </w:r>
      <w:r>
        <w:rPr>
          <w:snapToGrid w:val="0"/>
        </w:rPr>
        <w:tab/>
        <w:t>A person —</w:t>
      </w:r>
    </w:p>
    <w:p>
      <w:pPr>
        <w:pStyle w:val="Indenta"/>
        <w:rPr>
          <w:snapToGrid w:val="0"/>
        </w:rPr>
      </w:pPr>
      <w:r>
        <w:rPr>
          <w:snapToGrid w:val="0"/>
        </w:rPr>
        <w:tab/>
        <w:t>(a)</w:t>
      </w:r>
      <w:r>
        <w:rPr>
          <w:snapToGrid w:val="0"/>
        </w:rPr>
        <w:tab/>
        <w:t>who without lawful excuse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lastRenderedPageBreak/>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 or</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xml:space="preserve">, fails to answer truthfully to the best of his knowledge, information and belief, any question asked of him by the auditor, or fails to disclose to the </w:t>
      </w:r>
      <w:r>
        <w:rPr>
          <w:snapToGrid w:val="0"/>
        </w:rPr>
        <w:lastRenderedPageBreak/>
        <w:t>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$5 000, or imprisonment for 1 year, or both.</w:t>
      </w:r>
    </w:p>
    <w:p>
      <w:pPr>
        <w:pStyle w:val="Footnotesection"/>
        <w:ind w:left="890" w:hanging="890"/>
      </w:pPr>
      <w:r>
        <w:tab/>
        <w:t>[Section 29 amended: No. 35 of 2003 s. 166; No. 41 of 2018 s. 25(1).]</w:t>
      </w:r>
    </w:p>
    <w:p>
      <w:pPr>
        <w:pStyle w:val="Heading5"/>
        <w:rPr>
          <w:snapToGrid w:val="0"/>
        </w:rPr>
      </w:pPr>
      <w:bookmarkStart w:id="63" w:name="_Toc115267813"/>
      <w:r>
        <w:rPr>
          <w:rStyle w:val="CharSectno"/>
        </w:rPr>
        <w:t>30</w:t>
      </w:r>
      <w:r>
        <w:rPr>
          <w:snapToGrid w:val="0"/>
        </w:rPr>
        <w:t>.</w:t>
      </w:r>
      <w:r>
        <w:rPr>
          <w:snapToGrid w:val="0"/>
        </w:rPr>
        <w:tab/>
        <w:t>Incriminating information to be provided but is not admissible</w:t>
      </w:r>
      <w:bookmarkEnd w:id="63"/>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r>
        <w:tab/>
        <w:t>[Section 30 amended: No. 35 of 2003 s. 166.]</w:t>
      </w:r>
    </w:p>
    <w:p>
      <w:pPr>
        <w:pStyle w:val="Heading5"/>
        <w:rPr>
          <w:snapToGrid w:val="0"/>
        </w:rPr>
      </w:pPr>
      <w:bookmarkStart w:id="64" w:name="_Toc115267814"/>
      <w:r>
        <w:rPr>
          <w:rStyle w:val="CharSectno"/>
        </w:rPr>
        <w:t>31</w:t>
      </w:r>
      <w:r>
        <w:rPr>
          <w:snapToGrid w:val="0"/>
        </w:rPr>
        <w:t>.</w:t>
      </w:r>
      <w:r>
        <w:rPr>
          <w:snapToGrid w:val="0"/>
        </w:rPr>
        <w:tab/>
        <w:t>Seizure without warrant</w:t>
      </w:r>
      <w:bookmarkEnd w:id="64"/>
    </w:p>
    <w:p>
      <w:pPr>
        <w:pStyle w:val="Subsection"/>
        <w:rPr>
          <w:snapToGrid w:val="0"/>
        </w:rPr>
      </w:pPr>
      <w:r>
        <w:rPr>
          <w:snapToGrid w:val="0"/>
        </w:rPr>
        <w:tab/>
      </w:r>
      <w:r>
        <w:rPr>
          <w:snapToGrid w:val="0"/>
        </w:rPr>
        <w:tab/>
        <w:t xml:space="preserve">Any authorised officer or member of the Police Force may seize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r>
        <w:tab/>
        <w:t>[Section 31 amended: No. 35 of 2003 s. 166; No. 59 of 2006 s. 48.]</w:t>
      </w:r>
    </w:p>
    <w:p>
      <w:pPr>
        <w:pStyle w:val="Heading5"/>
      </w:pPr>
      <w:bookmarkStart w:id="65" w:name="_Toc115267815"/>
      <w:r>
        <w:rPr>
          <w:rStyle w:val="CharSectno"/>
        </w:rPr>
        <w:lastRenderedPageBreak/>
        <w:t>31A</w:t>
      </w:r>
      <w:r>
        <w:t>.</w:t>
      </w:r>
      <w:r>
        <w:tab/>
        <w:t>Powers to assist seizing things</w:t>
      </w:r>
      <w:bookmarkEnd w:id="65"/>
    </w:p>
    <w:p>
      <w:pPr>
        <w:pStyle w:val="Subsection"/>
      </w:pPr>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p>
    <w:p>
      <w:pPr>
        <w:pStyle w:val="Footnotesection"/>
      </w:pPr>
      <w:r>
        <w:tab/>
        <w:t>[Section 31A inserted: No. 59 of 2006 s. 49.]</w:t>
      </w:r>
    </w:p>
    <w:p>
      <w:pPr>
        <w:pStyle w:val="Heading5"/>
        <w:rPr>
          <w:snapToGrid w:val="0"/>
        </w:rPr>
      </w:pPr>
      <w:bookmarkStart w:id="66" w:name="_Toc115267816"/>
      <w:r>
        <w:rPr>
          <w:rStyle w:val="CharSectno"/>
        </w:rPr>
        <w:t>32</w:t>
      </w:r>
      <w:r>
        <w:rPr>
          <w:snapToGrid w:val="0"/>
        </w:rPr>
        <w:t>.</w:t>
      </w:r>
      <w:r>
        <w:rPr>
          <w:snapToGrid w:val="0"/>
        </w:rPr>
        <w:tab/>
        <w:t>Certain seized things to be forfeited to Crown</w:t>
      </w:r>
      <w:bookmarkEnd w:id="66"/>
    </w:p>
    <w:p>
      <w:pPr>
        <w:pStyle w:val="Ednotesubsection"/>
      </w:pPr>
      <w:r>
        <w:tab/>
        <w:t>[(1)</w:t>
      </w:r>
      <w:r>
        <w:tab/>
        <w:t>deleted]</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w:t>
      </w:r>
    </w:p>
    <w:p>
      <w:pPr>
        <w:pStyle w:val="Footnotesection"/>
      </w:pPr>
      <w:r>
        <w:tab/>
        <w:t>[Section 32 amended: No. 24 of 1998 s. 42; No. 70 of 2004 s. 82; No. 59 of 2006 s. 50.]</w:t>
      </w:r>
    </w:p>
    <w:p>
      <w:pPr>
        <w:pStyle w:val="Heading5"/>
      </w:pPr>
      <w:bookmarkStart w:id="67" w:name="_Toc115267817"/>
      <w:r>
        <w:rPr>
          <w:rStyle w:val="CharSectno"/>
        </w:rPr>
        <w:t>32A</w:t>
      </w:r>
      <w:r>
        <w:t>.</w:t>
      </w:r>
      <w:r>
        <w:tab/>
        <w:t>Disposing of seized or forfeited things</w:t>
      </w:r>
      <w:bookmarkEnd w:id="67"/>
    </w:p>
    <w:p>
      <w:pPr>
        <w:pStyle w:val="Subsection"/>
        <w:spacing w:before="140"/>
      </w:pPr>
      <w:r>
        <w:tab/>
        <w:t>(1)</w:t>
      </w:r>
      <w:r>
        <w:tab/>
        <w:t>In this section —</w:t>
      </w:r>
    </w:p>
    <w:p>
      <w:pPr>
        <w:pStyle w:val="Defstart"/>
      </w:pPr>
      <w:r>
        <w:rPr>
          <w:b/>
        </w:rPr>
        <w:tab/>
      </w:r>
      <w:r>
        <w:rPr>
          <w:rStyle w:val="CharDefText"/>
        </w:rPr>
        <w:t>seized thing</w:t>
      </w:r>
      <w:r>
        <w:t xml:space="preserve"> means any thing that is seized under this Act or the </w:t>
      </w:r>
      <w:r>
        <w:rPr>
          <w:i/>
        </w:rPr>
        <w:t>Betting Control Act </w:t>
      </w:r>
      <w:r>
        <w:rPr>
          <w:i/>
          <w:iCs/>
        </w:rPr>
        <w:t>1954</w:t>
      </w:r>
      <w:r>
        <w:t>.</w:t>
      </w:r>
    </w:p>
    <w:p>
      <w:pPr>
        <w:pStyle w:val="Subsection"/>
        <w:spacing w:before="140"/>
      </w:pPr>
      <w:r>
        <w:tab/>
        <w:t>(2)</w:t>
      </w:r>
      <w:r>
        <w:tab/>
        <w:t xml:space="preserve">The </w:t>
      </w:r>
      <w:r>
        <w:rPr>
          <w:i/>
          <w:iCs/>
        </w:rPr>
        <w:t xml:space="preserve">Criminal and Found Property Disposal Act 2006 </w:t>
      </w:r>
      <w:r>
        <w:t xml:space="preserve">applies to and in respect of any seized thing and any thing that is forfeited to the Crown under this Act or the </w:t>
      </w:r>
      <w:r>
        <w:rPr>
          <w:i/>
        </w:rPr>
        <w:t>Betting Control Act </w:t>
      </w:r>
      <w:r>
        <w:rPr>
          <w:i/>
          <w:iCs/>
        </w:rPr>
        <w:t>1954</w:t>
      </w:r>
      <w:r>
        <w:t>.</w:t>
      </w:r>
    </w:p>
    <w:p>
      <w:pPr>
        <w:pStyle w:val="Subsection"/>
        <w:spacing w:before="140"/>
      </w:pPr>
      <w:r>
        <w:tab/>
        <w:t>(3)</w:t>
      </w:r>
      <w:r>
        <w:tab/>
        <w:t xml:space="preserve">For the purposes of the </w:t>
      </w:r>
      <w:r>
        <w:rPr>
          <w:i/>
          <w:iCs/>
        </w:rPr>
        <w:t>Criminal and Found Property Disposal Act 2006</w:t>
      </w:r>
      <w:r>
        <w:t> —</w:t>
      </w:r>
    </w:p>
    <w:p>
      <w:pPr>
        <w:pStyle w:val="Indenta"/>
        <w:spacing w:before="60"/>
      </w:pPr>
      <w:r>
        <w:tab/>
        <w:t>(a)</w:t>
      </w:r>
      <w:r>
        <w:tab/>
        <w:t>the Commission is a prescribed agency;</w:t>
      </w:r>
    </w:p>
    <w:p>
      <w:pPr>
        <w:pStyle w:val="Indenta"/>
        <w:spacing w:before="60"/>
      </w:pPr>
      <w:r>
        <w:tab/>
        <w:t>(b)</w:t>
      </w:r>
      <w:r>
        <w:tab/>
        <w:t>the chief executive officer of the Department is the chief officer of the Commission.</w:t>
      </w:r>
    </w:p>
    <w:p>
      <w:pPr>
        <w:pStyle w:val="Footnotesection"/>
        <w:spacing w:before="100"/>
        <w:ind w:left="890" w:hanging="890"/>
      </w:pPr>
      <w:r>
        <w:tab/>
        <w:t>[Section 32A inserted: No. 59 of 2006 s. 51.]</w:t>
      </w:r>
    </w:p>
    <w:p>
      <w:pPr>
        <w:pStyle w:val="Heading5"/>
        <w:spacing w:before="200"/>
        <w:rPr>
          <w:snapToGrid w:val="0"/>
        </w:rPr>
      </w:pPr>
      <w:bookmarkStart w:id="68" w:name="_Toc115267818"/>
      <w:r>
        <w:rPr>
          <w:rStyle w:val="CharSectno"/>
        </w:rPr>
        <w:lastRenderedPageBreak/>
        <w:t>33</w:t>
      </w:r>
      <w:r>
        <w:rPr>
          <w:snapToGrid w:val="0"/>
        </w:rPr>
        <w:t>.</w:t>
      </w:r>
      <w:r>
        <w:rPr>
          <w:snapToGrid w:val="0"/>
        </w:rPr>
        <w:tab/>
        <w:t>Prosecuting offences</w:t>
      </w:r>
      <w:bookmarkEnd w:id="68"/>
    </w:p>
    <w:p>
      <w:pPr>
        <w:pStyle w:val="Subsection"/>
        <w:spacing w:before="14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4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4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4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w:t>
      </w:r>
    </w:p>
    <w:p>
      <w:pPr>
        <w:pStyle w:val="Indenta"/>
        <w:spacing w:before="60"/>
        <w:rPr>
          <w:snapToGrid w:val="0"/>
        </w:rPr>
      </w:pPr>
      <w:r>
        <w:rPr>
          <w:snapToGrid w:val="0"/>
        </w:rPr>
        <w:tab/>
        <w:t>(a)</w:t>
      </w:r>
      <w:r>
        <w:rPr>
          <w:snapToGrid w:val="0"/>
        </w:rPr>
        <w:tab/>
        <w:t>the name of the person or persons against whom the proceedings have been instituted; and</w:t>
      </w:r>
    </w:p>
    <w:p>
      <w:pPr>
        <w:pStyle w:val="Indenta"/>
        <w:rPr>
          <w:snapToGrid w:val="0"/>
        </w:rPr>
      </w:pPr>
      <w:r>
        <w:rPr>
          <w:snapToGrid w:val="0"/>
        </w:rPr>
        <w:tab/>
        <w:t>(b)</w:t>
      </w:r>
      <w:r>
        <w:rPr>
          <w:snapToGrid w:val="0"/>
        </w:rPr>
        <w:tab/>
        <w:t>the offence or offences alleged in the proceedings; and</w:t>
      </w:r>
    </w:p>
    <w:p>
      <w:pPr>
        <w:pStyle w:val="Indenta"/>
        <w:keepNext/>
        <w:rPr>
          <w:snapToGrid w:val="0"/>
        </w:rPr>
      </w:pPr>
      <w:r>
        <w:rPr>
          <w:snapToGrid w:val="0"/>
        </w:rPr>
        <w:tab/>
        <w:t>(c)</w:t>
      </w:r>
      <w:r>
        <w:rPr>
          <w:snapToGrid w:val="0"/>
        </w:rPr>
        <w:tab/>
        <w:t>the result of the proceedings.</w:t>
      </w:r>
    </w:p>
    <w:p>
      <w:pPr>
        <w:pStyle w:val="Footnotesection"/>
        <w:keepLines w:val="0"/>
        <w:ind w:left="890" w:hanging="890"/>
      </w:pPr>
      <w:r>
        <w:tab/>
        <w:t>[Section 33 amended: No. 24 of 1998 s. 43; No. 35 of 2003 s. 137 and 166; No. 84 of 2004 s. 80.]</w:t>
      </w:r>
    </w:p>
    <w:p>
      <w:pPr>
        <w:pStyle w:val="Heading5"/>
        <w:rPr>
          <w:bCs/>
        </w:rPr>
      </w:pPr>
      <w:bookmarkStart w:id="69" w:name="_Toc115267819"/>
      <w:r>
        <w:rPr>
          <w:rStyle w:val="CharSectno"/>
        </w:rPr>
        <w:t>34</w:t>
      </w:r>
      <w:r>
        <w:rPr>
          <w:bCs/>
        </w:rPr>
        <w:t>.</w:t>
      </w:r>
      <w:r>
        <w:rPr>
          <w:bCs/>
        </w:rPr>
        <w:tab/>
        <w:t>Offences to be dealt with by magistrate</w:t>
      </w:r>
      <w:bookmarkEnd w:id="69"/>
    </w:p>
    <w:p>
      <w:pPr>
        <w:pStyle w:val="Subsection"/>
      </w:pPr>
      <w:r>
        <w:tab/>
      </w:r>
      <w:r>
        <w:tab/>
        <w:t>A court of summary jurisdiction dealing with an offence under this Act is to be constituted by a magistrate.</w:t>
      </w:r>
    </w:p>
    <w:p>
      <w:pPr>
        <w:pStyle w:val="Footnotesection"/>
      </w:pPr>
      <w:r>
        <w:tab/>
        <w:t>[Section 34 inserted: No. 59 of 2004 s. 141.]</w:t>
      </w:r>
    </w:p>
    <w:p>
      <w:pPr>
        <w:pStyle w:val="Heading5"/>
      </w:pPr>
      <w:bookmarkStart w:id="70" w:name="_Toc115267820"/>
      <w:r>
        <w:rPr>
          <w:rStyle w:val="CharSectno"/>
        </w:rPr>
        <w:lastRenderedPageBreak/>
        <w:t>35</w:t>
      </w:r>
      <w:r>
        <w:t>.</w:t>
      </w:r>
      <w:r>
        <w:tab/>
        <w:t>General penalty</w:t>
      </w:r>
      <w:bookmarkEnd w:id="70"/>
    </w:p>
    <w:p>
      <w:pPr>
        <w:pStyle w:val="Subsection"/>
        <w:keepNext/>
        <w:rPr>
          <w:snapToGrid w:val="0"/>
        </w:rPr>
      </w:pPr>
      <w:r>
        <w:tab/>
      </w:r>
      <w:r>
        <w:tab/>
        <w:t>The penalty for an offence under this Act for which no penalty is specifically provided is a fine of $1 000.</w:t>
      </w:r>
    </w:p>
    <w:p>
      <w:pPr>
        <w:pStyle w:val="Footnotesection"/>
      </w:pPr>
      <w:r>
        <w:tab/>
        <w:t>[Section 35 inserted: No. 50 of 2003 s. 66(3).]</w:t>
      </w:r>
    </w:p>
    <w:p>
      <w:pPr>
        <w:pStyle w:val="Heading5"/>
        <w:rPr>
          <w:snapToGrid w:val="0"/>
        </w:rPr>
      </w:pPr>
      <w:bookmarkStart w:id="71" w:name="_Toc115267821"/>
      <w:r>
        <w:rPr>
          <w:rStyle w:val="CharSectno"/>
        </w:rPr>
        <w:t>36</w:t>
      </w:r>
      <w:r>
        <w:rPr>
          <w:snapToGrid w:val="0"/>
        </w:rPr>
        <w:t>.</w:t>
      </w:r>
      <w:r>
        <w:rPr>
          <w:snapToGrid w:val="0"/>
        </w:rPr>
        <w:tab/>
        <w:t>Infringement notices</w:t>
      </w:r>
      <w:bookmarkEnd w:id="71"/>
    </w:p>
    <w:p>
      <w:pPr>
        <w:pStyle w:val="Subsection"/>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w:t>
      </w:r>
    </w:p>
    <w:p>
      <w:pPr>
        <w:pStyle w:val="Indenta"/>
        <w:rPr>
          <w:snapToGrid w:val="0"/>
        </w:rPr>
      </w:pPr>
      <w:r>
        <w:rPr>
          <w:snapToGrid w:val="0"/>
        </w:rPr>
        <w:tab/>
        <w:t>(a)</w:t>
      </w:r>
      <w:r>
        <w:rPr>
          <w:snapToGrid w:val="0"/>
        </w:rPr>
        <w:tab/>
        <w:t>the place where the offence occurs; and</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keepNext/>
        <w:keepLines/>
        <w:rPr>
          <w:snapToGrid w:val="0"/>
        </w:rPr>
      </w:pPr>
      <w:r>
        <w:rPr>
          <w:snapToGrid w:val="0"/>
        </w:rPr>
        <w:lastRenderedPageBreak/>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keepNext/>
        <w:rPr>
          <w:snapToGrid w:val="0"/>
        </w:rPr>
      </w:pPr>
      <w:r>
        <w:rPr>
          <w:snapToGrid w:val="0"/>
        </w:rPr>
        <w:lastRenderedPageBreak/>
        <w:tab/>
        <w:t>(8)</w:t>
      </w:r>
      <w:r>
        <w:rPr>
          <w:snapToGrid w:val="0"/>
        </w:rPr>
        <w:tab/>
        <w:t>The amount of any modified penalty paid pursuant to an infringement notice which has been withdrawn under subsection (7) shall be refunded.</w:t>
      </w:r>
    </w:p>
    <w:p>
      <w:pPr>
        <w:pStyle w:val="Footnotesection"/>
      </w:pPr>
      <w:r>
        <w:tab/>
        <w:t>[Section 36 amended: No. 84 of 2004 s. 80.]</w:t>
      </w:r>
    </w:p>
    <w:p>
      <w:pPr>
        <w:pStyle w:val="Heading5"/>
        <w:rPr>
          <w:snapToGrid w:val="0"/>
        </w:rPr>
      </w:pPr>
      <w:bookmarkStart w:id="72" w:name="_Toc115267822"/>
      <w:r>
        <w:rPr>
          <w:rStyle w:val="CharSectno"/>
        </w:rPr>
        <w:t>37</w:t>
      </w:r>
      <w:r>
        <w:rPr>
          <w:snapToGrid w:val="0"/>
        </w:rPr>
        <w:t>.</w:t>
      </w:r>
      <w:r>
        <w:rPr>
          <w:snapToGrid w:val="0"/>
        </w:rPr>
        <w:tab/>
        <w:t>Criminal liability of directors etc.</w:t>
      </w:r>
      <w:bookmarkEnd w:id="72"/>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ind w:left="890" w:hanging="890"/>
      </w:pPr>
      <w:r>
        <w:tab/>
        <w:t>[Section 37 amended: No. 24 of 1998 s. 44; No. 10 of 2001 s. 87; No. 35 of 2003 s. 166.]</w:t>
      </w:r>
    </w:p>
    <w:p>
      <w:pPr>
        <w:pStyle w:val="Heading5"/>
        <w:rPr>
          <w:snapToGrid w:val="0"/>
        </w:rPr>
      </w:pPr>
      <w:bookmarkStart w:id="73" w:name="_Toc115267823"/>
      <w:r>
        <w:rPr>
          <w:rStyle w:val="CharSectno"/>
        </w:rPr>
        <w:t>38</w:t>
      </w:r>
      <w:r>
        <w:rPr>
          <w:snapToGrid w:val="0"/>
        </w:rPr>
        <w:t>.</w:t>
      </w:r>
      <w:r>
        <w:rPr>
          <w:snapToGrid w:val="0"/>
        </w:rPr>
        <w:tab/>
        <w:t>Service of notices</w:t>
      </w:r>
      <w:bookmarkEnd w:id="73"/>
    </w:p>
    <w:p>
      <w:pPr>
        <w:pStyle w:val="Subsection"/>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keepLines/>
        <w:spacing w:before="60"/>
        <w:rPr>
          <w:snapToGrid w:val="0"/>
        </w:rPr>
      </w:pPr>
      <w:r>
        <w:rPr>
          <w:snapToGrid w:val="0"/>
        </w:rPr>
        <w:lastRenderedPageBreak/>
        <w:tab/>
        <w:t>(b)</w:t>
      </w:r>
      <w:r>
        <w:rPr>
          <w:snapToGrid w:val="0"/>
        </w:rPr>
        <w:tab/>
        <w:t xml:space="preserve">a body of persons </w:t>
      </w:r>
      <w:r>
        <w:t xml:space="preserve">incorporated, or taken to be incorporated, under the </w:t>
      </w:r>
      <w:r>
        <w:rPr>
          <w:i/>
        </w:rPr>
        <w:t>Associations Incorporation Act 2015</w:t>
      </w:r>
      <w:r>
        <w:t xml:space="preserve">, </w:t>
      </w:r>
      <w:r>
        <w:rPr>
          <w:snapToGrid w:val="0"/>
        </w:rPr>
        <w:t>by service in a manner authorised for the service of a notice under that Act,</w:t>
      </w:r>
    </w:p>
    <w:p>
      <w:pPr>
        <w:pStyle w:val="Subsection"/>
        <w:keepLines/>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ind w:left="890" w:hanging="890"/>
      </w:pPr>
      <w:r>
        <w:tab/>
        <w:t>[Section 38 amended: No. 24 of 1998 s. 45; No. 10 of 2001 s. 88; No. 35 of 2003 s. 139; No. 30 of 2015 s. 217.]</w:t>
      </w:r>
    </w:p>
    <w:p>
      <w:pPr>
        <w:pStyle w:val="Heading5"/>
        <w:rPr>
          <w:snapToGrid w:val="0"/>
        </w:rPr>
      </w:pPr>
      <w:bookmarkStart w:id="74" w:name="_Toc115267824"/>
      <w:r>
        <w:rPr>
          <w:rStyle w:val="CharSectno"/>
        </w:rPr>
        <w:t>39</w:t>
      </w:r>
      <w:r>
        <w:rPr>
          <w:snapToGrid w:val="0"/>
        </w:rPr>
        <w:t>.</w:t>
      </w:r>
      <w:r>
        <w:rPr>
          <w:snapToGrid w:val="0"/>
        </w:rPr>
        <w:tab/>
        <w:t>Evidentiary provisions for charges of offences</w:t>
      </w:r>
      <w:bookmarkEnd w:id="74"/>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 and</w:t>
      </w:r>
    </w:p>
    <w:p>
      <w:pPr>
        <w:pStyle w:val="Indenta"/>
        <w:rPr>
          <w:snapToGrid w:val="0"/>
        </w:rPr>
      </w:pPr>
      <w:r>
        <w:rPr>
          <w:snapToGrid w:val="0"/>
        </w:rPr>
        <w:tab/>
        <w:t>(b)</w:t>
      </w:r>
      <w:r>
        <w:rPr>
          <w:snapToGrid w:val="0"/>
        </w:rPr>
        <w:tab/>
        <w:t>a document signed by a member of the Commission stating that at the time or during the period stated in the document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keepLines/>
        <w:rPr>
          <w:snapToGrid w:val="0"/>
        </w:rPr>
      </w:pPr>
      <w:r>
        <w:rPr>
          <w:snapToGrid w:val="0"/>
        </w:rPr>
        <w:lastRenderedPageBreak/>
        <w:tab/>
      </w:r>
      <w:r>
        <w:rPr>
          <w:snapToGrid w:val="0"/>
        </w:rPr>
        <w:tab/>
        <w:t>shall be evidence of the facts stated and, in the absence of evidence to the contrary, conclusive evidence; and</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 and</w:t>
      </w:r>
    </w:p>
    <w:p>
      <w:pPr>
        <w:pStyle w:val="Indenta"/>
        <w:rPr>
          <w:snapToGrid w:val="0"/>
        </w:rPr>
      </w:pPr>
      <w:r>
        <w:rPr>
          <w:snapToGrid w:val="0"/>
        </w:rPr>
        <w:tab/>
        <w:t>(d)</w:t>
      </w:r>
      <w:r>
        <w:rPr>
          <w:snapToGrid w:val="0"/>
        </w:rPr>
        <w:tab/>
        <w:t>an averment that —</w:t>
      </w:r>
    </w:p>
    <w:p>
      <w:pPr>
        <w:pStyle w:val="Indenti"/>
        <w:rPr>
          <w:snapToGrid w:val="0"/>
        </w:rPr>
      </w:pPr>
      <w:r>
        <w:rPr>
          <w:snapToGrid w:val="0"/>
        </w:rPr>
        <w:tab/>
        <w:t>(i)</w:t>
      </w:r>
      <w:r>
        <w:rPr>
          <w:snapToGrid w:val="0"/>
        </w:rPr>
        <w:tab/>
        <w:t>a person is of a specified age or is under or over a specified age; or</w:t>
      </w:r>
    </w:p>
    <w:p>
      <w:pPr>
        <w:pStyle w:val="Indenti"/>
        <w:rPr>
          <w:snapToGrid w:val="0"/>
        </w:rPr>
      </w:pPr>
      <w:r>
        <w:rPr>
          <w:snapToGrid w:val="0"/>
        </w:rPr>
        <w:tab/>
        <w:t>(ii)</w:t>
      </w:r>
      <w:r>
        <w:rPr>
          <w:snapToGrid w:val="0"/>
        </w:rPr>
        <w:tab/>
        <w:t>that any premises at which an offence was committed was a place to which an approval, permit or certificate applies or did not apply; or</w:t>
      </w:r>
    </w:p>
    <w:p>
      <w:pPr>
        <w:pStyle w:val="Indenti"/>
        <w:rPr>
          <w:snapToGrid w:val="0"/>
        </w:rPr>
      </w:pPr>
      <w:r>
        <w:rPr>
          <w:snapToGrid w:val="0"/>
        </w:rPr>
        <w:tab/>
        <w:t>(iii)</w:t>
      </w:r>
      <w:r>
        <w:rPr>
          <w:snapToGrid w:val="0"/>
        </w:rPr>
        <w:tab/>
        <w:t>a specified game is of a kind essentially similar to a game of another specified kind; or</w:t>
      </w:r>
    </w:p>
    <w:p>
      <w:pPr>
        <w:pStyle w:val="Indenti"/>
        <w:rPr>
          <w:snapToGrid w:val="0"/>
        </w:rPr>
      </w:pPr>
      <w:r>
        <w:rPr>
          <w:snapToGrid w:val="0"/>
        </w:rPr>
        <w:tab/>
        <w:t>(iiia)</w:t>
      </w:r>
      <w:r>
        <w:rPr>
          <w:snapToGrid w:val="0"/>
        </w:rPr>
        <w:tab/>
        <w:t>a specified game is a game that is commonly played in casinos (whether in Australia or elsewhere) or is a variation or derivative of such a game; or</w:t>
      </w:r>
    </w:p>
    <w:p>
      <w:pPr>
        <w:pStyle w:val="Indenti"/>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w:t>
      </w:r>
      <w:r>
        <w:rPr>
          <w:snapToGrid w:val="0"/>
        </w:rPr>
        <w:lastRenderedPageBreak/>
        <w:t>hearing of the charge the authorised officer, member of the Police Force or person acting on request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 and</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 and</w:t>
      </w:r>
    </w:p>
    <w:p>
      <w:pPr>
        <w:pStyle w:val="Indenta"/>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 and</w:t>
      </w:r>
    </w:p>
    <w:p>
      <w:pPr>
        <w:pStyle w:val="Indenta"/>
        <w:keepLines/>
        <w:spacing w:before="9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 and</w:t>
      </w:r>
    </w:p>
    <w:p>
      <w:pPr>
        <w:pStyle w:val="Indenta"/>
        <w:spacing w:before="90"/>
        <w:rPr>
          <w:snapToGrid w:val="0"/>
        </w:rPr>
      </w:pPr>
      <w:r>
        <w:rPr>
          <w:snapToGrid w:val="0"/>
        </w:rPr>
        <w:lastRenderedPageBreak/>
        <w:tab/>
        <w:t>(c)</w:t>
      </w:r>
      <w:r>
        <w:rPr>
          <w:snapToGrid w:val="0"/>
        </w:rPr>
        <w:tab/>
        <w:t>the public shall be deemed to have or be permitted to have access to a place where that place is for the time being open to the public whether or not a charge or levy is made or payment for admittance is required; and</w:t>
      </w:r>
    </w:p>
    <w:p>
      <w:pPr>
        <w:pStyle w:val="Indenta"/>
        <w:spacing w:before="90"/>
        <w:rPr>
          <w:snapToGrid w:val="0"/>
        </w:rPr>
      </w:pPr>
      <w:r>
        <w:rPr>
          <w:snapToGrid w:val="0"/>
        </w:rPr>
        <w:tab/>
        <w:t>(d)</w:t>
      </w:r>
      <w:r>
        <w:rPr>
          <w:snapToGrid w:val="0"/>
        </w:rPr>
        <w:tab/>
        <w:t>the playing of a game of chance or participation in any activity which —</w:t>
      </w:r>
    </w:p>
    <w:p>
      <w:pPr>
        <w:pStyle w:val="Indenti"/>
        <w:spacing w:before="90"/>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 or</w:t>
      </w:r>
    </w:p>
    <w:p>
      <w:pPr>
        <w:pStyle w:val="Indenti"/>
        <w:spacing w:before="90"/>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spacing w:before="90"/>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spacing w:before="90"/>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spacing w:before="90"/>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w:t>
      </w:r>
    </w:p>
    <w:p>
      <w:pPr>
        <w:pStyle w:val="Indenti"/>
        <w:spacing w:before="90"/>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spacing w:before="90"/>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rPr>
          <w:snapToGrid w:val="0"/>
        </w:rPr>
      </w:pPr>
      <w:r>
        <w:rPr>
          <w:snapToGrid w:val="0"/>
        </w:rPr>
        <w:lastRenderedPageBreak/>
        <w:tab/>
        <w:t>(3)</w:t>
      </w:r>
      <w:r>
        <w:rPr>
          <w:snapToGrid w:val="0"/>
        </w:rPr>
        <w:tab/>
        <w:t>Where on the hearing of a prosecution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w:t>
      </w:r>
    </w:p>
    <w:p>
      <w:pPr>
        <w:pStyle w:val="Indenti"/>
        <w:rPr>
          <w:snapToGrid w:val="0"/>
        </w:rPr>
      </w:pPr>
      <w:r>
        <w:rPr>
          <w:snapToGrid w:val="0"/>
        </w:rPr>
        <w:tab/>
        <w:t>(i)</w:t>
      </w:r>
      <w:r>
        <w:rPr>
          <w:snapToGrid w:val="0"/>
        </w:rPr>
        <w:tab/>
      </w:r>
      <w:r>
        <w:t>gambling</w:t>
      </w:r>
      <w:r>
        <w:rPr>
          <w:snapToGrid w:val="0"/>
        </w:rPr>
        <w:t xml:space="preserve"> in; or</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rPr>
          <w:snapToGrid w:val="0"/>
        </w:rPr>
      </w:pPr>
      <w:r>
        <w:rPr>
          <w:snapToGrid w:val="0"/>
        </w:rPr>
        <w:tab/>
      </w:r>
      <w:r>
        <w:rPr>
          <w:snapToGrid w:val="0"/>
        </w:rPr>
        <w:tab/>
        <w:t>it shall be presumed, unless the contrary is proved, that games played at those premises were games played for money.</w:t>
      </w:r>
    </w:p>
    <w:p>
      <w:pPr>
        <w:pStyle w:val="Subsection"/>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w:t>
      </w:r>
    </w:p>
    <w:p>
      <w:pPr>
        <w:pStyle w:val="Indenta"/>
        <w:rPr>
          <w:snapToGrid w:val="0"/>
        </w:rPr>
      </w:pPr>
      <w:r>
        <w:rPr>
          <w:snapToGrid w:val="0"/>
        </w:rPr>
        <w:tab/>
        <w:t>(a)</w:t>
      </w:r>
      <w:r>
        <w:rPr>
          <w:snapToGrid w:val="0"/>
        </w:rPr>
        <w:tab/>
        <w:t>taking part in the conduct of the game; or</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spacing w:before="200"/>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keepLines w:val="0"/>
        <w:ind w:left="890" w:hanging="890"/>
      </w:pPr>
      <w:r>
        <w:tab/>
        <w:t>[Section 39 amended: No. 16 of 1990 s. 33; No. 24 of 1998 s. 46; No. 35 of 2003 s. 140, 166 and 167; No. 84 of 2004 s. 80.]</w:t>
      </w:r>
    </w:p>
    <w:p>
      <w:pPr>
        <w:pStyle w:val="Heading5"/>
        <w:rPr>
          <w:snapToGrid w:val="0"/>
        </w:rPr>
      </w:pPr>
      <w:bookmarkStart w:id="75" w:name="_Toc115267825"/>
      <w:r>
        <w:rPr>
          <w:rStyle w:val="CharSectno"/>
        </w:rPr>
        <w:lastRenderedPageBreak/>
        <w:t>40</w:t>
      </w:r>
      <w:r>
        <w:rPr>
          <w:snapToGrid w:val="0"/>
        </w:rPr>
        <w:t>.</w:t>
      </w:r>
      <w:r>
        <w:rPr>
          <w:snapToGrid w:val="0"/>
        </w:rPr>
        <w:tab/>
        <w:t>Evidentiary provisions for charges involving common gaming houses</w:t>
      </w:r>
      <w:bookmarkEnd w:id="75"/>
    </w:p>
    <w:p>
      <w:pPr>
        <w:pStyle w:val="Subsection"/>
        <w:rPr>
          <w:snapToGrid w:val="0"/>
        </w:rPr>
      </w:pPr>
      <w:r>
        <w:rPr>
          <w:snapToGrid w:val="0"/>
        </w:rPr>
        <w:tab/>
        <w:t>(1)</w:t>
      </w:r>
      <w:r>
        <w:rPr>
          <w:snapToGrid w:val="0"/>
        </w:rPr>
        <w:tab/>
        <w:t>Where a person is charged with an offence in relation to any premises alleged to be a common gaming house —</w:t>
      </w:r>
    </w:p>
    <w:p>
      <w:pPr>
        <w:pStyle w:val="Indenta"/>
        <w:spacing w:before="70"/>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spacing w:before="70"/>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spacing w:before="70"/>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w:t>
      </w:r>
    </w:p>
    <w:p>
      <w:pPr>
        <w:pStyle w:val="Indenti"/>
        <w:spacing w:before="70"/>
        <w:rPr>
          <w:snapToGrid w:val="0"/>
        </w:rPr>
      </w:pPr>
      <w:r>
        <w:rPr>
          <w:snapToGrid w:val="0"/>
        </w:rPr>
        <w:tab/>
        <w:t>(i)</w:t>
      </w:r>
      <w:r>
        <w:rPr>
          <w:snapToGrid w:val="0"/>
        </w:rPr>
        <w:tab/>
        <w:t>the game is an unlawful game; or</w:t>
      </w:r>
    </w:p>
    <w:p>
      <w:pPr>
        <w:pStyle w:val="Indenti"/>
        <w:spacing w:before="70"/>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 or</w:t>
      </w:r>
    </w:p>
    <w:p>
      <w:pPr>
        <w:pStyle w:val="Indenti"/>
        <w:spacing w:before="70"/>
        <w:rPr>
          <w:snapToGrid w:val="0"/>
        </w:rPr>
      </w:pPr>
      <w:r>
        <w:rPr>
          <w:snapToGrid w:val="0"/>
        </w:rPr>
        <w:tab/>
        <w:t>(iii)</w:t>
      </w:r>
      <w:r>
        <w:rPr>
          <w:snapToGrid w:val="0"/>
        </w:rPr>
        <w:tab/>
        <w:t>the nature of the game is such that the chances in the game are not equally favourable to all players; or</w:t>
      </w:r>
    </w:p>
    <w:p>
      <w:pPr>
        <w:pStyle w:val="Indenti"/>
        <w:spacing w:before="70"/>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 or</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lastRenderedPageBreak/>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pPr>
      <w:r>
        <w:tab/>
        <w:t>(3)</w:t>
      </w:r>
      <w:r>
        <w:tab/>
        <w:t>Despite any rule of law, premises shall not be taken to be a common gaming house or a common betting house by reason only of the carrying on there of gaming or wagering.</w:t>
      </w:r>
    </w:p>
    <w:p>
      <w:pPr>
        <w:pStyle w:val="Subsection"/>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rPr>
          <w:snapToGrid w:val="0"/>
        </w:rPr>
      </w:pPr>
      <w:r>
        <w:rPr>
          <w:snapToGrid w:val="0"/>
        </w:rPr>
        <w:tab/>
        <w:t>(4)</w:t>
      </w:r>
      <w:r>
        <w:rPr>
          <w:snapToGrid w:val="0"/>
        </w:rPr>
        <w:tab/>
        <w:t>Where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 or</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 or</w:t>
      </w:r>
    </w:p>
    <w:p>
      <w:pPr>
        <w:pStyle w:val="Indenta"/>
        <w:rPr>
          <w:snapToGrid w:val="0"/>
        </w:rPr>
      </w:pPr>
      <w:r>
        <w:rPr>
          <w:snapToGrid w:val="0"/>
        </w:rPr>
        <w:tab/>
        <w:t>(c)</w:t>
      </w:r>
      <w:r>
        <w:rPr>
          <w:snapToGrid w:val="0"/>
        </w:rPr>
        <w:tab/>
        <w:t xml:space="preserve">any premises are found to be fitted or provided with any means or contrivance related to the conduct of unlawful </w:t>
      </w:r>
      <w:r>
        <w:rPr>
          <w:snapToGrid w:val="0"/>
        </w:rPr>
        <w:lastRenderedPageBreak/>
        <w:t>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ind w:left="890" w:hanging="890"/>
      </w:pPr>
      <w:r>
        <w:tab/>
        <w:t>[Section 40 amended: No. 35 of 2003 s. 141.]</w:t>
      </w:r>
    </w:p>
    <w:p>
      <w:pPr>
        <w:pStyle w:val="Heading2"/>
      </w:pPr>
      <w:bookmarkStart w:id="76" w:name="_Toc115166595"/>
      <w:bookmarkStart w:id="77" w:name="_Toc115166752"/>
      <w:bookmarkStart w:id="78" w:name="_Toc115267826"/>
      <w:r>
        <w:rPr>
          <w:rStyle w:val="CharPartNo"/>
        </w:rPr>
        <w:lastRenderedPageBreak/>
        <w:t>Part IV</w:t>
      </w:r>
      <w:r>
        <w:rPr>
          <w:rStyle w:val="CharDivNo"/>
        </w:rPr>
        <w:t> </w:t>
      </w:r>
      <w:r>
        <w:t>—</w:t>
      </w:r>
      <w:r>
        <w:rPr>
          <w:rStyle w:val="CharDivText"/>
        </w:rPr>
        <w:t> </w:t>
      </w:r>
      <w:r>
        <w:rPr>
          <w:rStyle w:val="CharPartText"/>
        </w:rPr>
        <w:t>Common gaming houses, unlawful gaming, cheating etc.</w:t>
      </w:r>
      <w:bookmarkEnd w:id="76"/>
      <w:bookmarkEnd w:id="77"/>
      <w:bookmarkEnd w:id="78"/>
    </w:p>
    <w:p>
      <w:pPr>
        <w:pStyle w:val="Heading5"/>
      </w:pPr>
      <w:bookmarkStart w:id="79" w:name="_Toc115267827"/>
      <w:r>
        <w:rPr>
          <w:rStyle w:val="CharSectno"/>
        </w:rPr>
        <w:t>40A</w:t>
      </w:r>
      <w:r>
        <w:t>.</w:t>
      </w:r>
      <w:r>
        <w:tab/>
        <w:t>Part does not apply to gambling under other written laws</w:t>
      </w:r>
      <w:bookmarkEnd w:id="79"/>
    </w:p>
    <w:p>
      <w:pPr>
        <w:pStyle w:val="Subsection"/>
      </w:pPr>
      <w:r>
        <w:tab/>
      </w:r>
      <w:r>
        <w:tab/>
        <w:t>In this Part —</w:t>
      </w:r>
    </w:p>
    <w:p>
      <w:pPr>
        <w:pStyle w:val="Defstart"/>
      </w:pPr>
      <w:r>
        <w:rPr>
          <w:b/>
        </w:rPr>
        <w:tab/>
      </w:r>
      <w:r>
        <w:rPr>
          <w:rStyle w:val="CharDefText"/>
        </w:rPr>
        <w:t>gambling</w:t>
      </w:r>
      <w:r>
        <w:t xml:space="preserve"> and </w:t>
      </w:r>
      <w:r>
        <w:rPr>
          <w:rStyle w:val="CharDefText"/>
        </w:rPr>
        <w:t>wagering</w:t>
      </w:r>
      <w:r>
        <w:t>, except in relation to section 44, do not include gambling under and in accordance with —</w:t>
      </w:r>
    </w:p>
    <w:p>
      <w:pPr>
        <w:pStyle w:val="Defpara"/>
      </w:pPr>
      <w:r>
        <w:tab/>
        <w:t>(a)</w:t>
      </w:r>
      <w:r>
        <w:tab/>
        <w:t xml:space="preserve">the </w:t>
      </w:r>
      <w:r>
        <w:rPr>
          <w:i/>
        </w:rPr>
        <w:t>Betting Control Act 1954</w:t>
      </w:r>
      <w:r>
        <w:t>; or</w:t>
      </w:r>
    </w:p>
    <w:p>
      <w:pPr>
        <w:pStyle w:val="Defpara"/>
      </w:pPr>
      <w:r>
        <w:tab/>
        <w:t>(b)</w:t>
      </w:r>
      <w:r>
        <w:tab/>
        <w:t xml:space="preserve">the </w:t>
      </w:r>
      <w:r>
        <w:rPr>
          <w:i/>
        </w:rPr>
        <w:t>Lotteries Commission Act 1990</w:t>
      </w:r>
      <w:r>
        <w:t>; or</w:t>
      </w:r>
    </w:p>
    <w:p>
      <w:pPr>
        <w:pStyle w:val="Defpara"/>
      </w:pPr>
      <w:r>
        <w:tab/>
        <w:t>(c)</w:t>
      </w:r>
      <w:r>
        <w:tab/>
        <w:t>the RWWA Act; or</w:t>
      </w:r>
    </w:p>
    <w:p>
      <w:pPr>
        <w:pStyle w:val="Defpara"/>
      </w:pPr>
      <w:r>
        <w:tab/>
        <w:t>(d)</w:t>
      </w:r>
      <w:r>
        <w:tab/>
        <w:t xml:space="preserve">the </w:t>
      </w:r>
      <w:r>
        <w:rPr>
          <w:i/>
        </w:rPr>
        <w:t>Casino Control Act 1984</w:t>
      </w:r>
      <w:r>
        <w:t>.</w:t>
      </w:r>
    </w:p>
    <w:p>
      <w:pPr>
        <w:pStyle w:val="Footnotesection"/>
        <w:ind w:left="890" w:hanging="890"/>
      </w:pPr>
      <w:r>
        <w:tab/>
        <w:t>[Section 40A inserted: No. 35 of 2003 s. 142.]</w:t>
      </w:r>
    </w:p>
    <w:p>
      <w:pPr>
        <w:pStyle w:val="Heading5"/>
        <w:rPr>
          <w:snapToGrid w:val="0"/>
        </w:rPr>
      </w:pPr>
      <w:bookmarkStart w:id="80" w:name="_Toc115267828"/>
      <w:r>
        <w:rPr>
          <w:rStyle w:val="CharSectno"/>
        </w:rPr>
        <w:t>41</w:t>
      </w:r>
      <w:r>
        <w:rPr>
          <w:snapToGrid w:val="0"/>
        </w:rPr>
        <w:t>.</w:t>
      </w:r>
      <w:r>
        <w:rPr>
          <w:snapToGrid w:val="0"/>
        </w:rPr>
        <w:tab/>
        <w:t>Common gaming house, meaning of and offences as to</w:t>
      </w:r>
      <w:bookmarkEnd w:id="80"/>
    </w:p>
    <w:p>
      <w:pPr>
        <w:pStyle w:val="Subsection"/>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rPr>
          <w:snapToGrid w:val="0"/>
        </w:rPr>
      </w:pPr>
      <w:r>
        <w:rPr>
          <w:snapToGrid w:val="0"/>
        </w:rPr>
        <w:tab/>
        <w:t>(3)</w:t>
      </w:r>
      <w:r>
        <w:rPr>
          <w:snapToGrid w:val="0"/>
        </w:rPr>
        <w:tab/>
        <w:t>Where any premises are opened, kept or used as a common gaming house —</w:t>
      </w:r>
    </w:p>
    <w:p>
      <w:pPr>
        <w:pStyle w:val="Indenta"/>
        <w:rPr>
          <w:snapToGrid w:val="0"/>
        </w:rPr>
      </w:pPr>
      <w:r>
        <w:rPr>
          <w:snapToGrid w:val="0"/>
        </w:rPr>
        <w:tab/>
        <w:t>(a)</w:t>
      </w:r>
      <w:r>
        <w:rPr>
          <w:snapToGrid w:val="0"/>
        </w:rPr>
        <w:tab/>
        <w:t>a person concerned in the conduct of the</w:t>
      </w:r>
      <w:r>
        <w:t xml:space="preserve"> gambling</w:t>
      </w:r>
      <w:r>
        <w:rPr>
          <w:snapToGrid w:val="0"/>
        </w:rPr>
        <w:t>; and</w:t>
      </w:r>
    </w:p>
    <w:p>
      <w:pPr>
        <w:pStyle w:val="Indenta"/>
        <w:rPr>
          <w:snapToGrid w:val="0"/>
        </w:rPr>
      </w:pPr>
      <w:r>
        <w:rPr>
          <w:snapToGrid w:val="0"/>
        </w:rPr>
        <w:tab/>
        <w:t>(b)</w:t>
      </w:r>
      <w:r>
        <w:rPr>
          <w:snapToGrid w:val="0"/>
        </w:rPr>
        <w:tab/>
        <w:t xml:space="preserve">the owner of the premises, unless he proves that he did not know and could not reasonably be expected to have </w:t>
      </w:r>
      <w:r>
        <w:rPr>
          <w:snapToGrid w:val="0"/>
        </w:rPr>
        <w:lastRenderedPageBreak/>
        <w:t xml:space="preserve">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$10 000, or imprisonment for 2 years, or both.</w:t>
      </w:r>
    </w:p>
    <w:p>
      <w:pPr>
        <w:pStyle w:val="Subsection"/>
        <w:rPr>
          <w:snapToGrid w:val="0"/>
        </w:rPr>
      </w:pPr>
      <w:r>
        <w:rPr>
          <w:snapToGrid w:val="0"/>
        </w:rPr>
        <w:tab/>
        <w:t>(4)</w:t>
      </w:r>
      <w:r>
        <w:rPr>
          <w:snapToGrid w:val="0"/>
        </w:rPr>
        <w:tab/>
        <w:t>For the purposes of subsection (3), any person who —</w:t>
      </w:r>
    </w:p>
    <w:p>
      <w:pPr>
        <w:pStyle w:val="Indenta"/>
        <w:rPr>
          <w:snapToGrid w:val="0"/>
        </w:rPr>
      </w:pPr>
      <w:r>
        <w:rPr>
          <w:snapToGrid w:val="0"/>
        </w:rPr>
        <w:tab/>
        <w:t>(a)</w:t>
      </w:r>
      <w:r>
        <w:rPr>
          <w:snapToGrid w:val="0"/>
        </w:rPr>
        <w:tab/>
        <w:t>causes, procures or attempts to procure any other person to commit an offence of a kind referred to in that subsection; or</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w:t>
      </w:r>
    </w:p>
    <w:p>
      <w:pPr>
        <w:pStyle w:val="Indenti"/>
        <w:rPr>
          <w:snapToGrid w:val="0"/>
        </w:rPr>
      </w:pPr>
      <w:r>
        <w:rPr>
          <w:snapToGrid w:val="0"/>
        </w:rPr>
        <w:tab/>
        <w:t>(i)</w:t>
      </w:r>
      <w:r>
        <w:rPr>
          <w:snapToGrid w:val="0"/>
        </w:rPr>
        <w:tab/>
        <w:t>providing, servicing, operating or using any gaming equipment or instrument of gaming; or</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keepLines/>
        <w:rPr>
          <w:snapToGrid w:val="0"/>
        </w:rPr>
      </w:pPr>
      <w:r>
        <w:rPr>
          <w:snapToGrid w:val="0"/>
        </w:rPr>
        <w:lastRenderedPageBreak/>
        <w:tab/>
        <w:t>(5)</w:t>
      </w:r>
      <w:r>
        <w:rPr>
          <w:snapToGrid w:val="0"/>
        </w:rPr>
        <w:tab/>
        <w:t>The court by or before which a person is convicted of an offence under subsection (3) shall order any gaming equipment, instruments of gaming or related furnishings, and any money or other thing which has been seized and which the court is satisfied was found to be on the premises at the time of the offence, not being money or a thing shown to the satisfaction of the court not to relate to the offence, to be forfeited to the Crown.</w:t>
      </w:r>
    </w:p>
    <w:p>
      <w:pPr>
        <w:pStyle w:val="Subsection"/>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r>
      <w:r>
        <w:t>Penalty for this subsection: a fine of</w:t>
      </w:r>
      <w:r>
        <w:rPr>
          <w:snapToGrid w:val="0"/>
        </w:rPr>
        <w:t xml:space="preserve">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No. 24 of 1998 s. 47; No. 35 of 2003 s. 143 and 166; No. 59 of 2006 s. 52; No. 41 of 2018 s. 25(1).]</w:t>
      </w:r>
    </w:p>
    <w:p>
      <w:pPr>
        <w:pStyle w:val="Heading5"/>
        <w:rPr>
          <w:snapToGrid w:val="0"/>
        </w:rPr>
      </w:pPr>
      <w:bookmarkStart w:id="81" w:name="_Toc115267829"/>
      <w:r>
        <w:rPr>
          <w:rStyle w:val="CharSectno"/>
        </w:rPr>
        <w:t>42</w:t>
      </w:r>
      <w:r>
        <w:rPr>
          <w:snapToGrid w:val="0"/>
        </w:rPr>
        <w:t>.</w:t>
      </w:r>
      <w:r>
        <w:rPr>
          <w:snapToGrid w:val="0"/>
        </w:rPr>
        <w:tab/>
        <w:t>Prohibited gaming and unlawful games defined and offences as to</w:t>
      </w:r>
      <w:bookmarkEnd w:id="81"/>
    </w:p>
    <w:p>
      <w:pPr>
        <w:pStyle w:val="Subsection"/>
        <w:rPr>
          <w:snapToGrid w:val="0"/>
        </w:rPr>
      </w:pPr>
      <w:r>
        <w:rPr>
          <w:snapToGrid w:val="0"/>
        </w:rPr>
        <w:tab/>
        <w:t>(1)</w:t>
      </w:r>
      <w:r>
        <w:rPr>
          <w:snapToGrid w:val="0"/>
        </w:rPr>
        <w:tab/>
        <w:t>Subject to subsection (3), the conduct of gaming by means of or the playing of —</w:t>
      </w:r>
    </w:p>
    <w:p>
      <w:pPr>
        <w:pStyle w:val="Indenta"/>
        <w:spacing w:before="60"/>
        <w:rPr>
          <w:snapToGrid w:val="0"/>
        </w:rPr>
      </w:pPr>
      <w:r>
        <w:rPr>
          <w:snapToGrid w:val="0"/>
        </w:rPr>
        <w:tab/>
        <w:t>(a)</w:t>
      </w:r>
      <w:r>
        <w:rPr>
          <w:snapToGrid w:val="0"/>
        </w:rPr>
        <w:tab/>
        <w:t>thimblerig; or</w:t>
      </w:r>
    </w:p>
    <w:p>
      <w:pPr>
        <w:pStyle w:val="Indenta"/>
        <w:spacing w:before="60"/>
        <w:rPr>
          <w:snapToGrid w:val="0"/>
        </w:rPr>
      </w:pPr>
      <w:r>
        <w:rPr>
          <w:snapToGrid w:val="0"/>
        </w:rPr>
        <w:tab/>
        <w:t>(b)</w:t>
      </w:r>
      <w:r>
        <w:rPr>
          <w:snapToGrid w:val="0"/>
        </w:rPr>
        <w:tab/>
        <w:t>two</w:t>
      </w:r>
      <w:r>
        <w:rPr>
          <w:snapToGrid w:val="0"/>
        </w:rPr>
        <w:noBreakHyphen/>
        <w:t>up, other than permitted two</w:t>
      </w:r>
      <w:r>
        <w:rPr>
          <w:snapToGrid w:val="0"/>
        </w:rPr>
        <w:noBreakHyphen/>
        <w:t>up; or</w:t>
      </w:r>
    </w:p>
    <w:p>
      <w:pPr>
        <w:pStyle w:val="Indenta"/>
        <w:spacing w:before="60"/>
        <w:rPr>
          <w:snapToGrid w:val="0"/>
        </w:rPr>
      </w:pPr>
      <w:r>
        <w:rPr>
          <w:snapToGrid w:val="0"/>
        </w:rPr>
        <w:tab/>
        <w:t>(c)</w:t>
      </w:r>
      <w:r>
        <w:rPr>
          <w:snapToGrid w:val="0"/>
        </w:rPr>
        <w:tab/>
        <w:t xml:space="preserve">a game of a kind to which section 46(2)(a) refers or the playing of which would contravene the prohibitions </w:t>
      </w:r>
      <w:r>
        <w:rPr>
          <w:snapToGrid w:val="0"/>
        </w:rPr>
        <w:lastRenderedPageBreak/>
        <w:t>referred to in section 46(2)(b), other than at Burswood Casino; or</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 or</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spacing w:before="100"/>
        <w:rPr>
          <w:snapToGrid w:val="0"/>
        </w:rPr>
      </w:pPr>
      <w:r>
        <w:rPr>
          <w:snapToGrid w:val="0"/>
        </w:rPr>
        <w:tab/>
      </w:r>
      <w:r>
        <w:rPr>
          <w:snapToGrid w:val="0"/>
        </w:rPr>
        <w:tab/>
        <w:t>is prohibited.</w:t>
      </w:r>
    </w:p>
    <w:p>
      <w:pPr>
        <w:pStyle w:val="Subsection"/>
        <w:spacing w:before="100"/>
        <w:rPr>
          <w:snapToGrid w:val="0"/>
        </w:rPr>
      </w:pPr>
      <w:r>
        <w:rPr>
          <w:snapToGrid w:val="0"/>
        </w:rPr>
        <w:tab/>
        <w:t>(2)</w:t>
      </w:r>
      <w:r>
        <w:rPr>
          <w:snapToGrid w:val="0"/>
        </w:rPr>
        <w:tab/>
        <w:t>Any game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spacing w:before="100"/>
        <w:rPr>
          <w:snapToGrid w:val="0"/>
        </w:rPr>
      </w:pPr>
      <w:r>
        <w:rPr>
          <w:snapToGrid w:val="0"/>
        </w:rPr>
        <w:tab/>
      </w:r>
      <w:r>
        <w:rPr>
          <w:snapToGrid w:val="0"/>
        </w:rPr>
        <w:tab/>
        <w:t>is for the purposes of this Act or any other law deemed to be an unlawful game.</w:t>
      </w:r>
    </w:p>
    <w:p>
      <w:pPr>
        <w:pStyle w:val="Subsection"/>
        <w:spacing w:before="100"/>
        <w:rPr>
          <w:snapToGrid w:val="0"/>
        </w:rPr>
      </w:pPr>
      <w:r>
        <w:rPr>
          <w:snapToGrid w:val="0"/>
        </w:rPr>
        <w:tab/>
        <w:t>(3)</w:t>
      </w:r>
      <w:r>
        <w:rPr>
          <w:snapToGrid w:val="0"/>
        </w:rPr>
        <w:tab/>
        <w:t>The prohibition declared in subsection (1) shall not have effect in relation to the playing of —</w:t>
      </w:r>
    </w:p>
    <w:p>
      <w:pPr>
        <w:pStyle w:val="Indenta"/>
        <w:rPr>
          <w:snapToGrid w:val="0"/>
        </w:rPr>
      </w:pPr>
      <w:r>
        <w:rPr>
          <w:snapToGrid w:val="0"/>
        </w:rPr>
        <w:tab/>
        <w:t>(a)</w:t>
      </w:r>
      <w:r>
        <w:rPr>
          <w:snapToGrid w:val="0"/>
        </w:rPr>
        <w:tab/>
        <w:t>games with prizes being games of chance and skill combined in which skill is the predominant factor where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lastRenderedPageBreak/>
        <w:tab/>
        <w:t>(b)</w:t>
      </w:r>
      <w:r>
        <w:rPr>
          <w:snapToGrid w:val="0"/>
        </w:rPr>
        <w:tab/>
        <w:t>games of chance not played for winnings in money or money’s worth, played at a public place to which the public have or are permitted to have access;</w:t>
      </w:r>
    </w:p>
    <w:p>
      <w:pPr>
        <w:pStyle w:val="Indenta"/>
        <w:spacing w:before="60"/>
        <w:rPr>
          <w:snapToGrid w:val="0"/>
        </w:rPr>
      </w:pPr>
      <w:r>
        <w:rPr>
          <w:snapToGrid w:val="0"/>
        </w:rPr>
        <w:tab/>
        <w:t>(c)</w:t>
      </w:r>
      <w:r>
        <w:rPr>
          <w:snapToGrid w:val="0"/>
        </w:rPr>
        <w:tab/>
        <w:t>any other game, otherwise than in a common gaming house, if the game —</w:t>
      </w:r>
    </w:p>
    <w:p>
      <w:pPr>
        <w:pStyle w:val="Indenti"/>
        <w:spacing w:before="60"/>
        <w:rPr>
          <w:snapToGrid w:val="0"/>
        </w:rPr>
      </w:pPr>
      <w:r>
        <w:rPr>
          <w:snapToGrid w:val="0"/>
        </w:rPr>
        <w:tab/>
        <w:t>(i)</w:t>
      </w:r>
      <w:r>
        <w:rPr>
          <w:snapToGrid w:val="0"/>
        </w:rPr>
        <w:tab/>
        <w:t>is of a kind specified; and</w:t>
      </w:r>
    </w:p>
    <w:p>
      <w:pPr>
        <w:pStyle w:val="Indenti"/>
        <w:spacing w:before="60"/>
        <w:rPr>
          <w:snapToGrid w:val="0"/>
        </w:rPr>
      </w:pPr>
      <w:r>
        <w:rPr>
          <w:snapToGrid w:val="0"/>
        </w:rPr>
        <w:tab/>
        <w:t>(ii)</w:t>
      </w:r>
      <w:r>
        <w:rPr>
          <w:snapToGrid w:val="0"/>
        </w:rPr>
        <w:tab/>
        <w:t>is played in the circumstances specified; and</w:t>
      </w:r>
    </w:p>
    <w:p>
      <w:pPr>
        <w:pStyle w:val="Indenti"/>
        <w:spacing w:before="60"/>
        <w:rPr>
          <w:snapToGrid w:val="0"/>
        </w:rPr>
      </w:pPr>
      <w:r>
        <w:rPr>
          <w:snapToGrid w:val="0"/>
        </w:rPr>
        <w:tab/>
        <w:t>(iii)</w:t>
      </w:r>
      <w:r>
        <w:rPr>
          <w:snapToGrid w:val="0"/>
        </w:rPr>
        <w:tab/>
        <w:t>is so played as to comply with such conditions (if any) as may be prescribed,</w:t>
      </w:r>
    </w:p>
    <w:p>
      <w:pPr>
        <w:pStyle w:val="Indenta"/>
        <w:spacing w:before="60"/>
        <w:rPr>
          <w:snapToGrid w:val="0"/>
        </w:rPr>
      </w:pPr>
      <w:r>
        <w:rPr>
          <w:snapToGrid w:val="0"/>
        </w:rPr>
        <w:tab/>
      </w:r>
      <w:r>
        <w:rPr>
          <w:snapToGrid w:val="0"/>
        </w:rPr>
        <w:tab/>
        <w:t>by regulations made for the purposes of this subsection.</w:t>
      </w:r>
    </w:p>
    <w:p>
      <w:pPr>
        <w:pStyle w:val="Subsection"/>
        <w:spacing w:before="100"/>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for this subsection: a fine of $2 500.</w:t>
      </w:r>
    </w:p>
    <w:p>
      <w:pPr>
        <w:pStyle w:val="Subsection"/>
        <w:spacing w:before="100"/>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r>
      <w:r>
        <w:t>Penalty for this subsection: a fine of</w:t>
      </w:r>
      <w:r>
        <w:rPr>
          <w:snapToGrid w:val="0"/>
        </w:rPr>
        <w:t xml:space="preserve"> $500.</w:t>
      </w:r>
    </w:p>
    <w:p>
      <w:pPr>
        <w:pStyle w:val="Footnotesection"/>
      </w:pPr>
      <w:r>
        <w:tab/>
        <w:t>[Section 42 amended: No. 35 of 2003 s. 144; No. 50 of 2003 s. 66(4); No. 41 of 2018 s. 25(1).]</w:t>
      </w:r>
    </w:p>
    <w:p>
      <w:pPr>
        <w:pStyle w:val="Heading5"/>
        <w:spacing w:before="200"/>
        <w:rPr>
          <w:snapToGrid w:val="0"/>
        </w:rPr>
      </w:pPr>
      <w:bookmarkStart w:id="82" w:name="_Toc115267830"/>
      <w:r>
        <w:rPr>
          <w:rStyle w:val="CharSectno"/>
        </w:rPr>
        <w:t>43</w:t>
      </w:r>
      <w:r>
        <w:rPr>
          <w:snapToGrid w:val="0"/>
        </w:rPr>
        <w:t>.</w:t>
      </w:r>
      <w:r>
        <w:rPr>
          <w:snapToGrid w:val="0"/>
        </w:rPr>
        <w:tab/>
        <w:t>Defence of restricted access not available to charge of s. 41 or 42 offence</w:t>
      </w:r>
      <w:bookmarkEnd w:id="82"/>
    </w:p>
    <w:p>
      <w:pPr>
        <w:pStyle w:val="Subsection"/>
        <w:spacing w:before="100"/>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r>
        <w:tab/>
        <w:t>[Section 43 amended: No. 84 of 2004 s. 80.]</w:t>
      </w:r>
    </w:p>
    <w:p>
      <w:pPr>
        <w:pStyle w:val="Heading5"/>
        <w:spacing w:before="200"/>
      </w:pPr>
      <w:bookmarkStart w:id="83" w:name="_Toc115267831"/>
      <w:r>
        <w:rPr>
          <w:rStyle w:val="CharSectno"/>
        </w:rPr>
        <w:t>43A</w:t>
      </w:r>
      <w:r>
        <w:t>.</w:t>
      </w:r>
      <w:r>
        <w:tab/>
        <w:t xml:space="preserve">Advertising </w:t>
      </w:r>
      <w:r>
        <w:rPr>
          <w:snapToGrid w:val="0"/>
        </w:rPr>
        <w:t>unlawful</w:t>
      </w:r>
      <w:r>
        <w:t xml:space="preserve"> gambling</w:t>
      </w:r>
      <w:bookmarkEnd w:id="83"/>
    </w:p>
    <w:p>
      <w:pPr>
        <w:pStyle w:val="Subsection"/>
        <w:spacing w:before="100"/>
      </w:pPr>
      <w:r>
        <w:tab/>
        <w:t>(1)</w:t>
      </w:r>
      <w:r>
        <w:tab/>
        <w:t>In this section —</w:t>
      </w:r>
    </w:p>
    <w:p>
      <w:pPr>
        <w:pStyle w:val="Defstart"/>
      </w:pPr>
      <w:r>
        <w:rPr>
          <w:b/>
        </w:rPr>
        <w:tab/>
      </w:r>
      <w:r>
        <w:rPr>
          <w:rStyle w:val="CharDefText"/>
        </w:rPr>
        <w:t>prohibited advertisement</w:t>
      </w:r>
      <w:r>
        <w:t xml:space="preserve"> means any form of advertisement that conveys, or is likely to be understood as conveying —</w:t>
      </w:r>
    </w:p>
    <w:p>
      <w:pPr>
        <w:pStyle w:val="Defpara"/>
      </w:pPr>
      <w:r>
        <w:tab/>
        <w:t>(a)</w:t>
      </w:r>
      <w:r>
        <w:tab/>
        <w:t>the existence of a common gaming house (as defined in section 41(1)); or</w:t>
      </w:r>
    </w:p>
    <w:p>
      <w:pPr>
        <w:pStyle w:val="Defpara"/>
      </w:pPr>
      <w:r>
        <w:lastRenderedPageBreak/>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r>
      <w:r>
        <w:rPr>
          <w:rStyle w:val="CharDefText"/>
        </w:rPr>
        <w:t>unlawful gaming</w:t>
      </w:r>
      <w:r>
        <w:t xml:space="preserve"> means gaming other than —</w:t>
      </w:r>
    </w:p>
    <w:p>
      <w:pPr>
        <w:pStyle w:val="Defpara"/>
      </w:pPr>
      <w:r>
        <w:tab/>
        <w:t>(a)</w:t>
      </w:r>
      <w:r>
        <w:tab/>
        <w:t>permitted gaming; and</w:t>
      </w:r>
    </w:p>
    <w:p>
      <w:pPr>
        <w:pStyle w:val="Defpara"/>
      </w:pPr>
      <w:r>
        <w:tab/>
        <w:t>(b)</w:t>
      </w:r>
      <w:r>
        <w:tab/>
        <w:t>social gambling;</w:t>
      </w:r>
    </w:p>
    <w:p>
      <w:pPr>
        <w:pStyle w:val="Defstart"/>
      </w:pPr>
      <w:r>
        <w:rPr>
          <w:b/>
        </w:rPr>
        <w:tab/>
      </w:r>
      <w:r>
        <w:rPr>
          <w:rStyle w:val="CharDefText"/>
        </w:rPr>
        <w:t>unlawful wagering</w:t>
      </w:r>
      <w:r>
        <w:t xml:space="preserve"> means wagering other than social gambling.</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spacing w:before="160"/>
      </w:pPr>
      <w:r>
        <w:tab/>
        <w:t>Penalty for this subsection: a fine of $5 000.</w:t>
      </w:r>
    </w:p>
    <w:p>
      <w:pPr>
        <w:pStyle w:val="Subsection"/>
      </w:pPr>
      <w:r>
        <w:tab/>
        <w:t>(3)</w:t>
      </w:r>
      <w:r>
        <w:tab/>
        <w:t>A person who broadcasts, prints, publishes or distributes, or has in his or her possession for the purpose of publication or distribution, an advertisement that conveys, or is likely to be understood as conveying, the existence of a person (in this State or elsewhere) other than —</w:t>
      </w:r>
    </w:p>
    <w:p>
      <w:pPr>
        <w:pStyle w:val="Indenta"/>
      </w:pPr>
      <w:r>
        <w:tab/>
        <w:t>(a)</w:t>
      </w:r>
      <w:r>
        <w:tab/>
        <w:t>RWWA; or</w:t>
      </w:r>
    </w:p>
    <w:p>
      <w:pPr>
        <w:pStyle w:val="Indenta"/>
      </w:pPr>
      <w:r>
        <w:tab/>
        <w:t>(b)</w:t>
      </w:r>
      <w:r>
        <w:tab/>
        <w:t xml:space="preserve">the Lotteries Commission established under the </w:t>
      </w:r>
      <w:r>
        <w:rPr>
          <w:i/>
        </w:rPr>
        <w:t>Lotteries Commission Act 1990</w:t>
      </w:r>
      <w:r>
        <w:t>; or</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pPr>
      <w:r>
        <w:tab/>
        <w:t>(da)</w:t>
      </w:r>
      <w:r>
        <w:tab/>
        <w:t>a person who in another State or a Territory is authorised under a law of the State or Territory to engage in or conduct the business of betting on events; or</w:t>
      </w:r>
    </w:p>
    <w:p>
      <w:pPr>
        <w:pStyle w:val="Indenta"/>
        <w:keepNext/>
      </w:pPr>
      <w:r>
        <w:lastRenderedPageBreak/>
        <w:tab/>
        <w:t>(d)</w:t>
      </w:r>
      <w:r>
        <w:tab/>
        <w:t>any other person or class of person prescribed by the regulations,</w:t>
      </w:r>
    </w:p>
    <w:p>
      <w:pPr>
        <w:pStyle w:val="Subsection"/>
        <w:keepNext/>
        <w:keepLines/>
      </w:pPr>
      <w:r>
        <w:tab/>
      </w:r>
      <w:r>
        <w:tab/>
        <w:t>who will, on application, engage in or conduct gaming, wagering or a lottery, commits an offence.</w:t>
      </w:r>
    </w:p>
    <w:p>
      <w:pPr>
        <w:pStyle w:val="Penstart"/>
        <w:keepLines/>
      </w:pPr>
      <w:r>
        <w:tab/>
        <w:t>Penalty for this subsection: a fine of $2 000.</w:t>
      </w:r>
    </w:p>
    <w:p>
      <w:pPr>
        <w:pStyle w:val="Subsection"/>
      </w:pPr>
      <w:r>
        <w:tab/>
        <w:t>(4)</w:t>
      </w:r>
      <w:r>
        <w:tab/>
        <w:t>In subsection (3)(c) —</w:t>
      </w:r>
    </w:p>
    <w:p>
      <w:pPr>
        <w:pStyle w:val="Defstart"/>
      </w:pPr>
      <w:r>
        <w:rPr>
          <w:b/>
        </w:rPr>
        <w:tab/>
      </w:r>
      <w:r>
        <w:rPr>
          <w:rStyle w:val="CharDefText"/>
        </w:rPr>
        <w:t>approval</w:t>
      </w:r>
      <w:r>
        <w:rPr>
          <w:bCs/>
        </w:rPr>
        <w:t xml:space="preserve"> does</w:t>
      </w:r>
      <w:r>
        <w:t xml:space="preserve"> not include an approval under the </w:t>
      </w:r>
      <w:r>
        <w:rPr>
          <w:i/>
        </w:rPr>
        <w:t xml:space="preserve">Betting Control Act 1954 </w:t>
      </w:r>
      <w:r>
        <w:t>section 27D(2).</w:t>
      </w:r>
    </w:p>
    <w:p>
      <w:pPr>
        <w:pStyle w:val="Footnotesection"/>
      </w:pPr>
      <w:r>
        <w:tab/>
        <w:t>[Section 43A inserted: No. 35 of 2003 s. 145; amended: No. 70 of 2006 s. 9(2); No. 8 of 2007 s. 13; No. 29 of 2009 s. 19; No. 41 of 2018 s. 19 and 25(1).]</w:t>
      </w:r>
    </w:p>
    <w:p>
      <w:pPr>
        <w:pStyle w:val="Heading5"/>
        <w:rPr>
          <w:snapToGrid w:val="0"/>
        </w:rPr>
      </w:pPr>
      <w:bookmarkStart w:id="84" w:name="_Toc115267832"/>
      <w:r>
        <w:rPr>
          <w:rStyle w:val="CharSectno"/>
        </w:rPr>
        <w:t>44</w:t>
      </w:r>
      <w:r>
        <w:rPr>
          <w:snapToGrid w:val="0"/>
        </w:rPr>
        <w:t>.</w:t>
      </w:r>
      <w:r>
        <w:rPr>
          <w:snapToGrid w:val="0"/>
        </w:rPr>
        <w:tab/>
        <w:t>Cheating in games etc. to obtain prize etc., offence</w:t>
      </w:r>
      <w:bookmarkEnd w:id="84"/>
    </w:p>
    <w:p>
      <w:pPr>
        <w:pStyle w:val="Subsection"/>
        <w:rPr>
          <w:snapToGrid w:val="0"/>
        </w:rPr>
      </w:pPr>
      <w:r>
        <w:rPr>
          <w:snapToGrid w:val="0"/>
        </w:rPr>
        <w:tab/>
        <w:t>(1)</w:t>
      </w:r>
      <w:r>
        <w:rPr>
          <w:snapToGrid w:val="0"/>
        </w:rPr>
        <w:tab/>
        <w:t>Any person who by deceit or any fraudulent means in or in relation to a game, lottery, sport, race, exercise or other contest or pastime —</w:t>
      </w:r>
    </w:p>
    <w:p>
      <w:pPr>
        <w:pStyle w:val="Indenta"/>
        <w:rPr>
          <w:snapToGrid w:val="0"/>
        </w:rPr>
      </w:pPr>
      <w:r>
        <w:rPr>
          <w:snapToGrid w:val="0"/>
        </w:rPr>
        <w:tab/>
        <w:t>(a)</w:t>
      </w:r>
      <w:r>
        <w:rPr>
          <w:snapToGrid w:val="0"/>
        </w:rPr>
        <w:tab/>
        <w:t>obtains or attempts to obtain any prize, or any money, property or benefit; or</w:t>
      </w:r>
    </w:p>
    <w:p>
      <w:pPr>
        <w:pStyle w:val="Indenta"/>
        <w:rPr>
          <w:snapToGrid w:val="0"/>
        </w:rPr>
      </w:pPr>
      <w:r>
        <w:rPr>
          <w:snapToGrid w:val="0"/>
        </w:rPr>
        <w:tab/>
        <w:t>(b)</w:t>
      </w:r>
      <w:r>
        <w:rPr>
          <w:snapToGrid w:val="0"/>
        </w:rPr>
        <w:tab/>
        <w:t>gains or attempts to gain a benefit, pecuniary or otherwise, for any person; or</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w:t>
      </w:r>
    </w:p>
    <w:p>
      <w:pPr>
        <w:pStyle w:val="Indenti"/>
        <w:rPr>
          <w:snapToGrid w:val="0"/>
        </w:rPr>
      </w:pPr>
      <w:r>
        <w:rPr>
          <w:snapToGrid w:val="0"/>
        </w:rPr>
        <w:tab/>
        <w:t>(i)</w:t>
      </w:r>
      <w:r>
        <w:rPr>
          <w:snapToGrid w:val="0"/>
        </w:rPr>
        <w:tab/>
        <w:t>to deliver property to any person; or</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to omit to do any act which he is lawfully entitled to do,</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$10 000, or imprisonment for 2 years, or both.</w:t>
      </w:r>
    </w:p>
    <w:p>
      <w:pPr>
        <w:pStyle w:val="Subsection"/>
        <w:rPr>
          <w:snapToGrid w:val="0"/>
        </w:rPr>
      </w:pPr>
      <w:r>
        <w:rPr>
          <w:snapToGrid w:val="0"/>
        </w:rPr>
        <w:lastRenderedPageBreak/>
        <w:tab/>
        <w:t>(2)</w:t>
      </w:r>
      <w:r>
        <w:rPr>
          <w:snapToGrid w:val="0"/>
        </w:rPr>
        <w:tab/>
        <w:t>A person shall be taken to have employed fraudulent means if he cheats or otherwise employs any wrongful practice, trick, scheme or device —</w:t>
      </w:r>
    </w:p>
    <w:p>
      <w:pPr>
        <w:pStyle w:val="Indenta"/>
        <w:rPr>
          <w:snapToGrid w:val="0"/>
        </w:rPr>
      </w:pPr>
      <w:r>
        <w:rPr>
          <w:snapToGrid w:val="0"/>
        </w:rPr>
        <w:tab/>
        <w:t>(a)</w:t>
      </w:r>
      <w:r>
        <w:rPr>
          <w:snapToGrid w:val="0"/>
        </w:rPr>
        <w:tab/>
        <w:t>as to the manner of play or the rules applicable; or</w:t>
      </w:r>
    </w:p>
    <w:p>
      <w:pPr>
        <w:pStyle w:val="Indenta"/>
        <w:rPr>
          <w:snapToGrid w:val="0"/>
        </w:rPr>
      </w:pPr>
      <w:r>
        <w:rPr>
          <w:snapToGrid w:val="0"/>
        </w:rPr>
        <w:tab/>
        <w:t>(b)</w:t>
      </w:r>
      <w:r>
        <w:rPr>
          <w:snapToGrid w:val="0"/>
        </w:rPr>
        <w:tab/>
        <w:t>in regard to any player, or any gaming equipment, instrument of gaming, entrant or participant; or</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rPr>
          <w:snapToGrid w:val="0"/>
        </w:rPr>
      </w:pPr>
      <w:r>
        <w:rPr>
          <w:snapToGrid w:val="0"/>
        </w:rPr>
        <w:tab/>
      </w:r>
      <w:r>
        <w:rPr>
          <w:snapToGrid w:val="0"/>
        </w:rPr>
        <w:tab/>
        <w:t>in, in relation to, or of the contest or pastime.</w:t>
      </w:r>
    </w:p>
    <w:p>
      <w:pPr>
        <w:pStyle w:val="Footnotesection"/>
      </w:pPr>
      <w:r>
        <w:tab/>
        <w:t>[Section 44 amended: No. 24 of 1998 s. 48; No. 35 of 2003 s. 146; No. 41 of 2018 s. 25(1).]</w:t>
      </w:r>
    </w:p>
    <w:p>
      <w:pPr>
        <w:pStyle w:val="Heading5"/>
        <w:rPr>
          <w:snapToGrid w:val="0"/>
        </w:rPr>
      </w:pPr>
      <w:bookmarkStart w:id="85" w:name="_Toc115267833"/>
      <w:r>
        <w:rPr>
          <w:rStyle w:val="CharSectno"/>
        </w:rPr>
        <w:t>45</w:t>
      </w:r>
      <w:r>
        <w:rPr>
          <w:snapToGrid w:val="0"/>
        </w:rPr>
        <w:t>.</w:t>
      </w:r>
      <w:r>
        <w:rPr>
          <w:snapToGrid w:val="0"/>
        </w:rPr>
        <w:tab/>
        <w:t>Permitted gaming, offences as to</w:t>
      </w:r>
      <w:bookmarkEnd w:id="85"/>
    </w:p>
    <w:p>
      <w:pPr>
        <w:pStyle w:val="Subsection"/>
        <w:keepNext/>
        <w:rPr>
          <w:snapToGrid w:val="0"/>
        </w:rPr>
      </w:pPr>
      <w:r>
        <w:rPr>
          <w:snapToGrid w:val="0"/>
        </w:rPr>
        <w:tab/>
        <w:t>(1)</w:t>
      </w:r>
      <w:r>
        <w:rPr>
          <w:snapToGrid w:val="0"/>
        </w:rPr>
        <w:tab/>
        <w:t>A person who, with intent to defraud —</w:t>
      </w:r>
    </w:p>
    <w:p>
      <w:pPr>
        <w:pStyle w:val="Indenta"/>
        <w:rPr>
          <w:snapToGrid w:val="0"/>
        </w:rPr>
      </w:pPr>
      <w:r>
        <w:rPr>
          <w:snapToGrid w:val="0"/>
        </w:rPr>
        <w:tab/>
        <w:t>(a)</w:t>
      </w:r>
      <w:r>
        <w:rPr>
          <w:snapToGrid w:val="0"/>
        </w:rPr>
        <w:tab/>
        <w:t>alters or falsifies any ticket, coupon, token or books; or</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r>
      <w:r>
        <w:t>Penalty for this subsection: a fine of</w:t>
      </w:r>
      <w:r>
        <w:rPr>
          <w:snapToGrid w:val="0"/>
        </w:rPr>
        <w:t xml:space="preserve">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r>
      <w:r>
        <w:t>Penalty for this subsection: a fine of</w:t>
      </w:r>
      <w:r>
        <w:rPr>
          <w:snapToGrid w:val="0"/>
        </w:rPr>
        <w:t xml:space="preserve"> $5 000, or imprisonment for 1 year, or both.</w:t>
      </w:r>
    </w:p>
    <w:p>
      <w:pPr>
        <w:pStyle w:val="Subsection"/>
        <w:rPr>
          <w:snapToGrid w:val="0"/>
        </w:rPr>
      </w:pPr>
      <w:r>
        <w:rPr>
          <w:snapToGrid w:val="0"/>
        </w:rPr>
        <w:lastRenderedPageBreak/>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for this subsection: a fine of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 $2 500.</w:t>
      </w:r>
    </w:p>
    <w:p>
      <w:pPr>
        <w:pStyle w:val="Footnotesection"/>
      </w:pPr>
      <w:r>
        <w:tab/>
        <w:t>[Section 45 amended: No. 16 of 1990 s. 33; No. 24 of 1998 s. 49; No. 35 of 2003 s. 147; No. 50 of 2003 s. 66(4) ; No. 41 of 2018 s. 25(1).]</w:t>
      </w:r>
    </w:p>
    <w:p>
      <w:pPr>
        <w:pStyle w:val="Heading2"/>
      </w:pPr>
      <w:bookmarkStart w:id="86" w:name="_Toc115166603"/>
      <w:bookmarkStart w:id="87" w:name="_Toc115166760"/>
      <w:bookmarkStart w:id="88" w:name="_Toc115267834"/>
      <w:r>
        <w:rPr>
          <w:rStyle w:val="CharPartNo"/>
        </w:rPr>
        <w:lastRenderedPageBreak/>
        <w:t>Part V</w:t>
      </w:r>
      <w:r>
        <w:t> — </w:t>
      </w:r>
      <w:r>
        <w:rPr>
          <w:rStyle w:val="CharPartText"/>
        </w:rPr>
        <w:t>Permitted gambling</w:t>
      </w:r>
      <w:bookmarkEnd w:id="86"/>
      <w:bookmarkEnd w:id="87"/>
      <w:bookmarkEnd w:id="88"/>
    </w:p>
    <w:p>
      <w:pPr>
        <w:pStyle w:val="Footnoteheading"/>
        <w:tabs>
          <w:tab w:val="left" w:pos="910"/>
        </w:tabs>
        <w:spacing w:before="80"/>
      </w:pPr>
      <w:r>
        <w:tab/>
        <w:t>[Heading amended: No. 35 of 2003 s. 148(1).]</w:t>
      </w:r>
    </w:p>
    <w:p>
      <w:pPr>
        <w:pStyle w:val="Heading3"/>
        <w:spacing w:before="220"/>
        <w:rPr>
          <w:snapToGrid w:val="0"/>
        </w:rPr>
      </w:pPr>
      <w:bookmarkStart w:id="89" w:name="_Toc115166604"/>
      <w:bookmarkStart w:id="90" w:name="_Toc115166761"/>
      <w:bookmarkStart w:id="91" w:name="_Toc115267835"/>
      <w:r>
        <w:rPr>
          <w:rStyle w:val="CharDivNo"/>
        </w:rPr>
        <w:t>Division 1</w:t>
      </w:r>
      <w:r>
        <w:rPr>
          <w:snapToGrid w:val="0"/>
        </w:rPr>
        <w:t> — </w:t>
      </w:r>
      <w:r>
        <w:rPr>
          <w:rStyle w:val="CharDivText"/>
        </w:rPr>
        <w:t>Gaming generally</w:t>
      </w:r>
      <w:bookmarkEnd w:id="89"/>
      <w:bookmarkEnd w:id="90"/>
      <w:bookmarkEnd w:id="91"/>
    </w:p>
    <w:p>
      <w:pPr>
        <w:pStyle w:val="Footnoteheading"/>
        <w:tabs>
          <w:tab w:val="left" w:pos="910"/>
        </w:tabs>
        <w:spacing w:before="80"/>
      </w:pPr>
      <w:r>
        <w:tab/>
        <w:t>[Heading amended: No. 35 of 2003 s. 148(2).]</w:t>
      </w:r>
    </w:p>
    <w:p>
      <w:pPr>
        <w:pStyle w:val="Heading5"/>
        <w:rPr>
          <w:snapToGrid w:val="0"/>
        </w:rPr>
      </w:pPr>
      <w:bookmarkStart w:id="92" w:name="_Toc115267836"/>
      <w:r>
        <w:rPr>
          <w:rStyle w:val="CharSectno"/>
        </w:rPr>
        <w:t>46</w:t>
      </w:r>
      <w:r>
        <w:rPr>
          <w:snapToGrid w:val="0"/>
        </w:rPr>
        <w:t>.</w:t>
      </w:r>
      <w:r>
        <w:rPr>
          <w:snapToGrid w:val="0"/>
        </w:rPr>
        <w:tab/>
        <w:t>Permitted gaming defined</w:t>
      </w:r>
      <w:bookmarkEnd w:id="92"/>
    </w:p>
    <w:p>
      <w:pPr>
        <w:pStyle w:val="Subsection"/>
        <w:rPr>
          <w:snapToGrid w:val="0"/>
        </w:rPr>
      </w:pPr>
      <w:r>
        <w:rPr>
          <w:snapToGrid w:val="0"/>
        </w:rPr>
        <w:tab/>
        <w:t>(1)</w:t>
      </w:r>
      <w:r>
        <w:rPr>
          <w:snapToGrid w:val="0"/>
        </w:rPr>
        <w:tab/>
        <w:t>Gaming may be lawfully conducted, and lawfully participated in, where —</w:t>
      </w:r>
    </w:p>
    <w:p>
      <w:pPr>
        <w:pStyle w:val="Indenta"/>
        <w:rPr>
          <w:snapToGrid w:val="0"/>
        </w:rPr>
      </w:pPr>
      <w:r>
        <w:rPr>
          <w:snapToGrid w:val="0"/>
        </w:rPr>
        <w:tab/>
        <w:t>(a)</w:t>
      </w:r>
      <w:r>
        <w:rPr>
          <w:snapToGrid w:val="0"/>
        </w:rPr>
        <w:tab/>
        <w:t>it occurs on a day and at a time authorised by a relevant gaming permit; and</w:t>
      </w:r>
    </w:p>
    <w:p>
      <w:pPr>
        <w:pStyle w:val="Indenta"/>
        <w:rPr>
          <w:snapToGrid w:val="0"/>
        </w:rPr>
      </w:pPr>
      <w:r>
        <w:rPr>
          <w:snapToGrid w:val="0"/>
        </w:rPr>
        <w:tab/>
        <w:t>(b)</w:t>
      </w:r>
      <w:r>
        <w:rPr>
          <w:snapToGrid w:val="0"/>
        </w:rPr>
        <w:tab/>
        <w:t>it takes place at premises authorised by the permit to be used for permitted gaming of that kind; and</w:t>
      </w:r>
    </w:p>
    <w:p>
      <w:pPr>
        <w:pStyle w:val="Indenta"/>
        <w:rPr>
          <w:snapToGrid w:val="0"/>
        </w:rPr>
      </w:pPr>
      <w:r>
        <w:rPr>
          <w:snapToGrid w:val="0"/>
        </w:rPr>
        <w:tab/>
        <w:t>(c)</w:t>
      </w:r>
      <w:r>
        <w:rPr>
          <w:snapToGrid w:val="0"/>
        </w:rPr>
        <w:tab/>
        <w:t>it is of a kind authorised by the permit; and</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pPr>
      <w:r>
        <w:tab/>
        <w:t>(2A)</w:t>
      </w:r>
      <w:r>
        <w:tab/>
        <w:t>Gaming that is prescribed for the purposes of this subsection may be lawfully conducted and lawfully participated in.</w:t>
      </w:r>
    </w:p>
    <w:p>
      <w:pPr>
        <w:pStyle w:val="Subsection"/>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w:t>
      </w:r>
      <w:r>
        <w:rPr>
          <w:snapToGrid w:val="0"/>
        </w:rPr>
        <w:lastRenderedPageBreak/>
        <w:t xml:space="preserve">section 3 of the </w:t>
      </w:r>
      <w:r>
        <w:rPr>
          <w:i/>
          <w:snapToGrid w:val="0"/>
        </w:rPr>
        <w:t>Casino (Burswood Island) Agreement Act 1985</w:t>
      </w:r>
      <w:r>
        <w:rPr>
          <w:snapToGrid w:val="0"/>
        </w:rPr>
        <w:t>,</w:t>
      </w:r>
    </w:p>
    <w:p>
      <w:pPr>
        <w:pStyle w:val="Subsection"/>
        <w:widowControl w:val="0"/>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No. 24 of 1998 s. 50; No. 35 of 2003 s. 166 and 167; No. 25 of 2011 s. 8.]</w:t>
      </w:r>
    </w:p>
    <w:p>
      <w:pPr>
        <w:pStyle w:val="Heading5"/>
        <w:rPr>
          <w:snapToGrid w:val="0"/>
        </w:rPr>
      </w:pPr>
      <w:bookmarkStart w:id="93" w:name="_Toc115267837"/>
      <w:r>
        <w:rPr>
          <w:rStyle w:val="CharSectno"/>
        </w:rPr>
        <w:t>47</w:t>
      </w:r>
      <w:r>
        <w:rPr>
          <w:snapToGrid w:val="0"/>
        </w:rPr>
        <w:t>.</w:t>
      </w:r>
      <w:r>
        <w:rPr>
          <w:snapToGrid w:val="0"/>
        </w:rPr>
        <w:tab/>
        <w:t>Gaming permits, types, issue and effect of</w:t>
      </w:r>
      <w:bookmarkEnd w:id="93"/>
    </w:p>
    <w:p>
      <w:pPr>
        <w:pStyle w:val="Subsection"/>
        <w:rPr>
          <w:snapToGrid w:val="0"/>
        </w:rPr>
      </w:pPr>
      <w:r>
        <w:rPr>
          <w:snapToGrid w:val="0"/>
        </w:rPr>
        <w:tab/>
        <w:t>(1)</w:t>
      </w:r>
      <w:r>
        <w:rPr>
          <w:snapToGrid w:val="0"/>
        </w:rPr>
        <w:tab/>
        <w:t>A gaming permit may be —</w:t>
      </w:r>
    </w:p>
    <w:p>
      <w:pPr>
        <w:pStyle w:val="Indenta"/>
        <w:spacing w:before="70"/>
        <w:rPr>
          <w:snapToGrid w:val="0"/>
        </w:rPr>
      </w:pPr>
      <w:r>
        <w:rPr>
          <w:snapToGrid w:val="0"/>
        </w:rPr>
        <w:tab/>
        <w:t>(a)</w:t>
      </w:r>
      <w:r>
        <w:rPr>
          <w:snapToGrid w:val="0"/>
        </w:rPr>
        <w:tab/>
        <w:t>a function permit, having effect —</w:t>
      </w:r>
    </w:p>
    <w:p>
      <w:pPr>
        <w:pStyle w:val="Indenti"/>
        <w:spacing w:before="70"/>
        <w:rPr>
          <w:snapToGrid w:val="0"/>
        </w:rPr>
      </w:pPr>
      <w:r>
        <w:rPr>
          <w:snapToGrid w:val="0"/>
        </w:rPr>
        <w:tab/>
        <w:t>(i)</w:t>
      </w:r>
      <w:r>
        <w:rPr>
          <w:snapToGrid w:val="0"/>
        </w:rPr>
        <w:tab/>
        <w:t>for the period, not being a period in excess of 7 days; or</w:t>
      </w:r>
    </w:p>
    <w:p>
      <w:pPr>
        <w:pStyle w:val="Indenti"/>
        <w:spacing w:before="70"/>
        <w:rPr>
          <w:snapToGrid w:val="0"/>
        </w:rPr>
      </w:pPr>
      <w:r>
        <w:rPr>
          <w:snapToGrid w:val="0"/>
        </w:rPr>
        <w:tab/>
        <w:t>(ii)</w:t>
      </w:r>
      <w:r>
        <w:rPr>
          <w:snapToGrid w:val="0"/>
        </w:rPr>
        <w:tab/>
        <w:t>during the function; and</w:t>
      </w:r>
    </w:p>
    <w:p>
      <w:pPr>
        <w:pStyle w:val="Indenti"/>
        <w:spacing w:before="70"/>
        <w:rPr>
          <w:snapToGrid w:val="0"/>
        </w:rPr>
      </w:pPr>
      <w:r>
        <w:rPr>
          <w:snapToGrid w:val="0"/>
        </w:rPr>
        <w:tab/>
        <w:t>(iii)</w:t>
      </w:r>
      <w:r>
        <w:rPr>
          <w:snapToGrid w:val="0"/>
        </w:rPr>
        <w:tab/>
        <w:t>in respect of the premises,</w:t>
      </w:r>
    </w:p>
    <w:p>
      <w:pPr>
        <w:pStyle w:val="Indenta"/>
        <w:spacing w:before="70"/>
        <w:rPr>
          <w:snapToGrid w:val="0"/>
        </w:rPr>
      </w:pPr>
      <w:r>
        <w:rPr>
          <w:snapToGrid w:val="0"/>
        </w:rPr>
        <w:tab/>
      </w:r>
      <w:r>
        <w:rPr>
          <w:snapToGrid w:val="0"/>
        </w:rPr>
        <w:tab/>
        <w:t>therein specified, subject to any conditions imposed; or</w:t>
      </w:r>
    </w:p>
    <w:p>
      <w:pPr>
        <w:pStyle w:val="Indenta"/>
        <w:spacing w:before="70"/>
        <w:rPr>
          <w:snapToGrid w:val="0"/>
        </w:rPr>
      </w:pPr>
      <w:r>
        <w:rPr>
          <w:snapToGrid w:val="0"/>
        </w:rPr>
        <w:tab/>
        <w:t>(b)</w:t>
      </w:r>
      <w:r>
        <w:rPr>
          <w:snapToGrid w:val="0"/>
        </w:rPr>
        <w:tab/>
        <w:t>a permit of a continuing nature, having effect —</w:t>
      </w:r>
    </w:p>
    <w:p>
      <w:pPr>
        <w:pStyle w:val="Indenti"/>
        <w:spacing w:before="70"/>
        <w:rPr>
          <w:snapToGrid w:val="0"/>
        </w:rPr>
      </w:pPr>
      <w:r>
        <w:rPr>
          <w:snapToGrid w:val="0"/>
        </w:rPr>
        <w:tab/>
        <w:t>(i)</w:t>
      </w:r>
      <w:r>
        <w:rPr>
          <w:snapToGrid w:val="0"/>
        </w:rPr>
        <w:tab/>
        <w:t>for the period, being a period not exceeding 12 months, therein specified; and</w:t>
      </w:r>
    </w:p>
    <w:p>
      <w:pPr>
        <w:pStyle w:val="Indenti"/>
        <w:spacing w:before="70"/>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lastRenderedPageBreak/>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ind w:left="890" w:hanging="890"/>
      </w:pPr>
      <w:r>
        <w:tab/>
        <w:t>[Section 47 amended: No. 35 of 2003 s. 167.]</w:t>
      </w:r>
    </w:p>
    <w:p>
      <w:pPr>
        <w:pStyle w:val="Heading5"/>
        <w:spacing w:before="240"/>
        <w:rPr>
          <w:snapToGrid w:val="0"/>
        </w:rPr>
      </w:pPr>
      <w:bookmarkStart w:id="94" w:name="_Toc115267838"/>
      <w:r>
        <w:rPr>
          <w:rStyle w:val="CharSectno"/>
        </w:rPr>
        <w:t>48</w:t>
      </w:r>
      <w:r>
        <w:rPr>
          <w:snapToGrid w:val="0"/>
        </w:rPr>
        <w:t>.</w:t>
      </w:r>
      <w:r>
        <w:rPr>
          <w:snapToGrid w:val="0"/>
        </w:rPr>
        <w:tab/>
        <w:t>Issue of permit on direction by Minister</w:t>
      </w:r>
      <w:bookmarkEnd w:id="94"/>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 and</w:t>
      </w:r>
    </w:p>
    <w:p>
      <w:pPr>
        <w:pStyle w:val="Indenta"/>
        <w:rPr>
          <w:snapToGrid w:val="0"/>
        </w:rPr>
      </w:pPr>
      <w:r>
        <w:rPr>
          <w:snapToGrid w:val="0"/>
        </w:rPr>
        <w:lastRenderedPageBreak/>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widowControl w:val="0"/>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direction given by the Minister to the Commission.</w:t>
      </w:r>
    </w:p>
    <w:p>
      <w:pPr>
        <w:pStyle w:val="Footnotesection"/>
        <w:ind w:left="890" w:hanging="890"/>
      </w:pPr>
      <w:r>
        <w:tab/>
        <w:t>[Section 48 amended: No. 16 of 1990 s. 33; No. 35 of 2003 s. 167.]</w:t>
      </w:r>
    </w:p>
    <w:p>
      <w:pPr>
        <w:pStyle w:val="Heading5"/>
        <w:rPr>
          <w:snapToGrid w:val="0"/>
        </w:rPr>
      </w:pPr>
      <w:bookmarkStart w:id="95" w:name="_Toc115267839"/>
      <w:r>
        <w:rPr>
          <w:rStyle w:val="CharSectno"/>
        </w:rPr>
        <w:t>49</w:t>
      </w:r>
      <w:r>
        <w:rPr>
          <w:snapToGrid w:val="0"/>
        </w:rPr>
        <w:t>.</w:t>
      </w:r>
      <w:r>
        <w:rPr>
          <w:snapToGrid w:val="0"/>
        </w:rPr>
        <w:tab/>
        <w:t>Applications for issue or renewal of permit, matters that may be considered when deciding</w:t>
      </w:r>
      <w:bookmarkEnd w:id="95"/>
    </w:p>
    <w:p>
      <w:pPr>
        <w:pStyle w:val="Subsection"/>
        <w:rPr>
          <w:snapToGrid w:val="0"/>
        </w:rPr>
      </w:pPr>
      <w:r>
        <w:rPr>
          <w:snapToGrid w:val="0"/>
        </w:rPr>
        <w:tab/>
        <w:t>(1)</w:t>
      </w:r>
      <w:r>
        <w:rPr>
          <w:snapToGrid w:val="0"/>
        </w:rPr>
        <w:tab/>
        <w:t>In determining any application for the issue or renewal of a gaming permit regard may be had to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 and</w:t>
      </w:r>
    </w:p>
    <w:p>
      <w:pPr>
        <w:pStyle w:val="Indenta"/>
        <w:rPr>
          <w:snapToGrid w:val="0"/>
        </w:rPr>
      </w:pPr>
      <w:r>
        <w:rPr>
          <w:snapToGrid w:val="0"/>
        </w:rPr>
        <w:tab/>
        <w:t>(b)</w:t>
      </w:r>
      <w:r>
        <w:rPr>
          <w:snapToGrid w:val="0"/>
        </w:rPr>
        <w:tab/>
        <w:t>any arrangement or circumstances whereby the benefit arising from the holding of the permit may accrue to any other person; and</w:t>
      </w:r>
    </w:p>
    <w:p>
      <w:pPr>
        <w:pStyle w:val="Indenta"/>
        <w:rPr>
          <w:snapToGrid w:val="0"/>
        </w:rPr>
      </w:pPr>
      <w:r>
        <w:rPr>
          <w:snapToGrid w:val="0"/>
        </w:rPr>
        <w:tab/>
        <w:t>(c)</w:t>
      </w:r>
      <w:r>
        <w:rPr>
          <w:snapToGrid w:val="0"/>
        </w:rPr>
        <w:tab/>
        <w:t>the need for persons having relevant experience to be in attendance at, and where appropriate to conduct, the gaming; and</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 and</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keepLines/>
        <w:rPr>
          <w:snapToGrid w:val="0"/>
        </w:rPr>
      </w:pPr>
      <w:r>
        <w:rPr>
          <w:snapToGrid w:val="0"/>
        </w:rPr>
        <w:lastRenderedPageBreak/>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w:t>
      </w:r>
    </w:p>
    <w:p>
      <w:pPr>
        <w:pStyle w:val="Indenta"/>
        <w:rPr>
          <w:snapToGrid w:val="0"/>
        </w:rPr>
      </w:pPr>
      <w:r>
        <w:rPr>
          <w:snapToGrid w:val="0"/>
        </w:rPr>
        <w:tab/>
        <w:t>(a)</w:t>
      </w:r>
      <w:r>
        <w:rPr>
          <w:snapToGrid w:val="0"/>
        </w:rPr>
        <w:tab/>
        <w:t>any matters to which subsection (1) refers; and</w:t>
      </w:r>
    </w:p>
    <w:p>
      <w:pPr>
        <w:pStyle w:val="Indenta"/>
        <w:rPr>
          <w:snapToGrid w:val="0"/>
        </w:rPr>
      </w:pPr>
      <w:r>
        <w:rPr>
          <w:snapToGrid w:val="0"/>
        </w:rPr>
        <w:tab/>
        <w:t>(b)</w:t>
      </w:r>
      <w:r>
        <w:rPr>
          <w:snapToGrid w:val="0"/>
        </w:rPr>
        <w:tab/>
        <w:t>the manner in which —</w:t>
      </w:r>
    </w:p>
    <w:p>
      <w:pPr>
        <w:pStyle w:val="Indenti"/>
        <w:rPr>
          <w:snapToGrid w:val="0"/>
        </w:rPr>
      </w:pPr>
      <w:r>
        <w:rPr>
          <w:snapToGrid w:val="0"/>
        </w:rPr>
        <w:tab/>
        <w:t>(i)</w:t>
      </w:r>
      <w:r>
        <w:rPr>
          <w:snapToGrid w:val="0"/>
        </w:rPr>
        <w:tab/>
        <w:t>gaming has been conducted; and</w:t>
      </w:r>
    </w:p>
    <w:p>
      <w:pPr>
        <w:pStyle w:val="Indenti"/>
        <w:rPr>
          <w:snapToGrid w:val="0"/>
        </w:rPr>
      </w:pPr>
      <w:r>
        <w:rPr>
          <w:snapToGrid w:val="0"/>
        </w:rPr>
        <w:tab/>
        <w:t>(ii)</w:t>
      </w:r>
      <w:r>
        <w:rPr>
          <w:snapToGrid w:val="0"/>
        </w:rPr>
        <w:tab/>
        <w:t>the premises have been maintained; and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 and</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keepLines/>
        <w:rPr>
          <w:snapToGrid w:val="0"/>
        </w:rPr>
      </w:pPr>
      <w:r>
        <w:rPr>
          <w:snapToGrid w:val="0"/>
        </w:rPr>
        <w:lastRenderedPageBreak/>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ind w:left="890" w:hanging="890"/>
      </w:pPr>
      <w:r>
        <w:tab/>
        <w:t>[Section 49 amended: No. 35 of 2003 s. 167.]</w:t>
      </w:r>
    </w:p>
    <w:p>
      <w:pPr>
        <w:pStyle w:val="Heading5"/>
        <w:rPr>
          <w:snapToGrid w:val="0"/>
        </w:rPr>
      </w:pPr>
      <w:bookmarkStart w:id="96" w:name="_Toc115267840"/>
      <w:r>
        <w:rPr>
          <w:rStyle w:val="CharSectno"/>
        </w:rPr>
        <w:t>50</w:t>
      </w:r>
      <w:r>
        <w:rPr>
          <w:snapToGrid w:val="0"/>
        </w:rPr>
        <w:t>.</w:t>
      </w:r>
      <w:r>
        <w:rPr>
          <w:snapToGrid w:val="0"/>
        </w:rPr>
        <w:tab/>
        <w:t>Register of approvals, permit holders etc., Commission to keep and allow inspection of etc.</w:t>
      </w:r>
      <w:bookmarkEnd w:id="96"/>
    </w:p>
    <w:p>
      <w:pPr>
        <w:pStyle w:val="Subsection"/>
        <w:rPr>
          <w:snapToGrid w:val="0"/>
        </w:rPr>
      </w:pPr>
      <w:r>
        <w:rPr>
          <w:snapToGrid w:val="0"/>
        </w:rPr>
        <w:tab/>
        <w:t>(1)</w:t>
      </w:r>
      <w:r>
        <w:rPr>
          <w:snapToGrid w:val="0"/>
        </w:rPr>
        <w:tab/>
        <w:t>The Commission shall maintain a register showing, in accordance with such manner as may be prescribed, particulars of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w:t>
      </w:r>
    </w:p>
    <w:p>
      <w:pPr>
        <w:pStyle w:val="Indenti"/>
        <w:rPr>
          <w:snapToGrid w:val="0"/>
        </w:rPr>
      </w:pPr>
      <w:r>
        <w:rPr>
          <w:snapToGrid w:val="0"/>
        </w:rPr>
        <w:tab/>
        <w:t>(i)</w:t>
      </w:r>
      <w:r>
        <w:rPr>
          <w:snapToGrid w:val="0"/>
        </w:rPr>
        <w:tab/>
        <w:t>generally, in relation to function permits; or</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lastRenderedPageBreak/>
        <w:tab/>
        <w:t>(3)</w:t>
      </w:r>
      <w:r>
        <w:rPr>
          <w:snapToGrid w:val="0"/>
        </w:rPr>
        <w:tab/>
        <w:t>A person may inspect and make copies of, or take extracts from, the current register on payment of the prescribed fee.</w:t>
      </w:r>
    </w:p>
    <w:p>
      <w:pPr>
        <w:pStyle w:val="Footnotesection"/>
        <w:ind w:left="890" w:hanging="890"/>
      </w:pPr>
      <w:r>
        <w:tab/>
        <w:t>[Section 50 amended: No. 16 of 1990 s. 33.]</w:t>
      </w:r>
    </w:p>
    <w:p>
      <w:pPr>
        <w:pStyle w:val="Heading5"/>
        <w:rPr>
          <w:snapToGrid w:val="0"/>
        </w:rPr>
      </w:pPr>
      <w:bookmarkStart w:id="97" w:name="_Toc115267841"/>
      <w:r>
        <w:rPr>
          <w:rStyle w:val="CharSectno"/>
        </w:rPr>
        <w:t>51</w:t>
      </w:r>
      <w:r>
        <w:rPr>
          <w:snapToGrid w:val="0"/>
        </w:rPr>
        <w:t>.</w:t>
      </w:r>
      <w:r>
        <w:rPr>
          <w:snapToGrid w:val="0"/>
        </w:rPr>
        <w:tab/>
        <w:t>Persons eligible to hold gaming permits, approval of</w:t>
      </w:r>
      <w:bookmarkEnd w:id="97"/>
    </w:p>
    <w:p>
      <w:pPr>
        <w:pStyle w:val="Subsection"/>
        <w:spacing w:before="180"/>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spacing w:before="180"/>
        <w:rPr>
          <w:snapToGrid w:val="0"/>
        </w:rPr>
      </w:pPr>
      <w:r>
        <w:rPr>
          <w:snapToGrid w:val="0"/>
        </w:rPr>
        <w:tab/>
        <w:t>(2)</w:t>
      </w:r>
      <w:r>
        <w:rPr>
          <w:snapToGrid w:val="0"/>
        </w:rPr>
        <w:tab/>
        <w:t>The Commission shall not approve a person as eligible to hold a permit unless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 and</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keepLines/>
        <w:rPr>
          <w:snapToGrid w:val="0"/>
        </w:rPr>
      </w:pPr>
      <w:r>
        <w:rPr>
          <w:snapToGrid w:val="0"/>
        </w:rPr>
        <w:lastRenderedPageBreak/>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w:t>
      </w:r>
    </w:p>
    <w:p>
      <w:pPr>
        <w:pStyle w:val="Indenti"/>
        <w:rPr>
          <w:snapToGrid w:val="0"/>
        </w:rPr>
      </w:pPr>
      <w:r>
        <w:rPr>
          <w:snapToGrid w:val="0"/>
        </w:rPr>
        <w:tab/>
        <w:t>(i)</w:t>
      </w:r>
      <w:r>
        <w:rPr>
          <w:snapToGrid w:val="0"/>
        </w:rPr>
        <w:tab/>
        <w:t>the name of that person and of any body for which he is the nominee permit holder; and</w:t>
      </w:r>
    </w:p>
    <w:p>
      <w:pPr>
        <w:pStyle w:val="Indenti"/>
        <w:rPr>
          <w:snapToGrid w:val="0"/>
        </w:rPr>
      </w:pPr>
      <w:r>
        <w:rPr>
          <w:snapToGrid w:val="0"/>
        </w:rPr>
        <w:tab/>
        <w:t>(ii)</w:t>
      </w:r>
      <w:r>
        <w:rPr>
          <w:snapToGrid w:val="0"/>
        </w:rPr>
        <w:tab/>
        <w:t>the date of the issue, and the duration, of the permit and where it is a function permit, the nature of the function; and</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keepNext/>
        <w:keepLines/>
        <w:rPr>
          <w:snapToGrid w:val="0"/>
        </w:rPr>
      </w:pPr>
      <w:r>
        <w:rPr>
          <w:snapToGrid w:val="0"/>
        </w:rPr>
        <w:lastRenderedPageBreak/>
        <w:tab/>
        <w:t>(c)</w:t>
      </w:r>
      <w:r>
        <w:rPr>
          <w:snapToGrid w:val="0"/>
        </w:rPr>
        <w:tab/>
        <w:t>where the application relates to a permit of a continuing nature, such other particulars as may be prescribed or as the Commission thinks fit, shall be endorsed on the permit,</w:t>
      </w:r>
    </w:p>
    <w:p>
      <w:pPr>
        <w:pStyle w:val="Subsection"/>
        <w:spacing w:before="120"/>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spacing w:before="100"/>
        <w:ind w:left="890" w:hanging="890"/>
      </w:pPr>
      <w:r>
        <w:tab/>
        <w:t>[Section 51 amended: No. 24 of 1998 s. 51; No. 35 of 2003 s. 167; No. 84 of 2004 s. 80.]</w:t>
      </w:r>
    </w:p>
    <w:p>
      <w:pPr>
        <w:pStyle w:val="Heading5"/>
        <w:spacing w:before="200"/>
        <w:rPr>
          <w:snapToGrid w:val="0"/>
        </w:rPr>
      </w:pPr>
      <w:bookmarkStart w:id="98" w:name="_Toc115267842"/>
      <w:r>
        <w:rPr>
          <w:rStyle w:val="CharSectno"/>
        </w:rPr>
        <w:t>52</w:t>
      </w:r>
      <w:r>
        <w:rPr>
          <w:snapToGrid w:val="0"/>
        </w:rPr>
        <w:t>.</w:t>
      </w:r>
      <w:r>
        <w:rPr>
          <w:snapToGrid w:val="0"/>
        </w:rPr>
        <w:tab/>
        <w:t>Applications for gaming permits</w:t>
      </w:r>
      <w:bookmarkEnd w:id="98"/>
    </w:p>
    <w:p>
      <w:pPr>
        <w:pStyle w:val="Subsection"/>
        <w:spacing w:before="140"/>
        <w:rPr>
          <w:snapToGrid w:val="0"/>
        </w:rPr>
      </w:pPr>
      <w:r>
        <w:rPr>
          <w:snapToGrid w:val="0"/>
        </w:rPr>
        <w:tab/>
      </w:r>
      <w:r>
        <w:rPr>
          <w:snapToGrid w:val="0"/>
        </w:rPr>
        <w:tab/>
        <w:t>An application for the issue of a permit —</w:t>
      </w:r>
    </w:p>
    <w:p>
      <w:pPr>
        <w:pStyle w:val="Indenta"/>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w:t>
      </w:r>
    </w:p>
    <w:p>
      <w:pPr>
        <w:pStyle w:val="Indenti"/>
        <w:rPr>
          <w:snapToGrid w:val="0"/>
        </w:rPr>
      </w:pPr>
      <w:r>
        <w:rPr>
          <w:snapToGrid w:val="0"/>
        </w:rPr>
        <w:tab/>
        <w:t>(i)</w:t>
      </w:r>
      <w:r>
        <w:rPr>
          <w:snapToGrid w:val="0"/>
        </w:rPr>
        <w:tab/>
        <w:t>the applicant is a person entered in the register as eligible to hold a permit of that kind; and</w:t>
      </w:r>
    </w:p>
    <w:p>
      <w:pPr>
        <w:pStyle w:val="Indenti"/>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rPr>
          <w:snapToGrid w:val="0"/>
        </w:rPr>
      </w:pPr>
      <w:r>
        <w:rPr>
          <w:snapToGrid w:val="0"/>
        </w:rPr>
        <w:tab/>
        <w:t>(iii)</w:t>
      </w:r>
      <w:r>
        <w:rPr>
          <w:snapToGrid w:val="0"/>
        </w:rPr>
        <w:tab/>
        <w:t>any conditions applicable are not contravened or likely to be contravened,</w:t>
      </w:r>
    </w:p>
    <w:p>
      <w:pPr>
        <w:pStyle w:val="Indenta"/>
        <w:rPr>
          <w:snapToGrid w:val="0"/>
        </w:rPr>
      </w:pPr>
      <w:r>
        <w:rPr>
          <w:snapToGrid w:val="0"/>
        </w:rPr>
        <w:tab/>
      </w:r>
      <w:r>
        <w:rPr>
          <w:snapToGrid w:val="0"/>
        </w:rPr>
        <w:tab/>
        <w:t>and the magistrate shall cause the Commission to be notified accordingly; but</w:t>
      </w:r>
    </w:p>
    <w:p>
      <w:pPr>
        <w:pStyle w:val="Indenta"/>
        <w:keepNext/>
        <w:rPr>
          <w:snapToGrid w:val="0"/>
        </w:rPr>
      </w:pPr>
      <w:r>
        <w:rPr>
          <w:snapToGrid w:val="0"/>
        </w:rPr>
        <w:lastRenderedPageBreak/>
        <w:tab/>
        <w:t>(b)</w:t>
      </w:r>
      <w:r>
        <w:rPr>
          <w:snapToGrid w:val="0"/>
        </w:rPr>
        <w:tab/>
        <w:t>in the case of a permit of a continuing nature, shall be made to the Commission in writing in the prescribed manner,</w:t>
      </w:r>
    </w:p>
    <w:p>
      <w:pPr>
        <w:pStyle w:val="Subsection"/>
        <w:spacing w:before="12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spacing w:before="160"/>
        <w:ind w:left="890" w:hanging="890"/>
      </w:pPr>
      <w:r>
        <w:tab/>
        <w:t>[Section 52 amended: No. 35 of 2003 s. 167; No. 59 of 2004 s. 141.]</w:t>
      </w:r>
    </w:p>
    <w:p>
      <w:pPr>
        <w:pStyle w:val="Heading5"/>
        <w:rPr>
          <w:snapToGrid w:val="0"/>
        </w:rPr>
      </w:pPr>
      <w:bookmarkStart w:id="99" w:name="_Toc115267843"/>
      <w:r>
        <w:rPr>
          <w:rStyle w:val="CharSectno"/>
        </w:rPr>
        <w:t>53</w:t>
      </w:r>
      <w:r>
        <w:rPr>
          <w:snapToGrid w:val="0"/>
        </w:rPr>
        <w:t>.</w:t>
      </w:r>
      <w:r>
        <w:rPr>
          <w:snapToGrid w:val="0"/>
        </w:rPr>
        <w:tab/>
        <w:t>Fees and charges for gaming permits</w:t>
      </w:r>
      <w:bookmarkEnd w:id="99"/>
    </w:p>
    <w:p>
      <w:pPr>
        <w:pStyle w:val="Subsection"/>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w:t>
      </w:r>
    </w:p>
    <w:p>
      <w:pPr>
        <w:pStyle w:val="Indenta"/>
        <w:spacing w:before="140"/>
        <w:rPr>
          <w:snapToGrid w:val="0"/>
        </w:rPr>
      </w:pPr>
      <w:r>
        <w:rPr>
          <w:snapToGrid w:val="0"/>
        </w:rPr>
        <w:tab/>
        <w:t>(a)</w:t>
      </w:r>
      <w:r>
        <w:rPr>
          <w:snapToGrid w:val="0"/>
        </w:rPr>
        <w:tab/>
        <w:t>for an application fee to be payable on the issue of the permit or grant of the approval; and</w:t>
      </w:r>
    </w:p>
    <w:p>
      <w:pPr>
        <w:pStyle w:val="Indenta"/>
        <w:spacing w:before="140"/>
        <w:rPr>
          <w:snapToGrid w:val="0"/>
        </w:rPr>
      </w:pPr>
      <w:r>
        <w:rPr>
          <w:snapToGrid w:val="0"/>
        </w:rPr>
        <w:tab/>
        <w:t>(b)</w:t>
      </w:r>
      <w:r>
        <w:rPr>
          <w:snapToGrid w:val="0"/>
        </w:rPr>
        <w:tab/>
        <w:t>for periodic, percentage or other payments to be made related to the volume or value of the gaming conducted or to be conducted or to its frequency; and</w:t>
      </w:r>
    </w:p>
    <w:p>
      <w:pPr>
        <w:pStyle w:val="Indenta"/>
        <w:spacing w:before="140"/>
        <w:rPr>
          <w:snapToGrid w:val="0"/>
        </w:rPr>
      </w:pPr>
      <w:r>
        <w:rPr>
          <w:snapToGrid w:val="0"/>
        </w:rPr>
        <w:tab/>
        <w:t>(c)</w:t>
      </w:r>
      <w:r>
        <w:rPr>
          <w:snapToGrid w:val="0"/>
        </w:rPr>
        <w:tab/>
        <w:t>for the giving of security, by means of a deposit or otherwise, for payments due or to become due; and</w:t>
      </w:r>
    </w:p>
    <w:p>
      <w:pPr>
        <w:pStyle w:val="Indenta"/>
        <w:spacing w:before="140"/>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spacing w:before="140"/>
        <w:rPr>
          <w:snapToGrid w:val="0"/>
        </w:rPr>
      </w:pPr>
      <w:r>
        <w:rPr>
          <w:snapToGrid w:val="0"/>
        </w:rPr>
        <w:lastRenderedPageBreak/>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spacing w:before="160"/>
        <w:ind w:left="890" w:hanging="890"/>
      </w:pPr>
      <w:r>
        <w:tab/>
        <w:t>[Section 53 amended: No. 35 of 2003 s. 167.]</w:t>
      </w:r>
    </w:p>
    <w:p>
      <w:pPr>
        <w:pStyle w:val="Heading5"/>
        <w:rPr>
          <w:snapToGrid w:val="0"/>
        </w:rPr>
      </w:pPr>
      <w:bookmarkStart w:id="100" w:name="_Toc115267844"/>
      <w:r>
        <w:rPr>
          <w:rStyle w:val="CharSectno"/>
        </w:rPr>
        <w:t>54</w:t>
      </w:r>
      <w:r>
        <w:rPr>
          <w:snapToGrid w:val="0"/>
        </w:rPr>
        <w:t>.</w:t>
      </w:r>
      <w:r>
        <w:rPr>
          <w:snapToGrid w:val="0"/>
        </w:rPr>
        <w:tab/>
        <w:t>Charging people to take part in permitted gaming</w:t>
      </w:r>
      <w:bookmarkEnd w:id="100"/>
    </w:p>
    <w:p>
      <w:pPr>
        <w:pStyle w:val="Subsection"/>
        <w:rPr>
          <w:snapToGrid w:val="0"/>
        </w:rPr>
      </w:pPr>
      <w:r>
        <w:rPr>
          <w:snapToGrid w:val="0"/>
        </w:rPr>
        <w:tab/>
        <w:t>(1)</w:t>
      </w:r>
      <w:r>
        <w:rPr>
          <w:snapToGrid w:val="0"/>
        </w:rPr>
        <w:tab/>
        <w:t>Except where —</w:t>
      </w:r>
    </w:p>
    <w:p>
      <w:pPr>
        <w:pStyle w:val="Indenta"/>
        <w:spacing w:before="120"/>
        <w:rPr>
          <w:snapToGrid w:val="0"/>
        </w:rPr>
      </w:pPr>
      <w:r>
        <w:rPr>
          <w:snapToGrid w:val="0"/>
        </w:rPr>
        <w:tab/>
        <w:t>(a)</w:t>
      </w:r>
      <w:r>
        <w:rPr>
          <w:snapToGrid w:val="0"/>
        </w:rPr>
        <w:tab/>
        <w:t>a regulation made under this Act, pursuant to subsection (4) or otherwise; or</w:t>
      </w:r>
    </w:p>
    <w:p>
      <w:pPr>
        <w:pStyle w:val="Indenta"/>
        <w:spacing w:before="120"/>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 xml:space="preserve">Where it is shown that a club, society, institution, organisation, association or other body of persons is so constituted and conducted, in respect of membership and otherwise, as not to be of a temporary character, a payment which constitutes payment </w:t>
      </w:r>
      <w:r>
        <w:rPr>
          <w:snapToGrid w:val="0"/>
        </w:rPr>
        <w:lastRenderedPageBreak/>
        <w:t>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w:t>
      </w:r>
    </w:p>
    <w:p>
      <w:pPr>
        <w:pStyle w:val="Indenta"/>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rPr>
          <w:snapToGrid w:val="0"/>
        </w:rPr>
      </w:pPr>
      <w:r>
        <w:rPr>
          <w:snapToGrid w:val="0"/>
        </w:rPr>
        <w:tab/>
        <w:t>(6)</w:t>
      </w:r>
      <w:r>
        <w:rPr>
          <w:snapToGrid w:val="0"/>
        </w:rPr>
        <w:tab/>
        <w:t>A charge shall not be made in relation to permitted gaming unless particulars of the charges and of the circumstances in which they are chargeable —</w:t>
      </w:r>
    </w:p>
    <w:p>
      <w:pPr>
        <w:pStyle w:val="Indenta"/>
        <w:rPr>
          <w:snapToGrid w:val="0"/>
        </w:rPr>
      </w:pPr>
      <w:r>
        <w:rPr>
          <w:snapToGrid w:val="0"/>
        </w:rPr>
        <w:tab/>
        <w:t>(a)</w:t>
      </w:r>
      <w:r>
        <w:rPr>
          <w:snapToGrid w:val="0"/>
        </w:rPr>
        <w:tab/>
        <w:t>are displayed at the premises; and</w:t>
      </w:r>
    </w:p>
    <w:p>
      <w:pPr>
        <w:pStyle w:val="Indenta"/>
        <w:keepNext/>
        <w:rPr>
          <w:snapToGrid w:val="0"/>
        </w:rPr>
      </w:pPr>
      <w:r>
        <w:rPr>
          <w:snapToGrid w:val="0"/>
        </w:rPr>
        <w:lastRenderedPageBreak/>
        <w:tab/>
        <w:t>(b)</w:t>
      </w:r>
      <w:r>
        <w:rPr>
          <w:snapToGrid w:val="0"/>
        </w:rPr>
        <w:tab/>
        <w:t>where the regulations or a condition so provide —</w:t>
      </w:r>
    </w:p>
    <w:p>
      <w:pPr>
        <w:pStyle w:val="Indenti"/>
        <w:rPr>
          <w:snapToGrid w:val="0"/>
        </w:rPr>
      </w:pPr>
      <w:r>
        <w:rPr>
          <w:snapToGrid w:val="0"/>
        </w:rPr>
        <w:tab/>
        <w:t>(i)</w:t>
      </w:r>
      <w:r>
        <w:rPr>
          <w:snapToGrid w:val="0"/>
        </w:rPr>
        <w:tab/>
        <w:t>the charges are approved by the Commission; and</w:t>
      </w:r>
    </w:p>
    <w:p>
      <w:pPr>
        <w:pStyle w:val="Indenti"/>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keepLines w:val="0"/>
        <w:ind w:left="890" w:hanging="890"/>
      </w:pPr>
      <w:r>
        <w:tab/>
        <w:t>[Section 54 amended: No. 35 of 2003 s. 149, 166 and 167.]</w:t>
      </w:r>
    </w:p>
    <w:p>
      <w:pPr>
        <w:pStyle w:val="Heading5"/>
        <w:rPr>
          <w:snapToGrid w:val="0"/>
        </w:rPr>
      </w:pPr>
      <w:bookmarkStart w:id="101" w:name="_Toc115267845"/>
      <w:r>
        <w:rPr>
          <w:rStyle w:val="CharSectno"/>
        </w:rPr>
        <w:t>55</w:t>
      </w:r>
      <w:r>
        <w:rPr>
          <w:snapToGrid w:val="0"/>
        </w:rPr>
        <w:t>.</w:t>
      </w:r>
      <w:r>
        <w:rPr>
          <w:snapToGrid w:val="0"/>
        </w:rPr>
        <w:tab/>
        <w:t>Approving premises for gaming</w:t>
      </w:r>
      <w:bookmarkEnd w:id="101"/>
    </w:p>
    <w:p>
      <w:pPr>
        <w:pStyle w:val="Subsection"/>
        <w:keepNext/>
        <w:keepLines/>
        <w:rPr>
          <w:snapToGrid w:val="0"/>
        </w:rPr>
      </w:pPr>
      <w:r>
        <w:rPr>
          <w:snapToGrid w:val="0"/>
        </w:rPr>
        <w:tab/>
        <w:t>(1)</w:t>
      </w:r>
      <w:r>
        <w:rPr>
          <w:snapToGrid w:val="0"/>
        </w:rPr>
        <w:tab/>
        <w:t>An application for the grant by the Commission of approval to the use of premises for gaming —</w:t>
      </w:r>
    </w:p>
    <w:p>
      <w:pPr>
        <w:pStyle w:val="Indenta"/>
        <w:rPr>
          <w:snapToGrid w:val="0"/>
        </w:rPr>
      </w:pPr>
      <w:r>
        <w:rPr>
          <w:snapToGrid w:val="0"/>
        </w:rPr>
        <w:tab/>
        <w:t>(a)</w:t>
      </w:r>
      <w:r>
        <w:rPr>
          <w:snapToGrid w:val="0"/>
        </w:rPr>
        <w:tab/>
        <w:t>in the case of premises to be used for the purposes of a specific function permit, may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w:t>
      </w:r>
    </w:p>
    <w:p>
      <w:pPr>
        <w:pStyle w:val="Indenta"/>
        <w:rPr>
          <w:snapToGrid w:val="0"/>
        </w:rPr>
      </w:pPr>
      <w:r>
        <w:rPr>
          <w:snapToGrid w:val="0"/>
        </w:rPr>
        <w:tab/>
        <w:t>(a)</w:t>
      </w:r>
      <w:r>
        <w:rPr>
          <w:snapToGrid w:val="0"/>
        </w:rPr>
        <w:tab/>
        <w:t>specifically, to be used for the purposes of a specific function permit; or</w:t>
      </w:r>
    </w:p>
    <w:p>
      <w:pPr>
        <w:pStyle w:val="Indenta"/>
        <w:spacing w:before="100"/>
        <w:rPr>
          <w:snapToGrid w:val="0"/>
        </w:rPr>
      </w:pPr>
      <w:r>
        <w:rPr>
          <w:snapToGrid w:val="0"/>
        </w:rPr>
        <w:lastRenderedPageBreak/>
        <w:tab/>
        <w:t>(b)</w:t>
      </w:r>
      <w:r>
        <w:rPr>
          <w:snapToGrid w:val="0"/>
        </w:rPr>
        <w:tab/>
        <w:t>generally, to be used for the purposes of function permits from time to time; or</w:t>
      </w:r>
    </w:p>
    <w:p>
      <w:pPr>
        <w:pStyle w:val="Indenta"/>
        <w:spacing w:before="100"/>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w:t>
      </w:r>
    </w:p>
    <w:p>
      <w:pPr>
        <w:pStyle w:val="Indenta"/>
        <w:spacing w:before="100"/>
        <w:rPr>
          <w:snapToGrid w:val="0"/>
        </w:rPr>
      </w:pPr>
      <w:r>
        <w:rPr>
          <w:snapToGrid w:val="0"/>
        </w:rPr>
        <w:tab/>
        <w:t>(a)</w:t>
      </w:r>
      <w:r>
        <w:rPr>
          <w:snapToGrid w:val="0"/>
        </w:rPr>
        <w:tab/>
        <w:t>a report from the local government of the district in which the premises are situated, certifying that those premises conform, or if not conforming in what respect they do not conform, to the</w:t>
      </w:r>
      <w:r>
        <w:rPr>
          <w:i/>
        </w:rPr>
        <w:t xml:space="preserve"> Health (Miscellaneous Provisions)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 and</w:t>
      </w:r>
    </w:p>
    <w:p>
      <w:pPr>
        <w:pStyle w:val="Indenta"/>
        <w:spacing w:before="100"/>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w:t>
      </w:r>
    </w:p>
    <w:p>
      <w:pPr>
        <w:pStyle w:val="Indenti"/>
        <w:spacing w:before="100"/>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spacing w:before="100"/>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 report from the Commissioner of Police, or of an officer appointed by him with the approval of the Commission for that purpose, certifying that the </w:t>
      </w:r>
      <w:r>
        <w:rPr>
          <w:snapToGrid w:val="0"/>
        </w:rPr>
        <w:lastRenderedPageBreak/>
        <w:t>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An approval of premises granted by the Commission subsists in favour of the holder to whom or which the approval was first granted, or an assignee acceptable to the Commission entered in the register as the registered holder of that approval, and until —</w:t>
      </w:r>
    </w:p>
    <w:p>
      <w:pPr>
        <w:pStyle w:val="Indenta"/>
        <w:rPr>
          <w:snapToGrid w:val="0"/>
        </w:rPr>
      </w:pPr>
      <w:r>
        <w:rPr>
          <w:snapToGrid w:val="0"/>
        </w:rPr>
        <w:tab/>
        <w:t>(a)</w:t>
      </w:r>
      <w:r>
        <w:rPr>
          <w:snapToGrid w:val="0"/>
        </w:rPr>
        <w:tab/>
        <w:t>the term for which it was granted expires; or</w:t>
      </w:r>
    </w:p>
    <w:p>
      <w:pPr>
        <w:pStyle w:val="Indenta"/>
        <w:keepNext/>
        <w:rPr>
          <w:snapToGrid w:val="0"/>
        </w:rPr>
      </w:pPr>
      <w:r>
        <w:rPr>
          <w:snapToGrid w:val="0"/>
        </w:rPr>
        <w:lastRenderedPageBreak/>
        <w:tab/>
        <w:t>(b)</w:t>
      </w:r>
      <w:r>
        <w:rPr>
          <w:snapToGrid w:val="0"/>
        </w:rPr>
        <w:tab/>
        <w:t>its operation is suspended pursuant to an amendment; or</w:t>
      </w:r>
    </w:p>
    <w:p>
      <w:pPr>
        <w:pStyle w:val="Indenta"/>
        <w:keepNext/>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ind w:left="890" w:hanging="890"/>
      </w:pPr>
      <w:r>
        <w:tab/>
        <w:t>[Section 55 amended: No. 14 of 1996 s. 4; No. 35 of 2003 s. 167; No. 38 of 2005 s. 15; No. 19 of 2016 s. 101.]</w:t>
      </w:r>
    </w:p>
    <w:p>
      <w:pPr>
        <w:pStyle w:val="Heading5"/>
        <w:rPr>
          <w:snapToGrid w:val="0"/>
        </w:rPr>
      </w:pPr>
      <w:bookmarkStart w:id="102" w:name="_Toc115267846"/>
      <w:r>
        <w:rPr>
          <w:rStyle w:val="CharSectno"/>
        </w:rPr>
        <w:t>56</w:t>
      </w:r>
      <w:r>
        <w:rPr>
          <w:snapToGrid w:val="0"/>
        </w:rPr>
        <w:t>.</w:t>
      </w:r>
      <w:r>
        <w:rPr>
          <w:snapToGrid w:val="0"/>
        </w:rPr>
        <w:tab/>
        <w:t>Renewing approvals, permits and certificates</w:t>
      </w:r>
      <w:bookmarkEnd w:id="102"/>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 xml:space="preserve">Subject to section 49(2), the application for the renewal or reinstatement of an approval, permit or certificate shall be dealt with at the discretion of the Commission as though it were an application for the grant of a new approval or for the issue of a </w:t>
      </w:r>
      <w:r>
        <w:rPr>
          <w:snapToGrid w:val="0"/>
        </w:rPr>
        <w:lastRenderedPageBreak/>
        <w:t>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103" w:name="_Toc115267847"/>
      <w:r>
        <w:rPr>
          <w:rStyle w:val="CharSectno"/>
        </w:rPr>
        <w:t>57</w:t>
      </w:r>
      <w:r>
        <w:rPr>
          <w:snapToGrid w:val="0"/>
        </w:rPr>
        <w:t>.</w:t>
      </w:r>
      <w:r>
        <w:rPr>
          <w:snapToGrid w:val="0"/>
        </w:rPr>
        <w:tab/>
        <w:t>Reports by permit holders, when required, content of etc.</w:t>
      </w:r>
      <w:bookmarkEnd w:id="103"/>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 and</w:t>
      </w:r>
    </w:p>
    <w:p>
      <w:pPr>
        <w:pStyle w:val="Indenta"/>
        <w:rPr>
          <w:snapToGrid w:val="0"/>
        </w:rPr>
      </w:pPr>
      <w:r>
        <w:rPr>
          <w:snapToGrid w:val="0"/>
        </w:rPr>
        <w:tab/>
        <w:t>(b)</w:t>
      </w:r>
      <w:r>
        <w:rPr>
          <w:snapToGrid w:val="0"/>
        </w:rPr>
        <w:tab/>
        <w:t>each date and place at which gaming to which the permit purported to apply occurred; and</w:t>
      </w:r>
    </w:p>
    <w:p>
      <w:pPr>
        <w:pStyle w:val="Indenta"/>
        <w:rPr>
          <w:snapToGrid w:val="0"/>
        </w:rPr>
      </w:pPr>
      <w:r>
        <w:rPr>
          <w:snapToGrid w:val="0"/>
        </w:rPr>
        <w:tab/>
        <w:t>(c)</w:t>
      </w:r>
      <w:r>
        <w:rPr>
          <w:snapToGrid w:val="0"/>
        </w:rPr>
        <w:tab/>
        <w:t>the total amount of the proceeds of the permitted gaming; and</w:t>
      </w:r>
    </w:p>
    <w:p>
      <w:pPr>
        <w:pStyle w:val="Indenta"/>
        <w:keepNext/>
        <w:rPr>
          <w:snapToGrid w:val="0"/>
        </w:rPr>
      </w:pPr>
      <w:r>
        <w:rPr>
          <w:snapToGrid w:val="0"/>
        </w:rPr>
        <w:lastRenderedPageBreak/>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r>
      <w:r>
        <w:t>Penalty for this subsection: a fine of</w:t>
      </w:r>
      <w:r>
        <w:rPr>
          <w:snapToGrid w:val="0"/>
        </w:rPr>
        <w:t xml:space="preserve"> $5 000, or imprisonment for 1 year, or both.</w:t>
      </w:r>
    </w:p>
    <w:p>
      <w:pPr>
        <w:pStyle w:val="Footnotesection"/>
        <w:ind w:left="890" w:hanging="890"/>
      </w:pPr>
      <w:r>
        <w:tab/>
        <w:t>[Section 57 amended: No. 35 of 2003 s. 167; No. 41 of 2018 s. 25(1).]</w:t>
      </w:r>
    </w:p>
    <w:p>
      <w:pPr>
        <w:pStyle w:val="Heading5"/>
        <w:rPr>
          <w:snapToGrid w:val="0"/>
        </w:rPr>
      </w:pPr>
      <w:bookmarkStart w:id="104" w:name="_Toc115267848"/>
      <w:r>
        <w:rPr>
          <w:rStyle w:val="CharSectno"/>
        </w:rPr>
        <w:t>58</w:t>
      </w:r>
      <w:r>
        <w:rPr>
          <w:snapToGrid w:val="0"/>
        </w:rPr>
        <w:t>.</w:t>
      </w:r>
      <w:r>
        <w:rPr>
          <w:snapToGrid w:val="0"/>
        </w:rPr>
        <w:tab/>
        <w:t>Gaming permit may regulate use of proceeds from permitted gaming etc.</w:t>
      </w:r>
      <w:bookmarkEnd w:id="104"/>
    </w:p>
    <w:p>
      <w:pPr>
        <w:pStyle w:val="Subsection"/>
        <w:keepNext/>
        <w:rPr>
          <w:snapToGrid w:val="0"/>
        </w:rPr>
      </w:pPr>
      <w:r>
        <w:rPr>
          <w:snapToGrid w:val="0"/>
        </w:rPr>
        <w:tab/>
        <w:t>(1)</w:t>
      </w:r>
      <w:r>
        <w:rPr>
          <w:snapToGrid w:val="0"/>
        </w:rPr>
        <w:tab/>
        <w:t>A condition imposed in relation to a permit may require the permit holder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lastRenderedPageBreak/>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rStyle w:val="CharDefText"/>
        </w:rPr>
        <w:t>object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w:t>
      </w:r>
    </w:p>
    <w:p>
      <w:pPr>
        <w:pStyle w:val="Indenta"/>
        <w:rPr>
          <w:snapToGrid w:val="0"/>
        </w:rPr>
      </w:pPr>
      <w:r>
        <w:rPr>
          <w:snapToGrid w:val="0"/>
        </w:rPr>
        <w:tab/>
        <w:t>(a)</w:t>
      </w:r>
      <w:r>
        <w:rPr>
          <w:snapToGrid w:val="0"/>
        </w:rPr>
        <w:tab/>
        <w:t>that the object, in whole or in part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object provides a use for part only of the money accruing from the permitted gaming; or</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 or</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lastRenderedPageBreak/>
        <w:tab/>
        <w:t>(ii)</w:t>
      </w:r>
      <w:r>
        <w:rPr>
          <w:snapToGrid w:val="0"/>
        </w:rPr>
        <w:tab/>
        <w:t>ceased in any other way to provide a suitable and effective method of using money accruing from the permitted gaming.</w:t>
      </w:r>
    </w:p>
    <w:p>
      <w:pPr>
        <w:pStyle w:val="Subsection"/>
        <w:spacing w:before="180"/>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for this subsection: a fine of $2 500.</w:t>
      </w:r>
    </w:p>
    <w:p>
      <w:pPr>
        <w:pStyle w:val="Footnotesection"/>
      </w:pPr>
      <w:r>
        <w:tab/>
        <w:t>[Section 58 amended: No. 50 of 2003 s. 66(4) ; No. 41 of 2018 s. 25(1).]</w:t>
      </w:r>
    </w:p>
    <w:p>
      <w:pPr>
        <w:pStyle w:val="Heading5"/>
        <w:spacing w:before="240"/>
        <w:rPr>
          <w:snapToGrid w:val="0"/>
        </w:rPr>
      </w:pPr>
      <w:bookmarkStart w:id="105" w:name="_Toc115267849"/>
      <w:r>
        <w:rPr>
          <w:rStyle w:val="CharSectno"/>
        </w:rPr>
        <w:t>59</w:t>
      </w:r>
      <w:r>
        <w:rPr>
          <w:snapToGrid w:val="0"/>
        </w:rPr>
        <w:t>.</w:t>
      </w:r>
      <w:r>
        <w:rPr>
          <w:snapToGrid w:val="0"/>
        </w:rPr>
        <w:tab/>
        <w:t>Approvals etc. may require security to be given</w:t>
      </w:r>
      <w:bookmarkEnd w:id="105"/>
    </w:p>
    <w:p>
      <w:pPr>
        <w:pStyle w:val="Subsection"/>
        <w:spacing w:before="180"/>
        <w:rPr>
          <w:snapToGrid w:val="0"/>
        </w:rPr>
      </w:pPr>
      <w:r>
        <w:rPr>
          <w:snapToGrid w:val="0"/>
        </w:rPr>
        <w:tab/>
        <w:t>(1)</w:t>
      </w:r>
      <w:r>
        <w:rPr>
          <w:snapToGrid w:val="0"/>
        </w:rPr>
        <w:tab/>
        <w:t>A condition imposed in relation to —</w:t>
      </w:r>
    </w:p>
    <w:p>
      <w:pPr>
        <w:pStyle w:val="Indenta"/>
        <w:spacing w:before="100"/>
        <w:rPr>
          <w:snapToGrid w:val="0"/>
        </w:rPr>
      </w:pPr>
      <w:r>
        <w:rPr>
          <w:snapToGrid w:val="0"/>
        </w:rPr>
        <w:tab/>
        <w:t>(a)</w:t>
      </w:r>
      <w:r>
        <w:rPr>
          <w:snapToGrid w:val="0"/>
        </w:rPr>
        <w:tab/>
        <w:t>the eligibility of any person to hold a permit; or</w:t>
      </w:r>
    </w:p>
    <w:p>
      <w:pPr>
        <w:pStyle w:val="Indenta"/>
        <w:spacing w:before="100"/>
        <w:rPr>
          <w:snapToGrid w:val="0"/>
        </w:rPr>
      </w:pPr>
      <w:r>
        <w:rPr>
          <w:snapToGrid w:val="0"/>
        </w:rPr>
        <w:tab/>
        <w:t>(b)</w:t>
      </w:r>
      <w:r>
        <w:rPr>
          <w:snapToGrid w:val="0"/>
        </w:rPr>
        <w:tab/>
        <w:t>the approval of a person as a nominee permit holder; or</w:t>
      </w:r>
    </w:p>
    <w:p>
      <w:pPr>
        <w:pStyle w:val="Indenta"/>
        <w:spacing w:before="100"/>
        <w:rPr>
          <w:snapToGrid w:val="0"/>
        </w:rPr>
      </w:pPr>
      <w:r>
        <w:rPr>
          <w:snapToGrid w:val="0"/>
        </w:rPr>
        <w:tab/>
        <w:t>(c)</w:t>
      </w:r>
      <w:r>
        <w:rPr>
          <w:snapToGrid w:val="0"/>
        </w:rPr>
        <w:tab/>
        <w:t>the approval of premises; or</w:t>
      </w:r>
    </w:p>
    <w:p>
      <w:pPr>
        <w:pStyle w:val="Indenta"/>
        <w:keepNext/>
        <w:keepLines/>
        <w:rPr>
          <w:snapToGrid w:val="0"/>
        </w:rPr>
      </w:pPr>
      <w:r>
        <w:rPr>
          <w:snapToGrid w:val="0"/>
        </w:rPr>
        <w:tab/>
        <w:t>(d)</w:t>
      </w:r>
      <w:r>
        <w:rPr>
          <w:snapToGrid w:val="0"/>
        </w:rPr>
        <w:tab/>
        <w:t>the issue of a permit or certificate,</w:t>
      </w:r>
    </w:p>
    <w:p>
      <w:pPr>
        <w:pStyle w:val="Subsection"/>
        <w:keepLines/>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lastRenderedPageBreak/>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ind w:left="890" w:hanging="890"/>
      </w:pPr>
      <w:r>
        <w:tab/>
        <w:t>[Section 59 amended: No. 16 of 1990 s. 33.]</w:t>
      </w:r>
    </w:p>
    <w:p>
      <w:pPr>
        <w:pStyle w:val="Heading5"/>
        <w:rPr>
          <w:snapToGrid w:val="0"/>
        </w:rPr>
      </w:pPr>
      <w:bookmarkStart w:id="106" w:name="_Toc115267850"/>
      <w:r>
        <w:rPr>
          <w:rStyle w:val="CharSectno"/>
        </w:rPr>
        <w:lastRenderedPageBreak/>
        <w:t>60</w:t>
      </w:r>
      <w:r>
        <w:rPr>
          <w:snapToGrid w:val="0"/>
        </w:rPr>
        <w:t>.</w:t>
      </w:r>
      <w:r>
        <w:rPr>
          <w:snapToGrid w:val="0"/>
        </w:rPr>
        <w:tab/>
        <w:t>Revoking and amending permits and certain approvals</w:t>
      </w:r>
      <w:bookmarkEnd w:id="106"/>
    </w:p>
    <w:p>
      <w:pPr>
        <w:pStyle w:val="Subsection"/>
        <w:rPr>
          <w:snapToGrid w:val="0"/>
        </w:rPr>
      </w:pPr>
      <w:r>
        <w:rPr>
          <w:snapToGrid w:val="0"/>
        </w:rPr>
        <w:tab/>
        <w:t>(1)</w:t>
      </w:r>
      <w:r>
        <w:rPr>
          <w:snapToGrid w:val="0"/>
        </w:rPr>
        <w:tab/>
        <w:t>Where the Commission is satisfied that the circumstances so require, the Commission, subject to section 62, may in its discretion —</w:t>
      </w:r>
    </w:p>
    <w:p>
      <w:pPr>
        <w:pStyle w:val="Indenta"/>
        <w:rPr>
          <w:snapToGrid w:val="0"/>
        </w:rPr>
      </w:pPr>
      <w:r>
        <w:rPr>
          <w:snapToGrid w:val="0"/>
        </w:rPr>
        <w:tab/>
        <w:t>(a)</w:t>
      </w:r>
      <w:r>
        <w:rPr>
          <w:snapToGrid w:val="0"/>
        </w:rPr>
        <w:tab/>
        <w:t>revoke its approval as to the eligibility of any person to hold a permit; or</w:t>
      </w:r>
    </w:p>
    <w:p>
      <w:pPr>
        <w:pStyle w:val="Indenta"/>
        <w:rPr>
          <w:snapToGrid w:val="0"/>
        </w:rPr>
      </w:pPr>
      <w:r>
        <w:rPr>
          <w:snapToGrid w:val="0"/>
        </w:rPr>
        <w:tab/>
        <w:t>(b)</w:t>
      </w:r>
      <w:r>
        <w:rPr>
          <w:snapToGrid w:val="0"/>
        </w:rPr>
        <w:tab/>
        <w:t>revoke its approval of a person as a nominee permit holder; or</w:t>
      </w:r>
    </w:p>
    <w:p>
      <w:pPr>
        <w:pStyle w:val="Indenta"/>
        <w:rPr>
          <w:snapToGrid w:val="0"/>
        </w:rPr>
      </w:pPr>
      <w:r>
        <w:rPr>
          <w:snapToGrid w:val="0"/>
        </w:rPr>
        <w:tab/>
        <w:t>(c)</w:t>
      </w:r>
      <w:r>
        <w:rPr>
          <w:snapToGrid w:val="0"/>
        </w:rPr>
        <w:tab/>
        <w:t>where a permit holder is a corporation and —</w:t>
      </w:r>
    </w:p>
    <w:p>
      <w:pPr>
        <w:pStyle w:val="Indenti"/>
        <w:rPr>
          <w:snapToGrid w:val="0"/>
        </w:rPr>
      </w:pPr>
      <w:r>
        <w:rPr>
          <w:snapToGrid w:val="0"/>
        </w:rPr>
        <w:tab/>
        <w:t>(i)</w:t>
      </w:r>
      <w:r>
        <w:rPr>
          <w:snapToGrid w:val="0"/>
        </w:rPr>
        <w:tab/>
        <w:t>a dealing with shares or any other interest in the corporation takes place; or</w:t>
      </w:r>
    </w:p>
    <w:p>
      <w:pPr>
        <w:pStyle w:val="Indenti"/>
        <w:keepNext/>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 or</w:t>
      </w:r>
    </w:p>
    <w:p>
      <w:pPr>
        <w:pStyle w:val="Indenta"/>
        <w:keepNext/>
        <w:rPr>
          <w:snapToGrid w:val="0"/>
        </w:rPr>
      </w:pPr>
      <w:r>
        <w:rPr>
          <w:snapToGrid w:val="0"/>
        </w:rPr>
        <w:tab/>
        <w:t>(d)</w:t>
      </w:r>
      <w:r>
        <w:rPr>
          <w:snapToGrid w:val="0"/>
        </w:rPr>
        <w:tab/>
        <w:t>revoke a permit or a certificate; or</w:t>
      </w:r>
    </w:p>
    <w:p>
      <w:pPr>
        <w:pStyle w:val="Indenta"/>
        <w:keepNext/>
        <w:rPr>
          <w:snapToGrid w:val="0"/>
        </w:rPr>
      </w:pPr>
      <w:r>
        <w:rPr>
          <w:snapToGrid w:val="0"/>
        </w:rPr>
        <w:tab/>
        <w:t>(e)</w:t>
      </w:r>
      <w:r>
        <w:rPr>
          <w:snapToGrid w:val="0"/>
        </w:rPr>
        <w:tab/>
        <w:t>amend any such approval or permit or certificate.</w:t>
      </w:r>
    </w:p>
    <w:p>
      <w:pPr>
        <w:pStyle w:val="Subsection"/>
        <w:rPr>
          <w:snapToGrid w:val="0"/>
        </w:rPr>
      </w:pPr>
      <w:r>
        <w:rPr>
          <w:snapToGrid w:val="0"/>
        </w:rPr>
        <w:tab/>
        <w:t>(2)</w:t>
      </w:r>
      <w:r>
        <w:rPr>
          <w:snapToGrid w:val="0"/>
        </w:rPr>
        <w:tab/>
        <w:t>The revocation or amendment of an approval or a permit or a certificate pursuant to subsection (1) takes effect —</w:t>
      </w:r>
    </w:p>
    <w:p>
      <w:pPr>
        <w:pStyle w:val="Indenta"/>
        <w:spacing w:before="60"/>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rPr>
          <w:snapToGrid w:val="0"/>
        </w:rPr>
      </w:pPr>
      <w:r>
        <w:rPr>
          <w:snapToGrid w:val="0"/>
        </w:rPr>
        <w:tab/>
      </w:r>
      <w:r>
        <w:rPr>
          <w:snapToGrid w:val="0"/>
        </w:rPr>
        <w:tab/>
        <w:t>and the register shall be noted accordingly.</w:t>
      </w:r>
    </w:p>
    <w:p>
      <w:pPr>
        <w:pStyle w:val="Subsection"/>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w:t>
      </w:r>
      <w:r>
        <w:rPr>
          <w:snapToGrid w:val="0"/>
        </w:rPr>
        <w:lastRenderedPageBreak/>
        <w:t>of an approval or a permit or a certificate to which this section applies.</w:t>
      </w:r>
    </w:p>
    <w:p>
      <w:pPr>
        <w:pStyle w:val="Subsection"/>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ind w:left="890" w:hanging="890"/>
      </w:pPr>
      <w:r>
        <w:tab/>
        <w:t>[Section 60 amended: No. 16 of 1990 s. 33; No. 24 of 1998 s. 52.]</w:t>
      </w:r>
    </w:p>
    <w:p>
      <w:pPr>
        <w:pStyle w:val="Ednotesection"/>
      </w:pPr>
      <w:r>
        <w:t>[</w:t>
      </w:r>
      <w:r>
        <w:rPr>
          <w:b/>
        </w:rPr>
        <w:t>61.</w:t>
      </w:r>
      <w:r>
        <w:tab/>
        <w:t>Deleted: No. 16 of 1990 s. 33.]</w:t>
      </w:r>
    </w:p>
    <w:p>
      <w:pPr>
        <w:pStyle w:val="Heading5"/>
        <w:rPr>
          <w:snapToGrid w:val="0"/>
        </w:rPr>
      </w:pPr>
      <w:bookmarkStart w:id="107" w:name="_Toc115267851"/>
      <w:r>
        <w:rPr>
          <w:rStyle w:val="CharSectno"/>
        </w:rPr>
        <w:t>62</w:t>
      </w:r>
      <w:r>
        <w:rPr>
          <w:snapToGrid w:val="0"/>
        </w:rPr>
        <w:t>.</w:t>
      </w:r>
      <w:r>
        <w:rPr>
          <w:snapToGrid w:val="0"/>
        </w:rPr>
        <w:tab/>
        <w:t>Revocation or amendment of current approval etc., Commission to report to Minister; appeals to Minister</w:t>
      </w:r>
      <w:bookmarkEnd w:id="107"/>
    </w:p>
    <w:p>
      <w:pPr>
        <w:pStyle w:val="Subsection"/>
        <w:rPr>
          <w:snapToGrid w:val="0"/>
        </w:rPr>
      </w:pPr>
      <w:r>
        <w:rPr>
          <w:snapToGrid w:val="0"/>
        </w:rPr>
        <w:tab/>
        <w:t>(1)</w:t>
      </w:r>
      <w:r>
        <w:rPr>
          <w:snapToGrid w:val="0"/>
        </w:rPr>
        <w:tab/>
        <w:t xml:space="preserve">Where the Commission revokes or amends an approval, permit or certificate before the conclusion of the period for which it would otherwise have effect, the Commission, after having given an opportunity to the holder of the approval, permit or </w:t>
      </w:r>
      <w:r>
        <w:rPr>
          <w:snapToGrid w:val="0"/>
        </w:rPr>
        <w:lastRenderedPageBreak/>
        <w:t>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w:t>
      </w:r>
    </w:p>
    <w:p>
      <w:pPr>
        <w:pStyle w:val="Indenta"/>
        <w:rPr>
          <w:snapToGrid w:val="0"/>
        </w:rPr>
      </w:pPr>
      <w:r>
        <w:rPr>
          <w:snapToGrid w:val="0"/>
        </w:rPr>
        <w:tab/>
        <w:t>(a)</w:t>
      </w:r>
      <w:r>
        <w:rPr>
          <w:snapToGrid w:val="0"/>
        </w:rPr>
        <w:tab/>
        <w:t>revoking; or</w:t>
      </w:r>
    </w:p>
    <w:p>
      <w:pPr>
        <w:pStyle w:val="Indenta"/>
        <w:rPr>
          <w:snapToGrid w:val="0"/>
        </w:rPr>
      </w:pPr>
      <w:r>
        <w:rPr>
          <w:snapToGrid w:val="0"/>
        </w:rPr>
        <w:tab/>
        <w:t>(b)</w:t>
      </w:r>
      <w:r>
        <w:rPr>
          <w:snapToGrid w:val="0"/>
        </w:rPr>
        <w:tab/>
        <w:t>refusing to renew; or</w:t>
      </w:r>
    </w:p>
    <w:p>
      <w:pPr>
        <w:pStyle w:val="Indenta"/>
        <w:keepNext/>
        <w:rPr>
          <w:snapToGrid w:val="0"/>
        </w:rPr>
      </w:pPr>
      <w:r>
        <w:rPr>
          <w:snapToGrid w:val="0"/>
        </w:rPr>
        <w:tab/>
        <w:t>(c)</w:t>
      </w:r>
      <w:r>
        <w:rPr>
          <w:snapToGrid w:val="0"/>
        </w:rPr>
        <w:tab/>
        <w:t>amending,</w:t>
      </w:r>
    </w:p>
    <w:p>
      <w:pPr>
        <w:pStyle w:val="Subsection"/>
        <w:spacing w:before="120"/>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spacing w:before="180"/>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8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No. 35 of 2003 s. 166.]</w:t>
      </w:r>
    </w:p>
    <w:p>
      <w:pPr>
        <w:pStyle w:val="Heading5"/>
        <w:spacing w:before="240"/>
        <w:rPr>
          <w:snapToGrid w:val="0"/>
        </w:rPr>
      </w:pPr>
      <w:bookmarkStart w:id="108" w:name="_Toc115267852"/>
      <w:r>
        <w:rPr>
          <w:rStyle w:val="CharSectno"/>
        </w:rPr>
        <w:t>63</w:t>
      </w:r>
      <w:r>
        <w:rPr>
          <w:snapToGrid w:val="0"/>
        </w:rPr>
        <w:t>.</w:t>
      </w:r>
      <w:r>
        <w:rPr>
          <w:snapToGrid w:val="0"/>
        </w:rPr>
        <w:tab/>
        <w:t>No credit to be given to person for permitted gaming; cheques for permitted gaming</w:t>
      </w:r>
      <w:bookmarkEnd w:id="108"/>
    </w:p>
    <w:p>
      <w:pPr>
        <w:pStyle w:val="Subsection"/>
        <w:spacing w:before="180"/>
        <w:rPr>
          <w:snapToGrid w:val="0"/>
        </w:rPr>
      </w:pPr>
      <w:r>
        <w:rPr>
          <w:snapToGrid w:val="0"/>
        </w:rPr>
        <w:tab/>
        <w:t>(1)</w:t>
      </w:r>
      <w:r>
        <w:rPr>
          <w:snapToGrid w:val="0"/>
        </w:rPr>
        <w:tab/>
        <w:t xml:space="preserve">Subject to subsection (2), where permitted gaming takes place, neither the permit holder nor any person acting on his behalf or </w:t>
      </w:r>
      <w:r>
        <w:rPr>
          <w:snapToGrid w:val="0"/>
        </w:rPr>
        <w:lastRenderedPageBreak/>
        <w:t>under any arrangement with him shall make any loan or otherwise provide or allow to any person any credit, or release, or discharge on another person’s behalf, the whole or part of any debt —</w:t>
      </w:r>
    </w:p>
    <w:p>
      <w:pPr>
        <w:pStyle w:val="Indenta"/>
        <w:rPr>
          <w:snapToGrid w:val="0"/>
        </w:rPr>
      </w:pPr>
      <w:r>
        <w:rPr>
          <w:snapToGrid w:val="0"/>
        </w:rPr>
        <w:tab/>
        <w:t>(a)</w:t>
      </w:r>
      <w:r>
        <w:rPr>
          <w:snapToGrid w:val="0"/>
        </w:rPr>
        <w:tab/>
        <w:t>for enabling any person to take part in permitted gaming; or</w:t>
      </w:r>
    </w:p>
    <w:p>
      <w:pPr>
        <w:pStyle w:val="Indenta"/>
        <w:rPr>
          <w:snapToGrid w:val="0"/>
        </w:rPr>
      </w:pPr>
      <w:r>
        <w:rPr>
          <w:snapToGrid w:val="0"/>
        </w:rPr>
        <w:tab/>
        <w:t>(b)</w:t>
      </w:r>
      <w:r>
        <w:rPr>
          <w:snapToGrid w:val="0"/>
        </w:rPr>
        <w:tab/>
        <w:t>in respect of any losses incurred by any person in permitted gaming.</w:t>
      </w:r>
    </w:p>
    <w:p>
      <w:pPr>
        <w:pStyle w:val="Subsection"/>
        <w:spacing w:before="18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w:t>
      </w:r>
    </w:p>
    <w:p>
      <w:pPr>
        <w:pStyle w:val="Indenta"/>
        <w:rPr>
          <w:snapToGrid w:val="0"/>
        </w:rPr>
      </w:pPr>
      <w:r>
        <w:rPr>
          <w:snapToGrid w:val="0"/>
        </w:rPr>
        <w:tab/>
        <w:t>(a)</w:t>
      </w:r>
      <w:r>
        <w:rPr>
          <w:snapToGrid w:val="0"/>
        </w:rPr>
        <w:tab/>
        <w:t>the cheque is not a post</w:t>
      </w:r>
      <w:r>
        <w:rPr>
          <w:snapToGrid w:val="0"/>
        </w:rPr>
        <w:noBreakHyphen/>
        <w:t>dated cheque; and</w:t>
      </w:r>
    </w:p>
    <w:p>
      <w:pPr>
        <w:pStyle w:val="Indenta"/>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rStyle w:val="CharDefText"/>
        </w:rPr>
        <w:t>banking day</w:t>
      </w:r>
      <w:r>
        <w:rPr>
          <w:snapToGrid w:val="0"/>
        </w:rPr>
        <w:t xml:space="preserve"> means a day other than a bank holiday.</w:t>
      </w:r>
    </w:p>
    <w:p>
      <w:pPr>
        <w:pStyle w:val="Footnotesection"/>
        <w:ind w:left="890" w:hanging="890"/>
      </w:pPr>
      <w:r>
        <w:tab/>
        <w:t>[Section 63 amended: No. 24 of 2000 s. 52.]</w:t>
      </w:r>
    </w:p>
    <w:p>
      <w:pPr>
        <w:pStyle w:val="Heading3"/>
      </w:pPr>
      <w:bookmarkStart w:id="109" w:name="_Toc115166622"/>
      <w:bookmarkStart w:id="110" w:name="_Toc115166779"/>
      <w:bookmarkStart w:id="111" w:name="_Toc115267853"/>
      <w:r>
        <w:rPr>
          <w:rStyle w:val="CharDivNo"/>
        </w:rPr>
        <w:lastRenderedPageBreak/>
        <w:t>Division 2</w:t>
      </w:r>
      <w:r>
        <w:rPr>
          <w:snapToGrid w:val="0"/>
        </w:rPr>
        <w:t> — </w:t>
      </w:r>
      <w:r>
        <w:rPr>
          <w:rStyle w:val="CharDivText"/>
        </w:rPr>
        <w:t>Social gambling</w:t>
      </w:r>
      <w:bookmarkEnd w:id="109"/>
      <w:bookmarkEnd w:id="110"/>
      <w:bookmarkEnd w:id="111"/>
    </w:p>
    <w:p>
      <w:pPr>
        <w:pStyle w:val="Heading5"/>
        <w:rPr>
          <w:snapToGrid w:val="0"/>
        </w:rPr>
      </w:pPr>
      <w:bookmarkStart w:id="112" w:name="_Toc115267854"/>
      <w:r>
        <w:rPr>
          <w:rStyle w:val="CharSectno"/>
        </w:rPr>
        <w:t>64</w:t>
      </w:r>
      <w:r>
        <w:rPr>
          <w:snapToGrid w:val="0"/>
        </w:rPr>
        <w:t>.</w:t>
      </w:r>
      <w:r>
        <w:rPr>
          <w:snapToGrid w:val="0"/>
        </w:rPr>
        <w:tab/>
        <w:t>Social gambling defined</w:t>
      </w:r>
      <w:bookmarkEnd w:id="112"/>
    </w:p>
    <w:p>
      <w:pPr>
        <w:pStyle w:val="Subsection"/>
        <w:keepNext/>
        <w:rPr>
          <w:snapToGrid w:val="0"/>
        </w:rPr>
      </w:pPr>
      <w:r>
        <w:rPr>
          <w:snapToGrid w:val="0"/>
        </w:rPr>
        <w:tab/>
        <w:t>(1)</w:t>
      </w:r>
      <w:r>
        <w:rPr>
          <w:snapToGrid w:val="0"/>
        </w:rPr>
        <w:tab/>
        <w:t>This section does not, subject to subsection (3), apply to or in relation to —</w:t>
      </w:r>
    </w:p>
    <w:p>
      <w:pPr>
        <w:pStyle w:val="Indenta"/>
        <w:keepNext/>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keepNext/>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keepNext/>
        <w:rPr>
          <w:snapToGrid w:val="0"/>
        </w:rPr>
      </w:pPr>
      <w:r>
        <w:rPr>
          <w:snapToGrid w:val="0"/>
        </w:rPr>
        <w:tab/>
        <w:t>(2)</w:t>
      </w:r>
      <w:r>
        <w:rPr>
          <w:snapToGrid w:val="0"/>
        </w:rPr>
        <w:tab/>
        <w:t xml:space="preserve">Subject to subsection (1), </w:t>
      </w:r>
      <w:r>
        <w:t>gambling</w:t>
      </w:r>
      <w:r>
        <w:rPr>
          <w:snapToGrid w:val="0"/>
        </w:rPr>
        <w:t xml:space="preserve"> which —</w:t>
      </w:r>
    </w:p>
    <w:p>
      <w:pPr>
        <w:pStyle w:val="Indenta"/>
        <w:rPr>
          <w:snapToGrid w:val="0"/>
        </w:rPr>
      </w:pPr>
      <w:r>
        <w:rPr>
          <w:snapToGrid w:val="0"/>
        </w:rPr>
        <w:tab/>
        <w:t>(a)</w:t>
      </w:r>
      <w:r>
        <w:rPr>
          <w:snapToGrid w:val="0"/>
        </w:rPr>
        <w:tab/>
        <w:t>is spontaneous, notwithstanding that it may occur regularly, habitually or by arrangement between the persons involved; and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 and</w:t>
      </w:r>
    </w:p>
    <w:p>
      <w:pPr>
        <w:pStyle w:val="Indenta"/>
        <w:keepNext/>
        <w:rPr>
          <w:snapToGrid w:val="0"/>
        </w:rPr>
      </w:pPr>
      <w:r>
        <w:rPr>
          <w:snapToGrid w:val="0"/>
        </w:rPr>
        <w:tab/>
        <w:t>(c)</w:t>
      </w:r>
      <w:r>
        <w:rPr>
          <w:snapToGrid w:val="0"/>
        </w:rPr>
        <w:tab/>
        <w:t>is so conducted that —</w:t>
      </w:r>
    </w:p>
    <w:p>
      <w:pPr>
        <w:pStyle w:val="Indenti"/>
        <w:rPr>
          <w:snapToGrid w:val="0"/>
        </w:rPr>
      </w:pPr>
      <w:r>
        <w:rPr>
          <w:snapToGrid w:val="0"/>
        </w:rPr>
        <w:tab/>
        <w:t>(i)</w:t>
      </w:r>
      <w:r>
        <w:rPr>
          <w:snapToGrid w:val="0"/>
        </w:rPr>
        <w:tab/>
        <w:t>no person is defrauded or cheated; and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 and</w:t>
      </w:r>
    </w:p>
    <w:p>
      <w:pPr>
        <w:pStyle w:val="Indenta"/>
        <w:rPr>
          <w:snapToGrid w:val="0"/>
        </w:rPr>
      </w:pPr>
      <w:r>
        <w:rPr>
          <w:snapToGrid w:val="0"/>
        </w:rPr>
        <w:lastRenderedPageBreak/>
        <w:tab/>
        <w:t>(e)</w:t>
      </w:r>
      <w:r>
        <w:rPr>
          <w:snapToGrid w:val="0"/>
        </w:rPr>
        <w:tab/>
        <w:t>does not contravene the requirements of the person responsible for the premises where it occurs; and</w:t>
      </w:r>
    </w:p>
    <w:p>
      <w:pPr>
        <w:pStyle w:val="Indenta"/>
        <w:rPr>
          <w:snapToGrid w:val="0"/>
        </w:rPr>
      </w:pPr>
      <w:r>
        <w:rPr>
          <w:snapToGrid w:val="0"/>
        </w:rPr>
        <w:tab/>
        <w:t>(f)</w:t>
      </w:r>
      <w:r>
        <w:rPr>
          <w:snapToGrid w:val="0"/>
        </w:rPr>
        <w:tab/>
        <w:t>is not —</w:t>
      </w:r>
    </w:p>
    <w:p>
      <w:pPr>
        <w:pStyle w:val="Indenti"/>
        <w:rPr>
          <w:snapToGrid w:val="0"/>
        </w:rPr>
      </w:pPr>
      <w:r>
        <w:rPr>
          <w:snapToGrid w:val="0"/>
        </w:rPr>
        <w:tab/>
        <w:t>(i)</w:t>
      </w:r>
      <w:r>
        <w:rPr>
          <w:snapToGrid w:val="0"/>
        </w:rPr>
        <w:tab/>
        <w:t>two</w:t>
      </w:r>
      <w:r>
        <w:rPr>
          <w:snapToGrid w:val="0"/>
        </w:rPr>
        <w:noBreakHyphen/>
        <w:t>up; or</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spacing w:before="60"/>
        <w:rPr>
          <w:snapToGrid w:val="0"/>
        </w:rPr>
      </w:pPr>
      <w:r>
        <w:rPr>
          <w:snapToGrid w:val="0"/>
        </w:rPr>
        <w:tab/>
      </w:r>
      <w:r>
        <w:rPr>
          <w:snapToGrid w:val="0"/>
        </w:rPr>
        <w:tab/>
        <w:t>and</w:t>
      </w:r>
    </w:p>
    <w:p>
      <w:pPr>
        <w:pStyle w:val="Indenta"/>
        <w:keepNext/>
        <w:spacing w:before="60"/>
        <w:rPr>
          <w:snapToGrid w:val="0"/>
        </w:rPr>
      </w:pPr>
      <w:r>
        <w:rPr>
          <w:snapToGrid w:val="0"/>
        </w:rPr>
        <w:tab/>
        <w:t>(g)</w:t>
      </w:r>
      <w:r>
        <w:rPr>
          <w:snapToGrid w:val="0"/>
        </w:rPr>
        <w:tab/>
        <w:t>being gaming, by the nature of the game is such that the chances in the game —</w:t>
      </w:r>
    </w:p>
    <w:p>
      <w:pPr>
        <w:pStyle w:val="Indenti"/>
        <w:spacing w:before="60"/>
        <w:rPr>
          <w:snapToGrid w:val="0"/>
        </w:rPr>
      </w:pPr>
      <w:r>
        <w:rPr>
          <w:snapToGrid w:val="0"/>
        </w:rPr>
        <w:tab/>
        <w:t>(i)</w:t>
      </w:r>
      <w:r>
        <w:rPr>
          <w:snapToGrid w:val="0"/>
        </w:rPr>
        <w:tab/>
        <w:t>are equally favourable to all the players; or</w:t>
      </w:r>
    </w:p>
    <w:p>
      <w:pPr>
        <w:pStyle w:val="Indenti"/>
        <w:keepLines/>
        <w:spacing w:before="60"/>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Subsection"/>
        <w:keepNext/>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w:t>
      </w:r>
    </w:p>
    <w:p>
      <w:pPr>
        <w:pStyle w:val="Indenta"/>
        <w:spacing w:before="60"/>
        <w:rPr>
          <w:snapToGrid w:val="0"/>
        </w:rPr>
      </w:pPr>
      <w:r>
        <w:rPr>
          <w:snapToGrid w:val="0"/>
        </w:rPr>
        <w:tab/>
        <w:t>(a)</w:t>
      </w:r>
      <w:r>
        <w:rPr>
          <w:snapToGrid w:val="0"/>
        </w:rPr>
        <w:tab/>
        <w:t>holds a current licence as a bookmaker under that Act; or</w:t>
      </w:r>
    </w:p>
    <w:p>
      <w:pPr>
        <w:pStyle w:val="Indenta"/>
        <w:spacing w:before="60"/>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spacing w:before="60"/>
        <w:rPr>
          <w:snapToGrid w:val="0"/>
        </w:rPr>
      </w:pPr>
      <w:r>
        <w:rPr>
          <w:snapToGrid w:val="0"/>
        </w:rPr>
        <w:tab/>
        <w:t>(c)</w:t>
      </w:r>
      <w:r>
        <w:rPr>
          <w:snapToGrid w:val="0"/>
        </w:rPr>
        <w:tab/>
        <w:t>is employed by or acts on behalf of a person of the kind referred to in paragraph (a) or paragraph (b),</w:t>
      </w:r>
    </w:p>
    <w:p>
      <w:pPr>
        <w:pStyle w:val="Subsection"/>
        <w:spacing w:before="120"/>
        <w:rPr>
          <w:snapToGrid w:val="0"/>
        </w:rPr>
      </w:pPr>
      <w:r>
        <w:rPr>
          <w:snapToGrid w:val="0"/>
        </w:rPr>
        <w:tab/>
      </w:r>
      <w:r>
        <w:rPr>
          <w:snapToGrid w:val="0"/>
        </w:rPr>
        <w:tab/>
        <w:t>shall be taken to constitute social gambling and is not unlawful.</w:t>
      </w:r>
    </w:p>
    <w:p>
      <w:pPr>
        <w:pStyle w:val="Subsection"/>
        <w:rPr>
          <w:snapToGrid w:val="0"/>
        </w:rPr>
      </w:pPr>
      <w:r>
        <w:rPr>
          <w:snapToGrid w:val="0"/>
        </w:rPr>
        <w:lastRenderedPageBreak/>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No. 24 of 1998 s. 53; No. 35 of 2003 s. 150 and 166.]</w:t>
      </w:r>
    </w:p>
    <w:p>
      <w:pPr>
        <w:pStyle w:val="Ednotedivision"/>
      </w:pPr>
      <w:r>
        <w:t>[Division 3</w:t>
      </w:r>
      <w:r>
        <w:rPr>
          <w:b/>
        </w:rPr>
        <w:t xml:space="preserve"> </w:t>
      </w:r>
      <w:r>
        <w:rPr>
          <w:bCs/>
        </w:rPr>
        <w:t>(s. 65</w:t>
      </w:r>
      <w:r>
        <w:rPr>
          <w:bCs/>
        </w:rPr>
        <w:noBreakHyphen/>
        <w:t>79)</w:t>
      </w:r>
      <w:r>
        <w:t xml:space="preserve"> deleted: No. 16 of 1990 s. 31.]</w:t>
      </w:r>
    </w:p>
    <w:p>
      <w:pPr>
        <w:pStyle w:val="Heading3"/>
        <w:keepNext w:val="0"/>
      </w:pPr>
      <w:bookmarkStart w:id="113" w:name="_Toc115166624"/>
      <w:bookmarkStart w:id="114" w:name="_Toc115166781"/>
      <w:bookmarkStart w:id="115" w:name="_Toc115267855"/>
      <w:r>
        <w:rPr>
          <w:rStyle w:val="CharDivNo"/>
        </w:rPr>
        <w:t>Division 4</w:t>
      </w:r>
      <w:r>
        <w:rPr>
          <w:snapToGrid w:val="0"/>
        </w:rPr>
        <w:t> — </w:t>
      </w:r>
      <w:r>
        <w:rPr>
          <w:rStyle w:val="CharDivText"/>
        </w:rPr>
        <w:t>Permitted two</w:t>
      </w:r>
      <w:r>
        <w:rPr>
          <w:rStyle w:val="CharDivText"/>
        </w:rPr>
        <w:noBreakHyphen/>
        <w:t>up</w:t>
      </w:r>
      <w:bookmarkEnd w:id="113"/>
      <w:bookmarkEnd w:id="114"/>
      <w:bookmarkEnd w:id="115"/>
    </w:p>
    <w:p>
      <w:pPr>
        <w:pStyle w:val="Heading5"/>
        <w:keepNext w:val="0"/>
        <w:keepLines w:val="0"/>
        <w:rPr>
          <w:snapToGrid w:val="0"/>
        </w:rPr>
      </w:pPr>
      <w:bookmarkStart w:id="116" w:name="_Toc115267856"/>
      <w:r>
        <w:rPr>
          <w:rStyle w:val="CharSectno"/>
        </w:rPr>
        <w:t>80</w:t>
      </w:r>
      <w:r>
        <w:rPr>
          <w:snapToGrid w:val="0"/>
        </w:rPr>
        <w:t>.</w:t>
      </w:r>
      <w:r>
        <w:rPr>
          <w:snapToGrid w:val="0"/>
        </w:rPr>
        <w:tab/>
        <w:t>Two</w:t>
      </w:r>
      <w:r>
        <w:rPr>
          <w:snapToGrid w:val="0"/>
        </w:rPr>
        <w:noBreakHyphen/>
        <w:t>up at country race meetings</w:t>
      </w:r>
      <w:bookmarkEnd w:id="116"/>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w:t>
      </w:r>
    </w:p>
    <w:p>
      <w:pPr>
        <w:pStyle w:val="Indenta"/>
        <w:rPr>
          <w:snapToGrid w:val="0"/>
        </w:rPr>
      </w:pPr>
      <w:r>
        <w:rPr>
          <w:snapToGrid w:val="0"/>
        </w:rPr>
        <w:tab/>
        <w:t>(a)</w:t>
      </w:r>
      <w:r>
        <w:rPr>
          <w:snapToGrid w:val="0"/>
        </w:rPr>
        <w:tab/>
        <w:t>takes place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t>
      </w:r>
      <w:r>
        <w:rPr>
          <w:snapToGrid w:val="0"/>
        </w:rPr>
        <w:lastRenderedPageBreak/>
        <w:t xml:space="preserve">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is conducted —</w:t>
      </w:r>
    </w:p>
    <w:p>
      <w:pPr>
        <w:pStyle w:val="Indenti"/>
        <w:spacing w:before="100"/>
        <w:rPr>
          <w:snapToGrid w:val="0"/>
        </w:rPr>
      </w:pPr>
      <w:r>
        <w:rPr>
          <w:snapToGrid w:val="0"/>
        </w:rPr>
        <w:tab/>
        <w:t>(i)</w:t>
      </w:r>
      <w:r>
        <w:rPr>
          <w:snapToGrid w:val="0"/>
        </w:rPr>
        <w:tab/>
        <w:t>by or on behalf of the country race club, by a person authorised in writing by the committee of that club for the purpose; and</w:t>
      </w:r>
    </w:p>
    <w:p>
      <w:pPr>
        <w:pStyle w:val="Indenti"/>
        <w:spacing w:before="100"/>
        <w:rPr>
          <w:snapToGrid w:val="0"/>
        </w:rPr>
      </w:pPr>
      <w:r>
        <w:rPr>
          <w:snapToGrid w:val="0"/>
        </w:rPr>
        <w:tab/>
        <w:t>(ii)</w:t>
      </w:r>
      <w:r>
        <w:rPr>
          <w:snapToGrid w:val="0"/>
        </w:rPr>
        <w:tab/>
        <w:t>otherwise than during the racing for that day; and</w:t>
      </w:r>
    </w:p>
    <w:p>
      <w:pPr>
        <w:pStyle w:val="Indenti"/>
        <w:spacing w:before="100"/>
        <w:rPr>
          <w:snapToGrid w:val="0"/>
        </w:rPr>
      </w:pPr>
      <w:r>
        <w:rPr>
          <w:snapToGrid w:val="0"/>
        </w:rPr>
        <w:tab/>
        <w:t>(iii)</w:t>
      </w:r>
      <w:r>
        <w:rPr>
          <w:snapToGrid w:val="0"/>
        </w:rPr>
        <w:tab/>
        <w:t>in the manner in which the game two</w:t>
      </w:r>
      <w:r>
        <w:rPr>
          <w:snapToGrid w:val="0"/>
        </w:rPr>
        <w:noBreakHyphen/>
        <w:t>up is customarily conducted in that locality of the State, whether with coins or dice; and</w:t>
      </w:r>
    </w:p>
    <w:p>
      <w:pPr>
        <w:pStyle w:val="Indenti"/>
        <w:spacing w:before="100"/>
        <w:rPr>
          <w:snapToGrid w:val="0"/>
        </w:rPr>
      </w:pPr>
      <w:r>
        <w:rPr>
          <w:snapToGrid w:val="0"/>
        </w:rPr>
        <w:tab/>
        <w:t>(iiia)</w:t>
      </w:r>
      <w:r>
        <w:rPr>
          <w:snapToGrid w:val="0"/>
        </w:rPr>
        <w:tab/>
        <w:t>not for the purposes of private gain or any commercial undertaking; and</w:t>
      </w:r>
    </w:p>
    <w:p>
      <w:pPr>
        <w:pStyle w:val="Indenti"/>
        <w:spacing w:before="100"/>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spacing w:before="100"/>
        <w:rPr>
          <w:snapToGrid w:val="0"/>
        </w:rPr>
      </w:pPr>
      <w:r>
        <w:rPr>
          <w:snapToGrid w:val="0"/>
        </w:rPr>
        <w:tab/>
      </w:r>
      <w:r>
        <w:rPr>
          <w:snapToGrid w:val="0"/>
        </w:rPr>
        <w:tab/>
        <w:t>and</w:t>
      </w:r>
    </w:p>
    <w:p>
      <w:pPr>
        <w:pStyle w:val="Indenta"/>
        <w:keepNext/>
        <w:spacing w:before="100"/>
        <w:rPr>
          <w:snapToGrid w:val="0"/>
        </w:rPr>
      </w:pPr>
      <w:r>
        <w:rPr>
          <w:snapToGrid w:val="0"/>
        </w:rPr>
        <w:tab/>
        <w:t>(c)</w:t>
      </w:r>
      <w:r>
        <w:rPr>
          <w:snapToGrid w:val="0"/>
        </w:rPr>
        <w:tab/>
        <w:t>does not contravene any condition —</w:t>
      </w:r>
    </w:p>
    <w:p>
      <w:pPr>
        <w:pStyle w:val="Indenti"/>
        <w:spacing w:before="100"/>
        <w:rPr>
          <w:snapToGrid w:val="0"/>
        </w:rPr>
      </w:pPr>
      <w:r>
        <w:rPr>
          <w:snapToGrid w:val="0"/>
        </w:rPr>
        <w:tab/>
        <w:t>(i)</w:t>
      </w:r>
      <w:r>
        <w:rPr>
          <w:snapToGrid w:val="0"/>
        </w:rPr>
        <w:tab/>
        <w:t>specifically imposed in respect of that permit; or</w:t>
      </w:r>
    </w:p>
    <w:p>
      <w:pPr>
        <w:pStyle w:val="Indenti"/>
        <w:spacing w:before="100"/>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rStyle w:val="CharDefText"/>
        </w:rPr>
        <w:t>race day</w:t>
      </w:r>
      <w:r>
        <w:rPr>
          <w:snapToGrid w:val="0"/>
        </w:rPr>
        <w:t xml:space="preserve">) may </w:t>
      </w:r>
      <w:r>
        <w:t xml:space="preserve">also authorise playing or </w:t>
      </w:r>
      <w:r>
        <w:lastRenderedPageBreak/>
        <w:t>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100 km of the Burswood Casino as referred to in the </w:t>
      </w:r>
      <w:r>
        <w:rPr>
          <w:i/>
        </w:rPr>
        <w:t>Casino (Burswood Island) Agreement Act 1985</w:t>
      </w:r>
      <w:r>
        <w:t>.</w:t>
      </w:r>
    </w:p>
    <w:p>
      <w:pPr>
        <w:pStyle w:val="Footnotesection"/>
      </w:pPr>
      <w:r>
        <w:tab/>
        <w:t>[Section 80 amended: No. 24 of 1998 s. 54; No. 35 of 2003 s. 151; No. 25 of 2011 s. 9.]</w:t>
      </w:r>
    </w:p>
    <w:p>
      <w:pPr>
        <w:pStyle w:val="Heading5"/>
        <w:rPr>
          <w:snapToGrid w:val="0"/>
        </w:rPr>
      </w:pPr>
      <w:bookmarkStart w:id="117" w:name="_Toc115267857"/>
      <w:r>
        <w:rPr>
          <w:rStyle w:val="CharSectno"/>
        </w:rPr>
        <w:t>81</w:t>
      </w:r>
      <w:r>
        <w:rPr>
          <w:snapToGrid w:val="0"/>
        </w:rPr>
        <w:t>.</w:t>
      </w:r>
      <w:r>
        <w:rPr>
          <w:snapToGrid w:val="0"/>
        </w:rPr>
        <w:tab/>
        <w:t>Two</w:t>
      </w:r>
      <w:r>
        <w:rPr>
          <w:snapToGrid w:val="0"/>
        </w:rPr>
        <w:noBreakHyphen/>
        <w:t>up at other places</w:t>
      </w:r>
      <w:bookmarkEnd w:id="117"/>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w:t>
      </w:r>
    </w:p>
    <w:p>
      <w:pPr>
        <w:pStyle w:val="Indenta"/>
        <w:rPr>
          <w:snapToGrid w:val="0"/>
        </w:rPr>
      </w:pPr>
      <w:r>
        <w:rPr>
          <w:snapToGrid w:val="0"/>
        </w:rPr>
        <w:tab/>
        <w:t>(a)</w:t>
      </w:r>
      <w:r>
        <w:rPr>
          <w:snapToGrid w:val="0"/>
        </w:rPr>
        <w:tab/>
        <w:t xml:space="preserve">takes place at approved premises, not being a place situate inside a radius in any direction of 100 km of the Burswood Casino as referred to in the </w:t>
      </w:r>
      <w:r>
        <w:rPr>
          <w:i/>
          <w:snapToGrid w:val="0"/>
        </w:rPr>
        <w:t>Casino (Burswood Island) Agreement Act 1985</w:t>
      </w:r>
      <w:r>
        <w:rPr>
          <w:snapToGrid w:val="0"/>
        </w:rPr>
        <w:t>; and</w:t>
      </w:r>
    </w:p>
    <w:p>
      <w:pPr>
        <w:pStyle w:val="Indenta"/>
        <w:keepNext/>
        <w:rPr>
          <w:snapToGrid w:val="0"/>
        </w:rPr>
      </w:pPr>
      <w:r>
        <w:rPr>
          <w:snapToGrid w:val="0"/>
        </w:rPr>
        <w:tab/>
        <w:t>(b)</w:t>
      </w:r>
      <w:r>
        <w:rPr>
          <w:snapToGrid w:val="0"/>
        </w:rPr>
        <w:tab/>
        <w:t>is conducted —</w:t>
      </w:r>
    </w:p>
    <w:p>
      <w:pPr>
        <w:pStyle w:val="Indenti"/>
        <w:rPr>
          <w:snapToGrid w:val="0"/>
        </w:rPr>
      </w:pPr>
      <w:r>
        <w:rPr>
          <w:snapToGrid w:val="0"/>
        </w:rPr>
        <w:tab/>
        <w:t>(i)</w:t>
      </w:r>
      <w:r>
        <w:rPr>
          <w:snapToGrid w:val="0"/>
        </w:rPr>
        <w:tab/>
        <w:t>in the manner in which the game two</w:t>
      </w:r>
      <w:r>
        <w:rPr>
          <w:snapToGrid w:val="0"/>
        </w:rPr>
        <w:noBreakHyphen/>
        <w:t>up is customarily conducted in that locality of the State, whether with coins or dice; and</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(c)</w:t>
      </w:r>
      <w:r>
        <w:rPr>
          <w:snapToGrid w:val="0"/>
        </w:rPr>
        <w:tab/>
        <w:t>does not contravene any condition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spacing w:before="120"/>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(2)</w:t>
      </w:r>
      <w:r>
        <w:rPr>
          <w:snapToGrid w:val="0"/>
        </w:rPr>
        <w:tab/>
        <w:t>For the purposes of section 51(2)(b) the Commission may have regard to the recreational and social aspects of any proposed gaming to which this section applies and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Ednotesubsection"/>
      </w:pPr>
      <w:r>
        <w:tab/>
        <w:t>[(3)</w:t>
      </w:r>
      <w:r>
        <w:tab/>
        <w:t>deleted]</w:t>
      </w:r>
    </w:p>
    <w:p>
      <w:pPr>
        <w:pStyle w:val="Footnotesection"/>
      </w:pPr>
      <w:r>
        <w:tab/>
        <w:t>[Section 81 amended: No. 24 of 1998 s. 55; No. 35 of 2003 s. 152 and 167; No. 25 of 2011 s. 10; No. 41 of 2018 s. 20.]</w:t>
      </w:r>
    </w:p>
    <w:p>
      <w:pPr>
        <w:pStyle w:val="Heading5"/>
        <w:rPr>
          <w:snapToGrid w:val="0"/>
        </w:rPr>
      </w:pPr>
      <w:bookmarkStart w:id="118" w:name="_Toc115267858"/>
      <w:r>
        <w:rPr>
          <w:rStyle w:val="CharSectno"/>
        </w:rPr>
        <w:lastRenderedPageBreak/>
        <w:t>82</w:t>
      </w:r>
      <w:r>
        <w:rPr>
          <w:snapToGrid w:val="0"/>
        </w:rPr>
        <w:t>.</w:t>
      </w:r>
      <w:r>
        <w:rPr>
          <w:snapToGrid w:val="0"/>
        </w:rPr>
        <w:tab/>
        <w:t>Conditions deemed in certain permits</w:t>
      </w:r>
      <w:bookmarkEnd w:id="118"/>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No. 24 of 1998 s. 56; No. 35 of 2003 s. 153.]</w:t>
      </w:r>
    </w:p>
    <w:p>
      <w:pPr>
        <w:pStyle w:val="Heading5"/>
        <w:rPr>
          <w:snapToGrid w:val="0"/>
        </w:rPr>
      </w:pPr>
      <w:bookmarkStart w:id="119" w:name="_Toc115267859"/>
      <w:r>
        <w:rPr>
          <w:rStyle w:val="CharSectno"/>
        </w:rPr>
        <w:t>83</w:t>
      </w:r>
      <w:r>
        <w:rPr>
          <w:snapToGrid w:val="0"/>
        </w:rPr>
        <w:t>.</w:t>
      </w:r>
      <w:r>
        <w:rPr>
          <w:snapToGrid w:val="0"/>
        </w:rPr>
        <w:tab/>
        <w:t>Regulations for this Division</w:t>
      </w:r>
      <w:bookmarkEnd w:id="119"/>
    </w:p>
    <w:p>
      <w:pPr>
        <w:pStyle w:val="Subsection"/>
        <w:rPr>
          <w:snapToGrid w:val="0"/>
        </w:rPr>
      </w:pPr>
      <w:r>
        <w:rPr>
          <w:snapToGrid w:val="0"/>
        </w:rPr>
        <w:tab/>
      </w:r>
      <w:r>
        <w:rPr>
          <w:snapToGrid w:val="0"/>
        </w:rPr>
        <w:tab/>
        <w:t>Regulations made for the purposes of this Division may make provision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 and</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 and</w:t>
      </w:r>
    </w:p>
    <w:p>
      <w:pPr>
        <w:pStyle w:val="Indenta"/>
        <w:rPr>
          <w:snapToGrid w:val="0"/>
        </w:rPr>
      </w:pPr>
      <w:r>
        <w:rPr>
          <w:snapToGrid w:val="0"/>
        </w:rPr>
        <w:tab/>
        <w:t>(c)</w:t>
      </w:r>
      <w:r>
        <w:rPr>
          <w:snapToGrid w:val="0"/>
        </w:rPr>
        <w:tab/>
        <w:t>for the immediate suspension of the operation of a permit in prescribed circumstances; and</w:t>
      </w:r>
    </w:p>
    <w:p>
      <w:pPr>
        <w:pStyle w:val="Indenta"/>
        <w:rPr>
          <w:snapToGrid w:val="0"/>
        </w:rPr>
      </w:pPr>
      <w:r>
        <w:rPr>
          <w:snapToGrid w:val="0"/>
        </w:rPr>
        <w:lastRenderedPageBreak/>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No. 35 of 2003 s. 154 and 167.]</w:t>
      </w:r>
    </w:p>
    <w:p>
      <w:pPr>
        <w:pStyle w:val="Heading3"/>
      </w:pPr>
      <w:bookmarkStart w:id="120" w:name="_Toc115166629"/>
      <w:bookmarkStart w:id="121" w:name="_Toc115166786"/>
      <w:bookmarkStart w:id="122" w:name="_Toc115267860"/>
      <w:r>
        <w:rPr>
          <w:rStyle w:val="CharDivNo"/>
        </w:rPr>
        <w:t>Division 5</w:t>
      </w:r>
      <w:r>
        <w:rPr>
          <w:snapToGrid w:val="0"/>
        </w:rPr>
        <w:t> — </w:t>
      </w:r>
      <w:r>
        <w:rPr>
          <w:rStyle w:val="CharDivText"/>
        </w:rPr>
        <w:t>Gaming machines and other gaming equipment and its operation</w:t>
      </w:r>
      <w:bookmarkEnd w:id="120"/>
      <w:bookmarkEnd w:id="121"/>
      <w:bookmarkEnd w:id="122"/>
    </w:p>
    <w:p>
      <w:pPr>
        <w:pStyle w:val="Heading5"/>
        <w:rPr>
          <w:snapToGrid w:val="0"/>
        </w:rPr>
      </w:pPr>
      <w:bookmarkStart w:id="123" w:name="_Toc115267861"/>
      <w:r>
        <w:rPr>
          <w:rStyle w:val="CharSectno"/>
        </w:rPr>
        <w:t>84</w:t>
      </w:r>
      <w:r>
        <w:rPr>
          <w:snapToGrid w:val="0"/>
        </w:rPr>
        <w:t>.</w:t>
      </w:r>
      <w:r>
        <w:rPr>
          <w:snapToGrid w:val="0"/>
        </w:rPr>
        <w:tab/>
        <w:t>Terms used</w:t>
      </w:r>
      <w:bookmarkEnd w:id="123"/>
    </w:p>
    <w:p>
      <w:pPr>
        <w:pStyle w:val="Subsection"/>
        <w:rPr>
          <w:snapToGrid w:val="0"/>
        </w:rPr>
      </w:pPr>
      <w:r>
        <w:rPr>
          <w:snapToGrid w:val="0"/>
        </w:rPr>
        <w:tab/>
        <w:t>(1)</w:t>
      </w:r>
      <w:r>
        <w:rPr>
          <w:snapToGrid w:val="0"/>
        </w:rPr>
        <w:tab/>
        <w:t>In this Division —</w:t>
      </w:r>
    </w:p>
    <w:p>
      <w:pPr>
        <w:pStyle w:val="Defstart"/>
      </w:pPr>
      <w:r>
        <w:rPr>
          <w:b/>
        </w:rPr>
        <w:tab/>
      </w:r>
      <w:r>
        <w:rPr>
          <w:rStyle w:val="CharDefText"/>
        </w:rPr>
        <w:t>gaming machine</w:t>
      </w:r>
      <w:r>
        <w:t xml:space="preserve"> means a machine which —</w:t>
      </w:r>
    </w:p>
    <w:p>
      <w:pPr>
        <w:pStyle w:val="Defpara"/>
      </w:pPr>
      <w:r>
        <w:tab/>
        <w:t>(a)</w:t>
      </w:r>
      <w:r>
        <w:tab/>
        <w:t>is constructed, adapted or used for playing a game of chance by means of that gaming machine; and</w:t>
      </w:r>
    </w:p>
    <w:p>
      <w:pPr>
        <w:pStyle w:val="Defpara"/>
      </w:pPr>
      <w:r>
        <w:tab/>
        <w:t>(b)</w:t>
      </w:r>
      <w:r>
        <w:tab/>
        <w:t>a player pays (except where he has an opportunity to play without payment as the result of having previously played successfully) to play —</w:t>
      </w:r>
    </w:p>
    <w:p>
      <w:pPr>
        <w:pStyle w:val="Defsubpara"/>
      </w:pPr>
      <w:r>
        <w:tab/>
        <w:t>(i)</w:t>
      </w:r>
      <w:r>
        <w:tab/>
        <w:t>by inserting money, or money’s worth in the form of a token; or</w:t>
      </w:r>
    </w:p>
    <w:p>
      <w:pPr>
        <w:pStyle w:val="Defsubpara"/>
      </w:pPr>
      <w:r>
        <w:tab/>
        <w:t>(ii)</w:t>
      </w:r>
      <w: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t>whether or not provision is made for the manipulation of the machine by a player;</w:t>
      </w:r>
    </w:p>
    <w:p>
      <w:pPr>
        <w:pStyle w:val="Defstart"/>
        <w:keepNext/>
      </w:pPr>
      <w:r>
        <w:rPr>
          <w:b/>
        </w:rPr>
        <w:tab/>
      </w:r>
      <w:r>
        <w:rPr>
          <w:rStyle w:val="CharDefText"/>
        </w:rPr>
        <w:t>prescribed gaming equipment</w:t>
      </w:r>
      <w:r>
        <w:t xml:space="preserve"> means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lastRenderedPageBreak/>
        <w:tab/>
        <w:t>of a kind named or described in regulations made for the purposes of section 88;</w:t>
      </w:r>
    </w:p>
    <w:p>
      <w:pPr>
        <w:pStyle w:val="Defstart"/>
      </w:pPr>
      <w:r>
        <w:rPr>
          <w:b/>
        </w:rPr>
        <w:tab/>
      </w:r>
      <w:r>
        <w:rPr>
          <w:rStyle w:val="CharDefText"/>
        </w:rPr>
        <w:t>slot machine</w:t>
      </w:r>
      <w:r>
        <w:t xml:space="preserve"> means a machine that is constructed or adapted and used —</w:t>
      </w:r>
    </w:p>
    <w:p>
      <w:pPr>
        <w:pStyle w:val="Defpara"/>
        <w:spacing w:before="60"/>
      </w:pPr>
      <w:r>
        <w:tab/>
        <w:t>(a)</w:t>
      </w:r>
      <w:r>
        <w:tab/>
        <w:t>for the playing of music or of games designed primarily for amusement, relaxation or education; or</w:t>
      </w:r>
    </w:p>
    <w:p>
      <w:pPr>
        <w:pStyle w:val="Defpara"/>
        <w:spacing w:before="60"/>
      </w:pPr>
      <w:r>
        <w:tab/>
        <w:t>(b)</w:t>
      </w:r>
      <w:r>
        <w:tab/>
        <w:t>for the playing of games of skill; or</w:t>
      </w:r>
    </w:p>
    <w:p>
      <w:pPr>
        <w:pStyle w:val="Defpara"/>
        <w:spacing w:before="60"/>
      </w:pPr>
      <w:r>
        <w:tab/>
        <w:t>(c)</w:t>
      </w:r>
      <w:r>
        <w:tab/>
        <w:t>so that although a game of chance may be played, section 39(2)(e) applies; or</w:t>
      </w:r>
    </w:p>
    <w:p>
      <w:pPr>
        <w:pStyle w:val="Defpara"/>
        <w:spacing w:before="60"/>
      </w:pPr>
      <w:r>
        <w:tab/>
        <w:t>(d)</w:t>
      </w:r>
      <w:r>
        <w:tab/>
        <w:t>to yield with certainty previously ascertained goods of which the sale, or exposure for sale, is not prohibited by any written law; or</w:t>
      </w:r>
    </w:p>
    <w:p>
      <w:pPr>
        <w:pStyle w:val="Defpara"/>
        <w:spacing w:before="60"/>
      </w:pPr>
      <w:r>
        <w:tab/>
        <w:t>(e)</w:t>
      </w:r>
      <w:r>
        <w:tab/>
        <w:t>to dispense tickets, having a previously ascertained face value, in a lottery conducted under and in accordance with the requirements of a written law,</w:t>
      </w:r>
    </w:p>
    <w:p>
      <w:pPr>
        <w:pStyle w:val="Defstart"/>
      </w:pPr>
      <w:r>
        <w:tab/>
        <w:t>without affording any other consideration, advantage or reward and not for the purposes of wagering;</w:t>
      </w:r>
    </w:p>
    <w:p>
      <w:pPr>
        <w:pStyle w:val="Defstart"/>
        <w:rPr>
          <w:b/>
        </w:rPr>
      </w:pPr>
      <w:r>
        <w:rPr>
          <w:b/>
        </w:rPr>
        <w:tab/>
      </w:r>
      <w:r>
        <w:rPr>
          <w:rStyle w:val="CharDefText"/>
        </w:rPr>
        <w:t>unlawful gaming equipment</w:t>
      </w:r>
      <w:r>
        <w:t xml:space="preserve"> means gaming equipment of a kind the use or possession of which contravenes, or in the circumstances in which it is found contravenes, a prohibition proclaimed under section 85(2), or an unlawful gaming machine; and</w:t>
      </w:r>
    </w:p>
    <w:p>
      <w:pPr>
        <w:pStyle w:val="Defstart"/>
      </w:pPr>
      <w:r>
        <w:rPr>
          <w:b/>
        </w:rPr>
        <w:tab/>
      </w:r>
      <w:r>
        <w:rPr>
          <w:rStyle w:val="CharDefText"/>
        </w:rPr>
        <w:t>unlawful gaming machine</w:t>
      </w:r>
      <w:r>
        <w:t xml:space="preserve"> means a machine of a kind referred to in section 85(1)(a) or (b).</w:t>
      </w:r>
    </w:p>
    <w:p>
      <w:pPr>
        <w:pStyle w:val="Footnotesection"/>
      </w:pPr>
      <w:r>
        <w:rPr>
          <w:b/>
        </w:rPr>
        <w:tab/>
      </w:r>
      <w:r>
        <w:t>[Section 84 amended: No. 24 of 1998 s. 57; No. 35 of 2003 s. 155 and 167.]</w:t>
      </w:r>
    </w:p>
    <w:p>
      <w:pPr>
        <w:pStyle w:val="Heading5"/>
        <w:rPr>
          <w:snapToGrid w:val="0"/>
        </w:rPr>
      </w:pPr>
      <w:bookmarkStart w:id="124" w:name="_Toc115267862"/>
      <w:r>
        <w:rPr>
          <w:rStyle w:val="CharSectno"/>
        </w:rPr>
        <w:t>85</w:t>
      </w:r>
      <w:r>
        <w:rPr>
          <w:snapToGrid w:val="0"/>
        </w:rPr>
        <w:t>.</w:t>
      </w:r>
      <w:r>
        <w:rPr>
          <w:snapToGrid w:val="0"/>
        </w:rPr>
        <w:tab/>
        <w:t>Unlawful gaming machines etc., use and possession of prohibited</w:t>
      </w:r>
      <w:bookmarkEnd w:id="124"/>
    </w:p>
    <w:p>
      <w:pPr>
        <w:pStyle w:val="Subsection"/>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w:t>
      </w:r>
    </w:p>
    <w:p>
      <w:pPr>
        <w:pStyle w:val="Indenta"/>
        <w:spacing w:before="60"/>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 xml:space="preserve">or a machine used in </w:t>
      </w:r>
      <w:r>
        <w:rPr>
          <w:snapToGrid w:val="0"/>
        </w:rPr>
        <w:lastRenderedPageBreak/>
        <w:t>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w:t>
      </w:r>
    </w:p>
    <w:p>
      <w:pPr>
        <w:pStyle w:val="Indenti"/>
        <w:spacing w:before="110"/>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 or</w:t>
      </w:r>
    </w:p>
    <w:p>
      <w:pPr>
        <w:pStyle w:val="Indenti"/>
        <w:spacing w:before="110"/>
        <w:rPr>
          <w:snapToGrid w:val="0"/>
        </w:rPr>
      </w:pPr>
      <w:r>
        <w:rPr>
          <w:snapToGrid w:val="0"/>
        </w:rPr>
        <w:tab/>
        <w:t>(ii)</w:t>
      </w:r>
      <w:r>
        <w:rPr>
          <w:snapToGrid w:val="0"/>
        </w:rPr>
        <w:tab/>
        <w:t>that, although not so declared, is commonly played in casinos (whether in Australia or elsewhere); or</w:t>
      </w:r>
    </w:p>
    <w:p>
      <w:pPr>
        <w:pStyle w:val="Indenti"/>
        <w:spacing w:before="110"/>
        <w:rPr>
          <w:snapToGrid w:val="0"/>
        </w:rPr>
      </w:pPr>
      <w:r>
        <w:rPr>
          <w:snapToGrid w:val="0"/>
        </w:rPr>
        <w:tab/>
        <w:t>(iii)</w:t>
      </w:r>
      <w:r>
        <w:rPr>
          <w:snapToGrid w:val="0"/>
        </w:rPr>
        <w:tab/>
        <w:t>that is a variation or derivative of a game referred to in subparagraph (i) or (ii);</w:t>
      </w:r>
    </w:p>
    <w:p>
      <w:pPr>
        <w:pStyle w:val="Indenta"/>
        <w:spacing w:before="110"/>
        <w:rPr>
          <w:snapToGrid w:val="0"/>
        </w:rPr>
      </w:pPr>
      <w:r>
        <w:rPr>
          <w:snapToGrid w:val="0"/>
        </w:rPr>
        <w:tab/>
      </w:r>
      <w:r>
        <w:rPr>
          <w:snapToGrid w:val="0"/>
        </w:rPr>
        <w:tab/>
        <w:t>or</w:t>
      </w:r>
    </w:p>
    <w:p>
      <w:pPr>
        <w:pStyle w:val="Indenta"/>
        <w:spacing w:before="110"/>
        <w:rPr>
          <w:snapToGrid w:val="0"/>
        </w:rPr>
      </w:pPr>
      <w:r>
        <w:rPr>
          <w:snapToGrid w:val="0"/>
        </w:rPr>
        <w:tab/>
        <w:t>(b)</w:t>
      </w:r>
      <w:r>
        <w:rPr>
          <w:snapToGrid w:val="0"/>
        </w:rPr>
        <w:tab/>
        <w:t>any other gaming machine, not being a machine used —</w:t>
      </w:r>
    </w:p>
    <w:p>
      <w:pPr>
        <w:pStyle w:val="Indenti"/>
        <w:spacing w:before="110"/>
        <w:rPr>
          <w:snapToGrid w:val="0"/>
        </w:rPr>
      </w:pPr>
      <w:r>
        <w:rPr>
          <w:snapToGrid w:val="0"/>
        </w:rPr>
        <w:tab/>
        <w:t>(i)</w:t>
      </w:r>
      <w:r>
        <w:rPr>
          <w:snapToGrid w:val="0"/>
        </w:rPr>
        <w:tab/>
        <w:t>as a slot machine; or</w:t>
      </w:r>
    </w:p>
    <w:p>
      <w:pPr>
        <w:pStyle w:val="Indenti"/>
        <w:keepNext/>
        <w:spacing w:before="110"/>
        <w:rPr>
          <w:snapToGrid w:val="0"/>
        </w:rPr>
      </w:pPr>
      <w:r>
        <w:rPr>
          <w:snapToGrid w:val="0"/>
        </w:rPr>
        <w:tab/>
        <w:t>(ii)</w:t>
      </w:r>
      <w:r>
        <w:rPr>
          <w:snapToGrid w:val="0"/>
        </w:rPr>
        <w:tab/>
        <w:t>in accordance with a permit or written law;</w:t>
      </w:r>
    </w:p>
    <w:p>
      <w:pPr>
        <w:pStyle w:val="Indenta"/>
        <w:spacing w:before="110"/>
        <w:rPr>
          <w:snapToGrid w:val="0"/>
        </w:rPr>
      </w:pPr>
      <w:r>
        <w:rPr>
          <w:snapToGrid w:val="0"/>
        </w:rPr>
        <w:tab/>
      </w:r>
      <w:r>
        <w:rPr>
          <w:snapToGrid w:val="0"/>
        </w:rPr>
        <w:tab/>
        <w:t>or</w:t>
      </w:r>
    </w:p>
    <w:p>
      <w:pPr>
        <w:pStyle w:val="Indenta"/>
        <w:spacing w:before="110"/>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spacing w:before="180"/>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w:t>
      </w:r>
      <w:r>
        <w:rPr>
          <w:snapToGrid w:val="0"/>
        </w:rPr>
        <w:lastRenderedPageBreak/>
        <w:t>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w:t>
      </w:r>
    </w:p>
    <w:p>
      <w:pPr>
        <w:pStyle w:val="Indenta"/>
        <w:spacing w:before="100"/>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spacing w:before="100"/>
        <w:rPr>
          <w:snapToGrid w:val="0"/>
        </w:rPr>
      </w:pPr>
      <w:r>
        <w:rPr>
          <w:snapToGrid w:val="0"/>
        </w:rPr>
        <w:tab/>
        <w:t>(b)</w:t>
      </w:r>
      <w:r>
        <w:rPr>
          <w:snapToGrid w:val="0"/>
        </w:rPr>
        <w:tab/>
        <w:t xml:space="preserve">where he is satisfied that the thing is unlawful gaming </w:t>
      </w:r>
      <w:r>
        <w:t>equipment that the person is not entitled to possess under this Act, or</w:t>
      </w:r>
      <w:r>
        <w:rPr>
          <w:snapToGrid w:val="0"/>
        </w:rPr>
        <w:t xml:space="preserve">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spacing w:before="180"/>
        <w:rPr>
          <w:snapToGrid w:val="0"/>
        </w:rPr>
      </w:pPr>
      <w:r>
        <w:rPr>
          <w:snapToGrid w:val="0"/>
        </w:rPr>
        <w:tab/>
        <w:t>(4)</w:t>
      </w:r>
      <w:r>
        <w:rPr>
          <w:snapToGrid w:val="0"/>
        </w:rPr>
        <w:tab/>
        <w:t xml:space="preserve">Subject to </w:t>
      </w:r>
      <w:r>
        <w:t xml:space="preserve">subsections (5) and (6A), </w:t>
      </w:r>
      <w:r>
        <w:rPr>
          <w:snapToGrid w:val="0"/>
        </w:rPr>
        <w:t>a person having in his possession —</w:t>
      </w:r>
    </w:p>
    <w:p>
      <w:pPr>
        <w:pStyle w:val="Indenta"/>
        <w:spacing w:before="100"/>
        <w:rPr>
          <w:snapToGrid w:val="0"/>
        </w:rPr>
      </w:pPr>
      <w:r>
        <w:rPr>
          <w:snapToGrid w:val="0"/>
        </w:rPr>
        <w:tab/>
        <w:t>(a)</w:t>
      </w:r>
      <w:r>
        <w:rPr>
          <w:snapToGrid w:val="0"/>
        </w:rPr>
        <w:tab/>
        <w:t>an unlawful gaming machine; or</w:t>
      </w:r>
    </w:p>
    <w:p>
      <w:pPr>
        <w:pStyle w:val="Indenta"/>
        <w:spacing w:before="100"/>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$5 000, or imprisonment for 1 year, or both.</w:t>
      </w:r>
    </w:p>
    <w:p>
      <w:pPr>
        <w:pStyle w:val="Subsection"/>
        <w:rPr>
          <w:snapToGrid w:val="0"/>
        </w:rPr>
      </w:pPr>
      <w:r>
        <w:rPr>
          <w:snapToGrid w:val="0"/>
        </w:rPr>
        <w:lastRenderedPageBreak/>
        <w:tab/>
        <w:t>(5)</w:t>
      </w:r>
      <w:r>
        <w:rPr>
          <w:snapToGrid w:val="0"/>
        </w:rPr>
        <w:tab/>
        <w:t>Subsection (4) does not apply to an authorised person having possession of a gaming machine or gaming equipment of a kind referred to in that subsection —</w:t>
      </w:r>
    </w:p>
    <w:p>
      <w:pPr>
        <w:pStyle w:val="Indenta"/>
        <w:spacing w:before="60"/>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spacing w:before="60"/>
        <w:rPr>
          <w:snapToGrid w:val="0"/>
        </w:rPr>
      </w:pPr>
      <w:r>
        <w:rPr>
          <w:snapToGrid w:val="0"/>
        </w:rPr>
        <w:tab/>
        <w:t>(b)</w:t>
      </w:r>
      <w:r>
        <w:rPr>
          <w:snapToGrid w:val="0"/>
        </w:rPr>
        <w:tab/>
        <w:t>in connection with the manufacture of gaming machines or gaming equipment.</w:t>
      </w:r>
    </w:p>
    <w:p>
      <w:pPr>
        <w:pStyle w:val="Subsection"/>
      </w:pPr>
      <w:r>
        <w:tab/>
        <w:t>(6A)</w:t>
      </w:r>
      <w:r>
        <w:tab/>
        <w:t>Subsection (4) does not apply to the possession of a gaming machine or gaming equipment of a kind referred to in that subsection, in prescribed circumstances.</w:t>
      </w:r>
    </w:p>
    <w:p>
      <w:pPr>
        <w:pStyle w:val="Subsection"/>
        <w:rPr>
          <w:snapToGrid w:val="0"/>
        </w:rPr>
      </w:pPr>
      <w:r>
        <w:rPr>
          <w:snapToGrid w:val="0"/>
        </w:rPr>
        <w:tab/>
        <w:t>(6)</w:t>
      </w:r>
      <w:r>
        <w:rPr>
          <w:snapToGrid w:val="0"/>
        </w:rPr>
        <w:tab/>
        <w:t>In subsection (5) —</w:t>
      </w:r>
    </w:p>
    <w:p>
      <w:pPr>
        <w:pStyle w:val="Defstart"/>
      </w:pPr>
      <w:r>
        <w:tab/>
      </w:r>
      <w:r>
        <w:rPr>
          <w:rStyle w:val="CharDefText"/>
        </w:rPr>
        <w:t>authorised person</w:t>
      </w:r>
      <w:r>
        <w:t xml:space="preserve"> means the Commission or a person authorised in writing by the Commission.</w:t>
      </w:r>
    </w:p>
    <w:p>
      <w:pPr>
        <w:pStyle w:val="Footnotesection"/>
      </w:pPr>
      <w:r>
        <w:tab/>
        <w:t>[Section 85 amended: No. 24 of 1998 s. 58; No. 6 of 2000 s. 11; No. 35 of 2003 s. 156 and 166; No. 25 of 2011 s. 11; No. 41 of 2018 s. 25(1).]</w:t>
      </w:r>
    </w:p>
    <w:p>
      <w:pPr>
        <w:pStyle w:val="Heading5"/>
        <w:keepLines w:val="0"/>
        <w:rPr>
          <w:snapToGrid w:val="0"/>
        </w:rPr>
      </w:pPr>
      <w:bookmarkStart w:id="125" w:name="_Toc115267863"/>
      <w:r>
        <w:rPr>
          <w:rStyle w:val="CharSectno"/>
        </w:rPr>
        <w:t>86</w:t>
      </w:r>
      <w:r>
        <w:rPr>
          <w:snapToGrid w:val="0"/>
        </w:rPr>
        <w:t>.</w:t>
      </w:r>
      <w:r>
        <w:rPr>
          <w:snapToGrid w:val="0"/>
        </w:rPr>
        <w:tab/>
        <w:t>Use of unlawful cash or tokens in gaming machines</w:t>
      </w:r>
      <w:bookmarkEnd w:id="125"/>
    </w:p>
    <w:p>
      <w:pPr>
        <w:pStyle w:val="Subsection"/>
        <w:rPr>
          <w:snapToGrid w:val="0"/>
        </w:rPr>
      </w:pPr>
      <w:r>
        <w:rPr>
          <w:snapToGrid w:val="0"/>
        </w:rPr>
        <w:tab/>
      </w:r>
      <w:r>
        <w:rPr>
          <w:snapToGrid w:val="0"/>
        </w:rPr>
        <w:tab/>
        <w:t>A person who inserts, or attempts to insert, in any gaming machine or slot machine of which the use or possession is lawful anything other than —</w:t>
      </w:r>
    </w:p>
    <w:p>
      <w:pPr>
        <w:pStyle w:val="Indenta"/>
        <w:spacing w:before="60"/>
        <w:rPr>
          <w:snapToGrid w:val="0"/>
        </w:rPr>
      </w:pPr>
      <w:r>
        <w:rPr>
          <w:snapToGrid w:val="0"/>
        </w:rPr>
        <w:tab/>
        <w:t>(a)</w:t>
      </w:r>
      <w:r>
        <w:rPr>
          <w:snapToGrid w:val="0"/>
        </w:rPr>
        <w:tab/>
        <w:t>money issued under the authority of a law of the Commonwealth; or</w:t>
      </w:r>
    </w:p>
    <w:p>
      <w:pPr>
        <w:pStyle w:val="Indenta"/>
        <w:spacing w:before="60"/>
        <w:rPr>
          <w:snapToGrid w:val="0"/>
        </w:rPr>
      </w:pPr>
      <w:r>
        <w:rPr>
          <w:snapToGrid w:val="0"/>
        </w:rPr>
        <w:tab/>
        <w:t>(b)</w:t>
      </w:r>
      <w:r>
        <w:rPr>
          <w:snapToGrid w:val="0"/>
        </w:rPr>
        <w:tab/>
        <w:t>a token provided by the operator of the machine for use in a machine of that kind,</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a fine of</w:t>
      </w:r>
      <w:r>
        <w:rPr>
          <w:snapToGrid w:val="0"/>
        </w:rPr>
        <w:t xml:space="preserve"> $100.</w:t>
      </w:r>
    </w:p>
    <w:p>
      <w:pPr>
        <w:pStyle w:val="Footnotesection"/>
      </w:pPr>
      <w:r>
        <w:tab/>
        <w:t>[Section 86 amended: No. 41 of 2018 s. 25(2).]</w:t>
      </w:r>
    </w:p>
    <w:p>
      <w:pPr>
        <w:pStyle w:val="Heading5"/>
        <w:rPr>
          <w:snapToGrid w:val="0"/>
        </w:rPr>
      </w:pPr>
      <w:bookmarkStart w:id="126" w:name="_Toc115267864"/>
      <w:r>
        <w:rPr>
          <w:rStyle w:val="CharSectno"/>
        </w:rPr>
        <w:lastRenderedPageBreak/>
        <w:t>87</w:t>
      </w:r>
      <w:r>
        <w:rPr>
          <w:snapToGrid w:val="0"/>
        </w:rPr>
        <w:t>.</w:t>
      </w:r>
      <w:r>
        <w:rPr>
          <w:snapToGrid w:val="0"/>
        </w:rPr>
        <w:tab/>
        <w:t>Records about gaming equipment, powers to require keeping of</w:t>
      </w:r>
      <w:bookmarkEnd w:id="126"/>
    </w:p>
    <w:p>
      <w:pPr>
        <w:pStyle w:val="Subsection"/>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w:t>
      </w:r>
    </w:p>
    <w:p>
      <w:pPr>
        <w:pStyle w:val="Indenta"/>
        <w:rPr>
          <w:snapToGrid w:val="0"/>
        </w:rPr>
      </w:pPr>
      <w:r>
        <w:rPr>
          <w:snapToGrid w:val="0"/>
        </w:rPr>
        <w:tab/>
        <w:t>(a)</w:t>
      </w:r>
      <w:r>
        <w:rPr>
          <w:snapToGrid w:val="0"/>
        </w:rPr>
        <w:tab/>
        <w:t>any payments made in respect of the equipment, whether by way of rent, maintenance charges or otherwise; and</w:t>
      </w:r>
    </w:p>
    <w:p>
      <w:pPr>
        <w:pStyle w:val="Indenta"/>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rPr>
          <w:snapToGrid w:val="0"/>
        </w:rPr>
      </w:pPr>
      <w:r>
        <w:rPr>
          <w:snapToGrid w:val="0"/>
        </w:rPr>
        <w:tab/>
        <w:t>(2)</w:t>
      </w:r>
      <w:r>
        <w:rPr>
          <w:snapToGrid w:val="0"/>
        </w:rPr>
        <w:tab/>
        <w:t xml:space="preserve">In this section, </w:t>
      </w:r>
      <w:r>
        <w:rPr>
          <w:rStyle w:val="CharDefText"/>
        </w:rPr>
        <w:t>specified</w:t>
      </w:r>
      <w:r>
        <w:rPr>
          <w:snapToGrid w:val="0"/>
        </w:rPr>
        <w:t xml:space="preserve"> means specified in the regulations or the relevant permit.</w:t>
      </w:r>
    </w:p>
    <w:p>
      <w:pPr>
        <w:pStyle w:val="Heading5"/>
        <w:rPr>
          <w:snapToGrid w:val="0"/>
        </w:rPr>
      </w:pPr>
      <w:bookmarkStart w:id="127" w:name="_Toc115267865"/>
      <w:r>
        <w:rPr>
          <w:rStyle w:val="CharSectno"/>
        </w:rPr>
        <w:t>88</w:t>
      </w:r>
      <w:r>
        <w:rPr>
          <w:snapToGrid w:val="0"/>
        </w:rPr>
        <w:t>.</w:t>
      </w:r>
      <w:r>
        <w:rPr>
          <w:snapToGrid w:val="0"/>
        </w:rPr>
        <w:tab/>
        <w:t>Prescribed gaming equipment, regulations about, certificates for sellers etc. of</w:t>
      </w:r>
      <w:bookmarkEnd w:id="127"/>
    </w:p>
    <w:p>
      <w:pPr>
        <w:pStyle w:val="Subsection"/>
        <w:rPr>
          <w:snapToGrid w:val="0"/>
        </w:rPr>
      </w:pPr>
      <w:r>
        <w:rPr>
          <w:snapToGrid w:val="0"/>
        </w:rPr>
        <w:tab/>
        <w:t>(1)</w:t>
      </w:r>
      <w:r>
        <w:rPr>
          <w:snapToGrid w:val="0"/>
        </w:rPr>
        <w:tab/>
        <w:t>Regulations made under this Act may prohibit, or impose conditions in relation to —</w:t>
      </w:r>
    </w:p>
    <w:p>
      <w:pPr>
        <w:pStyle w:val="Indenta"/>
        <w:rPr>
          <w:snapToGrid w:val="0"/>
        </w:rPr>
      </w:pPr>
      <w:r>
        <w:rPr>
          <w:snapToGrid w:val="0"/>
        </w:rPr>
        <w:tab/>
        <w:t>(a)</w:t>
      </w:r>
      <w:r>
        <w:rPr>
          <w:snapToGrid w:val="0"/>
        </w:rPr>
        <w:tab/>
        <w:t>the sale, supply, maintenance or repair of prescribed gaming equipment; and</w:t>
      </w:r>
    </w:p>
    <w:p>
      <w:pPr>
        <w:pStyle w:val="Indenta"/>
        <w:rPr>
          <w:snapToGrid w:val="0"/>
        </w:rPr>
      </w:pPr>
      <w:r>
        <w:rPr>
          <w:snapToGrid w:val="0"/>
        </w:rPr>
        <w:tab/>
        <w:t>(b)</w:t>
      </w:r>
      <w:r>
        <w:rPr>
          <w:snapToGrid w:val="0"/>
        </w:rPr>
        <w:tab/>
        <w:t>the use or possession of prescribed gaming equipment; and</w:t>
      </w:r>
    </w:p>
    <w:p>
      <w:pPr>
        <w:pStyle w:val="Indenta"/>
        <w:rPr>
          <w:snapToGrid w:val="0"/>
        </w:rPr>
      </w:pPr>
      <w:r>
        <w:rPr>
          <w:snapToGrid w:val="0"/>
        </w:rPr>
        <w:tab/>
        <w:t>(c)</w:t>
      </w:r>
      <w:r>
        <w:rPr>
          <w:snapToGrid w:val="0"/>
        </w:rPr>
        <w:tab/>
        <w:t>the sale or supply of tokens for use in prescribed gaming equipment.</w:t>
      </w:r>
    </w:p>
    <w:p>
      <w:pPr>
        <w:pStyle w:val="Subsection"/>
        <w:keepNext/>
        <w:rPr>
          <w:snapToGrid w:val="0"/>
        </w:rPr>
      </w:pPr>
      <w:r>
        <w:rPr>
          <w:snapToGrid w:val="0"/>
        </w:rPr>
        <w:tab/>
        <w:t>(2)</w:t>
      </w:r>
      <w:r>
        <w:rPr>
          <w:snapToGrid w:val="0"/>
        </w:rPr>
        <w:tab/>
        <w:t xml:space="preserve">The regulations, or a permit authorising the conduct of gaming by means of gaming equipment, may impose conditions in </w:t>
      </w:r>
      <w:r>
        <w:rPr>
          <w:snapToGrid w:val="0"/>
        </w:rPr>
        <w:lastRenderedPageBreak/>
        <w:t>relation to the operation of the prescribed gaming equipment, including conditions —</w:t>
      </w:r>
    </w:p>
    <w:p>
      <w:pPr>
        <w:pStyle w:val="Indenta"/>
        <w:widowControl w:val="0"/>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 and</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 and</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rPr>
          <w:snapToGrid w:val="0"/>
        </w:rPr>
      </w:pPr>
      <w:r>
        <w:rPr>
          <w:snapToGrid w:val="0"/>
        </w:rPr>
        <w:tab/>
        <w:t>(3)</w:t>
      </w:r>
      <w:r>
        <w:rPr>
          <w:snapToGrid w:val="0"/>
        </w:rPr>
        <w:tab/>
        <w:t>A person shall not —</w:t>
      </w:r>
    </w:p>
    <w:p>
      <w:pPr>
        <w:pStyle w:val="Indenta"/>
        <w:spacing w:before="60"/>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spacing w:before="180"/>
        <w:rPr>
          <w:snapToGrid w:val="0"/>
        </w:rPr>
      </w:pPr>
      <w:r>
        <w:rPr>
          <w:snapToGrid w:val="0"/>
        </w:rPr>
        <w:tab/>
      </w:r>
      <w:r>
        <w:rPr>
          <w:snapToGrid w:val="0"/>
        </w:rPr>
        <w:tab/>
        <w:t>being prescribed gaming equipment to which this subsection is by the regulations applied, unless the person so acting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lastRenderedPageBreak/>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r>
      <w:r>
        <w:t>Penalty for this subsection: a fine of</w:t>
      </w:r>
      <w:r>
        <w:rPr>
          <w:snapToGrid w:val="0"/>
        </w:rPr>
        <w:t xml:space="preserve"> $2 000.</w:t>
      </w:r>
    </w:p>
    <w:p>
      <w:pPr>
        <w:pStyle w:val="Subsection"/>
        <w:rPr>
          <w:snapToGrid w:val="0"/>
        </w:rPr>
      </w:pPr>
      <w:r>
        <w:rPr>
          <w:snapToGrid w:val="0"/>
        </w:rPr>
        <w:tab/>
        <w:t>(4)</w:t>
      </w:r>
      <w:r>
        <w:rPr>
          <w:snapToGrid w:val="0"/>
        </w:rPr>
        <w:tab/>
        <w:t>Subsection (3)(a) does not apply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 or</w:t>
      </w:r>
    </w:p>
    <w:p>
      <w:pPr>
        <w:pStyle w:val="Indenta"/>
        <w:spacing w:before="54"/>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 or</w:t>
      </w:r>
    </w:p>
    <w:p>
      <w:pPr>
        <w:pStyle w:val="Indenta"/>
        <w:spacing w:before="54"/>
        <w:rPr>
          <w:snapToGrid w:val="0"/>
        </w:rPr>
      </w:pPr>
      <w:r>
        <w:rPr>
          <w:snapToGrid w:val="0"/>
        </w:rPr>
        <w:tab/>
        <w:t>(c)</w:t>
      </w:r>
      <w:r>
        <w:rPr>
          <w:snapToGrid w:val="0"/>
        </w:rPr>
        <w:tab/>
        <w:t>to the sale or supply of inoperable gaming equipment as scrap; or</w:t>
      </w:r>
    </w:p>
    <w:p>
      <w:pPr>
        <w:pStyle w:val="Indenta"/>
        <w:spacing w:before="54"/>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spacing w:before="120"/>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w:t>
      </w:r>
    </w:p>
    <w:p>
      <w:pPr>
        <w:pStyle w:val="Indenta"/>
        <w:spacing w:before="54"/>
        <w:rPr>
          <w:snapToGrid w:val="0"/>
        </w:rPr>
      </w:pPr>
      <w:r>
        <w:rPr>
          <w:snapToGrid w:val="0"/>
        </w:rPr>
        <w:tab/>
        <w:t>(a)</w:t>
      </w:r>
      <w:r>
        <w:rPr>
          <w:snapToGrid w:val="0"/>
        </w:rPr>
        <w:tab/>
        <w:t>in relation to the gaming equipment or gaming equipment of the kind therein specified in the circumstances so specified; or</w:t>
      </w:r>
    </w:p>
    <w:p>
      <w:pPr>
        <w:pStyle w:val="Indenta"/>
        <w:spacing w:before="54"/>
        <w:rPr>
          <w:snapToGrid w:val="0"/>
        </w:rPr>
      </w:pPr>
      <w:r>
        <w:rPr>
          <w:snapToGrid w:val="0"/>
        </w:rPr>
        <w:tab/>
        <w:t>(b)</w:t>
      </w:r>
      <w:r>
        <w:rPr>
          <w:snapToGrid w:val="0"/>
        </w:rPr>
        <w:tab/>
        <w:t>in relation to —</w:t>
      </w:r>
    </w:p>
    <w:p>
      <w:pPr>
        <w:pStyle w:val="Indenti"/>
        <w:spacing w:before="54"/>
        <w:rPr>
          <w:snapToGrid w:val="0"/>
        </w:rPr>
      </w:pPr>
      <w:r>
        <w:rPr>
          <w:snapToGrid w:val="0"/>
        </w:rPr>
        <w:tab/>
        <w:t>(i)</w:t>
      </w:r>
      <w:r>
        <w:rPr>
          <w:snapToGrid w:val="0"/>
        </w:rPr>
        <w:tab/>
        <w:t>the gaming equipment, or gaming equipment of the kind; and</w:t>
      </w:r>
    </w:p>
    <w:p>
      <w:pPr>
        <w:pStyle w:val="Indenti"/>
        <w:spacing w:before="54"/>
        <w:rPr>
          <w:snapToGrid w:val="0"/>
        </w:rPr>
      </w:pPr>
      <w:r>
        <w:rPr>
          <w:snapToGrid w:val="0"/>
        </w:rPr>
        <w:lastRenderedPageBreak/>
        <w:tab/>
        <w:t>(ii)</w:t>
      </w:r>
      <w:r>
        <w:rPr>
          <w:snapToGrid w:val="0"/>
        </w:rPr>
        <w:tab/>
        <w:t>the period, not being a period in excess of 5 years; and</w:t>
      </w:r>
    </w:p>
    <w:p>
      <w:pPr>
        <w:pStyle w:val="Indenti"/>
        <w:spacing w:before="54"/>
        <w:rPr>
          <w:snapToGrid w:val="0"/>
        </w:rPr>
      </w:pPr>
      <w:r>
        <w:rPr>
          <w:snapToGrid w:val="0"/>
        </w:rPr>
        <w:tab/>
        <w:t>(iii)</w:t>
      </w:r>
      <w:r>
        <w:rPr>
          <w:snapToGrid w:val="0"/>
        </w:rPr>
        <w:tab/>
        <w:t>the operations as to sale or supply, or as to maintenance of the mechanism of the respective kinds of gaming equipment,</w:t>
      </w:r>
    </w:p>
    <w:p>
      <w:pPr>
        <w:pStyle w:val="Indenta"/>
        <w:spacing w:before="54"/>
        <w:rPr>
          <w:snapToGrid w:val="0"/>
        </w:rPr>
      </w:pPr>
      <w:r>
        <w:rPr>
          <w:snapToGrid w:val="0"/>
        </w:rPr>
        <w:tab/>
      </w:r>
      <w:r>
        <w:rPr>
          <w:snapToGrid w:val="0"/>
        </w:rPr>
        <w:tab/>
        <w:t>therein specified,</w:t>
      </w:r>
    </w:p>
    <w:p>
      <w:pPr>
        <w:pStyle w:val="Subsection"/>
        <w:spacing w:before="100"/>
        <w:rPr>
          <w:snapToGrid w:val="0"/>
        </w:rPr>
      </w:pPr>
      <w:r>
        <w:rPr>
          <w:snapToGrid w:val="0"/>
        </w:rPr>
        <w:tab/>
      </w:r>
      <w:r>
        <w:rPr>
          <w:snapToGrid w:val="0"/>
        </w:rPr>
        <w:tab/>
        <w:t>and is renewable, but may be revoked at the discretion of the Commission pursuant to subsection (6).</w:t>
      </w:r>
    </w:p>
    <w:p>
      <w:pPr>
        <w:pStyle w:val="Subsection"/>
        <w:spacing w:before="180"/>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spacing w:before="180"/>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keepLines/>
        <w:spacing w:before="180"/>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Footnotesection"/>
      </w:pPr>
      <w:r>
        <w:tab/>
        <w:t>[Section 88 amended: No. 41 of 2018 s. 25(1).]</w:t>
      </w:r>
    </w:p>
    <w:p>
      <w:pPr>
        <w:pStyle w:val="Heading5"/>
        <w:rPr>
          <w:snapToGrid w:val="0"/>
        </w:rPr>
      </w:pPr>
      <w:bookmarkStart w:id="128" w:name="_Toc115267866"/>
      <w:r>
        <w:rPr>
          <w:rStyle w:val="CharSectno"/>
        </w:rPr>
        <w:t>89</w:t>
      </w:r>
      <w:r>
        <w:rPr>
          <w:snapToGrid w:val="0"/>
        </w:rPr>
        <w:t>.</w:t>
      </w:r>
      <w:r>
        <w:rPr>
          <w:snapToGrid w:val="0"/>
        </w:rPr>
        <w:tab/>
        <w:t>Prescribed gaming equipment, sale etc. of</w:t>
      </w:r>
      <w:bookmarkEnd w:id="128"/>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lastRenderedPageBreak/>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r>
      <w:r>
        <w:t>Penalty for this subsection: a fine of</w:t>
      </w:r>
      <w:r>
        <w:rPr>
          <w:snapToGrid w:val="0"/>
        </w:rPr>
        <w:t xml:space="preserve"> $5 000.</w:t>
      </w:r>
    </w:p>
    <w:p>
      <w:pPr>
        <w:pStyle w:val="Subsection"/>
        <w:rPr>
          <w:snapToGrid w:val="0"/>
        </w:rPr>
      </w:pPr>
      <w:r>
        <w:rPr>
          <w:snapToGrid w:val="0"/>
        </w:rPr>
        <w:tab/>
        <w:t>(3)</w:t>
      </w:r>
      <w:r>
        <w:rPr>
          <w:snapToGrid w:val="0"/>
        </w:rPr>
        <w:tab/>
        <w:t xml:space="preserve">In this section </w:t>
      </w:r>
      <w:r>
        <w:rPr>
          <w:rStyle w:val="CharDefText"/>
        </w:rPr>
        <w:t>terms</w:t>
      </w:r>
      <w:r>
        <w:rPr>
          <w:snapToGrid w:val="0"/>
        </w:rPr>
        <w:t xml:space="preserve"> includes any condition as to price, rent or any other payment.</w:t>
      </w:r>
    </w:p>
    <w:p>
      <w:pPr>
        <w:pStyle w:val="Footnotesection"/>
      </w:pPr>
      <w:r>
        <w:tab/>
        <w:t>[Section 89 amended: No. 41 of 2018 s. 25(1).]</w:t>
      </w:r>
    </w:p>
    <w:p>
      <w:pPr>
        <w:pStyle w:val="Heading5"/>
        <w:rPr>
          <w:snapToGrid w:val="0"/>
        </w:rPr>
      </w:pPr>
      <w:bookmarkStart w:id="129" w:name="_Toc115267867"/>
      <w:r>
        <w:rPr>
          <w:rStyle w:val="CharSectno"/>
        </w:rPr>
        <w:t>90</w:t>
      </w:r>
      <w:r>
        <w:rPr>
          <w:snapToGrid w:val="0"/>
        </w:rPr>
        <w:t>.</w:t>
      </w:r>
      <w:r>
        <w:rPr>
          <w:snapToGrid w:val="0"/>
        </w:rPr>
        <w:tab/>
        <w:t>Application of s. 88 and 89 to concessionaires</w:t>
      </w:r>
      <w:bookmarkEnd w:id="129"/>
    </w:p>
    <w:p>
      <w:pPr>
        <w:pStyle w:val="Subsection"/>
        <w:spacing w:before="120"/>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keepNext w:val="0"/>
        <w:keepLines w:val="0"/>
        <w:rPr>
          <w:snapToGrid w:val="0"/>
        </w:rPr>
      </w:pPr>
      <w:bookmarkStart w:id="130" w:name="_Toc115267868"/>
      <w:r>
        <w:rPr>
          <w:rStyle w:val="CharSectno"/>
        </w:rPr>
        <w:t>91</w:t>
      </w:r>
      <w:r>
        <w:rPr>
          <w:snapToGrid w:val="0"/>
        </w:rPr>
        <w:t>.</w:t>
      </w:r>
      <w:r>
        <w:rPr>
          <w:snapToGrid w:val="0"/>
        </w:rPr>
        <w:tab/>
        <w:t>Permitted gaming, restrictions on certain people in relation to</w:t>
      </w:r>
      <w:bookmarkEnd w:id="130"/>
    </w:p>
    <w:p>
      <w:pPr>
        <w:pStyle w:val="Subsection"/>
        <w:spacing w:before="120"/>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r>
      <w:r>
        <w:t>Penalty for this subsection: a fine of</w:t>
      </w:r>
      <w:r>
        <w:rPr>
          <w:snapToGrid w:val="0"/>
        </w:rPr>
        <w:t xml:space="preserve"> $2 000.</w:t>
      </w:r>
    </w:p>
    <w:p>
      <w:pPr>
        <w:pStyle w:val="Subsection"/>
        <w:spacing w:before="120"/>
        <w:rPr>
          <w:snapToGrid w:val="0"/>
        </w:rPr>
      </w:pPr>
      <w:r>
        <w:rPr>
          <w:snapToGrid w:val="0"/>
        </w:rPr>
        <w:tab/>
        <w:t>(2)</w:t>
      </w:r>
      <w:r>
        <w:rPr>
          <w:snapToGrid w:val="0"/>
        </w:rPr>
        <w:tab/>
        <w:t>Subsection (1) applies to any operation which is performed in relation to the permitted gaming and consists of —</w:t>
      </w:r>
    </w:p>
    <w:p>
      <w:pPr>
        <w:pStyle w:val="Indenta"/>
        <w:spacing w:before="60"/>
        <w:rPr>
          <w:snapToGrid w:val="0"/>
        </w:rPr>
      </w:pPr>
      <w:r>
        <w:rPr>
          <w:snapToGrid w:val="0"/>
        </w:rPr>
        <w:tab/>
        <w:t>(a)</w:t>
      </w:r>
      <w:r>
        <w:rPr>
          <w:snapToGrid w:val="0"/>
        </w:rPr>
        <w:tab/>
        <w:t>taking part in the gaming as a participant; or</w:t>
      </w:r>
    </w:p>
    <w:p>
      <w:pPr>
        <w:pStyle w:val="Indenta"/>
        <w:spacing w:before="60"/>
        <w:rPr>
          <w:snapToGrid w:val="0"/>
        </w:rPr>
      </w:pPr>
      <w:r>
        <w:rPr>
          <w:snapToGrid w:val="0"/>
        </w:rPr>
        <w:lastRenderedPageBreak/>
        <w:tab/>
        <w:t>(b)</w:t>
      </w:r>
      <w:r>
        <w:rPr>
          <w:snapToGrid w:val="0"/>
        </w:rPr>
        <w:tab/>
        <w:t>assisting the conduct of permitted gaming by operating or handling any gaming equipment or instruments of gaming or, in the case of bingo, by calling the card or otherwise; or</w:t>
      </w:r>
    </w:p>
    <w:p>
      <w:pPr>
        <w:pStyle w:val="Indenta"/>
        <w:spacing w:before="60"/>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spacing w:before="60"/>
        <w:rPr>
          <w:snapToGrid w:val="0"/>
        </w:rPr>
      </w:pPr>
      <w:r>
        <w:rPr>
          <w:snapToGrid w:val="0"/>
        </w:rPr>
        <w:tab/>
        <w:t>(d)</w:t>
      </w:r>
      <w:r>
        <w:rPr>
          <w:snapToGrid w:val="0"/>
        </w:rPr>
        <w:tab/>
        <w:t>watching, otherwise than as manager, organiser or supervisor —</w:t>
      </w:r>
    </w:p>
    <w:p>
      <w:pPr>
        <w:pStyle w:val="Indenti"/>
        <w:spacing w:before="60"/>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spacing w:before="140"/>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spacing w:before="140"/>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r>
      <w:r>
        <w:t>Penalty for this subsection: a fine of</w:t>
      </w:r>
      <w:r>
        <w:rPr>
          <w:snapToGrid w:val="0"/>
        </w:rPr>
        <w:t xml:space="preserve"> $2 000.</w:t>
      </w:r>
    </w:p>
    <w:p>
      <w:pPr>
        <w:pStyle w:val="Subsection"/>
        <w:spacing w:before="140"/>
        <w:rPr>
          <w:snapToGrid w:val="0"/>
        </w:rPr>
      </w:pPr>
      <w:r>
        <w:rPr>
          <w:snapToGrid w:val="0"/>
        </w:rPr>
        <w:lastRenderedPageBreak/>
        <w:tab/>
        <w:t>(5)</w:t>
      </w:r>
      <w:r>
        <w:rPr>
          <w:snapToGrid w:val="0"/>
        </w:rPr>
        <w:tab/>
        <w:t xml:space="preserve">In this section </w:t>
      </w:r>
      <w:r>
        <w:rPr>
          <w:rStyle w:val="CharDefText"/>
        </w:rPr>
        <w:t>service agreement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spacing w:before="140"/>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rStyle w:val="CharDefText"/>
        </w:rPr>
        <w:t>specified</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ind w:left="890" w:hanging="890"/>
      </w:pPr>
      <w:r>
        <w:tab/>
        <w:t>[Section 91 amended: No. 35 of 2003 s. 167; No. 41 of 2018 s. 25(1).]</w:t>
      </w:r>
    </w:p>
    <w:p>
      <w:pPr>
        <w:pStyle w:val="Heading5"/>
        <w:keepNext w:val="0"/>
        <w:keepLines w:val="0"/>
        <w:rPr>
          <w:snapToGrid w:val="0"/>
        </w:rPr>
      </w:pPr>
      <w:bookmarkStart w:id="131" w:name="_Toc115267869"/>
      <w:r>
        <w:rPr>
          <w:rStyle w:val="CharSectno"/>
        </w:rPr>
        <w:t>92</w:t>
      </w:r>
      <w:r>
        <w:rPr>
          <w:snapToGrid w:val="0"/>
        </w:rPr>
        <w:t>.</w:t>
      </w:r>
      <w:r>
        <w:rPr>
          <w:snapToGrid w:val="0"/>
        </w:rPr>
        <w:tab/>
        <w:t>Certificates for s. 91</w:t>
      </w:r>
      <w:bookmarkEnd w:id="131"/>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w:t>
      </w:r>
    </w:p>
    <w:p>
      <w:pPr>
        <w:pStyle w:val="Indenta"/>
        <w:spacing w:before="100"/>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spacing w:before="100"/>
        <w:rPr>
          <w:snapToGrid w:val="0"/>
        </w:rPr>
      </w:pPr>
      <w:r>
        <w:rPr>
          <w:snapToGrid w:val="0"/>
        </w:rPr>
        <w:lastRenderedPageBreak/>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w:t>
      </w:r>
    </w:p>
    <w:p>
      <w:pPr>
        <w:pStyle w:val="Indenta"/>
        <w:spacing w:before="100"/>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No. 35 of 2003 s. 166 and 167.]</w:t>
      </w:r>
    </w:p>
    <w:p>
      <w:pPr>
        <w:pStyle w:val="Heading5"/>
        <w:rPr>
          <w:snapToGrid w:val="0"/>
        </w:rPr>
      </w:pPr>
      <w:bookmarkStart w:id="132" w:name="_Toc115267870"/>
      <w:r>
        <w:rPr>
          <w:rStyle w:val="CharSectno"/>
        </w:rPr>
        <w:t>93</w:t>
      </w:r>
      <w:r>
        <w:rPr>
          <w:snapToGrid w:val="0"/>
        </w:rPr>
        <w:t>.</w:t>
      </w:r>
      <w:r>
        <w:rPr>
          <w:snapToGrid w:val="0"/>
        </w:rPr>
        <w:tab/>
        <w:t>Offences in relation to s. 91</w:t>
      </w:r>
      <w:bookmarkEnd w:id="132"/>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w:t>
      </w:r>
    </w:p>
    <w:p>
      <w:pPr>
        <w:pStyle w:val="Indenta"/>
        <w:rPr>
          <w:snapToGrid w:val="0"/>
        </w:rPr>
      </w:pPr>
      <w:r>
        <w:rPr>
          <w:snapToGrid w:val="0"/>
        </w:rPr>
        <w:tab/>
        <w:t>(a)</w:t>
      </w:r>
      <w:r>
        <w:rPr>
          <w:snapToGrid w:val="0"/>
        </w:rPr>
        <w:tab/>
        <w:t>the holder of the permit relating to that gaming; and</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a fine of</w:t>
      </w:r>
      <w:r>
        <w:rPr>
          <w:snapToGrid w:val="0"/>
        </w:rPr>
        <w:t xml:space="preserve"> $1 000.</w:t>
      </w:r>
    </w:p>
    <w:p>
      <w:pPr>
        <w:pStyle w:val="Footnotesection"/>
      </w:pPr>
      <w:r>
        <w:tab/>
        <w:t>[Section 93 amended: No. 35 of 2003 s. 167; No. 41 of 2018 s. 25(2).]</w:t>
      </w:r>
    </w:p>
    <w:p>
      <w:pPr>
        <w:pStyle w:val="Heading3"/>
      </w:pPr>
      <w:bookmarkStart w:id="133" w:name="_Toc115166640"/>
      <w:bookmarkStart w:id="134" w:name="_Toc115166797"/>
      <w:bookmarkStart w:id="135" w:name="_Toc115267871"/>
      <w:r>
        <w:rPr>
          <w:rStyle w:val="CharDivNo"/>
        </w:rPr>
        <w:lastRenderedPageBreak/>
        <w:t>Division 5A</w:t>
      </w:r>
      <w:r>
        <w:t> — </w:t>
      </w:r>
      <w:r>
        <w:rPr>
          <w:rStyle w:val="CharDivText"/>
        </w:rPr>
        <w:t>Remote gambling devices</w:t>
      </w:r>
      <w:bookmarkEnd w:id="133"/>
      <w:bookmarkEnd w:id="134"/>
      <w:bookmarkEnd w:id="135"/>
    </w:p>
    <w:p>
      <w:pPr>
        <w:pStyle w:val="Footnoteheading"/>
      </w:pPr>
      <w:r>
        <w:tab/>
        <w:t>[Heading inserted: No. 41 of 2018 s. 21.]</w:t>
      </w:r>
    </w:p>
    <w:p>
      <w:pPr>
        <w:pStyle w:val="Heading5"/>
      </w:pPr>
      <w:bookmarkStart w:id="136" w:name="_Toc115267872"/>
      <w:r>
        <w:rPr>
          <w:rStyle w:val="CharSectno"/>
        </w:rPr>
        <w:t>93A</w:t>
      </w:r>
      <w:r>
        <w:t>.</w:t>
      </w:r>
      <w:r>
        <w:tab/>
        <w:t>Terms used</w:t>
      </w:r>
      <w:bookmarkEnd w:id="136"/>
    </w:p>
    <w:p>
      <w:pPr>
        <w:pStyle w:val="Subsection"/>
      </w:pPr>
      <w:r>
        <w:tab/>
      </w:r>
      <w:r>
        <w:tab/>
        <w:t xml:space="preserve">In this Division — </w:t>
      </w:r>
    </w:p>
    <w:p>
      <w:pPr>
        <w:pStyle w:val="Defstart"/>
      </w:pPr>
      <w:r>
        <w:tab/>
      </w:r>
      <w:r>
        <w:rPr>
          <w:rStyle w:val="CharDefText"/>
        </w:rPr>
        <w:t>public premises</w:t>
      </w:r>
      <w:r>
        <w:t xml:space="preserve"> means premises in a public place, except — </w:t>
      </w:r>
    </w:p>
    <w:p>
      <w:pPr>
        <w:pStyle w:val="Defpara"/>
      </w:pPr>
      <w:r>
        <w:tab/>
        <w:t>(a)</w:t>
      </w:r>
      <w:r>
        <w:tab/>
        <w:t xml:space="preserve">premises comprising a totalisator agency as defined in the </w:t>
      </w:r>
      <w:r>
        <w:rPr>
          <w:i/>
        </w:rPr>
        <w:t>Racing and Wagering Western Australia Act 2003</w:t>
      </w:r>
      <w:r>
        <w:t xml:space="preserve"> section 3(1); or</w:t>
      </w:r>
    </w:p>
    <w:p>
      <w:pPr>
        <w:pStyle w:val="Defpara"/>
      </w:pPr>
      <w:r>
        <w:tab/>
        <w:t>(b)</w:t>
      </w:r>
      <w:r>
        <w:tab/>
        <w:t xml:space="preserve">premises established by the Commission as defined in the </w:t>
      </w:r>
      <w:r>
        <w:rPr>
          <w:i/>
        </w:rPr>
        <w:t>Lotteries Commission Act 1990</w:t>
      </w:r>
      <w:r>
        <w:t xml:space="preserve"> section 3(1) for or in connection with the performance of the Commission’s functions under that Act; or</w:t>
      </w:r>
    </w:p>
    <w:p>
      <w:pPr>
        <w:pStyle w:val="Defpara"/>
      </w:pPr>
      <w:r>
        <w:tab/>
        <w:t>(c)</w:t>
      </w:r>
      <w:r>
        <w:tab/>
        <w:t>prescribed premises or a prescribed class of premises;</w:t>
      </w:r>
    </w:p>
    <w:p>
      <w:pPr>
        <w:pStyle w:val="Defstart"/>
      </w:pPr>
      <w:r>
        <w:tab/>
      </w:r>
      <w:r>
        <w:rPr>
          <w:rStyle w:val="CharDefText"/>
        </w:rPr>
        <w:t>remote gambling device</w:t>
      </w:r>
      <w:r>
        <w:t xml:space="preserve"> means a telecommunications device that is primarily or exclusively built to transmit a bet on an event or contingency.</w:t>
      </w:r>
    </w:p>
    <w:p>
      <w:pPr>
        <w:pStyle w:val="Footnotesection"/>
      </w:pPr>
      <w:r>
        <w:tab/>
        <w:t>[Section 93A inserted: No. 41 of 2018 s. 21.]</w:t>
      </w:r>
    </w:p>
    <w:p>
      <w:pPr>
        <w:pStyle w:val="Heading5"/>
      </w:pPr>
      <w:bookmarkStart w:id="137" w:name="_Toc115267873"/>
      <w:r>
        <w:rPr>
          <w:rStyle w:val="CharSectno"/>
        </w:rPr>
        <w:t>93B</w:t>
      </w:r>
      <w:r>
        <w:t>.</w:t>
      </w:r>
      <w:r>
        <w:tab/>
        <w:t>Offences relating to remote gambling devices</w:t>
      </w:r>
      <w:bookmarkEnd w:id="137"/>
    </w:p>
    <w:p>
      <w:pPr>
        <w:pStyle w:val="Subsection"/>
      </w:pPr>
      <w:r>
        <w:tab/>
        <w:t>(1)</w:t>
      </w:r>
      <w:r>
        <w:tab/>
        <w:t>A person who places a remote gambling device on public premises commits an offence.</w:t>
      </w:r>
    </w:p>
    <w:p>
      <w:pPr>
        <w:pStyle w:val="Penstart"/>
      </w:pPr>
      <w:r>
        <w:tab/>
        <w:t>Penalty for this subsection: a fine of $20 000.</w:t>
      </w:r>
    </w:p>
    <w:p>
      <w:pPr>
        <w:pStyle w:val="Subsection"/>
      </w:pPr>
      <w:r>
        <w:tab/>
        <w:t>(2)</w:t>
      </w:r>
      <w:r>
        <w:tab/>
        <w:t>A person who uses a remote gambling device on public premises commits an offence.</w:t>
      </w:r>
    </w:p>
    <w:p>
      <w:pPr>
        <w:pStyle w:val="Penstart"/>
      </w:pPr>
      <w:r>
        <w:tab/>
        <w:t>Penalty for this subsection: a fine of $20 000.</w:t>
      </w:r>
    </w:p>
    <w:p>
      <w:pPr>
        <w:pStyle w:val="Subsection"/>
      </w:pPr>
      <w:r>
        <w:tab/>
        <w:t>(3)</w:t>
      </w:r>
      <w:r>
        <w:tab/>
        <w:t>An owner or occupier of public premises commits an offence if the owner or occupier permits a remote gambling device to be placed or used on the premises.</w:t>
      </w:r>
    </w:p>
    <w:p>
      <w:pPr>
        <w:pStyle w:val="Penstart"/>
      </w:pPr>
      <w:r>
        <w:tab/>
        <w:t>Penalty for this subsection: a fine of $20 000.</w:t>
      </w:r>
    </w:p>
    <w:p>
      <w:pPr>
        <w:pStyle w:val="Footnotesection"/>
      </w:pPr>
      <w:r>
        <w:tab/>
        <w:t>[Section 93B inserted: No. 41 of 2018 s. 21.]</w:t>
      </w:r>
    </w:p>
    <w:p>
      <w:pPr>
        <w:pStyle w:val="Heading3"/>
      </w:pPr>
      <w:bookmarkStart w:id="138" w:name="_Toc115166643"/>
      <w:bookmarkStart w:id="139" w:name="_Toc115166800"/>
      <w:bookmarkStart w:id="140" w:name="_Toc115267874"/>
      <w:r>
        <w:rPr>
          <w:rStyle w:val="CharDivNo"/>
        </w:rPr>
        <w:lastRenderedPageBreak/>
        <w:t>Division 6</w:t>
      </w:r>
      <w:r>
        <w:rPr>
          <w:snapToGrid w:val="0"/>
        </w:rPr>
        <w:t> — </w:t>
      </w:r>
      <w:r>
        <w:rPr>
          <w:rStyle w:val="CharDivText"/>
        </w:rPr>
        <w:t>Permitted bingo</w:t>
      </w:r>
      <w:bookmarkEnd w:id="138"/>
      <w:bookmarkEnd w:id="139"/>
      <w:bookmarkEnd w:id="140"/>
    </w:p>
    <w:p>
      <w:pPr>
        <w:pStyle w:val="Heading5"/>
        <w:rPr>
          <w:snapToGrid w:val="0"/>
        </w:rPr>
      </w:pPr>
      <w:bookmarkStart w:id="141" w:name="_Toc115267875"/>
      <w:r>
        <w:rPr>
          <w:rStyle w:val="CharSectno"/>
        </w:rPr>
        <w:t>94</w:t>
      </w:r>
      <w:r>
        <w:rPr>
          <w:snapToGrid w:val="0"/>
        </w:rPr>
        <w:t>.</w:t>
      </w:r>
      <w:r>
        <w:rPr>
          <w:snapToGrid w:val="0"/>
        </w:rPr>
        <w:tab/>
        <w:t>Terms used</w:t>
      </w:r>
      <w:bookmarkEnd w:id="141"/>
    </w:p>
    <w:p>
      <w:pPr>
        <w:pStyle w:val="Subsection"/>
        <w:keepNext/>
        <w:rPr>
          <w:snapToGrid w:val="0"/>
        </w:rPr>
      </w:pPr>
      <w:r>
        <w:rPr>
          <w:snapToGrid w:val="0"/>
        </w:rPr>
        <w:tab/>
        <w:t>(1)</w:t>
      </w:r>
      <w:r>
        <w:rPr>
          <w:snapToGrid w:val="0"/>
        </w:rPr>
        <w:tab/>
        <w:t>In this Division, unless the contrary intention appears —</w:t>
      </w:r>
    </w:p>
    <w:p>
      <w:pPr>
        <w:pStyle w:val="Defstart"/>
      </w:pPr>
      <w:r>
        <w:rPr>
          <w:b/>
        </w:rPr>
        <w:tab/>
      </w:r>
      <w:r>
        <w:rPr>
          <w:rStyle w:val="CharDefText"/>
        </w:rPr>
        <w:t>bingo</w:t>
      </w:r>
      <w:r>
        <w:t xml:space="preserve"> means the game commonly known as bingo, housie</w:t>
      </w:r>
      <w:r>
        <w:noBreakHyphen/>
        <w:t>housie or tombola and includes any version of that game by whatever name called;</w:t>
      </w:r>
    </w:p>
    <w:p>
      <w:pPr>
        <w:pStyle w:val="Defstart"/>
      </w:pPr>
      <w:r>
        <w:rPr>
          <w:b/>
        </w:rPr>
        <w:tab/>
      </w:r>
      <w:r>
        <w:rPr>
          <w:rStyle w:val="CharDefText"/>
        </w:rPr>
        <w:t>charitable organisation</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r>
      <w:r>
        <w:rPr>
          <w:rStyle w:val="CharDefText"/>
        </w:rPr>
        <w:t>club</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r>
      <w:r>
        <w:rPr>
          <w:rStyle w:val="CharDefText"/>
        </w:rPr>
        <w:t>money</w:t>
      </w:r>
      <w:r>
        <w:t xml:space="preserve"> includes any token, voucher or other thing given by a player in exchange for cards and recognised for the purposes of the exchange to represent a particular sum of money, or money’s worth;</w:t>
      </w:r>
    </w:p>
    <w:p>
      <w:pPr>
        <w:pStyle w:val="Defstart"/>
      </w:pPr>
      <w:r>
        <w:rPr>
          <w:b/>
        </w:rPr>
        <w:tab/>
      </w:r>
      <w:r>
        <w:rPr>
          <w:rStyle w:val="CharDefText"/>
        </w:rPr>
        <w:t>multiple bingo</w:t>
      </w:r>
      <w:r>
        <w:t xml:space="preserve"> means bingo to which section 96 refers;</w:t>
      </w:r>
    </w:p>
    <w:p>
      <w:pPr>
        <w:pStyle w:val="Defstart"/>
      </w:pPr>
      <w:r>
        <w:rPr>
          <w:b/>
        </w:rPr>
        <w:tab/>
      </w:r>
      <w:r>
        <w:rPr>
          <w:rStyle w:val="CharDefText"/>
        </w:rPr>
        <w:t>organiser</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w:t>
      </w:r>
    </w:p>
    <w:p>
      <w:pPr>
        <w:pStyle w:val="Defstart"/>
      </w:pPr>
      <w:r>
        <w:rPr>
          <w:b/>
        </w:rPr>
        <w:tab/>
      </w:r>
      <w:r>
        <w:rPr>
          <w:rStyle w:val="CharDefText"/>
        </w:rPr>
        <w:t>prize</w:t>
      </w:r>
      <w:r>
        <w:t xml:space="preserve"> means anything won or to be won at bingo, whether money or something else having a value, and </w:t>
      </w:r>
      <w:r>
        <w:rPr>
          <w:rStyle w:val="CharDefText"/>
        </w:rPr>
        <w:t>value</w:t>
      </w:r>
      <w:r>
        <w:t xml:space="preserve"> and </w:t>
      </w:r>
      <w:r>
        <w:rPr>
          <w:rStyle w:val="CharDefText"/>
        </w:rPr>
        <w:t>paid</w:t>
      </w:r>
      <w:r>
        <w:t xml:space="preserve"> in relation to prizes shall be construed accordingly;</w:t>
      </w:r>
    </w:p>
    <w:p>
      <w:pPr>
        <w:pStyle w:val="Defstart"/>
      </w:pPr>
      <w:r>
        <w:rPr>
          <w:b/>
        </w:rPr>
        <w:tab/>
      </w:r>
      <w:r>
        <w:rPr>
          <w:rStyle w:val="CharDefText"/>
        </w:rPr>
        <w:t>promoter</w:t>
      </w:r>
      <w:r>
        <w:t>, in relation to bingo, means the person to whom the players look for the payment of prizes;</w:t>
      </w:r>
    </w:p>
    <w:p>
      <w:pPr>
        <w:pStyle w:val="Defstart"/>
      </w:pPr>
      <w:r>
        <w:rPr>
          <w:b/>
        </w:rPr>
        <w:tab/>
      </w:r>
      <w:r>
        <w:rPr>
          <w:rStyle w:val="CharDefText"/>
        </w:rPr>
        <w:t>simultaneous bingo</w:t>
      </w:r>
      <w:r>
        <w:t xml:space="preserve"> means bingo to which section 97 refers.</w:t>
      </w:r>
    </w:p>
    <w:p>
      <w:pPr>
        <w:pStyle w:val="Subsection"/>
        <w:spacing w:before="180"/>
        <w:rPr>
          <w:snapToGrid w:val="0"/>
        </w:rPr>
      </w:pPr>
      <w:r>
        <w:rPr>
          <w:snapToGrid w:val="0"/>
        </w:rPr>
        <w:lastRenderedPageBreak/>
        <w:tab/>
        <w:t>(2)</w:t>
      </w:r>
      <w:r>
        <w:rPr>
          <w:snapToGrid w:val="0"/>
        </w:rPr>
        <w:tab/>
        <w:t xml:space="preserve">For the purposes of this Division, a player’s </w:t>
      </w:r>
      <w:r>
        <w:rPr>
          <w:rStyle w:val="CharDefText"/>
        </w:rPr>
        <w:t>cards</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80"/>
        <w:rPr>
          <w:snapToGrid w:val="0"/>
        </w:rPr>
      </w:pPr>
      <w:bookmarkStart w:id="142" w:name="_Toc115267876"/>
      <w:r>
        <w:rPr>
          <w:rStyle w:val="CharSectno"/>
        </w:rPr>
        <w:t>95</w:t>
      </w:r>
      <w:r>
        <w:rPr>
          <w:snapToGrid w:val="0"/>
        </w:rPr>
        <w:t>.</w:t>
      </w:r>
      <w:r>
        <w:rPr>
          <w:snapToGrid w:val="0"/>
        </w:rPr>
        <w:tab/>
        <w:t>Permits to conduct bingo; who may play permitted bingo</w:t>
      </w:r>
      <w:bookmarkEnd w:id="142"/>
    </w:p>
    <w:p>
      <w:pPr>
        <w:pStyle w:val="Subsection"/>
        <w:spacing w:before="12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 or</w:t>
      </w:r>
    </w:p>
    <w:p>
      <w:pPr>
        <w:pStyle w:val="Indenta"/>
        <w:spacing w:before="60"/>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rPr>
          <w:snapToGrid w:val="0"/>
        </w:rPr>
      </w:pPr>
      <w:r>
        <w:rPr>
          <w:snapToGrid w:val="0"/>
        </w:rPr>
        <w:tab/>
        <w:t>(2)</w:t>
      </w:r>
      <w:r>
        <w:rPr>
          <w:snapToGrid w:val="0"/>
        </w:rPr>
        <w:tab/>
        <w:t>A permit to which subsection (1)(a) applies shall not be issued unless the Commission is satisfied that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w:t>
      </w:r>
    </w:p>
    <w:p>
      <w:pPr>
        <w:pStyle w:val="Indenta"/>
        <w:widowControl w:val="0"/>
        <w:rPr>
          <w:snapToGrid w:val="0"/>
        </w:rPr>
      </w:pPr>
      <w:r>
        <w:rPr>
          <w:snapToGrid w:val="0"/>
        </w:rPr>
        <w:tab/>
        <w:t>(a)</w:t>
      </w:r>
      <w:r>
        <w:rPr>
          <w:snapToGrid w:val="0"/>
        </w:rPr>
        <w:tab/>
        <w:t xml:space="preserve">he is a member of the club and there has been an interval </w:t>
      </w:r>
      <w:r>
        <w:rPr>
          <w:snapToGrid w:val="0"/>
        </w:rPr>
        <w:lastRenderedPageBreak/>
        <w:t>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spacing w:before="120"/>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rPr>
          <w:snapToGrid w:val="0"/>
        </w:rPr>
      </w:pPr>
      <w:r>
        <w:rPr>
          <w:snapToGrid w:val="0"/>
        </w:rPr>
        <w:tab/>
        <w:t>(4)</w:t>
      </w:r>
      <w:r>
        <w:rPr>
          <w:snapToGrid w:val="0"/>
        </w:rPr>
        <w:tab/>
        <w:t>A person shall not participate in the gaming under this Division —</w:t>
      </w:r>
    </w:p>
    <w:p>
      <w:pPr>
        <w:pStyle w:val="Indenta"/>
        <w:spacing w:before="100"/>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spacing w:before="100"/>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r>
      <w:r>
        <w:t>Penalty for this subsection: a fine of</w:t>
      </w:r>
      <w:r>
        <w:rPr>
          <w:snapToGrid w:val="0"/>
        </w:rPr>
        <w:t xml:space="preserve"> $100.</w:t>
      </w:r>
    </w:p>
    <w:p>
      <w:pPr>
        <w:pStyle w:val="Footnotesection"/>
      </w:pPr>
      <w:r>
        <w:tab/>
        <w:t>[Section 95 amended: No. 24 of 1998 s. 59; No. 41 of 2018 s. 25(1).]</w:t>
      </w:r>
    </w:p>
    <w:p>
      <w:pPr>
        <w:pStyle w:val="Heading5"/>
        <w:rPr>
          <w:snapToGrid w:val="0"/>
        </w:rPr>
      </w:pPr>
      <w:bookmarkStart w:id="143" w:name="_Toc115267877"/>
      <w:r>
        <w:rPr>
          <w:rStyle w:val="CharSectno"/>
        </w:rPr>
        <w:t>96</w:t>
      </w:r>
      <w:r>
        <w:rPr>
          <w:snapToGrid w:val="0"/>
        </w:rPr>
        <w:t>.</w:t>
      </w:r>
      <w:r>
        <w:rPr>
          <w:snapToGrid w:val="0"/>
        </w:rPr>
        <w:tab/>
        <w:t>Multiple bingo</w:t>
      </w:r>
      <w:bookmarkEnd w:id="143"/>
    </w:p>
    <w:p>
      <w:pPr>
        <w:pStyle w:val="Subsection"/>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rPr>
          <w:snapToGrid w:val="0"/>
        </w:rPr>
      </w:pPr>
      <w:r>
        <w:rPr>
          <w:snapToGrid w:val="0"/>
        </w:rPr>
        <w:tab/>
        <w:t>(2)</w:t>
      </w:r>
      <w:r>
        <w:rPr>
          <w:snapToGrid w:val="0"/>
        </w:rPr>
        <w:tab/>
        <w:t>Where multiple bingo is played —</w:t>
      </w:r>
    </w:p>
    <w:p>
      <w:pPr>
        <w:pStyle w:val="Indenta"/>
        <w:spacing w:before="100"/>
        <w:rPr>
          <w:snapToGrid w:val="0"/>
        </w:rPr>
      </w:pPr>
      <w:r>
        <w:rPr>
          <w:snapToGrid w:val="0"/>
        </w:rPr>
        <w:tab/>
        <w:t>(a)</w:t>
      </w:r>
      <w:r>
        <w:rPr>
          <w:snapToGrid w:val="0"/>
        </w:rPr>
        <w:tab/>
        <w:t xml:space="preserve">the aggregate amount paid to players as prizes in respect of the game shall not exceed 60%, or such other proportion as may be prescribed, of the aggregate </w:t>
      </w:r>
      <w:r>
        <w:rPr>
          <w:snapToGrid w:val="0"/>
        </w:rPr>
        <w:lastRenderedPageBreak/>
        <w:t>amount of the stakes hazarded by the players in playing that game; and</w:t>
      </w:r>
    </w:p>
    <w:p>
      <w:pPr>
        <w:pStyle w:val="Indenta"/>
        <w:spacing w:before="100"/>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keepNext/>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spacing w:before="100"/>
        <w:rPr>
          <w:snapToGrid w:val="0"/>
        </w:rPr>
      </w:pPr>
      <w:r>
        <w:rPr>
          <w:snapToGrid w:val="0"/>
        </w:rPr>
        <w:tab/>
      </w:r>
      <w:r>
        <w:rPr>
          <w:snapToGrid w:val="0"/>
        </w:rPr>
        <w:tab/>
        <w:t>commits an offence.</w:t>
      </w:r>
    </w:p>
    <w:p>
      <w:pPr>
        <w:pStyle w:val="Penstart"/>
        <w:spacing w:before="60"/>
        <w:rPr>
          <w:snapToGrid w:val="0"/>
        </w:rPr>
      </w:pPr>
      <w:r>
        <w:rPr>
          <w:snapToGrid w:val="0"/>
        </w:rPr>
        <w:tab/>
      </w:r>
      <w:r>
        <w:t>Penalty for this subsection: a fine of</w:t>
      </w:r>
      <w:r>
        <w:rPr>
          <w:snapToGrid w:val="0"/>
        </w:rPr>
        <w:t xml:space="preserve"> $1 000.</w:t>
      </w:r>
    </w:p>
    <w:p>
      <w:pPr>
        <w:pStyle w:val="Subsection"/>
        <w:rPr>
          <w:snapToGrid w:val="0"/>
        </w:rPr>
      </w:pPr>
      <w:r>
        <w:rPr>
          <w:snapToGrid w:val="0"/>
        </w:rPr>
        <w:tab/>
        <w:t>(4)</w:t>
      </w:r>
      <w:r>
        <w:rPr>
          <w:snapToGrid w:val="0"/>
        </w:rPr>
        <w:tab/>
        <w:t>In this section —</w:t>
      </w:r>
    </w:p>
    <w:p>
      <w:pPr>
        <w:pStyle w:val="Defstart"/>
      </w:pPr>
      <w:r>
        <w:rPr>
          <w:b/>
        </w:rPr>
        <w:tab/>
      </w:r>
      <w:r>
        <w:rPr>
          <w:rStyle w:val="CharDefText"/>
        </w:rPr>
        <w:t>multiple bingo</w:t>
      </w:r>
      <w:r>
        <w:t xml:space="preserve"> means a game of bingo played jointly on different bingo club premises in circumstances where —</w:t>
      </w:r>
    </w:p>
    <w:p>
      <w:pPr>
        <w:pStyle w:val="Defpara"/>
      </w:pPr>
      <w:r>
        <w:tab/>
        <w:t>(a)</w:t>
      </w:r>
      <w:r>
        <w:tab/>
        <w:t>the draw is determined before the beginning of the game by the organiser of the game and announced on each of those premises while the game is being played there; and</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w:t>
      </w:r>
    </w:p>
    <w:p>
      <w:pPr>
        <w:pStyle w:val="Defsubpara"/>
        <w:keepLines w:val="0"/>
      </w:pPr>
      <w:r>
        <w:tab/>
        <w:t>(i)</w:t>
      </w:r>
      <w:r>
        <w:tab/>
        <w:t xml:space="preserve">a prize calculated by reference to the stakes hazarded at a group of those premises which </w:t>
      </w:r>
      <w:r>
        <w:lastRenderedPageBreak/>
        <w:t>includes the premises on which he is taking part in the game; and</w:t>
      </w:r>
    </w:p>
    <w:p>
      <w:pPr>
        <w:pStyle w:val="Defsubpara"/>
      </w:pPr>
      <w:r>
        <w:tab/>
        <w:t>(ii)</w:t>
      </w:r>
      <w:r>
        <w:tab/>
        <w:t>a prize calculated by reference to the stakes hazarded at the last</w:t>
      </w:r>
      <w:r>
        <w:noBreakHyphen/>
        <w:t>mentioned premises.</w:t>
      </w:r>
    </w:p>
    <w:p>
      <w:pPr>
        <w:pStyle w:val="Footnotesection"/>
      </w:pPr>
      <w:r>
        <w:tab/>
        <w:t>[Section 96 amended: No. 41 of 2018 s. 25(1).]</w:t>
      </w:r>
    </w:p>
    <w:p>
      <w:pPr>
        <w:pStyle w:val="Heading5"/>
        <w:rPr>
          <w:snapToGrid w:val="0"/>
        </w:rPr>
      </w:pPr>
      <w:bookmarkStart w:id="144" w:name="_Toc115267878"/>
      <w:r>
        <w:rPr>
          <w:rStyle w:val="CharSectno"/>
        </w:rPr>
        <w:t>97</w:t>
      </w:r>
      <w:r>
        <w:rPr>
          <w:snapToGrid w:val="0"/>
        </w:rPr>
        <w:t>.</w:t>
      </w:r>
      <w:r>
        <w:rPr>
          <w:snapToGrid w:val="0"/>
        </w:rPr>
        <w:tab/>
        <w:t>Simultaneous bingo</w:t>
      </w:r>
      <w:bookmarkEnd w:id="144"/>
    </w:p>
    <w:p>
      <w:pPr>
        <w:pStyle w:val="Subsection"/>
        <w:rPr>
          <w:snapToGrid w:val="0"/>
        </w:rPr>
      </w:pPr>
      <w:r>
        <w:rPr>
          <w:snapToGrid w:val="0"/>
        </w:rPr>
        <w:tab/>
        <w:t>(1)</w:t>
      </w:r>
      <w:r>
        <w:rPr>
          <w:snapToGrid w:val="0"/>
        </w:rPr>
        <w:tab/>
        <w:t>Where a game of bingo is played simultaneously on different premises in circumstances where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 and</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 and</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keepNext/>
        <w:rPr>
          <w:snapToGrid w:val="0"/>
        </w:rPr>
      </w:pPr>
      <w:r>
        <w:rPr>
          <w:snapToGrid w:val="0"/>
        </w:rPr>
        <w:lastRenderedPageBreak/>
        <w:tab/>
        <w:t>(3)</w:t>
      </w:r>
      <w:r>
        <w:rPr>
          <w:snapToGrid w:val="0"/>
        </w:rPr>
        <w:tab/>
        <w:t>A person who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$1 000.</w:t>
      </w:r>
    </w:p>
    <w:p>
      <w:pPr>
        <w:pStyle w:val="Footnotesection"/>
      </w:pPr>
      <w:r>
        <w:tab/>
        <w:t>[Section 97 amended: No. 41 of 2018 s. 25(1).]</w:t>
      </w:r>
    </w:p>
    <w:p>
      <w:pPr>
        <w:pStyle w:val="Heading5"/>
        <w:rPr>
          <w:snapToGrid w:val="0"/>
        </w:rPr>
      </w:pPr>
      <w:bookmarkStart w:id="145" w:name="_Toc115267879"/>
      <w:r>
        <w:rPr>
          <w:rStyle w:val="CharSectno"/>
        </w:rPr>
        <w:t>98</w:t>
      </w:r>
      <w:r>
        <w:rPr>
          <w:snapToGrid w:val="0"/>
        </w:rPr>
        <w:t>.</w:t>
      </w:r>
      <w:r>
        <w:rPr>
          <w:snapToGrid w:val="0"/>
        </w:rPr>
        <w:tab/>
        <w:t>Conduct of bingo</w:t>
      </w:r>
      <w:bookmarkEnd w:id="145"/>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 or</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r>
      <w:r>
        <w:t>Penalty: a fine of</w:t>
      </w:r>
      <w:r>
        <w:rPr>
          <w:snapToGrid w:val="0"/>
        </w:rPr>
        <w:t xml:space="preserve"> $2 000.</w:t>
      </w:r>
    </w:p>
    <w:p>
      <w:pPr>
        <w:pStyle w:val="Footnotesection"/>
      </w:pPr>
      <w:r>
        <w:tab/>
        <w:t>[Section 98 amended: No. 41 of 2018 s. 25(2).]</w:t>
      </w:r>
    </w:p>
    <w:p>
      <w:pPr>
        <w:pStyle w:val="Heading5"/>
        <w:rPr>
          <w:snapToGrid w:val="0"/>
        </w:rPr>
      </w:pPr>
      <w:bookmarkStart w:id="146" w:name="_Toc115267880"/>
      <w:r>
        <w:rPr>
          <w:rStyle w:val="CharSectno"/>
        </w:rPr>
        <w:t>99</w:t>
      </w:r>
      <w:r>
        <w:rPr>
          <w:snapToGrid w:val="0"/>
        </w:rPr>
        <w:t>.</w:t>
      </w:r>
      <w:r>
        <w:rPr>
          <w:snapToGrid w:val="0"/>
        </w:rPr>
        <w:tab/>
        <w:t>Recovering moneys payable to Commission for bingo</w:t>
      </w:r>
      <w:bookmarkEnd w:id="146"/>
    </w:p>
    <w:p>
      <w:pPr>
        <w:pStyle w:val="Subsection"/>
        <w:rPr>
          <w:snapToGrid w:val="0"/>
        </w:rPr>
      </w:pPr>
      <w:r>
        <w:rPr>
          <w:snapToGrid w:val="0"/>
        </w:rPr>
        <w:tab/>
      </w:r>
      <w:r>
        <w:rPr>
          <w:snapToGrid w:val="0"/>
        </w:rPr>
        <w:tab/>
        <w:t xml:space="preserve">Where any moneys are payable to the Commission in relation to a permit authorising the playing of a game of bingo, those </w:t>
      </w:r>
      <w:r>
        <w:rPr>
          <w:snapToGrid w:val="0"/>
        </w:rPr>
        <w:lastRenderedPageBreak/>
        <w:t>moneys shall be recoverable jointly and severally from all or any of the following persons —</w:t>
      </w:r>
    </w:p>
    <w:p>
      <w:pPr>
        <w:pStyle w:val="Indenta"/>
        <w:rPr>
          <w:snapToGrid w:val="0"/>
        </w:rPr>
      </w:pPr>
      <w:r>
        <w:rPr>
          <w:snapToGrid w:val="0"/>
        </w:rPr>
        <w:tab/>
        <w:t>(a)</w:t>
      </w:r>
      <w:r>
        <w:rPr>
          <w:snapToGrid w:val="0"/>
        </w:rPr>
        <w:tab/>
        <w:t>the permit holder; and</w:t>
      </w:r>
    </w:p>
    <w:p>
      <w:pPr>
        <w:pStyle w:val="Indenta"/>
        <w:rPr>
          <w:snapToGrid w:val="0"/>
        </w:rPr>
      </w:pPr>
      <w:r>
        <w:rPr>
          <w:snapToGrid w:val="0"/>
        </w:rPr>
        <w:tab/>
        <w:t>(b)</w:t>
      </w:r>
      <w:r>
        <w:rPr>
          <w:snapToGrid w:val="0"/>
        </w:rPr>
        <w:tab/>
        <w:t>the promoter, and any person who took money as payment by players for cards or paid prizes to players; and</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147" w:name="_Toc115267881"/>
      <w:r>
        <w:rPr>
          <w:rStyle w:val="CharSectno"/>
        </w:rPr>
        <w:t>100</w:t>
      </w:r>
      <w:r>
        <w:rPr>
          <w:snapToGrid w:val="0"/>
        </w:rPr>
        <w:t>.</w:t>
      </w:r>
      <w:r>
        <w:rPr>
          <w:snapToGrid w:val="0"/>
        </w:rPr>
        <w:tab/>
        <w:t>Regulations as to bingo</w:t>
      </w:r>
      <w:bookmarkEnd w:id="147"/>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w:t>
      </w:r>
    </w:p>
    <w:p>
      <w:pPr>
        <w:pStyle w:val="Indenta"/>
        <w:rPr>
          <w:snapToGrid w:val="0"/>
        </w:rPr>
      </w:pPr>
      <w:r>
        <w:rPr>
          <w:snapToGrid w:val="0"/>
        </w:rPr>
        <w:tab/>
        <w:t>(a)</w:t>
      </w:r>
      <w:r>
        <w:rPr>
          <w:snapToGrid w:val="0"/>
        </w:rPr>
        <w:tab/>
        <w:t>the number of games that may be played on any premises in any period of 24 hours; and</w:t>
      </w:r>
    </w:p>
    <w:p>
      <w:pPr>
        <w:pStyle w:val="Indenta"/>
        <w:rPr>
          <w:snapToGrid w:val="0"/>
        </w:rPr>
      </w:pPr>
      <w:r>
        <w:rPr>
          <w:snapToGrid w:val="0"/>
        </w:rPr>
        <w:tab/>
        <w:t>(b)</w:t>
      </w:r>
      <w:r>
        <w:rPr>
          <w:snapToGrid w:val="0"/>
        </w:rPr>
        <w:tab/>
        <w:t>the period for the playing of a game; and</w:t>
      </w:r>
    </w:p>
    <w:p>
      <w:pPr>
        <w:pStyle w:val="Indenta"/>
        <w:rPr>
          <w:snapToGrid w:val="0"/>
        </w:rPr>
      </w:pPr>
      <w:r>
        <w:rPr>
          <w:snapToGrid w:val="0"/>
        </w:rPr>
        <w:tab/>
        <w:t>(c)</w:t>
      </w:r>
      <w:r>
        <w:rPr>
          <w:snapToGrid w:val="0"/>
        </w:rPr>
        <w:tab/>
        <w:t>the hours during which gaming is permitted to take place; and</w:t>
      </w:r>
    </w:p>
    <w:p>
      <w:pPr>
        <w:pStyle w:val="Indenta"/>
        <w:rPr>
          <w:snapToGrid w:val="0"/>
        </w:rPr>
      </w:pPr>
      <w:r>
        <w:rPr>
          <w:snapToGrid w:val="0"/>
        </w:rPr>
        <w:tab/>
        <w:t>(d)</w:t>
      </w:r>
      <w:r>
        <w:rPr>
          <w:snapToGrid w:val="0"/>
        </w:rPr>
        <w:tab/>
        <w:t>the amount of the stakes; and</w:t>
      </w:r>
    </w:p>
    <w:p>
      <w:pPr>
        <w:pStyle w:val="Indenta"/>
        <w:rPr>
          <w:snapToGrid w:val="0"/>
        </w:rPr>
      </w:pPr>
      <w:r>
        <w:rPr>
          <w:snapToGrid w:val="0"/>
        </w:rPr>
        <w:tab/>
        <w:t>(e)</w:t>
      </w:r>
      <w:r>
        <w:rPr>
          <w:snapToGrid w:val="0"/>
        </w:rPr>
        <w:tab/>
        <w:t>the method of calculating the value or amount of the prizes; and</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 and</w:t>
      </w:r>
    </w:p>
    <w:p>
      <w:pPr>
        <w:pStyle w:val="Indenta"/>
        <w:rPr>
          <w:snapToGrid w:val="0"/>
        </w:rPr>
      </w:pPr>
      <w:r>
        <w:rPr>
          <w:snapToGrid w:val="0"/>
        </w:rPr>
        <w:tab/>
        <w:t>(g)</w:t>
      </w:r>
      <w:r>
        <w:rPr>
          <w:snapToGrid w:val="0"/>
        </w:rPr>
        <w:tab/>
        <w:t xml:space="preserve">requiring the display, in such manner and in such positions on the premises as may be prescribed, of the rules in accordance with which any game is to be played </w:t>
      </w:r>
      <w:r>
        <w:rPr>
          <w:snapToGrid w:val="0"/>
        </w:rPr>
        <w:lastRenderedPageBreak/>
        <w:t>on the premises, either generally or in any particular circumstances; and</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 and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 and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 and</w:t>
      </w:r>
    </w:p>
    <w:p>
      <w:pPr>
        <w:pStyle w:val="Indenta"/>
        <w:rPr>
          <w:snapToGrid w:val="0"/>
        </w:rPr>
      </w:pPr>
      <w:r>
        <w:rPr>
          <w:snapToGrid w:val="0"/>
        </w:rPr>
        <w:tab/>
        <w:t>(l)</w:t>
      </w:r>
      <w:r>
        <w:rPr>
          <w:snapToGrid w:val="0"/>
        </w:rPr>
        <w:tab/>
        <w:t>authorising the Commission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 and</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 and</w:t>
      </w:r>
    </w:p>
    <w:p>
      <w:pPr>
        <w:pStyle w:val="Indenta"/>
        <w:rPr>
          <w:snapToGrid w:val="0"/>
        </w:rPr>
      </w:pPr>
      <w:r>
        <w:rPr>
          <w:snapToGrid w:val="0"/>
        </w:rPr>
        <w:tab/>
        <w:t>(n)</w:t>
      </w:r>
      <w:r>
        <w:rPr>
          <w:snapToGrid w:val="0"/>
        </w:rPr>
        <w:tab/>
        <w:t>the printing, sale, use and call back of cards; and</w:t>
      </w:r>
    </w:p>
    <w:p>
      <w:pPr>
        <w:pStyle w:val="Indenta"/>
        <w:keepNext/>
        <w:rPr>
          <w:snapToGrid w:val="0"/>
        </w:rPr>
      </w:pPr>
      <w:r>
        <w:rPr>
          <w:snapToGrid w:val="0"/>
        </w:rPr>
        <w:tab/>
        <w:t>(na)</w:t>
      </w:r>
      <w:r>
        <w:rPr>
          <w:snapToGrid w:val="0"/>
        </w:rPr>
        <w:tab/>
        <w:t>the persons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No. 24 of 1998 s. 60.]</w:t>
      </w:r>
    </w:p>
    <w:p>
      <w:pPr>
        <w:pStyle w:val="Heading3"/>
      </w:pPr>
      <w:bookmarkStart w:id="148" w:name="_Toc115166651"/>
      <w:bookmarkStart w:id="149" w:name="_Toc115166808"/>
      <w:bookmarkStart w:id="150" w:name="_Toc115267882"/>
      <w:r>
        <w:rPr>
          <w:rStyle w:val="CharDivNo"/>
        </w:rPr>
        <w:t>Division 7</w:t>
      </w:r>
      <w:r>
        <w:rPr>
          <w:snapToGrid w:val="0"/>
        </w:rPr>
        <w:t> — </w:t>
      </w:r>
      <w:r>
        <w:rPr>
          <w:rStyle w:val="CharDivText"/>
        </w:rPr>
        <w:t>Lotteries, and amusements with prizes etc.</w:t>
      </w:r>
      <w:bookmarkEnd w:id="148"/>
      <w:bookmarkEnd w:id="149"/>
      <w:bookmarkEnd w:id="150"/>
    </w:p>
    <w:p>
      <w:pPr>
        <w:pStyle w:val="Heading5"/>
        <w:rPr>
          <w:snapToGrid w:val="0"/>
        </w:rPr>
      </w:pPr>
      <w:bookmarkStart w:id="151" w:name="_Toc115267883"/>
      <w:r>
        <w:rPr>
          <w:rStyle w:val="CharSectno"/>
        </w:rPr>
        <w:t>101</w:t>
      </w:r>
      <w:r>
        <w:rPr>
          <w:snapToGrid w:val="0"/>
        </w:rPr>
        <w:t>.</w:t>
      </w:r>
      <w:r>
        <w:rPr>
          <w:snapToGrid w:val="0"/>
        </w:rPr>
        <w:tab/>
        <w:t>Terms used</w:t>
      </w:r>
      <w:bookmarkEnd w:id="151"/>
    </w:p>
    <w:p>
      <w:pPr>
        <w:pStyle w:val="Subsection"/>
        <w:rPr>
          <w:snapToGrid w:val="0"/>
        </w:rPr>
      </w:pPr>
      <w:r>
        <w:rPr>
          <w:snapToGrid w:val="0"/>
        </w:rPr>
        <w:tab/>
        <w:t>(1)</w:t>
      </w:r>
      <w:r>
        <w:rPr>
          <w:snapToGrid w:val="0"/>
        </w:rPr>
        <w:tab/>
        <w:t>In this Division —</w:t>
      </w:r>
    </w:p>
    <w:p>
      <w:pPr>
        <w:pStyle w:val="Defstart"/>
        <w:spacing w:before="100"/>
      </w:pPr>
      <w:r>
        <w:rPr>
          <w:b/>
        </w:rPr>
        <w:tab/>
      </w:r>
      <w:r>
        <w:rPr>
          <w:rStyle w:val="CharDefText"/>
        </w:rPr>
        <w:t>batch</w:t>
      </w:r>
      <w:r>
        <w:t>, in relation to tickets in a continuing lottery, means a number of tickets that have the same series number and are distinguishable from the tickets in any other batch;</w:t>
      </w:r>
    </w:p>
    <w:p>
      <w:pPr>
        <w:pStyle w:val="Defstart"/>
        <w:spacing w:before="100"/>
      </w:pPr>
      <w:r>
        <w:rPr>
          <w:b/>
        </w:rPr>
        <w:tab/>
      </w:r>
      <w:r>
        <w:rPr>
          <w:rStyle w:val="CharDefText"/>
        </w:rPr>
        <w:t>closing date</w:t>
      </w:r>
      <w:r>
        <w:t>, in relation to a standard lottery, means the last date on which tickets may be sold or subscriptions received from entrants to the standard lottery;</w:t>
      </w:r>
    </w:p>
    <w:p>
      <w:pPr>
        <w:pStyle w:val="Defstart"/>
        <w:spacing w:before="100"/>
      </w:pPr>
      <w:r>
        <w:rPr>
          <w:b/>
        </w:rPr>
        <w:tab/>
      </w:r>
      <w:r>
        <w:rPr>
          <w:rStyle w:val="CharDefText"/>
        </w:rPr>
        <w:t>conducting</w:t>
      </w:r>
      <w:r>
        <w:t>, in relation to an unlawful lottery, includes any matter referred to in section 106(2);</w:t>
      </w:r>
    </w:p>
    <w:p>
      <w:pPr>
        <w:pStyle w:val="Defstart"/>
        <w:spacing w:before="100"/>
      </w:pPr>
      <w:r>
        <w:rPr>
          <w:b/>
        </w:rPr>
        <w:tab/>
      </w:r>
      <w:r>
        <w:rPr>
          <w:rStyle w:val="CharDefText"/>
        </w:rPr>
        <w:t>continuing lottery</w:t>
      </w:r>
      <w:r>
        <w:t xml:space="preserve"> means a continuing lottery within the meaning of subsection (2);</w:t>
      </w:r>
    </w:p>
    <w:p>
      <w:pPr>
        <w:pStyle w:val="Defstart"/>
        <w:spacing w:before="100"/>
      </w:pPr>
      <w:r>
        <w:rPr>
          <w:b/>
        </w:rPr>
        <w:tab/>
      </w:r>
      <w:r>
        <w:rPr>
          <w:rStyle w:val="CharDefText"/>
        </w:rPr>
        <w:t>date of drawing</w:t>
      </w:r>
      <w:r>
        <w:t>, in relation to a standard lottery, means the date fixed for the drawing of, or deciding the result of the standard lottery;</w:t>
      </w:r>
    </w:p>
    <w:p>
      <w:pPr>
        <w:pStyle w:val="Defstart"/>
        <w:spacing w:before="100"/>
      </w:pPr>
      <w:r>
        <w:rPr>
          <w:b/>
        </w:rPr>
        <w:tab/>
      </w:r>
      <w:r>
        <w:rPr>
          <w:rStyle w:val="CharDefText"/>
        </w:rPr>
        <w:t>drawing</w:t>
      </w:r>
      <w:r>
        <w:t>, in relation to a standard lottery, means the determination of the event or events which, according to the conditions of the standard lottery, decide the result;</w:t>
      </w:r>
    </w:p>
    <w:p>
      <w:pPr>
        <w:pStyle w:val="Defstart"/>
        <w:spacing w:before="100"/>
      </w:pPr>
      <w:r>
        <w:rPr>
          <w:b/>
        </w:rPr>
        <w:tab/>
      </w:r>
      <w:r>
        <w:rPr>
          <w:rStyle w:val="CharDefText"/>
        </w:rPr>
        <w:t>face value</w:t>
      </w:r>
      <w:r>
        <w:t>, in relation to a ticket intended to be sold in a continuing lottery, means the amount for which the ticket is intended to be sold to a person taking part in the lottery;</w:t>
      </w:r>
    </w:p>
    <w:p>
      <w:pPr>
        <w:pStyle w:val="Defstart"/>
        <w:spacing w:before="100"/>
      </w:pPr>
      <w:r>
        <w:rPr>
          <w:b/>
        </w:rPr>
        <w:tab/>
      </w:r>
      <w:r>
        <w:rPr>
          <w:rStyle w:val="CharDefText"/>
        </w:rPr>
        <w:t>foreign lottery</w:t>
      </w:r>
      <w:r>
        <w:t xml:space="preserve"> means a lottery which is conducted, drawn or decided wholly or partly outside Australia, notwithstanding that </w:t>
      </w:r>
      <w:r>
        <w:lastRenderedPageBreak/>
        <w:t>the same may be legal according to the law of the place where it is conducted, drawn, or decided;</w:t>
      </w:r>
    </w:p>
    <w:p>
      <w:pPr>
        <w:pStyle w:val="Defstart"/>
        <w:spacing w:before="100"/>
      </w:pPr>
      <w:r>
        <w:rPr>
          <w:b/>
        </w:rPr>
        <w:tab/>
      </w:r>
      <w:r>
        <w:rPr>
          <w:rStyle w:val="CharDefText"/>
        </w:rPr>
        <w:t>opening date</w:t>
      </w:r>
      <w:r>
        <w:t>, in relation to a standard lottery, means the first day on which tickets in the standard lottery may be sold or on which subscriptions in the standard lottery may be received;</w:t>
      </w:r>
    </w:p>
    <w:p>
      <w:pPr>
        <w:pStyle w:val="Defstart"/>
        <w:spacing w:before="100"/>
      </w:pPr>
      <w:r>
        <w:rPr>
          <w:b/>
        </w:rPr>
        <w:tab/>
      </w:r>
      <w:r>
        <w:rPr>
          <w:rStyle w:val="CharDefText"/>
        </w:rPr>
        <w:t>quarter</w:t>
      </w:r>
      <w:r>
        <w:t xml:space="preserve"> means a period of 3 months commencing on 1 July, 1 October, 1 January or 1 April;</w:t>
      </w:r>
    </w:p>
    <w:p>
      <w:pPr>
        <w:pStyle w:val="Defstart"/>
        <w:keepNext/>
      </w:pPr>
      <w:r>
        <w:rPr>
          <w:b/>
        </w:rPr>
        <w:tab/>
      </w:r>
      <w:r>
        <w:rPr>
          <w:rStyle w:val="CharDefText"/>
        </w:rPr>
        <w:t>standard lottery</w:t>
      </w:r>
      <w:r>
        <w:t xml:space="preserve"> means a lottery other than a continuing lottery;</w:t>
      </w:r>
    </w:p>
    <w:p>
      <w:pPr>
        <w:pStyle w:val="Defstart"/>
      </w:pPr>
      <w:r>
        <w:rPr>
          <w:b/>
        </w:rPr>
        <w:tab/>
      </w:r>
      <w:r>
        <w:rPr>
          <w:rStyle w:val="CharDefText"/>
        </w:rPr>
        <w:t>ticket</w:t>
      </w:r>
      <w:r>
        <w:t>, in relation to a continuing lottery, means a ticket that is intended for sale in a continuing lottery;</w:t>
      </w:r>
    </w:p>
    <w:p>
      <w:pPr>
        <w:pStyle w:val="Defstart"/>
      </w:pPr>
      <w:r>
        <w:rPr>
          <w:b/>
        </w:rPr>
        <w:tab/>
      </w:r>
      <w:r>
        <w:rPr>
          <w:rStyle w:val="CharDefText"/>
        </w:rPr>
        <w:t>ticket</w:t>
      </w:r>
      <w:r>
        <w:t>, in relation to a standard lottery, includes any document evidencing the claim of a person to participate in the chances of the lottery;</w:t>
      </w:r>
    </w:p>
    <w:p>
      <w:pPr>
        <w:pStyle w:val="Defstart"/>
      </w:pPr>
      <w:r>
        <w:rPr>
          <w:b/>
        </w:rPr>
        <w:tab/>
      </w:r>
      <w:r>
        <w:rPr>
          <w:rStyle w:val="CharDefText"/>
        </w:rPr>
        <w:t>unlawful lottery</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[Section 101 amended: No. 16 of 1990 s. 33; No. 6 of 2000 s. 12; No. 45 of 2002 s. 13; No. 41 of 2018 s. 22.]</w:t>
      </w:r>
    </w:p>
    <w:p>
      <w:pPr>
        <w:pStyle w:val="Heading5"/>
        <w:rPr>
          <w:snapToGrid w:val="0"/>
        </w:rPr>
      </w:pPr>
      <w:bookmarkStart w:id="152" w:name="_Toc115267884"/>
      <w:r>
        <w:rPr>
          <w:rStyle w:val="CharSectno"/>
        </w:rPr>
        <w:lastRenderedPageBreak/>
        <w:t>102</w:t>
      </w:r>
      <w:r>
        <w:rPr>
          <w:snapToGrid w:val="0"/>
        </w:rPr>
        <w:t>.</w:t>
      </w:r>
      <w:r>
        <w:rPr>
          <w:snapToGrid w:val="0"/>
        </w:rPr>
        <w:tab/>
        <w:t>Certain lotteries unlawful</w:t>
      </w:r>
      <w:bookmarkEnd w:id="152"/>
    </w:p>
    <w:p>
      <w:pPr>
        <w:pStyle w:val="Subsection"/>
        <w:keepNext/>
        <w:keepLines/>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[Section 102 amended: No. 16 of 1990 s. 33; No. 24 of 1998 s. 61(1); No. 26 of 1998 s. 23; No. 6 of 2000 s. 13; No. 35 of 2003 s. 157.]</w:t>
      </w:r>
    </w:p>
    <w:p>
      <w:pPr>
        <w:pStyle w:val="Heading5"/>
        <w:rPr>
          <w:snapToGrid w:val="0"/>
        </w:rPr>
      </w:pPr>
      <w:bookmarkStart w:id="153" w:name="_Toc115267885"/>
      <w:r>
        <w:rPr>
          <w:rStyle w:val="CharSectno"/>
        </w:rPr>
        <w:t>103</w:t>
      </w:r>
      <w:r>
        <w:rPr>
          <w:snapToGrid w:val="0"/>
        </w:rPr>
        <w:t>.</w:t>
      </w:r>
      <w:r>
        <w:rPr>
          <w:snapToGrid w:val="0"/>
        </w:rPr>
        <w:tab/>
        <w:t>Permitted lotteries (deemed)</w:t>
      </w:r>
      <w:bookmarkEnd w:id="153"/>
    </w:p>
    <w:p>
      <w:pPr>
        <w:pStyle w:val="Subsection"/>
        <w:rPr>
          <w:snapToGrid w:val="0"/>
        </w:rPr>
      </w:pPr>
      <w:r>
        <w:rPr>
          <w:snapToGrid w:val="0"/>
        </w:rPr>
        <w:tab/>
        <w:t>(1)</w:t>
      </w:r>
      <w:r>
        <w:rPr>
          <w:snapToGrid w:val="0"/>
        </w:rPr>
        <w:tab/>
        <w:t>A lottery in which —</w:t>
      </w:r>
    </w:p>
    <w:p>
      <w:pPr>
        <w:pStyle w:val="Indenta"/>
        <w:rPr>
          <w:snapToGrid w:val="0"/>
        </w:rPr>
      </w:pPr>
      <w:r>
        <w:rPr>
          <w:snapToGrid w:val="0"/>
        </w:rPr>
        <w:tab/>
        <w:t>(a)</w:t>
      </w:r>
      <w:r>
        <w:rPr>
          <w:snapToGrid w:val="0"/>
        </w:rPr>
        <w:tab/>
        <w:t>tickets or chances are sold to or subscriptions received from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 and</w:t>
      </w:r>
    </w:p>
    <w:p>
      <w:pPr>
        <w:pStyle w:val="Indenta"/>
        <w:rPr>
          <w:snapToGrid w:val="0"/>
        </w:rPr>
      </w:pPr>
      <w:r>
        <w:rPr>
          <w:snapToGrid w:val="0"/>
        </w:rPr>
        <w:tab/>
        <w:t>(b)</w:t>
      </w:r>
      <w:r>
        <w:rPr>
          <w:snapToGrid w:val="0"/>
        </w:rPr>
        <w:tab/>
        <w:t>the price of every ticket, chance or subscription is the same; and</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 and</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keepNext/>
        <w:rPr>
          <w:snapToGrid w:val="0"/>
        </w:rPr>
      </w:pPr>
      <w:r>
        <w:rPr>
          <w:snapToGrid w:val="0"/>
        </w:rPr>
        <w:lastRenderedPageBreak/>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w:t>
      </w:r>
    </w:p>
    <w:p>
      <w:pPr>
        <w:pStyle w:val="Indenta"/>
        <w:rPr>
          <w:snapToGrid w:val="0"/>
        </w:rPr>
      </w:pPr>
      <w:r>
        <w:rPr>
          <w:snapToGrid w:val="0"/>
        </w:rPr>
        <w:tab/>
        <w:t>(a)</w:t>
      </w:r>
      <w:r>
        <w:rPr>
          <w:snapToGrid w:val="0"/>
        </w:rPr>
        <w:tab/>
        <w:t>the tickets are alphabetically and numerically distinct but the same price; and</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keepNext/>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 and</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No. 35 of 2003 s. 158.]</w:t>
      </w:r>
    </w:p>
    <w:p>
      <w:pPr>
        <w:pStyle w:val="Heading5"/>
        <w:rPr>
          <w:snapToGrid w:val="0"/>
        </w:rPr>
      </w:pPr>
      <w:bookmarkStart w:id="154" w:name="_Toc115267886"/>
      <w:r>
        <w:rPr>
          <w:rStyle w:val="CharSectno"/>
        </w:rPr>
        <w:lastRenderedPageBreak/>
        <w:t>104</w:t>
      </w:r>
      <w:r>
        <w:rPr>
          <w:snapToGrid w:val="0"/>
        </w:rPr>
        <w:t>.</w:t>
      </w:r>
      <w:r>
        <w:rPr>
          <w:snapToGrid w:val="0"/>
        </w:rPr>
        <w:tab/>
        <w:t>Permits for lotteries; duties of holders of permit for standard lottery</w:t>
      </w:r>
      <w:bookmarkEnd w:id="154"/>
    </w:p>
    <w:p>
      <w:pPr>
        <w:pStyle w:val="Subsection"/>
        <w:keepNext/>
        <w:keepLines/>
        <w:rPr>
          <w:snapToGrid w:val="0"/>
        </w:rPr>
      </w:pPr>
      <w:r>
        <w:rPr>
          <w:snapToGrid w:val="0"/>
        </w:rPr>
        <w:tab/>
        <w:t>(1)</w:t>
      </w:r>
      <w:r>
        <w:rPr>
          <w:snapToGrid w:val="0"/>
        </w:rPr>
        <w:tab/>
        <w:t>A permit authorising the conduct of a lottery may be issued —</w:t>
      </w:r>
    </w:p>
    <w:p>
      <w:pPr>
        <w:pStyle w:val="Indenta"/>
        <w:keepNext/>
        <w:keepLines/>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rPr>
          <w:snapToGrid w:val="0"/>
        </w:rPr>
      </w:pPr>
      <w:r>
        <w:rPr>
          <w:snapToGrid w:val="0"/>
        </w:rPr>
        <w:tab/>
        <w:t>(1c)</w:t>
      </w:r>
      <w:r>
        <w:rPr>
          <w:snapToGrid w:val="0"/>
        </w:rPr>
        <w:tab/>
        <w:t>A permit for a standard lottery of the kind generally known or described as a calcutta shall be issued only to a race club or an approved club.</w:t>
      </w:r>
    </w:p>
    <w:p>
      <w:pPr>
        <w:pStyle w:val="Subsection"/>
        <w:rPr>
          <w:snapToGrid w:val="0"/>
        </w:rPr>
      </w:pPr>
      <w:r>
        <w:rPr>
          <w:snapToGrid w:val="0"/>
        </w:rPr>
        <w:tab/>
        <w:t>(2)</w:t>
      </w:r>
      <w:r>
        <w:rPr>
          <w:snapToGrid w:val="0"/>
        </w:rPr>
        <w:tab/>
        <w:t>A person applying for a permit authorising a standard lottery shall furnish to the Commission evidence satisfactory to the Commission as to —</w:t>
      </w:r>
    </w:p>
    <w:p>
      <w:pPr>
        <w:pStyle w:val="Indenta"/>
        <w:rPr>
          <w:snapToGrid w:val="0"/>
        </w:rPr>
      </w:pPr>
      <w:r>
        <w:rPr>
          <w:snapToGrid w:val="0"/>
        </w:rPr>
        <w:tab/>
        <w:t>(a)</w:t>
      </w:r>
      <w:r>
        <w:rPr>
          <w:snapToGrid w:val="0"/>
        </w:rPr>
        <w:tab/>
        <w:t>the proposed opening date and closing date and date of drawing; and</w:t>
      </w:r>
    </w:p>
    <w:p>
      <w:pPr>
        <w:pStyle w:val="Indenta"/>
        <w:rPr>
          <w:snapToGrid w:val="0"/>
        </w:rPr>
      </w:pPr>
      <w:r>
        <w:rPr>
          <w:snapToGrid w:val="0"/>
        </w:rPr>
        <w:tab/>
        <w:t>(b)</w:t>
      </w:r>
      <w:r>
        <w:rPr>
          <w:snapToGrid w:val="0"/>
        </w:rPr>
        <w:tab/>
        <w:t>the locality in which tickets or chances are to be offered for sale or in which subscriptions may be received; and</w:t>
      </w:r>
    </w:p>
    <w:p>
      <w:pPr>
        <w:pStyle w:val="Indenta"/>
        <w:rPr>
          <w:snapToGrid w:val="0"/>
        </w:rPr>
      </w:pPr>
      <w:r>
        <w:rPr>
          <w:snapToGrid w:val="0"/>
        </w:rPr>
        <w:tab/>
        <w:t>(c)</w:t>
      </w:r>
      <w:r>
        <w:rPr>
          <w:snapToGrid w:val="0"/>
        </w:rPr>
        <w:tab/>
        <w:t>the purpose for which the standard lottery is to be conducted; and</w:t>
      </w:r>
    </w:p>
    <w:p>
      <w:pPr>
        <w:pStyle w:val="Indenta"/>
        <w:rPr>
          <w:snapToGrid w:val="0"/>
        </w:rPr>
      </w:pPr>
      <w:r>
        <w:rPr>
          <w:snapToGrid w:val="0"/>
        </w:rPr>
        <w:tab/>
        <w:t>(d)</w:t>
      </w:r>
      <w:r>
        <w:rPr>
          <w:snapToGrid w:val="0"/>
        </w:rPr>
        <w:tab/>
        <w:t>the total number of tickets or chances to be offered for sale, or the total number of subscriptions proposed to be called for; and</w:t>
      </w:r>
    </w:p>
    <w:p>
      <w:pPr>
        <w:pStyle w:val="Indenta"/>
        <w:rPr>
          <w:snapToGrid w:val="0"/>
        </w:rPr>
      </w:pPr>
      <w:r>
        <w:rPr>
          <w:snapToGrid w:val="0"/>
        </w:rPr>
        <w:tab/>
        <w:t>(e)</w:t>
      </w:r>
      <w:r>
        <w:rPr>
          <w:snapToGrid w:val="0"/>
        </w:rPr>
        <w:tab/>
        <w:t>the price of each ticket, chance or subscription; and</w:t>
      </w:r>
    </w:p>
    <w:p>
      <w:pPr>
        <w:pStyle w:val="Indenta"/>
        <w:rPr>
          <w:snapToGrid w:val="0"/>
        </w:rPr>
      </w:pPr>
      <w:r>
        <w:rPr>
          <w:snapToGrid w:val="0"/>
        </w:rPr>
        <w:lastRenderedPageBreak/>
        <w:tab/>
        <w:t>(f)</w:t>
      </w:r>
      <w:r>
        <w:rPr>
          <w:snapToGrid w:val="0"/>
        </w:rPr>
        <w:tab/>
        <w:t>the total amount of the prize money or other prizes proposed to be distributed or offered in the standard lottery; and</w:t>
      </w:r>
    </w:p>
    <w:p>
      <w:pPr>
        <w:pStyle w:val="Indenta"/>
        <w:rPr>
          <w:snapToGrid w:val="0"/>
        </w:rPr>
      </w:pPr>
      <w:r>
        <w:rPr>
          <w:snapToGrid w:val="0"/>
        </w:rPr>
        <w:tab/>
        <w:t>(g)</w:t>
      </w:r>
      <w:r>
        <w:rPr>
          <w:snapToGrid w:val="0"/>
        </w:rPr>
        <w:tab/>
        <w:t>such other matters as may be prescribed or as are required by the Commission.</w:t>
      </w:r>
    </w:p>
    <w:p>
      <w:pPr>
        <w:pStyle w:val="Subsection"/>
        <w:keepNext/>
        <w:rPr>
          <w:snapToGrid w:val="0"/>
        </w:rPr>
      </w:pPr>
      <w:r>
        <w:rPr>
          <w:snapToGrid w:val="0"/>
        </w:rPr>
        <w:tab/>
        <w:t>(3)</w:t>
      </w:r>
      <w:r>
        <w:rPr>
          <w:snapToGrid w:val="0"/>
        </w:rPr>
        <w:tab/>
        <w:t>With respect to a standard lottery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 and</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 and</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 and</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 and</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 and</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 and</w:t>
      </w:r>
    </w:p>
    <w:p>
      <w:pPr>
        <w:pStyle w:val="Indenta"/>
        <w:rPr>
          <w:snapToGrid w:val="0"/>
        </w:rPr>
      </w:pPr>
      <w:r>
        <w:rPr>
          <w:snapToGrid w:val="0"/>
        </w:rPr>
        <w:lastRenderedPageBreak/>
        <w:tab/>
        <w:t>(eb)</w:t>
      </w:r>
      <w:r>
        <w:rPr>
          <w:snapToGrid w:val="0"/>
        </w:rPr>
        <w:tab/>
        <w:t>subject to any postponement of the closing date under paragraph (e), the permit holder shall ensure that the drawing of a standard lottery takes place within the prescribed period after the closing date of the lottery; and</w:t>
      </w:r>
    </w:p>
    <w:p>
      <w:pPr>
        <w:pStyle w:val="Indenta"/>
        <w:rPr>
          <w:snapToGrid w:val="0"/>
        </w:rPr>
      </w:pPr>
      <w:r>
        <w:rPr>
          <w:snapToGrid w:val="0"/>
        </w:rPr>
        <w:tab/>
        <w:t>(f)</w:t>
      </w:r>
      <w:r>
        <w:rPr>
          <w:snapToGrid w:val="0"/>
        </w:rPr>
        <w:tab/>
        <w:t>unless paragraph (e) applies, the closing date shall be not more than 3 months from the opening date; and</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 and</w:t>
      </w:r>
    </w:p>
    <w:p>
      <w:pPr>
        <w:pStyle w:val="Indenta"/>
        <w:rPr>
          <w:snapToGrid w:val="0"/>
        </w:rPr>
      </w:pPr>
      <w:r>
        <w:rPr>
          <w:snapToGrid w:val="0"/>
        </w:rPr>
        <w:tab/>
        <w:t>(h)</w:t>
      </w:r>
      <w:r>
        <w:rPr>
          <w:snapToGrid w:val="0"/>
        </w:rPr>
        <w:tab/>
        <w:t>the price of every ticket, chance or subscription shall be the same, and shall be stated on the ticket; and</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r>
      <w:r>
        <w:t>Penalty for this subsection: a fine of</w:t>
      </w:r>
      <w:r>
        <w:rPr>
          <w:snapToGrid w:val="0"/>
        </w:rPr>
        <w:t xml:space="preserve">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r>
      <w:r>
        <w:t>Penalty for this subsection: a fine of</w:t>
      </w:r>
      <w:r>
        <w:rPr>
          <w:snapToGrid w:val="0"/>
        </w:rPr>
        <w:t xml:space="preserve"> $1 000.</w:t>
      </w:r>
    </w:p>
    <w:p>
      <w:pPr>
        <w:pStyle w:val="Footnotesection"/>
      </w:pPr>
      <w:r>
        <w:tab/>
        <w:t>[Section 104 amended: No. 24 of 1998 s. 62; No. 6 of 2000 s. 14; No. 41 of 2018 s. 25(1).]</w:t>
      </w:r>
    </w:p>
    <w:p>
      <w:pPr>
        <w:pStyle w:val="Heading5"/>
      </w:pPr>
      <w:bookmarkStart w:id="155" w:name="_Toc115267887"/>
      <w:r>
        <w:rPr>
          <w:rStyle w:val="CharSectno"/>
        </w:rPr>
        <w:lastRenderedPageBreak/>
        <w:t>104A</w:t>
      </w:r>
      <w:r>
        <w:t>.</w:t>
      </w:r>
      <w:r>
        <w:tab/>
        <w:t>Commission not liable for unpaid lottery prizes</w:t>
      </w:r>
      <w:bookmarkEnd w:id="155"/>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No. 24 of 1998 s. 63.]</w:t>
      </w:r>
    </w:p>
    <w:p>
      <w:pPr>
        <w:pStyle w:val="Heading5"/>
      </w:pPr>
      <w:bookmarkStart w:id="156" w:name="_Toc115267888"/>
      <w:r>
        <w:rPr>
          <w:rStyle w:val="CharSectno"/>
        </w:rPr>
        <w:t>104B</w:t>
      </w:r>
      <w:r>
        <w:t>.</w:t>
      </w:r>
      <w:r>
        <w:tab/>
        <w:t>Licensing of suppliers of lottery tickets</w:t>
      </w:r>
      <w:bookmarkEnd w:id="156"/>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spacing w:before="60"/>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 or</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lastRenderedPageBreak/>
        <w:tab/>
        <w:t>(4)</w:t>
      </w:r>
      <w:r>
        <w:tab/>
        <w:t>For the purposes of subsection (3), a person has an interest in a body corporate if the person —</w:t>
      </w:r>
    </w:p>
    <w:p>
      <w:pPr>
        <w:pStyle w:val="Indenta"/>
      </w:pPr>
      <w:r>
        <w:tab/>
        <w:t>(a)</w:t>
      </w:r>
      <w:r>
        <w:tab/>
        <w:t>holds office as a director of the body corporate; or</w:t>
      </w:r>
    </w:p>
    <w:p>
      <w:pPr>
        <w:pStyle w:val="Indenta"/>
      </w:pPr>
      <w:r>
        <w:tab/>
        <w:t>(b)</w:t>
      </w:r>
      <w:r>
        <w:tab/>
        <w:t>holds any share, or has a beneficial interest in any share, in that body corporate; or</w:t>
      </w:r>
    </w:p>
    <w:p>
      <w:pPr>
        <w:pStyle w:val="Indenta"/>
      </w:pPr>
      <w:r>
        <w:tab/>
        <w:t>(c)</w:t>
      </w:r>
      <w:r>
        <w:tab/>
        <w:t>holds any unit in a unit trust scheme of which the body corporate is the trustee; or</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No. 6 of 2000 s. 15; amended: No. 12 of 2008 Sch. 1 cl. 9.]</w:t>
      </w:r>
    </w:p>
    <w:p>
      <w:pPr>
        <w:pStyle w:val="Heading5"/>
      </w:pPr>
      <w:bookmarkStart w:id="157" w:name="_Toc115267889"/>
      <w:r>
        <w:rPr>
          <w:rStyle w:val="CharSectno"/>
        </w:rPr>
        <w:t>104C</w:t>
      </w:r>
      <w:r>
        <w:t>.</w:t>
      </w:r>
      <w:r>
        <w:tab/>
        <w:t>Licences of licensed suppliers, cancelling etc.</w:t>
      </w:r>
      <w:bookmarkEnd w:id="157"/>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 or</w:t>
      </w:r>
    </w:p>
    <w:p>
      <w:pPr>
        <w:pStyle w:val="Indenta"/>
      </w:pPr>
      <w:r>
        <w:tab/>
        <w:t>(b)</w:t>
      </w:r>
      <w:r>
        <w:tab/>
        <w:t>a licensed supplier ceases to carry on the business by reason of which the licensed supplier was required to be licensed; or</w:t>
      </w:r>
    </w:p>
    <w:p>
      <w:pPr>
        <w:pStyle w:val="Indenta"/>
      </w:pPr>
      <w:r>
        <w:lastRenderedPageBreak/>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spacing w:before="100"/>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spacing w:before="100"/>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keepNext/>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for this subsection: a fine of $5 000.</w:t>
      </w:r>
    </w:p>
    <w:p>
      <w:pPr>
        <w:pStyle w:val="Footnotesection"/>
      </w:pPr>
      <w:r>
        <w:lastRenderedPageBreak/>
        <w:tab/>
        <w:t>[Section 104C inserted: No. 6 of 2000 s. 15; amended: No. 41 of 2018 s. 25(1).]</w:t>
      </w:r>
    </w:p>
    <w:p>
      <w:pPr>
        <w:pStyle w:val="Heading5"/>
      </w:pPr>
      <w:bookmarkStart w:id="158" w:name="_Toc115267890"/>
      <w:r>
        <w:rPr>
          <w:rStyle w:val="CharSectno"/>
        </w:rPr>
        <w:t>104D</w:t>
      </w:r>
      <w:r>
        <w:t>.</w:t>
      </w:r>
      <w:r>
        <w:tab/>
        <w:t>Refusal or cancellation of supplier’s licence, Commission to report to Minister; appeals to Minister</w:t>
      </w:r>
      <w:bookmarkEnd w:id="158"/>
    </w:p>
    <w:p>
      <w:pPr>
        <w:pStyle w:val="Subsection"/>
        <w:keepNext/>
        <w:outlineLvl w:val="0"/>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keepNext/>
        <w:keepLines/>
        <w:outlineLvl w:val="0"/>
      </w:pPr>
      <w:r>
        <w:tab/>
        <w:t>(2)</w:t>
      </w:r>
      <w:r>
        <w:tab/>
        <w:t>A person aggrieved by a determination of the Commission may submit an appeal to the Minister in accordance with section 62.</w:t>
      </w:r>
    </w:p>
    <w:p>
      <w:pPr>
        <w:pStyle w:val="Footnotesection"/>
        <w:ind w:left="890" w:hanging="890"/>
      </w:pPr>
      <w:r>
        <w:tab/>
        <w:t>[Section 104D inserted: No. 6 of 2000 s. 15.]</w:t>
      </w:r>
    </w:p>
    <w:p>
      <w:pPr>
        <w:pStyle w:val="Heading5"/>
      </w:pPr>
      <w:bookmarkStart w:id="159" w:name="_Toc115267891"/>
      <w:r>
        <w:rPr>
          <w:rStyle w:val="CharSectno"/>
        </w:rPr>
        <w:t>104E</w:t>
      </w:r>
      <w:r>
        <w:t>.</w:t>
      </w:r>
      <w:r>
        <w:tab/>
        <w:t>Suppliers to give Commission tickets if licence cancelled etc.</w:t>
      </w:r>
      <w:bookmarkEnd w:id="159"/>
    </w:p>
    <w:p>
      <w:pPr>
        <w:pStyle w:val="Subsection"/>
      </w:pPr>
      <w:r>
        <w:tab/>
        <w:t>(1)</w:t>
      </w:r>
      <w:r>
        <w:tab/>
        <w:t>Where —</w:t>
      </w:r>
    </w:p>
    <w:p>
      <w:pPr>
        <w:pStyle w:val="Indenta"/>
        <w:spacing w:before="60"/>
      </w:pPr>
      <w:r>
        <w:tab/>
        <w:t>(a)</w:t>
      </w:r>
      <w:r>
        <w:tab/>
        <w:t>under —</w:t>
      </w:r>
    </w:p>
    <w:p>
      <w:pPr>
        <w:pStyle w:val="Indenti"/>
        <w:spacing w:before="60"/>
      </w:pPr>
      <w:r>
        <w:tab/>
        <w:t>(i)</w:t>
      </w:r>
      <w:r>
        <w:tab/>
        <w:t>section 104C, the licence of a person is cancelled; or</w:t>
      </w:r>
    </w:p>
    <w:p>
      <w:pPr>
        <w:pStyle w:val="Indenti"/>
        <w:spacing w:before="60"/>
      </w:pPr>
      <w:r>
        <w:tab/>
        <w:t>(ii)</w:t>
      </w:r>
      <w:r>
        <w:tab/>
        <w:t>section 104B, a further licence for a person is refused;</w:t>
      </w:r>
    </w:p>
    <w:p>
      <w:pPr>
        <w:pStyle w:val="Indenta"/>
        <w:spacing w:before="60"/>
      </w:pPr>
      <w:r>
        <w:tab/>
      </w:r>
      <w:r>
        <w:tab/>
        <w:t>and</w:t>
      </w:r>
    </w:p>
    <w:p>
      <w:pPr>
        <w:pStyle w:val="Indenta"/>
        <w:spacing w:before="60"/>
      </w:pPr>
      <w:r>
        <w:tab/>
        <w:t>(b)</w:t>
      </w:r>
      <w:r>
        <w:tab/>
        <w:t>the person has not submitted an appeal against the cancellation or refusal; and</w:t>
      </w:r>
    </w:p>
    <w:p>
      <w:pPr>
        <w:pStyle w:val="Indenta"/>
        <w:spacing w:before="60"/>
      </w:pPr>
      <w:r>
        <w:tab/>
        <w:t>(c)</w:t>
      </w:r>
      <w:r>
        <w:tab/>
        <w:t>the time for submitting an appeal has passed,</w:t>
      </w:r>
    </w:p>
    <w:p>
      <w:pPr>
        <w:pStyle w:val="Subsection"/>
      </w:pPr>
      <w:r>
        <w:tab/>
      </w:r>
      <w:r>
        <w:tab/>
        <w:t xml:space="preserve">the person commits an offence against this Act if that person does not, within 30 days after the passing of the appeal time, deliver to the Commission all tickets that are in that person’s </w:t>
      </w:r>
      <w:r>
        <w:lastRenderedPageBreak/>
        <w:t>possession or dispose of those tickets in such other manner as the Commission approves in writing.</w:t>
      </w:r>
    </w:p>
    <w:p>
      <w:pPr>
        <w:pStyle w:val="Penstart"/>
        <w:spacing w:before="100"/>
      </w:pPr>
      <w:r>
        <w:tab/>
        <w:t>Penalty for this subsection: a fine of $5 000.</w:t>
      </w:r>
    </w:p>
    <w:p>
      <w:pPr>
        <w:pStyle w:val="Subsection"/>
        <w:spacing w:before="180"/>
      </w:pPr>
      <w:r>
        <w:tab/>
        <w:t>(2)</w:t>
      </w:r>
      <w:r>
        <w:tab/>
        <w:t>Where —</w:t>
      </w:r>
    </w:p>
    <w:p>
      <w:pPr>
        <w:pStyle w:val="Indenta"/>
        <w:spacing w:before="60"/>
      </w:pPr>
      <w:r>
        <w:tab/>
        <w:t>(a)</w:t>
      </w:r>
      <w:r>
        <w:tab/>
        <w:t>under —</w:t>
      </w:r>
    </w:p>
    <w:p>
      <w:pPr>
        <w:pStyle w:val="Indenti"/>
        <w:spacing w:before="60"/>
      </w:pPr>
      <w:r>
        <w:tab/>
        <w:t>(i)</w:t>
      </w:r>
      <w:r>
        <w:tab/>
        <w:t>section 104C, the licence of a person is cancelled; or</w:t>
      </w:r>
    </w:p>
    <w:p>
      <w:pPr>
        <w:pStyle w:val="Indenti"/>
        <w:spacing w:before="60"/>
      </w:pPr>
      <w:r>
        <w:tab/>
        <w:t>(ii)</w:t>
      </w:r>
      <w:r>
        <w:tab/>
        <w:t>section 104B, a further licence for a person is refused;</w:t>
      </w:r>
    </w:p>
    <w:p>
      <w:pPr>
        <w:pStyle w:val="Indenta"/>
        <w:spacing w:before="60"/>
      </w:pPr>
      <w:r>
        <w:tab/>
      </w:r>
      <w:r>
        <w:tab/>
        <w:t>and</w:t>
      </w:r>
    </w:p>
    <w:p>
      <w:pPr>
        <w:pStyle w:val="Indenta"/>
        <w:spacing w:before="60"/>
      </w:pPr>
      <w:r>
        <w:tab/>
        <w:t>(b)</w:t>
      </w:r>
      <w:r>
        <w:tab/>
        <w:t>the person has appealed against the cancellation or refusal; and</w:t>
      </w:r>
    </w:p>
    <w:p>
      <w:pPr>
        <w:pStyle w:val="Indenta"/>
      </w:pPr>
      <w:r>
        <w:tab/>
        <w:t>(c)</w:t>
      </w:r>
      <w:r>
        <w:tab/>
        <w:t>the appeal has been dealt with by the Minister; and</w:t>
      </w:r>
    </w:p>
    <w:p>
      <w:pPr>
        <w:pStyle w:val="Indenta"/>
        <w:keepLines/>
      </w:pPr>
      <w:r>
        <w:tab/>
        <w:t>(d)</w:t>
      </w:r>
      <w:r>
        <w:tab/>
        <w:t>the Minister has confirmed the cancellation of the licence or confirmed the refusal to issue a further licence,</w:t>
      </w:r>
    </w:p>
    <w:p>
      <w:pPr>
        <w:pStyle w:val="Subsection"/>
        <w:keepLines/>
        <w:spacing w:before="180"/>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keepLines/>
      </w:pPr>
      <w:r>
        <w:tab/>
        <w:t>Penalty for this subsection: a fine of $5 000.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for this subsection: a fine of $5 000.</w:t>
      </w:r>
    </w:p>
    <w:p>
      <w:pPr>
        <w:pStyle w:val="Footnotesection"/>
        <w:ind w:left="890" w:hanging="890"/>
      </w:pPr>
      <w:r>
        <w:tab/>
        <w:t>[Section 104E inserted: No. 6 of 2000 s. 15; amended: No. 41 of 2018 s. 25(1).]</w:t>
      </w:r>
    </w:p>
    <w:p>
      <w:pPr>
        <w:pStyle w:val="Heading5"/>
      </w:pPr>
      <w:bookmarkStart w:id="160" w:name="_Toc115267892"/>
      <w:r>
        <w:rPr>
          <w:rStyle w:val="CharSectno"/>
        </w:rPr>
        <w:lastRenderedPageBreak/>
        <w:t>104F</w:t>
      </w:r>
      <w:r>
        <w:t>.</w:t>
      </w:r>
      <w:r>
        <w:tab/>
        <w:t>Licensed suppliers to lodge returns and pay continuing lotteries levy</w:t>
      </w:r>
      <w:bookmarkEnd w:id="160"/>
    </w:p>
    <w:p>
      <w:pPr>
        <w:pStyle w:val="Subsection"/>
        <w:keepNext/>
        <w:keepLines/>
      </w:pPr>
      <w:r>
        <w:tab/>
        <w:t>(1)</w:t>
      </w:r>
      <w:r>
        <w:tab/>
        <w:t>A licensed supplier shall —</w:t>
      </w:r>
    </w:p>
    <w:p>
      <w:pPr>
        <w:pStyle w:val="Indenta"/>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for this subsection: a fine of $5 000.</w:t>
      </w:r>
    </w:p>
    <w:p>
      <w:pPr>
        <w:pStyle w:val="Subsection"/>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lastRenderedPageBreak/>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for this subsection: a fine of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No. 6 of 2000 s. 15; amended: No. 41 of 2018 s. 25(1).]</w:t>
      </w:r>
    </w:p>
    <w:p>
      <w:pPr>
        <w:pStyle w:val="Heading5"/>
      </w:pPr>
      <w:bookmarkStart w:id="161" w:name="_Toc115267893"/>
      <w:r>
        <w:rPr>
          <w:rStyle w:val="CharSectno"/>
        </w:rPr>
        <w:t>104G</w:t>
      </w:r>
      <w:r>
        <w:t>.</w:t>
      </w:r>
      <w:r>
        <w:tab/>
        <w:t>Continuing lotteries levy, application of</w:t>
      </w:r>
      <w:bookmarkEnd w:id="161"/>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 xml:space="preserve">sixths) is to be credited to the </w:t>
      </w:r>
      <w:r>
        <w:rPr>
          <w:snapToGrid w:val="0"/>
        </w:rPr>
        <w:t>Consolidated Account</w:t>
      </w:r>
      <w:r>
        <w:t>; and</w:t>
      </w:r>
    </w:p>
    <w:p>
      <w:pPr>
        <w:pStyle w:val="Indenta"/>
      </w:pPr>
      <w:r>
        <w:tab/>
        <w:t>(b)</w:t>
      </w:r>
      <w:r>
        <w:tab/>
        <w:t>16.7% (one</w:t>
      </w:r>
      <w:r>
        <w:noBreakHyphen/>
        <w:t>sixth) is to be paid into and placed to the credit of the Gaming Commission Account established under section 9(2).</w:t>
      </w:r>
    </w:p>
    <w:p>
      <w:pPr>
        <w:pStyle w:val="Subsection"/>
        <w:keepNext/>
      </w:pPr>
      <w:r>
        <w:lastRenderedPageBreak/>
        <w:tab/>
        <w:t>(2)</w:t>
      </w:r>
      <w:r>
        <w:tab/>
        <w:t>Of the continuing lotteries levy received by the Commission on or after 1 July 2000 —</w:t>
      </w:r>
    </w:p>
    <w:p>
      <w:pPr>
        <w:pStyle w:val="Indenta"/>
      </w:pPr>
      <w:r>
        <w:tab/>
        <w:t>(a)</w:t>
      </w:r>
      <w:r>
        <w:tab/>
        <w:t>69.23% (nine</w:t>
      </w:r>
      <w:r>
        <w:noBreakHyphen/>
        <w:t xml:space="preserve">thirteenths) is to be credited to the </w:t>
      </w:r>
      <w:r>
        <w:rPr>
          <w:snapToGrid w:val="0"/>
        </w:rPr>
        <w:t>Consolidated Account</w:t>
      </w:r>
      <w:r>
        <w:t>;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No. 6 of 2000 s. 15; amended: No. 77 of 2006 s. 4.]</w:t>
      </w:r>
    </w:p>
    <w:p>
      <w:pPr>
        <w:pStyle w:val="Heading5"/>
        <w:spacing w:before="240"/>
      </w:pPr>
      <w:bookmarkStart w:id="162" w:name="_Toc115267894"/>
      <w:r>
        <w:rPr>
          <w:rStyle w:val="CharSectno"/>
        </w:rPr>
        <w:t>104H</w:t>
      </w:r>
      <w:r>
        <w:t>.</w:t>
      </w:r>
      <w:r>
        <w:tab/>
        <w:t>Exemption from levy</w:t>
      </w:r>
      <w:bookmarkEnd w:id="162"/>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No. 6 of 2000 s. 15.]</w:t>
      </w:r>
    </w:p>
    <w:p>
      <w:pPr>
        <w:pStyle w:val="Heading5"/>
        <w:spacing w:before="240"/>
      </w:pPr>
      <w:bookmarkStart w:id="163" w:name="_Toc115267895"/>
      <w:r>
        <w:rPr>
          <w:rStyle w:val="CharSectno"/>
        </w:rPr>
        <w:t>104I</w:t>
      </w:r>
      <w:r>
        <w:t>.</w:t>
      </w:r>
      <w:r>
        <w:tab/>
        <w:t>Refund of levy</w:t>
      </w:r>
      <w:bookmarkEnd w:id="163"/>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No. 6 of 2000 s. 15.]</w:t>
      </w:r>
    </w:p>
    <w:p>
      <w:pPr>
        <w:pStyle w:val="Heading5"/>
        <w:keepLines w:val="0"/>
        <w:spacing w:before="180"/>
      </w:pPr>
      <w:bookmarkStart w:id="164" w:name="_Toc115267896"/>
      <w:r>
        <w:rPr>
          <w:rStyle w:val="CharSectno"/>
        </w:rPr>
        <w:lastRenderedPageBreak/>
        <w:t>104J</w:t>
      </w:r>
      <w:r>
        <w:t>.</w:t>
      </w:r>
      <w:r>
        <w:tab/>
        <w:t>Tickets, protecting and accounting for; estimating levy for lost etc. tickets</w:t>
      </w:r>
      <w:bookmarkEnd w:id="164"/>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 or</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keepNext/>
        <w:keepLines/>
      </w:pPr>
      <w:r>
        <w:lastRenderedPageBreak/>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keepNext/>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No. 6 of 2000 s. 15.]</w:t>
      </w:r>
    </w:p>
    <w:p>
      <w:pPr>
        <w:pStyle w:val="Heading5"/>
      </w:pPr>
      <w:bookmarkStart w:id="165" w:name="_Toc115267897"/>
      <w:r>
        <w:rPr>
          <w:rStyle w:val="CharSectno"/>
        </w:rPr>
        <w:t>104K</w:t>
      </w:r>
      <w:r>
        <w:t>.</w:t>
      </w:r>
      <w:r>
        <w:tab/>
        <w:t>Tickets may be given to Commission for destruction</w:t>
      </w:r>
      <w:bookmarkEnd w:id="165"/>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No. 6 of 2000 s. 15.]</w:t>
      </w:r>
    </w:p>
    <w:p>
      <w:pPr>
        <w:pStyle w:val="Heading5"/>
      </w:pPr>
      <w:bookmarkStart w:id="166" w:name="_Toc115267898"/>
      <w:r>
        <w:rPr>
          <w:rStyle w:val="CharSectno"/>
        </w:rPr>
        <w:t>104L</w:t>
      </w:r>
      <w:r>
        <w:t>.</w:t>
      </w:r>
      <w:r>
        <w:tab/>
        <w:t>Offences by licensed suppliers</w:t>
      </w:r>
      <w:bookmarkEnd w:id="166"/>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for this subsection: a fine of $5 000.</w:t>
      </w:r>
    </w:p>
    <w:p>
      <w:pPr>
        <w:pStyle w:val="Subsection"/>
        <w:keepNext/>
      </w:pPr>
      <w:r>
        <w:lastRenderedPageBreak/>
        <w:tab/>
        <w:t>(2)</w:t>
      </w:r>
      <w:r>
        <w:tab/>
        <w:t>A licensed supplier shall not supply tickets to any person within the State unless —</w:t>
      </w:r>
    </w:p>
    <w:p>
      <w:pPr>
        <w:pStyle w:val="Indenta"/>
      </w:pPr>
      <w:r>
        <w:tab/>
        <w:t>(a)</w:t>
      </w:r>
      <w:r>
        <w:tab/>
        <w:t>the licensed supplier supplies to that person all of the tickets in the batch; and</w:t>
      </w:r>
    </w:p>
    <w:p>
      <w:pPr>
        <w:pStyle w:val="Indenta"/>
      </w:pPr>
      <w:r>
        <w:tab/>
        <w:t>(b)</w:t>
      </w:r>
      <w:r>
        <w:tab/>
        <w:t>there is printed on each ticket —</w:t>
      </w:r>
    </w:p>
    <w:p>
      <w:pPr>
        <w:pStyle w:val="Indenti"/>
      </w:pPr>
      <w:r>
        <w:tab/>
        <w:t>(i)</w:t>
      </w:r>
      <w:r>
        <w:tab/>
        <w:t>the face value of the ticket; and</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for this subsection: a fine of $5 000.</w:t>
      </w:r>
    </w:p>
    <w:p>
      <w:pPr>
        <w:pStyle w:val="Subsection"/>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for this subsection: a fine of $5 000.</w:t>
      </w:r>
    </w:p>
    <w:p>
      <w:pPr>
        <w:pStyle w:val="Subsection"/>
      </w:pPr>
      <w:r>
        <w:tab/>
        <w:t>(4)</w:t>
      </w:r>
      <w:r>
        <w:tab/>
        <w:t>The Commission may, by notice in writing, revoke any approval given for the purposes of subsection (3).</w:t>
      </w:r>
    </w:p>
    <w:p>
      <w:pPr>
        <w:pStyle w:val="Footnotesection"/>
        <w:spacing w:before="100"/>
        <w:ind w:left="890" w:hanging="890"/>
      </w:pPr>
      <w:r>
        <w:tab/>
        <w:t>[Section 104L inserted: No. 6 of 2000 s. 15; amended: No. 41 of 2018 s. 25(1).]</w:t>
      </w:r>
    </w:p>
    <w:p>
      <w:pPr>
        <w:pStyle w:val="Heading5"/>
        <w:keepLines w:val="0"/>
      </w:pPr>
      <w:bookmarkStart w:id="167" w:name="_Toc115267899"/>
      <w:r>
        <w:rPr>
          <w:rStyle w:val="CharSectno"/>
        </w:rPr>
        <w:lastRenderedPageBreak/>
        <w:t>104M</w:t>
      </w:r>
      <w:r>
        <w:t>.</w:t>
      </w:r>
      <w:r>
        <w:tab/>
        <w:t>Offences involving continuing lottery tickets</w:t>
      </w:r>
      <w:bookmarkEnd w:id="167"/>
    </w:p>
    <w:p>
      <w:pPr>
        <w:pStyle w:val="Subsection"/>
        <w:keepNext/>
      </w:pPr>
      <w:r>
        <w:tab/>
        <w:t>(1)</w:t>
      </w:r>
      <w:r>
        <w:tab/>
        <w:t>A person who is not a licensed supplier shall not —</w:t>
      </w:r>
    </w:p>
    <w:p>
      <w:pPr>
        <w:pStyle w:val="Indenta"/>
        <w:spacing w:before="60"/>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for this subsection: a fine of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for this subsection: a fine of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pPr>
      <w:r>
        <w:tab/>
        <w:t>Penalty for this subsection: a fine of $5 000.</w:t>
      </w:r>
    </w:p>
    <w:p>
      <w:pPr>
        <w:pStyle w:val="Footnotesection"/>
      </w:pPr>
      <w:r>
        <w:tab/>
        <w:t>[Section 104M inserted: No. 6 of 2000 s. 15; amended: No. 41 of 2018 s. 25(1).]</w:t>
      </w:r>
    </w:p>
    <w:p>
      <w:pPr>
        <w:pStyle w:val="Heading5"/>
        <w:rPr>
          <w:snapToGrid w:val="0"/>
        </w:rPr>
      </w:pPr>
      <w:bookmarkStart w:id="168" w:name="_Toc115267900"/>
      <w:r>
        <w:rPr>
          <w:rStyle w:val="CharSectno"/>
        </w:rPr>
        <w:t>105</w:t>
      </w:r>
      <w:r>
        <w:rPr>
          <w:snapToGrid w:val="0"/>
        </w:rPr>
        <w:t>.</w:t>
      </w:r>
      <w:r>
        <w:rPr>
          <w:snapToGrid w:val="0"/>
        </w:rPr>
        <w:tab/>
        <w:t>Continuing lotteries, use of vending machines to sell tickets for</w:t>
      </w:r>
      <w:bookmarkEnd w:id="168"/>
    </w:p>
    <w:p>
      <w:pPr>
        <w:pStyle w:val="Subsection"/>
        <w:spacing w:before="120"/>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keepNext/>
        <w:keepLines/>
        <w:spacing w:before="120"/>
        <w:rPr>
          <w:snapToGrid w:val="0"/>
        </w:rPr>
      </w:pPr>
      <w:r>
        <w:rPr>
          <w:snapToGrid w:val="0"/>
        </w:rPr>
        <w:lastRenderedPageBreak/>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No. 24 of 1998 s. 64.]</w:t>
      </w:r>
    </w:p>
    <w:p>
      <w:pPr>
        <w:pStyle w:val="Heading5"/>
        <w:spacing w:before="180"/>
        <w:rPr>
          <w:snapToGrid w:val="0"/>
        </w:rPr>
      </w:pPr>
      <w:bookmarkStart w:id="169" w:name="_Toc115267901"/>
      <w:r>
        <w:rPr>
          <w:rStyle w:val="CharSectno"/>
        </w:rPr>
        <w:t>106</w:t>
      </w:r>
      <w:r>
        <w:rPr>
          <w:snapToGrid w:val="0"/>
        </w:rPr>
        <w:t>.</w:t>
      </w:r>
      <w:r>
        <w:rPr>
          <w:snapToGrid w:val="0"/>
        </w:rPr>
        <w:tab/>
        <w:t>Offences involving lotteries</w:t>
      </w:r>
      <w:bookmarkEnd w:id="169"/>
    </w:p>
    <w:p>
      <w:pPr>
        <w:pStyle w:val="Subsection"/>
        <w:spacing w:before="120"/>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(other than subsection (1) of that section) applies for the purposes of subsection (1)(a)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w:t>
      </w:r>
    </w:p>
    <w:p>
      <w:pPr>
        <w:pStyle w:val="Indenta"/>
        <w:spacing w:before="60"/>
        <w:rPr>
          <w:snapToGrid w:val="0"/>
        </w:rPr>
      </w:pPr>
      <w:r>
        <w:rPr>
          <w:snapToGrid w:val="0"/>
        </w:rPr>
        <w:tab/>
        <w:t>(a)</w:t>
      </w:r>
      <w:r>
        <w:rPr>
          <w:snapToGrid w:val="0"/>
        </w:rPr>
        <w:tab/>
        <w:t>prints any tickets for use in the lottery; or</w:t>
      </w:r>
    </w:p>
    <w:p>
      <w:pPr>
        <w:pStyle w:val="Indenta"/>
        <w:spacing w:before="60"/>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 or</w:t>
      </w:r>
    </w:p>
    <w:p>
      <w:pPr>
        <w:pStyle w:val="Indenta"/>
        <w:spacing w:before="60"/>
        <w:rPr>
          <w:snapToGrid w:val="0"/>
        </w:rPr>
      </w:pPr>
      <w:r>
        <w:rPr>
          <w:snapToGrid w:val="0"/>
        </w:rPr>
        <w:tab/>
        <w:t>(c)</w:t>
      </w:r>
      <w:r>
        <w:rPr>
          <w:snapToGrid w:val="0"/>
        </w:rPr>
        <w:tab/>
        <w:t>prints, publishes or distributes, or has in his possession for the purpose of publication or distribution —</w:t>
      </w:r>
    </w:p>
    <w:p>
      <w:pPr>
        <w:pStyle w:val="Indenti"/>
        <w:spacing w:before="60"/>
        <w:rPr>
          <w:snapToGrid w:val="0"/>
        </w:rPr>
      </w:pPr>
      <w:r>
        <w:rPr>
          <w:snapToGrid w:val="0"/>
        </w:rPr>
        <w:tab/>
        <w:t>(i)</w:t>
      </w:r>
      <w:r>
        <w:rPr>
          <w:snapToGrid w:val="0"/>
        </w:rPr>
        <w:tab/>
        <w:t>any advertisement of the lottery; or</w:t>
      </w:r>
    </w:p>
    <w:p>
      <w:pPr>
        <w:pStyle w:val="Indenti"/>
        <w:spacing w:before="60"/>
        <w:rPr>
          <w:snapToGrid w:val="0"/>
        </w:rPr>
      </w:pPr>
      <w:r>
        <w:rPr>
          <w:snapToGrid w:val="0"/>
        </w:rPr>
        <w:lastRenderedPageBreak/>
        <w:tab/>
        <w:t>(ii)</w:t>
      </w:r>
      <w:r>
        <w:rPr>
          <w:snapToGrid w:val="0"/>
        </w:rPr>
        <w:tab/>
        <w:t>any list, whether complete or not, of prize winners or winning tickets in the lottery; or</w:t>
      </w:r>
    </w:p>
    <w:p>
      <w:pPr>
        <w:pStyle w:val="Indenti"/>
        <w:spacing w:before="60"/>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brings, or invites any person to send, into the State for the purpose of sale or distribution any ticket in, or advertisement of, the lottery; or</w:t>
      </w:r>
    </w:p>
    <w:p>
      <w:pPr>
        <w:pStyle w:val="Indenta"/>
        <w:spacing w:before="60"/>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 or</w:t>
      </w:r>
    </w:p>
    <w:p>
      <w:pPr>
        <w:pStyle w:val="Indenta"/>
        <w:spacing w:before="60"/>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spacing w:before="60"/>
        <w:rPr>
          <w:snapToGrid w:val="0"/>
        </w:rPr>
      </w:pPr>
      <w:r>
        <w:rPr>
          <w:snapToGrid w:val="0"/>
        </w:rPr>
        <w:tab/>
        <w:t>(g)</w:t>
      </w:r>
      <w:r>
        <w:rPr>
          <w:snapToGrid w:val="0"/>
        </w:rPr>
        <w:tab/>
        <w:t>receives money, any valuable thing, or any goods for the purposes of the lottery,</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$2 000.</w:t>
      </w:r>
    </w:p>
    <w:p>
      <w:pPr>
        <w:pStyle w:val="Subsection"/>
        <w:spacing w:before="140"/>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spacing w:before="100"/>
        <w:ind w:left="890" w:hanging="890"/>
      </w:pPr>
      <w:r>
        <w:tab/>
        <w:t>[Section 106 amended: No. 24 of 1998 s. 65; amended: No. 41 of 2018 s. 25(1).]</w:t>
      </w:r>
    </w:p>
    <w:p>
      <w:pPr>
        <w:pStyle w:val="Heading5"/>
        <w:rPr>
          <w:snapToGrid w:val="0"/>
        </w:rPr>
      </w:pPr>
      <w:bookmarkStart w:id="170" w:name="_Toc115267902"/>
      <w:r>
        <w:rPr>
          <w:rStyle w:val="CharSectno"/>
        </w:rPr>
        <w:lastRenderedPageBreak/>
        <w:t>107</w:t>
      </w:r>
      <w:r>
        <w:rPr>
          <w:snapToGrid w:val="0"/>
        </w:rPr>
        <w:t>.</w:t>
      </w:r>
      <w:r>
        <w:rPr>
          <w:snapToGrid w:val="0"/>
        </w:rPr>
        <w:tab/>
        <w:t>Amusements with prizes, which are permitted</w:t>
      </w:r>
      <w:bookmarkEnd w:id="170"/>
    </w:p>
    <w:p>
      <w:pPr>
        <w:pStyle w:val="Subsection"/>
        <w:keepNext/>
        <w:keepLines/>
        <w:rPr>
          <w:snapToGrid w:val="0"/>
        </w:rPr>
      </w:pPr>
      <w:r>
        <w:rPr>
          <w:snapToGrid w:val="0"/>
        </w:rPr>
        <w:tab/>
        <w:t>(1)</w:t>
      </w:r>
      <w:r>
        <w:rPr>
          <w:snapToGrid w:val="0"/>
        </w:rPr>
        <w:tab/>
        <w:t>Where any amusement with prizes which constitutes gaming or a lottery or both is provided in relation to or in connection with any entertainment or event or for any charitable or social cause, and it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 xml:space="preserve">Where amusements with prizes (which may include games to which section 42(3)(a) refers) are provided at an agricultural show, a pleasure fair, a fete, or another like event and consist wholly or mainly of amusements provided by travelling </w:t>
      </w:r>
      <w:r>
        <w:rPr>
          <w:snapToGrid w:val="0"/>
        </w:rPr>
        <w:lastRenderedPageBreak/>
        <w:t>showmen, the respective amusements shall each be deemed to be a permitted amusement with prizes if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 and</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 and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r>
        <w:tab/>
        <w:t>[Section 107 amended: No. 35 of 2003 s. 159 and 167; No. 41 of 2018 s. 23.]</w:t>
      </w:r>
    </w:p>
    <w:p>
      <w:pPr>
        <w:pStyle w:val="Heading5"/>
        <w:rPr>
          <w:snapToGrid w:val="0"/>
        </w:rPr>
      </w:pPr>
      <w:bookmarkStart w:id="171" w:name="_Toc115267903"/>
      <w:r>
        <w:rPr>
          <w:rStyle w:val="CharSectno"/>
        </w:rPr>
        <w:t>108</w:t>
      </w:r>
      <w:r>
        <w:rPr>
          <w:snapToGrid w:val="0"/>
        </w:rPr>
        <w:t>.</w:t>
      </w:r>
      <w:r>
        <w:rPr>
          <w:snapToGrid w:val="0"/>
        </w:rPr>
        <w:tab/>
        <w:t>Some fund raising activities deemed permitted amusement with prizes</w:t>
      </w:r>
      <w:bookmarkEnd w:id="171"/>
    </w:p>
    <w:p>
      <w:pPr>
        <w:pStyle w:val="Subsection"/>
        <w:keepNext/>
        <w:keepLines/>
        <w:rPr>
          <w:snapToGrid w:val="0"/>
        </w:rPr>
      </w:pPr>
      <w:r>
        <w:rPr>
          <w:snapToGrid w:val="0"/>
        </w:rPr>
        <w:tab/>
        <w:t>(1)</w:t>
      </w:r>
      <w:r>
        <w:rPr>
          <w:snapToGrid w:val="0"/>
        </w:rPr>
        <w:tab/>
        <w:t>The conduct of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 or</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w:t>
      </w:r>
      <w:r>
        <w:rPr>
          <w:snapToGrid w:val="0"/>
        </w:rPr>
        <w:lastRenderedPageBreak/>
        <w:t>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r>
      <w:r>
        <w:t>Penalty for this subsection: a fine of</w:t>
      </w:r>
      <w:r>
        <w:rPr>
          <w:snapToGrid w:val="0"/>
        </w:rPr>
        <w:t xml:space="preserve"> $2 000.</w:t>
      </w:r>
    </w:p>
    <w:p>
      <w:pPr>
        <w:pStyle w:val="Footnotesection"/>
      </w:pPr>
      <w:r>
        <w:tab/>
        <w:t>[Section 108 amended: No. 24 of 1998 s. 66; No. 35 of 2003 s. 160 and 166; No. 41 of 2018 s. 25(1).]</w:t>
      </w:r>
    </w:p>
    <w:p>
      <w:pPr>
        <w:pStyle w:val="Heading5"/>
        <w:rPr>
          <w:snapToGrid w:val="0"/>
        </w:rPr>
      </w:pPr>
      <w:bookmarkStart w:id="172" w:name="_Toc115267904"/>
      <w:r>
        <w:rPr>
          <w:rStyle w:val="CharSectno"/>
        </w:rPr>
        <w:t>109</w:t>
      </w:r>
      <w:r>
        <w:rPr>
          <w:snapToGrid w:val="0"/>
        </w:rPr>
        <w:t>.</w:t>
      </w:r>
      <w:r>
        <w:rPr>
          <w:snapToGrid w:val="0"/>
        </w:rPr>
        <w:tab/>
        <w:t>Regulations for this Division</w:t>
      </w:r>
      <w:bookmarkEnd w:id="172"/>
    </w:p>
    <w:p>
      <w:pPr>
        <w:pStyle w:val="Subsection"/>
        <w:rPr>
          <w:snapToGrid w:val="0"/>
        </w:rPr>
      </w:pPr>
      <w:r>
        <w:rPr>
          <w:snapToGrid w:val="0"/>
        </w:rPr>
        <w:tab/>
      </w:r>
      <w:r>
        <w:rPr>
          <w:snapToGrid w:val="0"/>
        </w:rPr>
        <w:tab/>
        <w:t>Regulations made for the purposes of this Division may make provision —</w:t>
      </w:r>
    </w:p>
    <w:p>
      <w:pPr>
        <w:pStyle w:val="Indenta"/>
        <w:rPr>
          <w:snapToGrid w:val="0"/>
        </w:rPr>
      </w:pPr>
      <w:r>
        <w:rPr>
          <w:snapToGrid w:val="0"/>
        </w:rPr>
        <w:tab/>
        <w:t>(a)</w:t>
      </w:r>
      <w:r>
        <w:rPr>
          <w:snapToGrid w:val="0"/>
        </w:rPr>
        <w:tab/>
        <w:t>as to the requirements for the keeping of accounts and the furnishings of reports by persons conducting lotteries; and</w:t>
      </w:r>
    </w:p>
    <w:p>
      <w:pPr>
        <w:pStyle w:val="Indenta"/>
        <w:rPr>
          <w:snapToGrid w:val="0"/>
        </w:rPr>
      </w:pPr>
      <w:r>
        <w:rPr>
          <w:snapToGrid w:val="0"/>
        </w:rPr>
        <w:tab/>
        <w:t>(aa)</w:t>
      </w:r>
      <w:r>
        <w:rPr>
          <w:snapToGrid w:val="0"/>
        </w:rPr>
        <w:tab/>
        <w:t>in respect of the records to be maintained by licensed suppliers and the manner in which those records are to be kept; and</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 and</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 and</w:t>
      </w:r>
    </w:p>
    <w:p>
      <w:pPr>
        <w:pStyle w:val="Indenta"/>
        <w:rPr>
          <w:snapToGrid w:val="0"/>
        </w:rPr>
      </w:pPr>
      <w:r>
        <w:rPr>
          <w:snapToGrid w:val="0"/>
        </w:rPr>
        <w:lastRenderedPageBreak/>
        <w:tab/>
        <w:t>(d)</w:t>
      </w:r>
      <w:r>
        <w:rPr>
          <w:snapToGrid w:val="0"/>
        </w:rPr>
        <w:tab/>
        <w:t>as to the relation between the time of opening, closing, and drawing of a standard lottery; and</w:t>
      </w:r>
    </w:p>
    <w:p>
      <w:pPr>
        <w:pStyle w:val="Indenta"/>
        <w:spacing w:before="60"/>
        <w:rPr>
          <w:snapToGrid w:val="0"/>
        </w:rPr>
      </w:pPr>
      <w:r>
        <w:rPr>
          <w:snapToGrid w:val="0"/>
        </w:rPr>
        <w:tab/>
        <w:t>(e)</w:t>
      </w:r>
      <w:r>
        <w:rPr>
          <w:snapToGrid w:val="0"/>
        </w:rPr>
        <w:tab/>
        <w:t>as to the conduct of continuing lotteries; and</w:t>
      </w:r>
    </w:p>
    <w:p>
      <w:pPr>
        <w:pStyle w:val="Indenta"/>
        <w:spacing w:before="60"/>
        <w:rPr>
          <w:snapToGrid w:val="0"/>
        </w:rPr>
      </w:pPr>
      <w:r>
        <w:rPr>
          <w:snapToGrid w:val="0"/>
        </w:rPr>
        <w:tab/>
        <w:t>(f)</w:t>
      </w:r>
      <w:r>
        <w:rPr>
          <w:snapToGrid w:val="0"/>
        </w:rPr>
        <w:tab/>
        <w:t>as to the use of vending machines in relation to lotteries; and</w:t>
      </w:r>
    </w:p>
    <w:p>
      <w:pPr>
        <w:pStyle w:val="Indenta"/>
        <w:spacing w:before="60"/>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 and</w:t>
      </w:r>
    </w:p>
    <w:p>
      <w:pPr>
        <w:pStyle w:val="Indenta"/>
        <w:spacing w:before="60"/>
        <w:rPr>
          <w:snapToGrid w:val="0"/>
        </w:rPr>
      </w:pPr>
      <w:r>
        <w:rPr>
          <w:snapToGrid w:val="0"/>
        </w:rPr>
        <w:tab/>
        <w:t>(h)</w:t>
      </w:r>
      <w:r>
        <w:rPr>
          <w:snapToGrid w:val="0"/>
        </w:rPr>
        <w:tab/>
        <w:t>as to the printing of tickets and the security of printing arrangements or of tickets, and as to the information which must, or must not, appear on a ticket; and</w:t>
      </w:r>
    </w:p>
    <w:p>
      <w:pPr>
        <w:pStyle w:val="Indenta"/>
        <w:spacing w:before="60"/>
        <w:rPr>
          <w:snapToGrid w:val="0"/>
        </w:rPr>
      </w:pPr>
      <w:r>
        <w:rPr>
          <w:snapToGrid w:val="0"/>
        </w:rPr>
        <w:tab/>
        <w:t>(j)</w:t>
      </w:r>
      <w:r>
        <w:rPr>
          <w:snapToGrid w:val="0"/>
        </w:rPr>
        <w:tab/>
        <w:t>as to the matters in respect of which expenses may be incurred, or if incurred shall be taken not to be deductible for the purposes of this Division; and</w:t>
      </w:r>
    </w:p>
    <w:p>
      <w:pPr>
        <w:pStyle w:val="Indenta"/>
        <w:spacing w:before="60"/>
        <w:rPr>
          <w:snapToGrid w:val="0"/>
        </w:rPr>
      </w:pPr>
      <w:r>
        <w:rPr>
          <w:snapToGrid w:val="0"/>
        </w:rPr>
        <w:tab/>
        <w:t>(k)</w:t>
      </w:r>
      <w:r>
        <w:rPr>
          <w:snapToGrid w:val="0"/>
        </w:rPr>
        <w:tab/>
        <w:t>prescribing the conditions governing the employment of agents; and</w:t>
      </w:r>
    </w:p>
    <w:p>
      <w:pPr>
        <w:pStyle w:val="Indenta"/>
        <w:spacing w:before="60"/>
        <w:rPr>
          <w:snapToGrid w:val="0"/>
        </w:rPr>
      </w:pPr>
      <w:r>
        <w:rPr>
          <w:snapToGrid w:val="0"/>
        </w:rPr>
        <w:tab/>
        <w:t>(l)</w:t>
      </w:r>
      <w:r>
        <w:rPr>
          <w:snapToGrid w:val="0"/>
        </w:rPr>
        <w:tab/>
        <w:t>the use of postal services in connection with activities to which this Division applies; and</w:t>
      </w:r>
    </w:p>
    <w:p>
      <w:pPr>
        <w:pStyle w:val="Indenta"/>
        <w:spacing w:before="60"/>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ind w:left="890" w:hanging="890"/>
      </w:pPr>
      <w:r>
        <w:tab/>
        <w:t>[Section 109 amended: No. 24 of 1998 s. 67; No. 6 of 2000 s. 16.]</w:t>
      </w:r>
    </w:p>
    <w:p>
      <w:pPr>
        <w:pStyle w:val="Heading3"/>
        <w:rPr>
          <w:snapToGrid w:val="0"/>
        </w:rPr>
      </w:pPr>
      <w:bookmarkStart w:id="173" w:name="_Toc115166674"/>
      <w:bookmarkStart w:id="174" w:name="_Toc115166831"/>
      <w:bookmarkStart w:id="175" w:name="_Toc115267905"/>
      <w:r>
        <w:rPr>
          <w:rStyle w:val="CharDivNo"/>
        </w:rPr>
        <w:t>Division 8</w:t>
      </w:r>
      <w:r>
        <w:rPr>
          <w:snapToGrid w:val="0"/>
        </w:rPr>
        <w:t> — </w:t>
      </w:r>
      <w:r>
        <w:rPr>
          <w:rStyle w:val="CharDivText"/>
        </w:rPr>
        <w:t>Unclaimed winnings</w:t>
      </w:r>
      <w:bookmarkEnd w:id="173"/>
      <w:bookmarkEnd w:id="174"/>
      <w:bookmarkEnd w:id="175"/>
    </w:p>
    <w:p>
      <w:pPr>
        <w:pStyle w:val="Footnoteheading"/>
        <w:tabs>
          <w:tab w:val="left" w:pos="910"/>
        </w:tabs>
      </w:pPr>
      <w:r>
        <w:tab/>
        <w:t>[Heading inserted: No. 24 of 1998 s. 68(1).]</w:t>
      </w:r>
    </w:p>
    <w:p>
      <w:pPr>
        <w:pStyle w:val="Heading5"/>
      </w:pPr>
      <w:bookmarkStart w:id="176" w:name="_Toc115267906"/>
      <w:r>
        <w:rPr>
          <w:rStyle w:val="CharSectno"/>
        </w:rPr>
        <w:t>109A</w:t>
      </w:r>
      <w:r>
        <w:t>.</w:t>
      </w:r>
      <w:r>
        <w:tab/>
        <w:t>Terms used</w:t>
      </w:r>
      <w:bookmarkEnd w:id="176"/>
    </w:p>
    <w:p>
      <w:pPr>
        <w:pStyle w:val="Subsection"/>
      </w:pPr>
      <w:r>
        <w:tab/>
      </w:r>
      <w:r>
        <w:tab/>
        <w:t>In this Division —</w:t>
      </w:r>
    </w:p>
    <w:p>
      <w:pPr>
        <w:pStyle w:val="Defstart"/>
      </w:pPr>
      <w:r>
        <w:tab/>
      </w:r>
      <w:r>
        <w:rPr>
          <w:rStyle w:val="CharDefText"/>
        </w:rPr>
        <w:t>Trust</w:t>
      </w:r>
      <w:r>
        <w:t xml:space="preserve"> means the Gaming Community Trust established under section 109D;</w:t>
      </w:r>
    </w:p>
    <w:p>
      <w:pPr>
        <w:pStyle w:val="Defstart"/>
      </w:pPr>
      <w:r>
        <w:rPr>
          <w:b/>
        </w:rPr>
        <w:tab/>
      </w:r>
      <w:r>
        <w:rPr>
          <w:rStyle w:val="CharDefText"/>
        </w:rPr>
        <w:t>Trust Account</w:t>
      </w:r>
      <w:r>
        <w:t xml:space="preserve"> means the Gaming Community Trust Account referred to in section 109C;</w:t>
      </w:r>
    </w:p>
    <w:p>
      <w:pPr>
        <w:pStyle w:val="Defstart"/>
      </w:pPr>
      <w:r>
        <w:lastRenderedPageBreak/>
        <w:tab/>
      </w:r>
      <w:r>
        <w:rPr>
          <w:rStyle w:val="CharDefText"/>
        </w:rPr>
        <w:t>unclaimed winnings</w:t>
      </w:r>
      <w:r>
        <w:t xml:space="preserve"> includes any stake hazarded or bet placed that is repayable with the unclaimed winnings.</w:t>
      </w:r>
    </w:p>
    <w:p>
      <w:pPr>
        <w:pStyle w:val="Footnotesection"/>
      </w:pPr>
      <w:r>
        <w:tab/>
        <w:t>[Section 109A inserted: No. 24 of 1998 s. 68(1); amended: No. 77 of 2006 Sch. 1 cl. 71(3).]</w:t>
      </w:r>
    </w:p>
    <w:p>
      <w:pPr>
        <w:pStyle w:val="Heading5"/>
      </w:pPr>
      <w:bookmarkStart w:id="177" w:name="_Toc115267907"/>
      <w:r>
        <w:rPr>
          <w:rStyle w:val="CharSectno"/>
        </w:rPr>
        <w:t>109B</w:t>
      </w:r>
      <w:r>
        <w:t>.</w:t>
      </w:r>
      <w:r>
        <w:tab/>
        <w:t>Unclaimed winnings, Commission to be notified of etc.</w:t>
      </w:r>
      <w:bookmarkEnd w:id="177"/>
    </w:p>
    <w:p>
      <w:pPr>
        <w:pStyle w:val="Subsection"/>
      </w:pPr>
      <w:r>
        <w:tab/>
        <w:t>(1)</w:t>
      </w:r>
      <w:r>
        <w:tab/>
        <w:t>If any winnings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rStyle w:val="CharDefText"/>
        </w:rPr>
        <w:t>unclaimed winnings</w:t>
      </w:r>
      <w:r>
        <w:t xml:space="preserve">), the permit holder, or the person responsible for the conduct of the gaming authorised by the permit or the game (the </w:t>
      </w:r>
      <w:r>
        <w:rPr>
          <w:rStyle w:val="CharDefText"/>
        </w:rPr>
        <w:t>responsible person</w:t>
      </w:r>
      <w:r>
        <w:t>), shall notify the Commission in writing of —</w:t>
      </w:r>
    </w:p>
    <w:p>
      <w:pPr>
        <w:pStyle w:val="Indenta"/>
      </w:pPr>
      <w:r>
        <w:tab/>
        <w:t>(c)</w:t>
      </w:r>
      <w:r>
        <w:tab/>
        <w:t>details of the unclaimed winnings; and</w:t>
      </w:r>
    </w:p>
    <w:p>
      <w:pPr>
        <w:pStyle w:val="Indenta"/>
      </w:pPr>
      <w:r>
        <w:tab/>
        <w:t>(d)</w:t>
      </w:r>
      <w:r>
        <w:tab/>
        <w:t xml:space="preserve">the name, and any known address, of the person entitled to be paid the unclaimed winnings (the </w:t>
      </w:r>
      <w:r>
        <w:rPr>
          <w:rStyle w:val="CharDefText"/>
        </w:rPr>
        <w:t>winner</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If, on the expiry of 2 months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the unclaimed winnings have not been claimed —</w:t>
      </w:r>
    </w:p>
    <w:p>
      <w:pPr>
        <w:pStyle w:val="Indenta"/>
      </w:pPr>
      <w:r>
        <w:tab/>
        <w:t>(c)</w:t>
      </w:r>
      <w:r>
        <w:tab/>
        <w:t>the right of the winner to be paid those winnings is extinguished; and</w:t>
      </w:r>
    </w:p>
    <w:p>
      <w:pPr>
        <w:pStyle w:val="Indenta"/>
      </w:pPr>
      <w:r>
        <w:lastRenderedPageBreak/>
        <w:tab/>
        <w:t>(d)</w:t>
      </w:r>
      <w:r>
        <w:tab/>
        <w:t>subject to subsection (4), the unclaimed winnings shall be dealt with under section 109C.</w:t>
      </w:r>
    </w:p>
    <w:p>
      <w:pPr>
        <w:pStyle w:val="Subsection"/>
        <w:spacing w:before="140"/>
      </w:pPr>
      <w:r>
        <w:tab/>
        <w:t>(4)</w:t>
      </w:r>
      <w:r>
        <w:tab/>
        <w:t>The Commission may give directions to the permit holder or the responsible person as to the disposal of any unclaimed winnings where —</w:t>
      </w:r>
    </w:p>
    <w:p>
      <w:pPr>
        <w:pStyle w:val="Indenta"/>
        <w:spacing w:before="60"/>
      </w:pPr>
      <w:r>
        <w:tab/>
        <w:t>(a)</w:t>
      </w:r>
      <w:r>
        <w:tab/>
        <w:t>the right of the winner to be paid the winnings has been extinguished under subsection (3); and</w:t>
      </w:r>
    </w:p>
    <w:p>
      <w:pPr>
        <w:pStyle w:val="Indenta"/>
        <w:keepNext/>
        <w:spacing w:before="60"/>
      </w:pPr>
      <w:r>
        <w:tab/>
        <w:t>(b)</w:t>
      </w:r>
      <w:r>
        <w:tab/>
        <w:t>the winnings are in a form other than money,</w:t>
      </w:r>
    </w:p>
    <w:p>
      <w:pPr>
        <w:pStyle w:val="Subsection"/>
        <w:spacing w:before="140"/>
      </w:pPr>
      <w:r>
        <w:tab/>
      </w:r>
      <w:r>
        <w:tab/>
        <w:t>and any proceeds of that disposal shall be taken to be unclaimed winnings to be dealt with under section 109C.</w:t>
      </w:r>
    </w:p>
    <w:p>
      <w:pPr>
        <w:pStyle w:val="Subsection"/>
        <w:spacing w:before="140"/>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spacing w:before="100"/>
        <w:ind w:left="890" w:hanging="890"/>
      </w:pPr>
      <w:r>
        <w:tab/>
        <w:t>[Section 109B inserted: No. 24 of 1998 s. 68(1); amended: No. 35 of 2003 s. 167.]</w:t>
      </w:r>
    </w:p>
    <w:p>
      <w:pPr>
        <w:pStyle w:val="Heading5"/>
        <w:spacing w:before="180"/>
      </w:pPr>
      <w:bookmarkStart w:id="178" w:name="_Toc115267908"/>
      <w:r>
        <w:rPr>
          <w:rStyle w:val="CharSectno"/>
        </w:rPr>
        <w:t>109C</w:t>
      </w:r>
      <w:r>
        <w:t>.</w:t>
      </w:r>
      <w:r>
        <w:tab/>
        <w:t>Gaming Community Trust Account</w:t>
      </w:r>
      <w:bookmarkEnd w:id="178"/>
    </w:p>
    <w:p>
      <w:pPr>
        <w:pStyle w:val="Subsection"/>
        <w:spacing w:before="100"/>
        <w:rPr>
          <w:rFonts w:eastAsia="Arial Unicode MS"/>
        </w:rPr>
      </w:pPr>
      <w:r>
        <w:tab/>
        <w:t>(1)</w:t>
      </w:r>
      <w:r>
        <w:tab/>
        <w:t xml:space="preserve">An agency special purpose account called the Gaming Community Trust Account </w:t>
      </w:r>
      <w:r>
        <w:rPr>
          <w:bCs/>
        </w:rPr>
        <w:t xml:space="preserve">is established under section 16 </w:t>
      </w:r>
      <w:r>
        <w:t xml:space="preserve">of the </w:t>
      </w:r>
      <w:r>
        <w:rPr>
          <w:i/>
          <w:iCs/>
        </w:rPr>
        <w:t>Financial Management Act 2006</w:t>
      </w:r>
      <w:r>
        <w:t xml:space="preserve"> to which moneys </w:t>
      </w:r>
      <w:r>
        <w:rPr>
          <w:rFonts w:eastAsia="Arial Unicode MS"/>
        </w:rPr>
        <w:t>that are unclaimed winnings —</w:t>
      </w:r>
    </w:p>
    <w:p>
      <w:pPr>
        <w:pStyle w:val="Indenta"/>
        <w:spacing w:before="60"/>
        <w:rPr>
          <w:rFonts w:eastAsia="Arial Unicode MS"/>
        </w:rPr>
      </w:pPr>
      <w:r>
        <w:rPr>
          <w:rFonts w:eastAsia="Arial Unicode MS"/>
        </w:rPr>
        <w:tab/>
        <w:t>(a)</w:t>
      </w:r>
      <w:r>
        <w:rPr>
          <w:rFonts w:eastAsia="Arial Unicode MS"/>
        </w:rPr>
        <w:tab/>
        <w:t>to which section 109B(3) or (4) applies; or</w:t>
      </w:r>
    </w:p>
    <w:p>
      <w:pPr>
        <w:pStyle w:val="Indenta"/>
        <w:spacing w:before="60"/>
        <w:rPr>
          <w:rFonts w:eastAsia="Arial Unicode MS"/>
        </w:rPr>
      </w:pPr>
      <w:r>
        <w:rPr>
          <w:rFonts w:eastAsia="Arial Unicode MS"/>
        </w:rPr>
        <w:tab/>
        <w:t>(b)</w:t>
      </w:r>
      <w:r>
        <w:rPr>
          <w:rFonts w:eastAsia="Arial Unicode MS"/>
        </w:rPr>
        <w:tab/>
        <w:t xml:space="preserve">to which section 15(3) or (4) of the </w:t>
      </w:r>
      <w:r>
        <w:rPr>
          <w:rFonts w:eastAsia="Arial Unicode MS"/>
          <w:i/>
        </w:rPr>
        <w:t>Casino Control Act 1984</w:t>
      </w:r>
      <w:r>
        <w:rPr>
          <w:rFonts w:eastAsia="Arial Unicode MS"/>
        </w:rPr>
        <w:t xml:space="preserve"> applies,</w:t>
      </w:r>
    </w:p>
    <w:p>
      <w:pPr>
        <w:pStyle w:val="Subsection"/>
        <w:spacing w:before="120"/>
        <w:rPr>
          <w:rFonts w:eastAsia="Arial Unicode MS"/>
        </w:rPr>
      </w:pPr>
      <w:r>
        <w:rPr>
          <w:rFonts w:eastAsia="Arial Unicode MS"/>
        </w:rPr>
        <w:tab/>
      </w:r>
      <w:r>
        <w:rPr>
          <w:rFonts w:eastAsia="Arial Unicode MS"/>
        </w:rPr>
        <w:tab/>
        <w:t>are to be credited.</w:t>
      </w:r>
    </w:p>
    <w:p>
      <w:pPr>
        <w:pStyle w:val="Subsection"/>
        <w:spacing w:before="100"/>
      </w:pPr>
      <w:r>
        <w:tab/>
        <w:t>(2)</w:t>
      </w:r>
      <w:r>
        <w:tab/>
        <w:t>The Trust Account shall be applied to purposes recommended by the Trust and approved by the Minister for the benefit of the community.</w:t>
      </w:r>
    </w:p>
    <w:p>
      <w:pPr>
        <w:pStyle w:val="Subsection"/>
        <w:spacing w:before="100"/>
      </w:pPr>
      <w:r>
        <w:tab/>
        <w:t>(3)</w:t>
      </w:r>
      <w:r>
        <w:tab/>
        <w:t>The operation of the Trust Account shall be regarded as —</w:t>
      </w:r>
    </w:p>
    <w:p>
      <w:pPr>
        <w:pStyle w:val="Indenta"/>
        <w:spacing w:before="60"/>
      </w:pPr>
      <w:r>
        <w:tab/>
        <w:t>(a)</w:t>
      </w:r>
      <w:r>
        <w:tab/>
        <w:t xml:space="preserve">a service under the control of the Commission for the purposes of section 52 of the </w:t>
      </w:r>
      <w:r>
        <w:rPr>
          <w:i/>
        </w:rPr>
        <w:t>Financial Management Act 2006</w:t>
      </w:r>
      <w:r>
        <w:rPr>
          <w:iCs/>
        </w:rPr>
        <w:t xml:space="preserve">; </w:t>
      </w:r>
      <w:r>
        <w:t>and</w:t>
      </w:r>
    </w:p>
    <w:p>
      <w:pPr>
        <w:pStyle w:val="Indenta"/>
        <w:keepNext/>
      </w:pPr>
      <w:r>
        <w:lastRenderedPageBreak/>
        <w:tab/>
        <w:t>(b)</w:t>
      </w:r>
      <w:r>
        <w:tab/>
        <w:t>part of the operations of the Commission for the purposes of Part 5 of that Act.</w:t>
      </w:r>
    </w:p>
    <w:p>
      <w:pPr>
        <w:pStyle w:val="Footnotesection"/>
      </w:pPr>
      <w:r>
        <w:tab/>
        <w:t>[Section 109C inserted: No. 24 of 1998 s. 68(1); amended: No. 77 of 2006 Sch. 1 cl. 71(4)-(6).]</w:t>
      </w:r>
    </w:p>
    <w:p>
      <w:pPr>
        <w:pStyle w:val="Heading5"/>
      </w:pPr>
      <w:bookmarkStart w:id="179" w:name="_Toc115267909"/>
      <w:r>
        <w:rPr>
          <w:rStyle w:val="CharSectno"/>
        </w:rPr>
        <w:t>109D</w:t>
      </w:r>
      <w:r>
        <w:t>.</w:t>
      </w:r>
      <w:r>
        <w:tab/>
        <w:t>Gaming Community Trust</w:t>
      </w:r>
      <w:bookmarkEnd w:id="179"/>
    </w:p>
    <w:p>
      <w:pPr>
        <w:pStyle w:val="Subsection"/>
        <w:spacing w:before="100"/>
      </w:pPr>
      <w:r>
        <w:tab/>
        <w:t>(1)</w:t>
      </w:r>
      <w:r>
        <w:tab/>
        <w:t>A body called the Gaming Community Trust is established.</w:t>
      </w:r>
    </w:p>
    <w:p>
      <w:pPr>
        <w:pStyle w:val="Subsection"/>
        <w:spacing w:before="100"/>
      </w:pPr>
      <w:r>
        <w:tab/>
        <w:t>(2)</w:t>
      </w:r>
      <w:r>
        <w:tab/>
        <w:t>The function of the Trust is to give advice and make recommendations to the Minister, on its own initiative or at the request of the Minister, on the application of moneys standing to the credit of the Trust Account for the benefit of the community.</w:t>
      </w:r>
    </w:p>
    <w:p>
      <w:pPr>
        <w:pStyle w:val="Subsection"/>
      </w:pPr>
      <w:r>
        <w:tab/>
        <w:t>(3)</w:t>
      </w:r>
      <w:r>
        <w:tab/>
        <w:t>The Trust shall consist of 5 members as follows —</w:t>
      </w:r>
    </w:p>
    <w:p>
      <w:pPr>
        <w:pStyle w:val="Indenta"/>
      </w:pPr>
      <w:r>
        <w:tab/>
        <w:t>(a)</w:t>
      </w:r>
      <w:r>
        <w:tab/>
        <w:t>the person holding or acting in the office of chairperson of the Commission, who shall be</w:t>
      </w:r>
      <w:r>
        <w:rPr>
          <w:iCs/>
        </w:rPr>
        <w:t xml:space="preserve"> ex officio </w:t>
      </w:r>
      <w:r>
        <w:t>chairman of the Trust; and</w:t>
      </w:r>
    </w:p>
    <w:p>
      <w:pPr>
        <w:pStyle w:val="Indenta"/>
      </w:pPr>
      <w:r>
        <w:tab/>
        <w:t>(b)</w:t>
      </w:r>
      <w:r>
        <w:tab/>
        <w:t xml:space="preserve">one person appointed by the Minister on the nomination of the casino licensee as defined in the </w:t>
      </w:r>
      <w:r>
        <w:rPr>
          <w:i/>
        </w:rPr>
        <w:t>Casino Control Act 1984</w:t>
      </w:r>
      <w:r>
        <w:t xml:space="preserve"> section 3(1);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lastRenderedPageBreak/>
        <w:tab/>
        <w:t>(8)</w:t>
      </w:r>
      <w:r>
        <w:tab/>
        <w:t>The Minister may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Public Sector Commissioner.</w:t>
      </w:r>
    </w:p>
    <w:p>
      <w:pPr>
        <w:pStyle w:val="Subsection"/>
        <w:keepNext/>
      </w:pPr>
      <w:r>
        <w:tab/>
        <w:t>(9)</w:t>
      </w:r>
      <w:r>
        <w:tab/>
        <w:t>In this section —</w:t>
      </w:r>
    </w:p>
    <w:p>
      <w:pPr>
        <w:pStyle w:val="Defstart"/>
      </w:pPr>
      <w:r>
        <w:tab/>
      </w:r>
      <w:r>
        <w:rPr>
          <w:rStyle w:val="CharDefText"/>
        </w:rPr>
        <w:t>appointed member</w:t>
      </w:r>
      <w:r>
        <w:t xml:space="preserve"> means a member appointed by the Minister under subsection (3)(b) or (c).</w:t>
      </w:r>
    </w:p>
    <w:p>
      <w:pPr>
        <w:pStyle w:val="Footnotesection"/>
      </w:pPr>
      <w:r>
        <w:tab/>
        <w:t>[Section 109D inserted: No. 24 of 1998 s. 68(1); amended: No. 35 of 2003 s. 168; No. 77 of 2006 Sch. 1 cl. 71(7); No. 39 of 2010 s. 89; No. 41 of 2018 s. 24.]</w:t>
      </w:r>
    </w:p>
    <w:p>
      <w:pPr>
        <w:pStyle w:val="Heading2"/>
      </w:pPr>
      <w:bookmarkStart w:id="180" w:name="_Toc115166679"/>
      <w:bookmarkStart w:id="181" w:name="_Toc115166836"/>
      <w:bookmarkStart w:id="182" w:name="_Toc115267910"/>
      <w:r>
        <w:rPr>
          <w:rStyle w:val="CharPartNo"/>
        </w:rPr>
        <w:lastRenderedPageBreak/>
        <w:t>Part VA</w:t>
      </w:r>
      <w:r>
        <w:rPr>
          <w:rStyle w:val="CharDivNo"/>
        </w:rPr>
        <w:t> </w:t>
      </w:r>
      <w:r>
        <w:t>—</w:t>
      </w:r>
      <w:r>
        <w:rPr>
          <w:rStyle w:val="CharDivText"/>
        </w:rPr>
        <w:t> </w:t>
      </w:r>
      <w:r>
        <w:rPr>
          <w:rStyle w:val="CharPartText"/>
        </w:rPr>
        <w:t>Supervision of RWWA</w:t>
      </w:r>
      <w:bookmarkEnd w:id="180"/>
      <w:bookmarkEnd w:id="181"/>
      <w:bookmarkEnd w:id="182"/>
    </w:p>
    <w:p>
      <w:pPr>
        <w:pStyle w:val="Footnoteheading"/>
        <w:tabs>
          <w:tab w:val="left" w:pos="910"/>
        </w:tabs>
      </w:pPr>
      <w:r>
        <w:tab/>
        <w:t>[Heading inserted: No. 35 of 2003 s. 161.]</w:t>
      </w:r>
    </w:p>
    <w:p>
      <w:pPr>
        <w:pStyle w:val="Heading5"/>
      </w:pPr>
      <w:bookmarkStart w:id="183" w:name="_Toc115267911"/>
      <w:r>
        <w:rPr>
          <w:rStyle w:val="CharSectno"/>
        </w:rPr>
        <w:t>109E</w:t>
      </w:r>
      <w:r>
        <w:t>.</w:t>
      </w:r>
      <w:r>
        <w:tab/>
        <w:t>Gambling operations of RWWA, meaning of</w:t>
      </w:r>
      <w:bookmarkEnd w:id="183"/>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No. 35 of 2003 s. 161.]</w:t>
      </w:r>
    </w:p>
    <w:p>
      <w:pPr>
        <w:pStyle w:val="Heading5"/>
      </w:pPr>
      <w:bookmarkStart w:id="184" w:name="_Toc115267912"/>
      <w:r>
        <w:rPr>
          <w:rStyle w:val="CharSectno"/>
        </w:rPr>
        <w:t>109F</w:t>
      </w:r>
      <w:r>
        <w:t>.</w:t>
      </w:r>
      <w:r>
        <w:tab/>
        <w:t>Supervision of RWWA by Commission etc.</w:t>
      </w:r>
      <w:bookmarkEnd w:id="184"/>
    </w:p>
    <w:p>
      <w:pPr>
        <w:pStyle w:val="Subsection"/>
      </w:pPr>
      <w:r>
        <w:tab/>
        <w:t>(1)</w:t>
      </w:r>
      <w:r>
        <w:tab/>
        <w:t xml:space="preserve">Without limiting sections 20 to 20C of the </w:t>
      </w:r>
      <w:r>
        <w:rPr>
          <w:i/>
        </w:rPr>
        <w:t>Betting Control Act 1954</w:t>
      </w:r>
      <w:r>
        <w:t>, the Commission and an authorised officer have and may exercise in relation to —</w:t>
      </w:r>
    </w:p>
    <w:p>
      <w:pPr>
        <w:pStyle w:val="Indenta"/>
      </w:pPr>
      <w:r>
        <w:tab/>
        <w:t>(a)</w:t>
      </w:r>
      <w:r>
        <w:tab/>
        <w:t>RWWA, the directors of the board of RWWA, the employees, officers and agents of RWWA, and the premises and property of RWWA; and</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No. 35 of 2003 s. 161.]</w:t>
      </w:r>
    </w:p>
    <w:p>
      <w:pPr>
        <w:pStyle w:val="Heading5"/>
      </w:pPr>
      <w:bookmarkStart w:id="185" w:name="_Toc115267913"/>
      <w:r>
        <w:rPr>
          <w:rStyle w:val="CharSectno"/>
        </w:rPr>
        <w:lastRenderedPageBreak/>
        <w:t>109G</w:t>
      </w:r>
      <w:r>
        <w:t>.</w:t>
      </w:r>
      <w:r>
        <w:tab/>
        <w:t>Directions to RWWA, Commission may give</w:t>
      </w:r>
      <w:bookmarkEnd w:id="185"/>
    </w:p>
    <w:p>
      <w:pPr>
        <w:pStyle w:val="Subsection"/>
      </w:pPr>
      <w:r>
        <w:tab/>
        <w:t>(1)</w:t>
      </w:r>
      <w:r>
        <w:tab/>
        <w:t>The Commission may give directions to RWWA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No. 35 of 2003 s. 161.]</w:t>
      </w:r>
    </w:p>
    <w:p>
      <w:pPr>
        <w:pStyle w:val="Heading5"/>
      </w:pPr>
      <w:bookmarkStart w:id="186" w:name="_Toc115267914"/>
      <w:r>
        <w:rPr>
          <w:rStyle w:val="CharSectno"/>
        </w:rPr>
        <w:t>109H</w:t>
      </w:r>
      <w:r>
        <w:t>.</w:t>
      </w:r>
      <w:r>
        <w:tab/>
        <w:t>RWWA must comply with directions</w:t>
      </w:r>
      <w:bookmarkEnd w:id="186"/>
    </w:p>
    <w:p>
      <w:pPr>
        <w:pStyle w:val="Subsection"/>
      </w:pPr>
      <w:r>
        <w:tab/>
        <w:t>(1)</w:t>
      </w:r>
      <w:r>
        <w:tab/>
        <w:t xml:space="preserve">RWWA must ensure that any direction given to it under section 109G, or section 52 of the RWWA Act, is brought to the notice of, and not contravened by, any person who is </w:t>
      </w:r>
      <w:r>
        <w:lastRenderedPageBreak/>
        <w:t>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If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for this subsection: a fine of $5 000.</w:t>
      </w:r>
    </w:p>
    <w:p>
      <w:pPr>
        <w:pStyle w:val="Footnotesection"/>
      </w:pPr>
      <w:r>
        <w:tab/>
        <w:t>[Section 109H inserted: No. 35 of 2003 s. 161; amended: No. 41 of 2018 s. 25(1).]</w:t>
      </w:r>
    </w:p>
    <w:p>
      <w:pPr>
        <w:pStyle w:val="Heading5"/>
      </w:pPr>
      <w:bookmarkStart w:id="187" w:name="_Toc115267915"/>
      <w:r>
        <w:rPr>
          <w:rStyle w:val="CharSectno"/>
        </w:rPr>
        <w:t>109I</w:t>
      </w:r>
      <w:r>
        <w:t>.</w:t>
      </w:r>
      <w:r>
        <w:tab/>
        <w:t>Complaints about RWWA, Commission’s functions as to</w:t>
      </w:r>
      <w:bookmarkEnd w:id="187"/>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No. 35 of 2003 s. 161.]</w:t>
      </w:r>
    </w:p>
    <w:p>
      <w:pPr>
        <w:pStyle w:val="Heading5"/>
      </w:pPr>
      <w:bookmarkStart w:id="188" w:name="_Toc115267916"/>
      <w:r>
        <w:rPr>
          <w:rStyle w:val="CharSectno"/>
        </w:rPr>
        <w:t>109J</w:t>
      </w:r>
      <w:r>
        <w:t>.</w:t>
      </w:r>
      <w:r>
        <w:tab/>
        <w:t>Reports on and inquiries into RWWA</w:t>
      </w:r>
      <w:bookmarkEnd w:id="188"/>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keepNext/>
      </w:pPr>
      <w:r>
        <w:lastRenderedPageBreak/>
        <w:tab/>
        <w:t>(3)</w:t>
      </w:r>
      <w:r>
        <w:tab/>
        <w:t>Related matters that may be made the subject of an inquiry include —</w:t>
      </w:r>
    </w:p>
    <w:p>
      <w:pPr>
        <w:pStyle w:val="Indenta"/>
      </w:pPr>
      <w:r>
        <w:tab/>
        <w:t>(a)</w:t>
      </w:r>
      <w:r>
        <w:tab/>
        <w:t>gambling operations of RWWA; and</w:t>
      </w:r>
    </w:p>
    <w:p>
      <w:pPr>
        <w:pStyle w:val="Indenta"/>
      </w:pPr>
      <w:r>
        <w:tab/>
        <w:t>(b)</w:t>
      </w:r>
      <w:r>
        <w:tab/>
        <w:t>RWWA’s compliance with the RWWA Act, this Act and other written laws; and</w:t>
      </w:r>
    </w:p>
    <w:p>
      <w:pPr>
        <w:pStyle w:val="Indenta"/>
      </w:pPr>
      <w:r>
        <w:tab/>
        <w:t>(c)</w:t>
      </w:r>
      <w:r>
        <w:tab/>
        <w:t>suspected corruption; and</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A direction given under subsection (2)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lastRenderedPageBreak/>
        <w:tab/>
        <w:t>[Section 109J inserted: No. 35 of 2003 s. 161.]</w:t>
      </w:r>
    </w:p>
    <w:p>
      <w:pPr>
        <w:pStyle w:val="Heading5"/>
      </w:pPr>
      <w:bookmarkStart w:id="189" w:name="_Toc115267917"/>
      <w:r>
        <w:rPr>
          <w:rStyle w:val="CharSectno"/>
        </w:rPr>
        <w:t>109K</w:t>
      </w:r>
      <w:r>
        <w:t>.</w:t>
      </w:r>
      <w:r>
        <w:tab/>
        <w:t>Report or inquiry under s. 109J, Minister’s powers following</w:t>
      </w:r>
      <w:bookmarkEnd w:id="189"/>
    </w:p>
    <w:p>
      <w:pPr>
        <w:pStyle w:val="Subsection"/>
      </w:pPr>
      <w:r>
        <w:tab/>
        <w:t>(1)</w:t>
      </w:r>
      <w:r>
        <w:tab/>
        <w:t>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After receiving and considering each submission served under subsection (2) the Minister may, subject to subsection (4) and if the Minister considers it in the public interest to do so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lastRenderedPageBreak/>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No. 35 of 2003 s. 161.]</w:t>
      </w:r>
    </w:p>
    <w:p>
      <w:pPr>
        <w:pStyle w:val="Heading2"/>
      </w:pPr>
      <w:bookmarkStart w:id="190" w:name="_Toc115166687"/>
      <w:bookmarkStart w:id="191" w:name="_Toc115166844"/>
      <w:bookmarkStart w:id="192" w:name="_Toc115267918"/>
      <w:r>
        <w:rPr>
          <w:rStyle w:val="CharPartNo"/>
        </w:rPr>
        <w:lastRenderedPageBreak/>
        <w:t>Part VI</w:t>
      </w:r>
      <w:r>
        <w:rPr>
          <w:rStyle w:val="CharDivNo"/>
        </w:rPr>
        <w:t> </w:t>
      </w:r>
      <w:r>
        <w:t>—</w:t>
      </w:r>
      <w:r>
        <w:rPr>
          <w:rStyle w:val="CharDivText"/>
        </w:rPr>
        <w:t> </w:t>
      </w:r>
      <w:r>
        <w:rPr>
          <w:rStyle w:val="CharPartText"/>
        </w:rPr>
        <w:t>Ancillary</w:t>
      </w:r>
      <w:bookmarkEnd w:id="190"/>
      <w:bookmarkEnd w:id="191"/>
      <w:bookmarkEnd w:id="192"/>
    </w:p>
    <w:p>
      <w:pPr>
        <w:pStyle w:val="Heading5"/>
        <w:rPr>
          <w:snapToGrid w:val="0"/>
        </w:rPr>
      </w:pPr>
      <w:bookmarkStart w:id="193" w:name="_Toc115267919"/>
      <w:r>
        <w:rPr>
          <w:rStyle w:val="CharSectno"/>
        </w:rPr>
        <w:t>110</w:t>
      </w:r>
      <w:r>
        <w:rPr>
          <w:snapToGrid w:val="0"/>
        </w:rPr>
        <w:t>.</w:t>
      </w:r>
      <w:r>
        <w:rPr>
          <w:snapToGrid w:val="0"/>
        </w:rPr>
        <w:tab/>
        <w:t>Gambling on premises licensed for retail sale of liquor</w:t>
      </w:r>
      <w:bookmarkEnd w:id="193"/>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iCs/>
        </w:rPr>
        <w:t>Liquor Control Act 1988</w:t>
      </w:r>
      <w:r>
        <w:t xml:space="preserve"> </w:t>
      </w:r>
      <w:r>
        <w:rPr>
          <w:snapToGrid w:val="0"/>
        </w:rPr>
        <w:t>unless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 or</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iCs/>
        </w:rPr>
        <w:t>Liquor Control Act 1988</w:t>
      </w:r>
      <w:r>
        <w:t xml:space="preserve"> </w:t>
      </w:r>
      <w:r>
        <w:rPr>
          <w:snapToGrid w:val="0"/>
        </w:rPr>
        <w:t>in a part of the premises to which the public have access, the Commission shall ensure that such conditions are imposed as are necessary to secure that any such gaming in that part of the premises does not take place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[Section 110 amended: No. 125 of 1987 s. 33; No. 16 of 1990 s. 33; No. 24 of 1998 s. 69; No. 35 of 2003 s. 162 and 166; No. 73 of 2006 s. 114.]</w:t>
      </w:r>
    </w:p>
    <w:p>
      <w:pPr>
        <w:pStyle w:val="Heading5"/>
      </w:pPr>
      <w:bookmarkStart w:id="194" w:name="_Toc115267920"/>
      <w:r>
        <w:rPr>
          <w:rStyle w:val="CharSectno"/>
        </w:rPr>
        <w:lastRenderedPageBreak/>
        <w:t>110A</w:t>
      </w:r>
      <w:r>
        <w:t>.</w:t>
      </w:r>
      <w:r>
        <w:tab/>
        <w:t>Sports Wagering Account</w:t>
      </w:r>
      <w:bookmarkEnd w:id="194"/>
    </w:p>
    <w:p>
      <w:pPr>
        <w:pStyle w:val="Subsection"/>
      </w:pPr>
      <w:r>
        <w:tab/>
        <w:t>(1)</w:t>
      </w:r>
      <w:r>
        <w:tab/>
        <w:t>An account called the Sports Wagering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moneys paid by RWWA under section 104 of the RWWA Act are to be credited.</w:t>
      </w:r>
    </w:p>
    <w:p>
      <w:pPr>
        <w:pStyle w:val="Ednotesubsection"/>
      </w:pPr>
      <w:r>
        <w:tab/>
        <w:t>[(2)</w:t>
      </w:r>
      <w:r>
        <w:tab/>
        <w:t>deleted]</w:t>
      </w:r>
    </w:p>
    <w:p>
      <w:pPr>
        <w:pStyle w:val="Subsection"/>
      </w:pPr>
      <w:r>
        <w:tab/>
        <w:t>(3)</w:t>
      </w:r>
      <w:r>
        <w:tab/>
        <w:t>The Sports Wagering Account shall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The Commission shall, at quarterly intervals, notify the Minister of the Crown responsible for sport and recreation of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The Commission on being directed by the Minister of the Crown responsible for sport and recreation, shall distribute the moneys referred to in subsection (1) and the moneys from time to time standing to the credit of the Sports Wagering Account —</w:t>
      </w:r>
    </w:p>
    <w:p>
      <w:pPr>
        <w:pStyle w:val="Indenta"/>
      </w:pPr>
      <w:r>
        <w:tab/>
        <w:t>(a)</w:t>
      </w:r>
      <w:r>
        <w:tab/>
        <w:t>to the persons or bodies of persons; and</w:t>
      </w:r>
    </w:p>
    <w:p>
      <w:pPr>
        <w:pStyle w:val="Indenta"/>
      </w:pPr>
      <w:r>
        <w:tab/>
        <w:t>(b)</w:t>
      </w:r>
      <w:r>
        <w:tab/>
        <w:t>for the purposes; and</w:t>
      </w:r>
    </w:p>
    <w:p>
      <w:pPr>
        <w:pStyle w:val="Indenta"/>
        <w:keepNext/>
      </w:pPr>
      <w:r>
        <w:lastRenderedPageBreak/>
        <w:tab/>
        <w:t>(c)</w:t>
      </w:r>
      <w:r>
        <w:tab/>
        <w:t>in the respective amounts,</w:t>
      </w:r>
    </w:p>
    <w:p>
      <w:pPr>
        <w:pStyle w:val="Subsection"/>
      </w:pPr>
      <w:r>
        <w:tab/>
      </w:r>
      <w:r>
        <w:tab/>
        <w:t>directed by that Minister.</w:t>
      </w:r>
    </w:p>
    <w:p>
      <w:pPr>
        <w:pStyle w:val="Footnotesection"/>
      </w:pPr>
      <w:r>
        <w:tab/>
        <w:t>[Section 110A inserted: No. 35 of 2003 s. 163; amended: No. 28 of 2006 s. 403; No. 77 of 2006 Sch. 1 cl. 71(8); No. 37 of 2018 s. 66.]</w:t>
      </w:r>
    </w:p>
    <w:p>
      <w:pPr>
        <w:pStyle w:val="Heading5"/>
      </w:pPr>
      <w:bookmarkStart w:id="195" w:name="_Toc115267921"/>
      <w:r>
        <w:rPr>
          <w:rStyle w:val="CharSectno"/>
        </w:rPr>
        <w:t>110B</w:t>
      </w:r>
      <w:r>
        <w:t>.</w:t>
      </w:r>
      <w:r>
        <w:tab/>
        <w:t>Racing Bets Levy Account</w:t>
      </w:r>
      <w:bookmarkEnd w:id="195"/>
    </w:p>
    <w:p>
      <w:pPr>
        <w:pStyle w:val="Subsection"/>
      </w:pPr>
      <w:r>
        <w:tab/>
        <w:t>(1)</w:t>
      </w:r>
      <w:r>
        <w:tab/>
        <w:t>An account called the Racing Bets Levy Account is to be established —</w:t>
      </w:r>
    </w:p>
    <w:p>
      <w:pPr>
        <w:pStyle w:val="Indenta"/>
      </w:pPr>
      <w:r>
        <w:tab/>
        <w:t>(a)</w:t>
      </w:r>
      <w:r>
        <w:tab/>
        <w:t xml:space="preserve">as an agency special purpose account under the </w:t>
      </w:r>
      <w:r>
        <w:rPr>
          <w:i/>
          <w:iCs/>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r>
      <w:r>
        <w:tab/>
        <w:t xml:space="preserve">to which the Commission must credit moneys paid to or recovered by the Commission under the </w:t>
      </w:r>
      <w:r>
        <w:rPr>
          <w:i/>
        </w:rPr>
        <w:t>Betting Control Act 1954</w:t>
      </w:r>
      <w:r>
        <w:t xml:space="preserve"> section 14A.</w:t>
      </w:r>
    </w:p>
    <w:p>
      <w:pPr>
        <w:pStyle w:val="Subsection"/>
      </w:pPr>
      <w:r>
        <w:tab/>
        <w:t>(2)</w:t>
      </w:r>
      <w:r>
        <w:tab/>
        <w:t>The Racing Bets Levy Account is to be administered by the Commission.</w:t>
      </w:r>
    </w:p>
    <w:p>
      <w:pPr>
        <w:pStyle w:val="Subsection"/>
      </w:pPr>
      <w:r>
        <w:tab/>
        <w:t>(3)</w:t>
      </w:r>
      <w:r>
        <w:tab/>
        <w:t>The Racing Bets Levy Account is to be applied for the purpose of the payment of the outgoings and expenses referred to in subsection (4)(a).</w:t>
      </w:r>
    </w:p>
    <w:p>
      <w:pPr>
        <w:pStyle w:val="Subsection"/>
      </w:pPr>
      <w:r>
        <w:tab/>
        <w:t>(4)</w:t>
      </w:r>
      <w:r>
        <w:tab/>
        <w:t>The Commission is to —</w:t>
      </w:r>
    </w:p>
    <w:p>
      <w:pPr>
        <w:pStyle w:val="Indenta"/>
      </w:pPr>
      <w:r>
        <w:tab/>
        <w:t>(a)</w:t>
      </w:r>
      <w:r>
        <w:tab/>
        <w:t>withdraw from the Racing Bets Levy Account, at monthly intervals, a sum approved by the Minister for outgoings and expenses incurred by the Commission in administering the Account; and</w:t>
      </w:r>
    </w:p>
    <w:p>
      <w:pPr>
        <w:pStyle w:val="Indenta"/>
      </w:pPr>
      <w:r>
        <w:tab/>
        <w:t>(b)</w:t>
      </w:r>
      <w:r>
        <w:tab/>
        <w:t>pay or credit, at prescribed intervals, the balance of that Account in accordance with this section.</w:t>
      </w:r>
    </w:p>
    <w:p>
      <w:pPr>
        <w:pStyle w:val="Subsection"/>
      </w:pPr>
      <w:r>
        <w:tab/>
        <w:t>(5)</w:t>
      </w:r>
      <w:r>
        <w:tab/>
        <w:t>The balance of the Racing Bets Levy Account is to be paid or credited to RWWA or paid or credited by the Commission, in such amounts as it determines, to the following —</w:t>
      </w:r>
    </w:p>
    <w:p>
      <w:pPr>
        <w:pStyle w:val="Indenta"/>
        <w:spacing w:before="60"/>
      </w:pPr>
      <w:r>
        <w:tab/>
        <w:t>(a)</w:t>
      </w:r>
      <w:r>
        <w:tab/>
        <w:t>thoroughbred racing clubs registered with RWWA;</w:t>
      </w:r>
    </w:p>
    <w:p>
      <w:pPr>
        <w:pStyle w:val="Indenta"/>
        <w:spacing w:before="60"/>
      </w:pPr>
      <w:r>
        <w:lastRenderedPageBreak/>
        <w:tab/>
        <w:t>(b)</w:t>
      </w:r>
      <w:r>
        <w:tab/>
        <w:t>harness racing clubs registered with RWWA;</w:t>
      </w:r>
    </w:p>
    <w:p>
      <w:pPr>
        <w:pStyle w:val="Indenta"/>
        <w:spacing w:before="60"/>
      </w:pPr>
      <w:r>
        <w:tab/>
        <w:t>(c)</w:t>
      </w:r>
      <w:r>
        <w:tab/>
        <w:t>greyhound racing clubs registered with RWWA.</w:t>
      </w:r>
    </w:p>
    <w:p>
      <w:pPr>
        <w:pStyle w:val="Footnotesection"/>
      </w:pPr>
      <w:r>
        <w:tab/>
        <w:t>[Section 110B inserted: No. 29 of 2009 s. 20.]</w:t>
      </w:r>
    </w:p>
    <w:p>
      <w:pPr>
        <w:pStyle w:val="Heading5"/>
        <w:spacing w:before="200"/>
        <w:rPr>
          <w:snapToGrid w:val="0"/>
        </w:rPr>
      </w:pPr>
      <w:bookmarkStart w:id="196" w:name="_Toc115267922"/>
      <w:r>
        <w:rPr>
          <w:rStyle w:val="CharSectno"/>
        </w:rPr>
        <w:t>111</w:t>
      </w:r>
      <w:r>
        <w:rPr>
          <w:snapToGrid w:val="0"/>
        </w:rPr>
        <w:t>.</w:t>
      </w:r>
      <w:r>
        <w:rPr>
          <w:snapToGrid w:val="0"/>
        </w:rPr>
        <w:tab/>
        <w:t>Burswood Casino Agreement cl. 22, when Commission may decide questions as to</w:t>
      </w:r>
      <w:bookmarkEnd w:id="196"/>
    </w:p>
    <w:p>
      <w:pPr>
        <w:pStyle w:val="Subsection"/>
        <w:spacing w:before="100"/>
        <w:rPr>
          <w:snapToGrid w:val="0"/>
        </w:rPr>
      </w:pPr>
      <w:r>
        <w:rPr>
          <w:snapToGrid w:val="0"/>
        </w:rPr>
        <w:tab/>
      </w:r>
      <w:r>
        <w:rPr>
          <w:snapToGrid w:val="0"/>
        </w:rPr>
        <w:tab/>
        <w:t xml:space="preserve">In </w:t>
      </w:r>
      <w:r>
        <w:t>relation</w:t>
      </w:r>
      <w:r>
        <w:rPr>
          <w:snapToGrid w:val="0"/>
        </w:rPr>
        <w:t xml:space="preserve"> to the Agreement to which the </w:t>
      </w:r>
      <w:r>
        <w:rPr>
          <w:i/>
          <w:snapToGrid w:val="0"/>
        </w:rPr>
        <w:t>Casino (Burswood Island)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w:t>
      </w:r>
    </w:p>
    <w:p>
      <w:pPr>
        <w:pStyle w:val="Indenta"/>
        <w:spacing w:before="60"/>
        <w:rPr>
          <w:snapToGrid w:val="0"/>
        </w:rPr>
      </w:pPr>
      <w:r>
        <w:rPr>
          <w:snapToGrid w:val="0"/>
        </w:rPr>
        <w:tab/>
        <w:t>(a)</w:t>
      </w:r>
      <w:r>
        <w:rPr>
          <w:snapToGrid w:val="0"/>
        </w:rPr>
        <w:tab/>
        <w:t>the Trustee referred to in that Agreement; or</w:t>
      </w:r>
    </w:p>
    <w:p>
      <w:pPr>
        <w:pStyle w:val="Indenta"/>
        <w:spacing w:before="60"/>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spacing w:before="200"/>
        <w:rPr>
          <w:snapToGrid w:val="0"/>
        </w:rPr>
      </w:pPr>
      <w:bookmarkStart w:id="197" w:name="_Toc115267923"/>
      <w:r>
        <w:rPr>
          <w:rStyle w:val="CharSectno"/>
        </w:rPr>
        <w:t>112</w:t>
      </w:r>
      <w:r>
        <w:rPr>
          <w:snapToGrid w:val="0"/>
        </w:rPr>
        <w:t>.</w:t>
      </w:r>
      <w:r>
        <w:rPr>
          <w:snapToGrid w:val="0"/>
        </w:rPr>
        <w:tab/>
        <w:t xml:space="preserve">Transitional provisions as to </w:t>
      </w:r>
      <w:r>
        <w:rPr>
          <w:i/>
          <w:snapToGrid w:val="0"/>
        </w:rPr>
        <w:t>Casino Control Act 1984</w:t>
      </w:r>
      <w:bookmarkEnd w:id="197"/>
    </w:p>
    <w:p>
      <w:pPr>
        <w:pStyle w:val="Subsection"/>
        <w:spacing w:before="100"/>
        <w:rPr>
          <w:snapToGrid w:val="0"/>
        </w:rPr>
      </w:pPr>
      <w:r>
        <w:rPr>
          <w:snapToGrid w:val="0"/>
        </w:rPr>
        <w:tab/>
        <w:t>(1)</w:t>
      </w:r>
      <w:r>
        <w:rPr>
          <w:snapToGrid w:val="0"/>
        </w:rPr>
        <w:tab/>
        <w:t xml:space="preserve">On and </w:t>
      </w:r>
      <w:r>
        <w:t>after</w:t>
      </w:r>
      <w:r>
        <w:rPr>
          <w:snapToGrid w:val="0"/>
        </w:rPr>
        <w:t xml:space="preserve">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spacing w:before="100"/>
        <w:rPr>
          <w:snapToGrid w:val="0"/>
        </w:rPr>
      </w:pPr>
      <w:r>
        <w:rPr>
          <w:snapToGrid w:val="0"/>
        </w:rPr>
        <w:tab/>
        <w:t>(2)</w:t>
      </w:r>
      <w:r>
        <w:rPr>
          <w:snapToGrid w:val="0"/>
        </w:rPr>
        <w:tab/>
        <w:t xml:space="preserve">A </w:t>
      </w:r>
      <w:r>
        <w:t>reference</w:t>
      </w:r>
      <w:r>
        <w:rPr>
          <w:snapToGrid w:val="0"/>
        </w:rPr>
        <w:t xml:space="preserve"> to the Casino Control Committee —</w:t>
      </w:r>
    </w:p>
    <w:p>
      <w:pPr>
        <w:pStyle w:val="Indenta"/>
        <w:spacing w:before="60"/>
        <w:rPr>
          <w:snapToGrid w:val="0"/>
        </w:rPr>
      </w:pPr>
      <w:r>
        <w:rPr>
          <w:snapToGrid w:val="0"/>
        </w:rPr>
        <w:tab/>
        <w:t>(a)</w:t>
      </w:r>
      <w:r>
        <w:rPr>
          <w:snapToGrid w:val="0"/>
        </w:rPr>
        <w:tab/>
        <w:t>in any written law passed or made; or</w:t>
      </w:r>
    </w:p>
    <w:p>
      <w:pPr>
        <w:pStyle w:val="Indenta"/>
        <w:spacing w:before="60"/>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keepNext/>
        <w:spacing w:before="100"/>
        <w:rPr>
          <w:snapToGrid w:val="0"/>
        </w:rPr>
      </w:pPr>
      <w:r>
        <w:rPr>
          <w:snapToGrid w:val="0"/>
        </w:rPr>
        <w:lastRenderedPageBreak/>
        <w:tab/>
      </w:r>
      <w:r>
        <w:rPr>
          <w:snapToGrid w:val="0"/>
        </w:rPr>
        <w:tab/>
        <w:t xml:space="preserve">before the </w:t>
      </w:r>
      <w:r>
        <w:t>coming</w:t>
      </w:r>
      <w:r>
        <w:rPr>
          <w:snapToGrid w:val="0"/>
        </w:rPr>
        <w:t xml:space="preserve"> into operation of section 4 shall, unless the context is such that it would be inappropriate so to do, be read and construed as a reference to the Commission.</w:t>
      </w:r>
    </w:p>
    <w:p>
      <w:pPr>
        <w:pStyle w:val="Footnotesection"/>
      </w:pPr>
      <w:r>
        <w:tab/>
        <w:t>[Section 112 amended: No. 24 of 1998 s. 70.]</w:t>
      </w:r>
    </w:p>
    <w:p>
      <w:pPr>
        <w:pStyle w:val="Ednotesection"/>
      </w:pPr>
      <w:r>
        <w:t>[</w:t>
      </w:r>
      <w:r>
        <w:rPr>
          <w:b/>
        </w:rPr>
        <w:t>113.</w:t>
      </w:r>
      <w:r>
        <w:tab/>
        <w:t>Deleted: No. 16 of 1990 s. 33.]</w:t>
      </w:r>
    </w:p>
    <w:p>
      <w:pPr>
        <w:pStyle w:val="Ednotesection"/>
        <w:keepNext/>
      </w:pPr>
      <w:r>
        <w:t>[</w:t>
      </w:r>
      <w:r>
        <w:rPr>
          <w:b/>
        </w:rPr>
        <w:t>114.</w:t>
      </w:r>
      <w:r>
        <w:tab/>
        <w:t>Deleted: No. 24 of 1998 s. 71.]</w:t>
      </w:r>
    </w:p>
    <w:p>
      <w:pPr>
        <w:pStyle w:val="Ednotesection"/>
        <w:keepNext/>
      </w:pPr>
      <w:r>
        <w:t>[</w:t>
      </w:r>
      <w:r>
        <w:rPr>
          <w:b/>
        </w:rPr>
        <w:t>115.</w:t>
      </w:r>
      <w:r>
        <w:tab/>
        <w:t>Deleted: No. 35 of 2003 s. 164.]</w:t>
      </w:r>
    </w:p>
    <w:p>
      <w:pPr>
        <w:pStyle w:val="Ednotesection"/>
      </w:pPr>
      <w:r>
        <w:t>[</w:t>
      </w:r>
      <w:r>
        <w:rPr>
          <w:b/>
          <w:bCs/>
        </w:rPr>
        <w:t>116.</w:t>
      </w:r>
      <w:r>
        <w:tab/>
        <w:t>Omitted under the Reprints Act 1984 s. 7(4)(e).]</w:t>
      </w:r>
    </w:p>
    <w:p>
      <w:pPr>
        <w:pStyle w:val="Heading5"/>
        <w:rPr>
          <w:snapToGrid w:val="0"/>
        </w:rPr>
      </w:pPr>
      <w:bookmarkStart w:id="198" w:name="_Toc115267924"/>
      <w:r>
        <w:rPr>
          <w:rStyle w:val="CharSectno"/>
        </w:rPr>
        <w:t>117</w:t>
      </w:r>
      <w:r>
        <w:rPr>
          <w:snapToGrid w:val="0"/>
        </w:rPr>
        <w:t>.</w:t>
      </w:r>
      <w:r>
        <w:rPr>
          <w:snapToGrid w:val="0"/>
        </w:rPr>
        <w:tab/>
        <w:t>Regulations</w:t>
      </w:r>
      <w:bookmarkEnd w:id="198"/>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w:t>
      </w:r>
    </w:p>
    <w:p>
      <w:pPr>
        <w:pStyle w:val="Indenta"/>
        <w:rPr>
          <w:snapToGrid w:val="0"/>
        </w:rPr>
      </w:pPr>
      <w:r>
        <w:rPr>
          <w:snapToGrid w:val="0"/>
        </w:rPr>
        <w:tab/>
        <w:t>(a)</w:t>
      </w:r>
      <w:r>
        <w:rPr>
          <w:snapToGrid w:val="0"/>
        </w:rPr>
        <w:tab/>
        <w:t>for securing that gaming in respect of which a permit is for the time being in force is fairly and properly conducted; and</w:t>
      </w:r>
    </w:p>
    <w:p>
      <w:pPr>
        <w:pStyle w:val="Indenta"/>
        <w:rPr>
          <w:snapToGrid w:val="0"/>
        </w:rPr>
      </w:pPr>
      <w:r>
        <w:rPr>
          <w:snapToGrid w:val="0"/>
        </w:rPr>
        <w:tab/>
        <w:t>(b)</w:t>
      </w:r>
      <w:r>
        <w:rPr>
          <w:snapToGrid w:val="0"/>
        </w:rPr>
        <w:tab/>
        <w:t>for the prevention of fraud, cheating or corruption; and</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w:t>
      </w:r>
      <w:r>
        <w:t xml:space="preserve"> Commission; and</w:t>
      </w:r>
    </w:p>
    <w:p>
      <w:pPr>
        <w:pStyle w:val="Indenta"/>
      </w:pPr>
      <w:r>
        <w:tab/>
        <w:t>(e)</w:t>
      </w:r>
      <w:r>
        <w:tab/>
        <w:t>for regulating (including prohibiting advertisements of a type that are not in the public interest) the content of advertisements that convey, or are likely to be understood as conveying, the existence (in this State or elsewhere) of —</w:t>
      </w:r>
    </w:p>
    <w:p>
      <w:pPr>
        <w:pStyle w:val="Indenti"/>
      </w:pPr>
      <w:r>
        <w:tab/>
        <w:t>(i)</w:t>
      </w:r>
      <w:r>
        <w:tab/>
        <w:t>a person referred to in section 43A(3)(a) to (da); or</w:t>
      </w:r>
    </w:p>
    <w:p>
      <w:pPr>
        <w:pStyle w:val="Indenti"/>
        <w:keepNext/>
      </w:pPr>
      <w:r>
        <w:lastRenderedPageBreak/>
        <w:tab/>
        <w:t>(ii)</w:t>
      </w:r>
      <w:r>
        <w:tab/>
        <w:t>a person or class of person prescribed under section 43A(3)(d).</w:t>
      </w:r>
    </w:p>
    <w:p>
      <w:pPr>
        <w:pStyle w:val="Footnotesection"/>
      </w:pPr>
      <w:r>
        <w:tab/>
        <w:t>[Section 117 amended: No. 35 of 2003 s. 165; No. 29 of 2009 s. 21.]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99" w:name="_Toc115166694"/>
      <w:bookmarkStart w:id="200" w:name="_Toc115166851"/>
      <w:bookmarkStart w:id="201" w:name="_Toc115267925"/>
      <w:r>
        <w:lastRenderedPageBreak/>
        <w:t>Notes</w:t>
      </w:r>
      <w:bookmarkEnd w:id="199"/>
      <w:bookmarkEnd w:id="200"/>
      <w:bookmarkEnd w:id="201"/>
    </w:p>
    <w:p>
      <w:pPr>
        <w:pStyle w:val="nStatement"/>
      </w:pPr>
      <w:r>
        <w:t xml:space="preserve">This is a compilation of the </w:t>
      </w:r>
      <w:r>
        <w:rPr>
          <w:i/>
          <w:noProof/>
        </w:rPr>
        <w:t>Gaming and Wagering Commission Act 1987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02" w:name="_Toc115267926"/>
      <w:r>
        <w:t>Compilation table</w:t>
      </w:r>
      <w:bookmarkEnd w:id="202"/>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1134"/>
        <w:gridCol w:w="2552"/>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pPr>
            <w:r>
              <w:rPr>
                <w:i/>
              </w:rPr>
              <w:t>Gaming Commission Act 1987</w:t>
            </w:r>
            <w:r>
              <w:rPr>
                <w:vertAlign w:val="superscript"/>
              </w:rPr>
              <w:t> 1</w:t>
            </w:r>
          </w:p>
        </w:tc>
        <w:tc>
          <w:tcPr>
            <w:tcW w:w="1134" w:type="dxa"/>
            <w:gridSpan w:val="2"/>
            <w:tcBorders>
              <w:top w:val="single" w:sz="8" w:space="0" w:color="auto"/>
            </w:tcBorders>
          </w:tcPr>
          <w:p>
            <w:pPr>
              <w:pStyle w:val="nTable"/>
              <w:spacing w:after="40"/>
            </w:pPr>
            <w:r>
              <w:t>50 of 1987</w:t>
            </w:r>
          </w:p>
        </w:tc>
        <w:tc>
          <w:tcPr>
            <w:tcW w:w="1134" w:type="dxa"/>
            <w:tcBorders>
              <w:top w:val="single" w:sz="8" w:space="0" w:color="auto"/>
            </w:tcBorders>
          </w:tcPr>
          <w:p>
            <w:pPr>
              <w:pStyle w:val="nTable"/>
              <w:spacing w:after="40"/>
            </w:pPr>
            <w:r>
              <w:t>8 Oct 1987</w:t>
            </w:r>
          </w:p>
        </w:tc>
        <w:tc>
          <w:tcPr>
            <w:tcW w:w="2552" w:type="dxa"/>
            <w:tcBorders>
              <w:top w:val="single" w:sz="8" w:space="0" w:color="auto"/>
            </w:tcBorders>
          </w:tcPr>
          <w:p>
            <w:pPr>
              <w:pStyle w:val="nTable"/>
              <w:spacing w:after="40"/>
            </w:pPr>
            <w:r>
              <w:rPr>
                <w:color w:val="000000"/>
              </w:rPr>
              <w:t>s. 1 and 2: 8 Oct 1987;</w:t>
            </w:r>
            <w:r>
              <w:rPr>
                <w:color w:val="000000"/>
              </w:rPr>
              <w:br/>
              <w:t xml:space="preserve">s. 3, Pt. II, V Div. 2 and s. 111, 112, 115-117: 4 Mar 1988 (see s. 2 and </w:t>
            </w:r>
            <w:r>
              <w:rPr>
                <w:i/>
                <w:iCs/>
                <w:color w:val="000000"/>
              </w:rPr>
              <w:t>Gazette</w:t>
            </w:r>
            <w:r>
              <w:rPr>
                <w:color w:val="000000"/>
              </w:rPr>
              <w:t xml:space="preserve"> 4 Mar 1988 p. 665);</w:t>
            </w:r>
            <w:r>
              <w:rPr>
                <w:color w:val="000000"/>
              </w:rPr>
              <w:br/>
              <w:t>Act other than Pt. I,  II, V Div. 2 and s. 111, 112 and</w:t>
            </w:r>
            <w:r>
              <w:rPr>
                <w:color w:val="000000"/>
              </w:rPr>
              <w:br/>
              <w:t xml:space="preserve">115-117: 2 May 1988 (see s. 2 and </w:t>
            </w:r>
            <w:r>
              <w:rPr>
                <w:i/>
                <w:iCs/>
                <w:color w:val="000000"/>
              </w:rPr>
              <w:t>Gazette</w:t>
            </w:r>
            <w:r>
              <w:rPr>
                <w:color w:val="000000"/>
              </w:rPr>
              <w:t xml:space="preserve"> 29 Apr 1988 p. 1291)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Acts Amendment (Totalisator Agency Board Betting) Act 1987 </w:t>
            </w:r>
            <w:r>
              <w:t>Pt. III</w:t>
            </w:r>
          </w:p>
        </w:tc>
        <w:tc>
          <w:tcPr>
            <w:tcW w:w="1134" w:type="dxa"/>
            <w:gridSpan w:val="2"/>
          </w:tcPr>
          <w:p>
            <w:pPr>
              <w:pStyle w:val="nTable"/>
              <w:spacing w:after="40"/>
            </w:pPr>
            <w:r>
              <w:t>125 of 1987</w:t>
            </w:r>
          </w:p>
        </w:tc>
        <w:tc>
          <w:tcPr>
            <w:tcW w:w="1134" w:type="dxa"/>
          </w:tcPr>
          <w:p>
            <w:pPr>
              <w:pStyle w:val="nTable"/>
              <w:spacing w:after="40"/>
            </w:pPr>
            <w:r>
              <w:t>31 Dec 1987</w:t>
            </w:r>
          </w:p>
        </w:tc>
        <w:tc>
          <w:tcPr>
            <w:tcW w:w="2552" w:type="dxa"/>
          </w:tcPr>
          <w:p>
            <w:pPr>
              <w:pStyle w:val="nTable"/>
              <w:spacing w:after="40"/>
            </w:pPr>
            <w:r>
              <w:t xml:space="preserve">25 Mar 1988 (see s. 2 and </w:t>
            </w:r>
            <w:r>
              <w:rPr>
                <w:i/>
              </w:rPr>
              <w:t>Gazette</w:t>
            </w:r>
            <w:r>
              <w:t xml:space="preserve"> 25 Mar 1988 p. 933)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Lotteries Commission Act 1990 </w:t>
            </w:r>
            <w:r>
              <w:t>s. 31(3) and 33</w:t>
            </w:r>
          </w:p>
        </w:tc>
        <w:tc>
          <w:tcPr>
            <w:tcW w:w="1134" w:type="dxa"/>
            <w:gridSpan w:val="2"/>
          </w:tcPr>
          <w:p>
            <w:pPr>
              <w:pStyle w:val="nTable"/>
              <w:spacing w:after="40"/>
            </w:pPr>
            <w:r>
              <w:t>16 of 1990</w:t>
            </w:r>
          </w:p>
        </w:tc>
        <w:tc>
          <w:tcPr>
            <w:tcW w:w="1134" w:type="dxa"/>
          </w:tcPr>
          <w:p>
            <w:pPr>
              <w:pStyle w:val="nTable"/>
              <w:spacing w:after="40"/>
            </w:pPr>
            <w:r>
              <w:t>31 Jul 1990</w:t>
            </w:r>
          </w:p>
        </w:tc>
        <w:tc>
          <w:tcPr>
            <w:tcW w:w="2552" w:type="dxa"/>
          </w:tcPr>
          <w:p>
            <w:pPr>
              <w:pStyle w:val="nTable"/>
              <w:spacing w:after="40"/>
            </w:pPr>
            <w:r>
              <w:t xml:space="preserve">1 Jan 1991 (see s. 2 and </w:t>
            </w:r>
            <w:r>
              <w:rPr>
                <w:i/>
              </w:rPr>
              <w:t>Gazette</w:t>
            </w:r>
            <w:r>
              <w:t xml:space="preserve"> 28 Dec 1990 p. 6369)</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Financial Administration Legislation Amendment Act 1993 </w:t>
            </w:r>
            <w:r>
              <w:t>s. 11 and 15</w:t>
            </w:r>
          </w:p>
        </w:tc>
        <w:tc>
          <w:tcPr>
            <w:tcW w:w="1134" w:type="dxa"/>
            <w:gridSpan w:val="2"/>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Acts Amendment (Public Sector Management) Act 1994 </w:t>
            </w:r>
            <w:r>
              <w:t>s. 19</w:t>
            </w:r>
          </w:p>
        </w:tc>
        <w:tc>
          <w:tcPr>
            <w:tcW w:w="1134" w:type="dxa"/>
            <w:gridSpan w:val="2"/>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Sentencing (Consequential Provisions) Act 1995 </w:t>
            </w:r>
            <w:r>
              <w:t>s. 147</w:t>
            </w:r>
          </w:p>
        </w:tc>
        <w:tc>
          <w:tcPr>
            <w:tcW w:w="1134" w:type="dxa"/>
            <w:gridSpan w:val="2"/>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Local Government (Consequential Amendments) Act 1996 </w:t>
            </w:r>
            <w:r>
              <w:t>s. 4</w:t>
            </w:r>
          </w:p>
        </w:tc>
        <w:tc>
          <w:tcPr>
            <w:tcW w:w="1134" w:type="dxa"/>
            <w:gridSpan w:val="2"/>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Financial Legislation Amendment Act 1996 </w:t>
            </w:r>
            <w:r>
              <w:t>s. 55 and 64</w:t>
            </w:r>
          </w:p>
        </w:tc>
        <w:tc>
          <w:tcPr>
            <w:tcW w:w="1134" w:type="dxa"/>
            <w:gridSpan w:val="2"/>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pPr>
            <w:r>
              <w:rPr>
                <w:b/>
                <w:bCs/>
              </w:rPr>
              <w:t xml:space="preserve">Reprint of the </w:t>
            </w:r>
            <w:r>
              <w:rPr>
                <w:b/>
                <w:bCs/>
                <w:i/>
                <w:iCs/>
              </w:rPr>
              <w:t>Gaming Commission Act 1987</w:t>
            </w:r>
            <w:r>
              <w:rPr>
                <w:b/>
                <w:bCs/>
              </w:rPr>
              <w:t xml:space="preserve"> as at 5 May 1997</w:t>
            </w:r>
            <w:r>
              <w:t xml:space="preserve"> (includes amendments listed above) (correction in </w:t>
            </w:r>
            <w:r>
              <w:rPr>
                <w:i/>
                <w:iCs/>
              </w:rPr>
              <w:t>Gazette</w:t>
            </w:r>
            <w:r>
              <w:t xml:space="preserve"> 6 Jun 1997 p. 2644)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lastRenderedPageBreak/>
              <w:t xml:space="preserve">Acts Amendment (Gaming) Act 1998 </w:t>
            </w:r>
            <w:r>
              <w:t>Pt. 3</w:t>
            </w:r>
            <w:r>
              <w:rPr>
                <w:vertAlign w:val="superscript"/>
              </w:rPr>
              <w:t> </w:t>
            </w:r>
          </w:p>
        </w:tc>
        <w:tc>
          <w:tcPr>
            <w:tcW w:w="1134" w:type="dxa"/>
            <w:gridSpan w:val="2"/>
          </w:tcPr>
          <w:p>
            <w:pPr>
              <w:pStyle w:val="nTable"/>
              <w:spacing w:after="40"/>
            </w:pPr>
            <w:r>
              <w:t>24 of 1998</w:t>
            </w:r>
          </w:p>
        </w:tc>
        <w:tc>
          <w:tcPr>
            <w:tcW w:w="1134" w:type="dxa"/>
          </w:tcPr>
          <w:p>
            <w:pPr>
              <w:pStyle w:val="nTable"/>
              <w:spacing w:after="40"/>
            </w:pPr>
            <w:r>
              <w:t>30 Jun 1998</w:t>
            </w:r>
          </w:p>
        </w:tc>
        <w:tc>
          <w:tcPr>
            <w:tcW w:w="2552" w:type="dxa"/>
          </w:tcPr>
          <w:p>
            <w:pPr>
              <w:pStyle w:val="nTable"/>
              <w:spacing w:after="40"/>
            </w:pPr>
            <w:r>
              <w:t xml:space="preserve">5 Aug 1998 (see s. 2 and </w:t>
            </w:r>
            <w:r>
              <w:rPr>
                <w:i/>
              </w:rPr>
              <w:t>Gazette</w:t>
            </w:r>
            <w:r>
              <w:t xml:space="preserve"> 4 Aug 1998 p. 3981)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Lotteries Commission Amendment Act 1998 </w:t>
            </w:r>
            <w:r>
              <w:t>s. 23</w:t>
            </w:r>
          </w:p>
        </w:tc>
        <w:tc>
          <w:tcPr>
            <w:tcW w:w="1134" w:type="dxa"/>
            <w:gridSpan w:val="2"/>
          </w:tcPr>
          <w:p>
            <w:pPr>
              <w:pStyle w:val="nTable"/>
              <w:spacing w:after="40"/>
            </w:pPr>
            <w:r>
              <w:t>26 of 1998</w:t>
            </w:r>
          </w:p>
        </w:tc>
        <w:tc>
          <w:tcPr>
            <w:tcW w:w="1134" w:type="dxa"/>
          </w:tcPr>
          <w:p>
            <w:pPr>
              <w:pStyle w:val="nTable"/>
              <w:spacing w:after="40"/>
            </w:pPr>
            <w:r>
              <w:t>30 Jun 1998</w:t>
            </w:r>
          </w:p>
        </w:tc>
        <w:tc>
          <w:tcPr>
            <w:tcW w:w="2552" w:type="dxa"/>
          </w:tcPr>
          <w:p>
            <w:pPr>
              <w:pStyle w:val="nTable"/>
              <w:spacing w:after="40"/>
            </w:pPr>
            <w:r>
              <w:t xml:space="preserve">22 Jul 1998 (see s. 2 and </w:t>
            </w:r>
            <w:r>
              <w:rPr>
                <w:i/>
              </w:rPr>
              <w:t>Gazette</w:t>
            </w:r>
            <w:r>
              <w:t xml:space="preserve"> 21 Jul 1998 p. 3825)</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pPr>
            <w:r>
              <w:rPr>
                <w:b/>
                <w:bCs/>
              </w:rPr>
              <w:t xml:space="preserve">Reprint of the </w:t>
            </w:r>
            <w:r>
              <w:rPr>
                <w:b/>
                <w:bCs/>
                <w:i/>
                <w:iCs/>
              </w:rPr>
              <w:t>Gaming Commission Act 1987</w:t>
            </w:r>
            <w:r>
              <w:rPr>
                <w:b/>
                <w:bCs/>
              </w:rPr>
              <w:t xml:space="preserve"> as at 30 Oct 1998</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tabs>
                <w:tab w:val="left" w:pos="1535"/>
              </w:tabs>
              <w:spacing w:after="40"/>
              <w:rPr>
                <w:vertAlign w:val="superscript"/>
              </w:rPr>
            </w:pPr>
            <w:r>
              <w:rPr>
                <w:i/>
              </w:rPr>
              <w:t xml:space="preserve">Acts Amendment (Continuing Lotteries) Act 2000 </w:t>
            </w:r>
            <w:r>
              <w:t>Pt. 3</w:t>
            </w:r>
            <w:r>
              <w:rPr>
                <w:vertAlign w:val="superscript"/>
              </w:rPr>
              <w:t> 2</w:t>
            </w:r>
          </w:p>
        </w:tc>
        <w:tc>
          <w:tcPr>
            <w:tcW w:w="1134" w:type="dxa"/>
            <w:gridSpan w:val="2"/>
          </w:tcPr>
          <w:p>
            <w:pPr>
              <w:pStyle w:val="nTable"/>
              <w:spacing w:after="40"/>
            </w:pPr>
            <w:r>
              <w:t>6 of 2000</w:t>
            </w:r>
            <w:r>
              <w:br/>
              <w:t>(as amended by No. 45 of 2002 s. 6)</w:t>
            </w:r>
          </w:p>
        </w:tc>
        <w:tc>
          <w:tcPr>
            <w:tcW w:w="1134" w:type="dxa"/>
          </w:tcPr>
          <w:p>
            <w:pPr>
              <w:pStyle w:val="nTable"/>
              <w:spacing w:after="40"/>
            </w:pPr>
            <w:r>
              <w:t>11 Apr 2000</w:t>
            </w:r>
          </w:p>
        </w:tc>
        <w:tc>
          <w:tcPr>
            <w:tcW w:w="2552" w:type="dxa"/>
          </w:tcPr>
          <w:p>
            <w:pPr>
              <w:pStyle w:val="nTable"/>
              <w:spacing w:after="40"/>
            </w:pPr>
            <w:r>
              <w:t xml:space="preserve">1 Jul 2000 (see s. 2 and </w:t>
            </w:r>
            <w:r>
              <w:rPr>
                <w:i/>
              </w:rPr>
              <w:t>Gazette</w:t>
            </w:r>
            <w:r>
              <w:t xml:space="preserve"> 23 Jun 2000 p. 3191)</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 xml:space="preserve">Statutes (Repeals and Minor Amendments) Act 2000 </w:t>
            </w:r>
            <w:r>
              <w:t>s. 52</w:t>
            </w:r>
          </w:p>
        </w:tc>
        <w:tc>
          <w:tcPr>
            <w:tcW w:w="1134" w:type="dxa"/>
            <w:gridSpan w:val="2"/>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Corporations (Consequential Amendments) Act 2001</w:t>
            </w:r>
            <w:r>
              <w:t xml:space="preserve"> Pt. 27</w:t>
            </w:r>
          </w:p>
        </w:tc>
        <w:tc>
          <w:tcPr>
            <w:tcW w:w="1134" w:type="dxa"/>
            <w:gridSpan w:val="2"/>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 xml:space="preserve">Taxation Administration (Consequential Provisions) Act 2002 </w:t>
            </w:r>
            <w:r>
              <w:t>s. 13</w:t>
            </w:r>
          </w:p>
        </w:tc>
        <w:tc>
          <w:tcPr>
            <w:tcW w:w="1134" w:type="dxa"/>
            <w:gridSpan w:val="2"/>
          </w:tcPr>
          <w:p>
            <w:pPr>
              <w:pStyle w:val="nTable"/>
              <w:spacing w:after="40"/>
            </w:pPr>
            <w:r>
              <w:t>45 of 2002</w:t>
            </w:r>
          </w:p>
        </w:tc>
        <w:tc>
          <w:tcPr>
            <w:tcW w:w="1134" w:type="dxa"/>
          </w:tcPr>
          <w:p>
            <w:pPr>
              <w:pStyle w:val="nTable"/>
              <w:spacing w:after="40"/>
            </w:pPr>
            <w:r>
              <w:t>20 Mar 2003</w:t>
            </w:r>
          </w:p>
        </w:tc>
        <w:tc>
          <w:tcPr>
            <w:tcW w:w="2552" w:type="dxa"/>
          </w:tcPr>
          <w:p>
            <w:pPr>
              <w:pStyle w:val="nTable"/>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Racing and Gambling Legislation Amendment and Repeal Act 2003</w:t>
            </w:r>
            <w:r>
              <w:t xml:space="preserve"> Pt. 9 Div. 1</w:t>
            </w:r>
            <w:r>
              <w:rPr>
                <w:vertAlign w:val="superscript"/>
              </w:rPr>
              <w:t> 3</w:t>
            </w:r>
          </w:p>
        </w:tc>
        <w:tc>
          <w:tcPr>
            <w:tcW w:w="1134" w:type="dxa"/>
            <w:gridSpan w:val="2"/>
          </w:tcPr>
          <w:p>
            <w:pPr>
              <w:pStyle w:val="nTable"/>
              <w:spacing w:after="40"/>
            </w:pPr>
            <w:r>
              <w:t>35 of 2003</w:t>
            </w:r>
          </w:p>
        </w:tc>
        <w:tc>
          <w:tcPr>
            <w:tcW w:w="1134" w:type="dxa"/>
          </w:tcPr>
          <w:p>
            <w:pPr>
              <w:pStyle w:val="nTable"/>
              <w:spacing w:after="40"/>
            </w:pPr>
            <w:r>
              <w:t>26 Jun 2003</w:t>
            </w:r>
          </w:p>
        </w:tc>
        <w:tc>
          <w:tcPr>
            <w:tcW w:w="2552" w:type="dxa"/>
          </w:tcPr>
          <w:p>
            <w:pPr>
              <w:pStyle w:val="nTable"/>
              <w:spacing w:after="40"/>
            </w:pPr>
            <w:r>
              <w:t>s. 132(1) and (2), 151</w:t>
            </w:r>
            <w:r>
              <w:noBreakHyphen/>
              <w:t>154, 163</w:t>
            </w:r>
            <w:r>
              <w:noBreakHyphen/>
              <w:t xml:space="preserve">164: 1 Aug 2003 (see s. 2 and </w:t>
            </w:r>
            <w:r>
              <w:rPr>
                <w:i/>
              </w:rPr>
              <w:t>Gazette</w:t>
            </w:r>
            <w:r>
              <w:t xml:space="preserve"> 29 Jul 2003 p. 3259);</w:t>
            </w:r>
            <w:r>
              <w:br/>
              <w:t>s. 120</w:t>
            </w:r>
            <w:r>
              <w:noBreakHyphen/>
              <w:t>131, 132(3), 133</w:t>
            </w:r>
            <w:r>
              <w:noBreakHyphen/>
              <w:t>150, 155</w:t>
            </w:r>
            <w:r>
              <w:noBreakHyphen/>
              <w:t>162 and 165</w:t>
            </w:r>
            <w:r>
              <w:noBreakHyphen/>
              <w:t xml:space="preserve">168: 30 Jan 2004 (see s. 2 and </w:t>
            </w:r>
            <w:r>
              <w:rPr>
                <w:i/>
              </w:rPr>
              <w:t>Gazette</w:t>
            </w:r>
            <w:r>
              <w:t xml:space="preserve"> 30 Jan 2004 p. 397)</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 xml:space="preserve">Sentencing Legislation Amendment and Repeal Act 2003 </w:t>
            </w:r>
            <w:r>
              <w:t>s. 66</w:t>
            </w:r>
          </w:p>
        </w:tc>
        <w:tc>
          <w:tcPr>
            <w:tcW w:w="1134" w:type="dxa"/>
            <w:gridSpan w:val="2"/>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pPr>
            <w:r>
              <w:rPr>
                <w:b/>
                <w:bCs/>
              </w:rPr>
              <w:t xml:space="preserve">Reprint 3: The </w:t>
            </w:r>
            <w:r>
              <w:rPr>
                <w:b/>
                <w:bCs/>
                <w:i/>
                <w:iCs/>
              </w:rPr>
              <w:t>Gaming and Wagering Commission Act 1987</w:t>
            </w:r>
            <w:r>
              <w:rPr>
                <w:b/>
                <w:bCs/>
              </w:rPr>
              <w:t xml:space="preserve"> as at 3 Sep 2004</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iCs/>
                <w:snapToGrid w:val="0"/>
              </w:rPr>
              <w:t>Courts Legislation Amendment and Repeal Act 2004</w:t>
            </w:r>
            <w:r>
              <w:rPr>
                <w:snapToGrid w:val="0"/>
              </w:rPr>
              <w:t xml:space="preserve"> s. 141</w:t>
            </w:r>
          </w:p>
        </w:tc>
        <w:tc>
          <w:tcPr>
            <w:tcW w:w="1134" w:type="dxa"/>
            <w:gridSpan w:val="2"/>
            <w:tcBorders>
              <w:top w:val="nil"/>
              <w:bottom w:val="nil"/>
            </w:tcBorders>
          </w:tcPr>
          <w:p>
            <w:pPr>
              <w:pStyle w:val="nTable"/>
              <w:spacing w:after="40"/>
              <w:rPr>
                <w:snapToGrid w:val="0"/>
              </w:rPr>
            </w:pPr>
            <w:r>
              <w:rPr>
                <w:snapToGrid w:val="0"/>
              </w:rPr>
              <w:t>59 of 2004</w:t>
            </w:r>
          </w:p>
        </w:tc>
        <w:tc>
          <w:tcPr>
            <w:tcW w:w="1134" w:type="dxa"/>
            <w:tcBorders>
              <w:top w:val="nil"/>
              <w:bottom w:val="nil"/>
            </w:tcBorders>
          </w:tcPr>
          <w:p>
            <w:pPr>
              <w:pStyle w:val="nTable"/>
              <w:spacing w:after="40"/>
              <w:rPr>
                <w:snapToGrid w:val="0"/>
              </w:rPr>
            </w:pPr>
            <w:r>
              <w:rPr>
                <w:snapToGrid w:val="0"/>
              </w:rPr>
              <w:t>23 Nov 2004</w:t>
            </w:r>
          </w:p>
        </w:tc>
        <w:tc>
          <w:tcPr>
            <w:tcW w:w="2552" w:type="dxa"/>
            <w:tcBorders>
              <w:top w:val="nil"/>
              <w:bottom w:val="nil"/>
            </w:tcBorders>
          </w:tcPr>
          <w:p>
            <w:pPr>
              <w:pStyle w:val="nTable"/>
              <w:spacing w:after="40"/>
              <w:rPr>
                <w:snapToGrid w:val="0"/>
              </w:rPr>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gridSpan w:val="2"/>
            <w:tcBorders>
              <w:top w:val="nil"/>
              <w:bottom w:val="nil"/>
            </w:tcBorders>
          </w:tcPr>
          <w:p>
            <w:pPr>
              <w:pStyle w:val="nTable"/>
              <w:spacing w:after="40"/>
              <w:rPr>
                <w:snapToGrid w:val="0"/>
              </w:rPr>
            </w:pPr>
            <w:r>
              <w:rPr>
                <w:snapToGrid w:val="0"/>
              </w:rPr>
              <w:t>70 of 2004</w:t>
            </w:r>
          </w:p>
        </w:tc>
        <w:tc>
          <w:tcPr>
            <w:tcW w:w="1134" w:type="dxa"/>
            <w:tcBorders>
              <w:top w:val="nil"/>
              <w:bottom w:val="nil"/>
            </w:tcBorders>
          </w:tcPr>
          <w:p>
            <w:pPr>
              <w:pStyle w:val="nTable"/>
              <w:spacing w:after="40"/>
              <w:rPr>
                <w:snapToGrid w:val="0"/>
              </w:rPr>
            </w:pPr>
            <w:r>
              <w:rPr>
                <w:snapToGrid w:val="0"/>
              </w:rPr>
              <w:t>8 Dec 2004</w:t>
            </w:r>
          </w:p>
        </w:tc>
        <w:tc>
          <w:tcPr>
            <w:tcW w:w="2552" w:type="dxa"/>
            <w:tcBorders>
              <w:top w:val="nil"/>
              <w:bottom w:val="nil"/>
            </w:tcBorders>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lastRenderedPageBreak/>
              <w:t>Criminal Procedure and Appeals (Consequential and Other Provisions) Act 2004</w:t>
            </w:r>
            <w:r>
              <w:rPr>
                <w:snapToGrid w:val="0"/>
              </w:rPr>
              <w:t xml:space="preserve"> s. 80</w:t>
            </w:r>
          </w:p>
        </w:tc>
        <w:tc>
          <w:tcPr>
            <w:tcW w:w="1134" w:type="dxa"/>
            <w:gridSpan w:val="2"/>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Planning and Development (Consequential and Transitional Provisions) Act 2005</w:t>
            </w:r>
            <w:r>
              <w:rPr>
                <w:snapToGrid w:val="0"/>
              </w:rPr>
              <w:t xml:space="preserve"> s. 15</w:t>
            </w:r>
          </w:p>
        </w:tc>
        <w:tc>
          <w:tcPr>
            <w:tcW w:w="1134" w:type="dxa"/>
            <w:gridSpan w:val="2"/>
          </w:tcPr>
          <w:p>
            <w:pPr>
              <w:pStyle w:val="nTable"/>
              <w:spacing w:after="40"/>
              <w:rPr>
                <w:snapToGrid w:val="0"/>
              </w:rPr>
            </w:pPr>
            <w:r>
              <w:rPr>
                <w:snapToGrid w:val="0"/>
              </w:rPr>
              <w:t>38 of 2005</w:t>
            </w:r>
          </w:p>
        </w:tc>
        <w:tc>
          <w:tcPr>
            <w:tcW w:w="1134" w:type="dxa"/>
          </w:tcPr>
          <w:p>
            <w:pPr>
              <w:pStyle w:val="nTable"/>
              <w:spacing w:after="40"/>
            </w:pPr>
            <w:r>
              <w:t>12 Dec 2005</w:t>
            </w:r>
          </w:p>
        </w:tc>
        <w:tc>
          <w:tcPr>
            <w:tcW w:w="2552"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iCs/>
                <w:snapToGrid w:val="0"/>
              </w:rPr>
              <w:t xml:space="preserve">Machinery of Government (Miscellaneous Amendments) Act 2006 </w:t>
            </w:r>
            <w:r>
              <w:rPr>
                <w:snapToGrid w:val="0"/>
              </w:rPr>
              <w:t>Pt. 16 Div. 1</w:t>
            </w:r>
          </w:p>
        </w:tc>
        <w:tc>
          <w:tcPr>
            <w:tcW w:w="1134" w:type="dxa"/>
            <w:gridSpan w:val="2"/>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rPr>
            </w:pPr>
            <w:r>
              <w:rPr>
                <w:b/>
                <w:bCs/>
              </w:rPr>
              <w:t xml:space="preserve">Reprint 4: The </w:t>
            </w:r>
            <w:r>
              <w:rPr>
                <w:b/>
                <w:bCs/>
                <w:i/>
                <w:iCs/>
              </w:rPr>
              <w:t>Gaming and Wagering Commission Act 1987</w:t>
            </w:r>
            <w:r>
              <w:rPr>
                <w:b/>
                <w:bCs/>
              </w:rPr>
              <w:t xml:space="preserve"> as at 18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Criminal Investigation (Consequential Provisions) Act 2006</w:t>
            </w:r>
            <w:r>
              <w:rPr>
                <w:iCs/>
                <w:snapToGrid w:val="0"/>
              </w:rPr>
              <w:t xml:space="preserve"> Pt. 9</w:t>
            </w:r>
          </w:p>
        </w:tc>
        <w:tc>
          <w:tcPr>
            <w:tcW w:w="1134" w:type="dxa"/>
            <w:gridSpan w:val="2"/>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Betting and Racing Legislation Amendment Act 2006</w:t>
            </w:r>
            <w:r>
              <w:rPr>
                <w:iCs/>
                <w:snapToGrid w:val="0"/>
              </w:rPr>
              <w:t xml:space="preserve"> s. 9(2)</w:t>
            </w:r>
          </w:p>
        </w:tc>
        <w:tc>
          <w:tcPr>
            <w:tcW w:w="1134" w:type="dxa"/>
            <w:gridSpan w:val="2"/>
          </w:tcPr>
          <w:p>
            <w:pPr>
              <w:pStyle w:val="nTable"/>
              <w:spacing w:after="40"/>
              <w:rPr>
                <w:snapToGrid w:val="0"/>
              </w:rPr>
            </w:pPr>
            <w:r>
              <w:rPr>
                <w:snapToGrid w:val="0"/>
              </w:rPr>
              <w:t>70 of 2006</w:t>
            </w:r>
          </w:p>
        </w:tc>
        <w:tc>
          <w:tcPr>
            <w:tcW w:w="1134" w:type="dxa"/>
          </w:tcPr>
          <w:p>
            <w:pPr>
              <w:pStyle w:val="nTable"/>
              <w:spacing w:after="40"/>
            </w:pPr>
            <w:r>
              <w:t>13 Dec 2006</w:t>
            </w:r>
          </w:p>
        </w:tc>
        <w:tc>
          <w:tcPr>
            <w:tcW w:w="2552" w:type="dxa"/>
          </w:tcPr>
          <w:p>
            <w:pPr>
              <w:pStyle w:val="nTable"/>
              <w:spacing w:after="40"/>
              <w:rPr>
                <w:snapToGrid w:val="0"/>
              </w:rPr>
            </w:pPr>
            <w:r>
              <w:rPr>
                <w:snapToGrid w:val="0"/>
              </w:rPr>
              <w:t xml:space="preserve">9 Jul 2007 (see s. 2 and </w:t>
            </w:r>
            <w:r>
              <w:rPr>
                <w:i/>
                <w:iCs/>
                <w:snapToGrid w:val="0"/>
              </w:rPr>
              <w:t>Gazette</w:t>
            </w:r>
            <w:r>
              <w:rPr>
                <w:snapToGrid w:val="0"/>
              </w:rPr>
              <w:t xml:space="preserve"> 22 Jun 2007 p. 2837)</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iCs/>
                <w:snapToGrid w:val="0"/>
              </w:rPr>
              <w:t xml:space="preserve">Liquor and Gaming Legislation Amendment Act 2006 </w:t>
            </w:r>
            <w:r>
              <w:rPr>
                <w:snapToGrid w:val="0"/>
              </w:rPr>
              <w:t>Pt. 3 and s. 114</w:t>
            </w:r>
          </w:p>
        </w:tc>
        <w:tc>
          <w:tcPr>
            <w:tcW w:w="1134" w:type="dxa"/>
            <w:gridSpan w:val="2"/>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s. 114: 7 May 2007 (see s. 2(2) and </w:t>
            </w:r>
            <w:r>
              <w:rPr>
                <w:i/>
                <w:iCs/>
                <w:snapToGrid w:val="0"/>
              </w:rPr>
              <w:t xml:space="preserve">Gazette </w:t>
            </w:r>
            <w:r>
              <w:rPr>
                <w:snapToGrid w:val="0"/>
              </w:rPr>
              <w:t>1 May 2007 p. 1893);</w:t>
            </w:r>
            <w:r>
              <w:rPr>
                <w:snapToGrid w:val="0"/>
              </w:rPr>
              <w:br/>
              <w:t xml:space="preserve">Pt. 3: 14 Jun 2008 (see s. 2(2) and </w:t>
            </w:r>
            <w:r>
              <w:rPr>
                <w:i/>
                <w:iCs/>
                <w:snapToGrid w:val="0"/>
              </w:rPr>
              <w:t>Gazette</w:t>
            </w:r>
            <w:r>
              <w:rPr>
                <w:snapToGrid w:val="0"/>
              </w:rPr>
              <w:t xml:space="preserve"> 13 Jun 2008 p. 2515)</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snapToGrid w:val="0"/>
              </w:rPr>
              <w:t xml:space="preserve">Financial Legislation Amendment and Repeal Act 2006 </w:t>
            </w:r>
            <w:r>
              <w:rPr>
                <w:iCs/>
                <w:snapToGrid w:val="0"/>
              </w:rPr>
              <w:t xml:space="preserve">s. 4 and </w:t>
            </w:r>
            <w:r>
              <w:t>Sch. 1 cl. 71</w:t>
            </w:r>
          </w:p>
        </w:tc>
        <w:tc>
          <w:tcPr>
            <w:tcW w:w="1134" w:type="dxa"/>
            <w:gridSpan w:val="2"/>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Racing, Wagering and Betting Legislation Amendment and Repeal Act 2007 </w:t>
            </w:r>
            <w:r>
              <w:rPr>
                <w:iCs/>
                <w:snapToGrid w:val="0"/>
              </w:rPr>
              <w:t>Pt. 3</w:t>
            </w:r>
          </w:p>
        </w:tc>
        <w:tc>
          <w:tcPr>
            <w:tcW w:w="1134" w:type="dxa"/>
            <w:gridSpan w:val="2"/>
          </w:tcPr>
          <w:p>
            <w:pPr>
              <w:pStyle w:val="nTable"/>
              <w:spacing w:after="40"/>
              <w:rPr>
                <w:snapToGrid w:val="0"/>
              </w:rPr>
            </w:pPr>
            <w:r>
              <w:rPr>
                <w:snapToGrid w:val="0"/>
              </w:rPr>
              <w:t>8 of 2007</w:t>
            </w:r>
          </w:p>
        </w:tc>
        <w:tc>
          <w:tcPr>
            <w:tcW w:w="1134" w:type="dxa"/>
          </w:tcPr>
          <w:p>
            <w:pPr>
              <w:pStyle w:val="nTable"/>
              <w:spacing w:after="40"/>
              <w:rPr>
                <w:snapToGrid w:val="0"/>
              </w:rPr>
            </w:pPr>
            <w:r>
              <w:rPr>
                <w:snapToGrid w:val="0"/>
              </w:rPr>
              <w:t>13 Jun 2007</w:t>
            </w:r>
          </w:p>
        </w:tc>
        <w:tc>
          <w:tcPr>
            <w:tcW w:w="2552" w:type="dxa"/>
          </w:tcPr>
          <w:p>
            <w:pPr>
              <w:pStyle w:val="nTable"/>
              <w:spacing w:after="40"/>
              <w:rPr>
                <w:snapToGrid w:val="0"/>
              </w:rPr>
            </w:pPr>
            <w:r>
              <w:rPr>
                <w:snapToGrid w:val="0"/>
              </w:rPr>
              <w:t>14 Jun 2007 (see s. 2)</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rPr>
            </w:pPr>
            <w:r>
              <w:rPr>
                <w:b/>
                <w:bCs/>
              </w:rPr>
              <w:t xml:space="preserve">Reprint 5: The </w:t>
            </w:r>
            <w:r>
              <w:rPr>
                <w:b/>
                <w:bCs/>
                <w:i/>
                <w:iCs/>
              </w:rPr>
              <w:t>Gaming and Wagering Commission Act 1987</w:t>
            </w:r>
            <w:r>
              <w:rPr>
                <w:b/>
                <w:bCs/>
              </w:rPr>
              <w:t xml:space="preserve"> as at 2 Nov 2007</w:t>
            </w:r>
            <w:r>
              <w:rPr>
                <w:b/>
                <w:bCs/>
              </w:rPr>
              <w:br/>
            </w:r>
            <w:r>
              <w:t xml:space="preserve">(includes amendments listed above except those in the </w:t>
            </w:r>
            <w:r>
              <w:rPr>
                <w:i/>
                <w:iCs/>
                <w:snapToGrid w:val="0"/>
              </w:rPr>
              <w:t xml:space="preserve">Liquor and Gaming Legislation Amendment Act 2006 </w:t>
            </w:r>
            <w:r>
              <w:rPr>
                <w:snapToGrid w:val="0"/>
              </w:rPr>
              <w:t>Pt. 3</w:t>
            </w:r>
            <w:r>
              <w:t>)</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after="40"/>
              <w:rPr>
                <w:iCs/>
                <w:vertAlign w:val="superscript"/>
              </w:rPr>
            </w:pPr>
            <w:r>
              <w:rPr>
                <w:i/>
              </w:rPr>
              <w:t>Duties Legislation Amendment Act 2008</w:t>
            </w:r>
            <w:r>
              <w:rPr>
                <w:iCs/>
              </w:rPr>
              <w:t xml:space="preserve"> Sch. 1 cl. 9</w:t>
            </w:r>
          </w:p>
        </w:tc>
        <w:tc>
          <w:tcPr>
            <w:tcW w:w="1106"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after="40"/>
              <w:ind w:right="113"/>
              <w:rPr>
                <w:iCs/>
              </w:rPr>
            </w:pPr>
            <w:r>
              <w:rPr>
                <w:i/>
              </w:rPr>
              <w:lastRenderedPageBreak/>
              <w:t>Statutes (Repeals and Miscellaneous Amendments) Act 2009</w:t>
            </w:r>
            <w:r>
              <w:rPr>
                <w:iCs/>
              </w:rPr>
              <w:t xml:space="preserve"> s. 63</w:t>
            </w:r>
          </w:p>
        </w:tc>
        <w:tc>
          <w:tcPr>
            <w:tcW w:w="1106"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after="40"/>
              <w:ind w:right="113"/>
              <w:rPr>
                <w:i/>
              </w:rPr>
            </w:pPr>
            <w:r>
              <w:rPr>
                <w:i/>
                <w:iCs/>
                <w:snapToGrid w:val="0"/>
              </w:rPr>
              <w:t>Racing and Wagering Legislation Amendment Act 2009</w:t>
            </w:r>
            <w:r>
              <w:rPr>
                <w:iCs/>
                <w:snapToGrid w:val="0"/>
              </w:rPr>
              <w:t xml:space="preserve"> Pt. 3</w:t>
            </w:r>
          </w:p>
        </w:tc>
        <w:tc>
          <w:tcPr>
            <w:tcW w:w="1106" w:type="dxa"/>
          </w:tcPr>
          <w:p>
            <w:pPr>
              <w:pStyle w:val="nTable"/>
              <w:spacing w:after="40"/>
            </w:pPr>
            <w:r>
              <w:t>29 of 2009</w:t>
            </w:r>
          </w:p>
        </w:tc>
        <w:tc>
          <w:tcPr>
            <w:tcW w:w="1134" w:type="dxa"/>
          </w:tcPr>
          <w:p>
            <w:pPr>
              <w:pStyle w:val="nTable"/>
              <w:spacing w:after="40"/>
            </w:pPr>
            <w:r>
              <w:rPr>
                <w:snapToGrid w:val="0"/>
              </w:rPr>
              <w:t>23 Nov 2009</w:t>
            </w:r>
          </w:p>
        </w:tc>
        <w:tc>
          <w:tcPr>
            <w:tcW w:w="2552" w:type="dxa"/>
          </w:tcPr>
          <w:p>
            <w:pPr>
              <w:pStyle w:val="nTable"/>
              <w:spacing w:after="40"/>
            </w:pPr>
            <w:r>
              <w:t xml:space="preserve">11 Jan 2010 (see s. 2(b) and </w:t>
            </w:r>
            <w:r>
              <w:rPr>
                <w:i/>
                <w:iCs/>
              </w:rPr>
              <w:t>Gazette</w:t>
            </w:r>
            <w:r>
              <w:t xml:space="preserve"> 8 Jan 2010 p. 9-10)</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after="40"/>
              <w:ind w:right="113"/>
              <w:rPr>
                <w:snapToGrid w:val="0"/>
              </w:rPr>
            </w:pPr>
            <w:r>
              <w:rPr>
                <w:i/>
                <w:snapToGrid w:val="0"/>
              </w:rPr>
              <w:t>Public Sector Reform Act 2010</w:t>
            </w:r>
            <w:r>
              <w:rPr>
                <w:iCs/>
                <w:snapToGrid w:val="0"/>
              </w:rPr>
              <w:t xml:space="preserve"> s. 89</w:t>
            </w:r>
          </w:p>
        </w:tc>
        <w:tc>
          <w:tcPr>
            <w:tcW w:w="1106" w:type="dxa"/>
          </w:tcPr>
          <w:p>
            <w:pPr>
              <w:pStyle w:val="nTable"/>
              <w:spacing w:after="40"/>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snapToGrid w:val="0"/>
              </w:rPr>
            </w:pPr>
            <w:r>
              <w:rPr>
                <w:i/>
                <w:snapToGrid w:val="0"/>
              </w:rPr>
              <w:t>Casino (Burswood Island) Agreement Amendment Act 2011</w:t>
            </w:r>
            <w:r>
              <w:rPr>
                <w:snapToGrid w:val="0"/>
              </w:rPr>
              <w:t xml:space="preserve"> Pt. 3</w:t>
            </w:r>
          </w:p>
        </w:tc>
        <w:tc>
          <w:tcPr>
            <w:tcW w:w="1106" w:type="dxa"/>
            <w:shd w:val="clear" w:color="auto" w:fill="auto"/>
          </w:tcPr>
          <w:p>
            <w:pPr>
              <w:pStyle w:val="nTable"/>
              <w:spacing w:after="40"/>
              <w:rPr>
                <w:snapToGrid w:val="0"/>
              </w:rPr>
            </w:pPr>
            <w:r>
              <w:rPr>
                <w:snapToGrid w:val="0"/>
              </w:rPr>
              <w:t>25 of 2011</w:t>
            </w:r>
          </w:p>
        </w:tc>
        <w:tc>
          <w:tcPr>
            <w:tcW w:w="1134" w:type="dxa"/>
            <w:shd w:val="clear" w:color="auto" w:fill="auto"/>
          </w:tcPr>
          <w:p>
            <w:pPr>
              <w:pStyle w:val="nTable"/>
              <w:spacing w:after="40"/>
              <w:rPr>
                <w:snapToGrid w:val="0"/>
              </w:rPr>
            </w:pPr>
            <w:r>
              <w:rPr>
                <w:snapToGrid w:val="0"/>
              </w:rPr>
              <w:t>11 Jul 2011</w:t>
            </w:r>
          </w:p>
        </w:tc>
        <w:tc>
          <w:tcPr>
            <w:tcW w:w="2552" w:type="dxa"/>
            <w:shd w:val="clear" w:color="auto" w:fill="auto"/>
          </w:tcPr>
          <w:p>
            <w:pPr>
              <w:pStyle w:val="nTable"/>
              <w:spacing w:after="40"/>
              <w:rPr>
                <w:snapToGrid w:val="0"/>
              </w:rPr>
            </w:pPr>
            <w:r>
              <w:rPr>
                <w:snapToGrid w:val="0"/>
              </w:rPr>
              <w:t>12 Jul 2011 (see s. 2(b))</w:t>
            </w:r>
          </w:p>
        </w:tc>
      </w:tr>
      <w:tr>
        <w:tblPrEx>
          <w:tblBorders>
            <w:top w:val="none" w:sz="0" w:space="0" w:color="auto"/>
            <w:bottom w:val="none" w:sz="0" w:space="0" w:color="auto"/>
            <w:insideH w:val="none" w:sz="0" w:space="0" w:color="auto"/>
          </w:tblBorders>
        </w:tblPrEx>
        <w:trPr>
          <w:cantSplit/>
        </w:trPr>
        <w:tc>
          <w:tcPr>
            <w:tcW w:w="7088" w:type="dxa"/>
            <w:gridSpan w:val="5"/>
            <w:shd w:val="clear" w:color="auto" w:fill="auto"/>
          </w:tcPr>
          <w:p>
            <w:pPr>
              <w:pStyle w:val="nTable"/>
              <w:spacing w:after="40"/>
              <w:rPr>
                <w:snapToGrid w:val="0"/>
              </w:rPr>
            </w:pPr>
            <w:r>
              <w:rPr>
                <w:b/>
                <w:bCs/>
              </w:rPr>
              <w:t xml:space="preserve">Reprint 6: The </w:t>
            </w:r>
            <w:r>
              <w:rPr>
                <w:b/>
                <w:bCs/>
                <w:i/>
                <w:iCs/>
              </w:rPr>
              <w:t>Gaming and Wagering Commission Act 1987</w:t>
            </w:r>
            <w:r>
              <w:rPr>
                <w:b/>
                <w:bCs/>
              </w:rPr>
              <w:t xml:space="preserve"> as at 16 Dec 2011</w:t>
            </w:r>
            <w:r>
              <w:rPr>
                <w:b/>
                <w:bCs/>
              </w:rPr>
              <w:br/>
            </w:r>
            <w:r>
              <w:t>(includes amendments listed above)</w:t>
            </w:r>
          </w:p>
        </w:tc>
      </w:tr>
      <w:tr>
        <w:tblPrEx>
          <w:tblBorders>
            <w:top w:val="single" w:sz="4" w:space="0" w:color="auto"/>
            <w:bottom w:val="single" w:sz="4" w:space="0" w:color="auto"/>
            <w:insideH w:val="single" w:sz="4" w:space="0" w:color="auto"/>
          </w:tblBorders>
          <w:tblCellMar>
            <w:left w:w="57" w:type="dxa"/>
            <w:right w:w="57" w:type="dxa"/>
          </w:tblCellMar>
        </w:tblPrEx>
        <w:tc>
          <w:tcPr>
            <w:tcW w:w="2296" w:type="dxa"/>
            <w:gridSpan w:val="2"/>
            <w:tcBorders>
              <w:top w:val="nil"/>
              <w:bottom w:val="nil"/>
            </w:tcBorders>
          </w:tcPr>
          <w:p>
            <w:pPr>
              <w:pStyle w:val="nTable"/>
              <w:spacing w:after="40"/>
              <w:rPr>
                <w:vertAlign w:val="superscript"/>
              </w:rPr>
            </w:pPr>
            <w:r>
              <w:rPr>
                <w:i/>
              </w:rPr>
              <w:t>Mental Health Legislation Amendment Act 2014</w:t>
            </w:r>
            <w:r>
              <w:t xml:space="preserve"> Pt. 4 Div. 4 Subdiv. 12</w:t>
            </w:r>
          </w:p>
        </w:tc>
        <w:tc>
          <w:tcPr>
            <w:tcW w:w="1106" w:type="dxa"/>
            <w:tcBorders>
              <w:top w:val="nil"/>
              <w:bottom w:val="nil"/>
            </w:tcBorders>
          </w:tcPr>
          <w:p>
            <w:pPr>
              <w:pStyle w:val="nTable"/>
              <w:spacing w:after="40"/>
              <w:rPr>
                <w:snapToGrid w:val="0"/>
              </w:rPr>
            </w:pPr>
            <w:r>
              <w:rPr>
                <w:snapToGrid w:val="0"/>
              </w:rPr>
              <w:t>25 of 2014</w:t>
            </w:r>
          </w:p>
        </w:tc>
        <w:tc>
          <w:tcPr>
            <w:tcW w:w="1134" w:type="dxa"/>
            <w:tcBorders>
              <w:top w:val="nil"/>
              <w:bottom w:val="nil"/>
            </w:tcBorders>
          </w:tcPr>
          <w:p>
            <w:pPr>
              <w:pStyle w:val="nTable"/>
              <w:spacing w:after="40"/>
              <w:rPr>
                <w:snapToGrid w:val="0"/>
              </w:rPr>
            </w:pPr>
            <w:r>
              <w:t>3 Nov 2014</w:t>
            </w:r>
          </w:p>
        </w:tc>
        <w:tc>
          <w:tcPr>
            <w:tcW w:w="2552"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snapToGrid w:val="0"/>
              </w:rPr>
            </w:pPr>
            <w:r>
              <w:rPr>
                <w:i/>
                <w:snapToGrid w:val="0"/>
              </w:rPr>
              <w:t>Corruption and Crime Commission Amendment (Misconduct) Act 2014</w:t>
            </w:r>
            <w:r>
              <w:rPr>
                <w:snapToGrid w:val="0"/>
              </w:rPr>
              <w:t xml:space="preserve"> s. 39</w:t>
            </w:r>
          </w:p>
        </w:tc>
        <w:tc>
          <w:tcPr>
            <w:tcW w:w="1106" w:type="dxa"/>
            <w:shd w:val="clear" w:color="auto" w:fill="auto"/>
          </w:tcPr>
          <w:p>
            <w:pPr>
              <w:pStyle w:val="nTable"/>
              <w:spacing w:after="40"/>
              <w:rPr>
                <w:snapToGrid w:val="0"/>
              </w:rPr>
            </w:pPr>
            <w:r>
              <w:rPr>
                <w:snapToGrid w:val="0"/>
              </w:rPr>
              <w:t>35 of 2014</w:t>
            </w:r>
          </w:p>
        </w:tc>
        <w:tc>
          <w:tcPr>
            <w:tcW w:w="1134" w:type="dxa"/>
            <w:shd w:val="clear" w:color="auto" w:fill="auto"/>
          </w:tcPr>
          <w:p>
            <w:pPr>
              <w:pStyle w:val="nTable"/>
              <w:spacing w:after="40"/>
              <w:rPr>
                <w:snapToGrid w:val="0"/>
              </w:rPr>
            </w:pPr>
            <w:r>
              <w:t>9 Dec 2014</w:t>
            </w:r>
          </w:p>
        </w:tc>
        <w:tc>
          <w:tcPr>
            <w:tcW w:w="2552" w:type="dxa"/>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i/>
                <w:snapToGrid w:val="0"/>
              </w:rPr>
            </w:pPr>
            <w:r>
              <w:rPr>
                <w:i/>
                <w:noProof/>
              </w:rPr>
              <w:t xml:space="preserve">Associations Incorporation Act 2015 </w:t>
            </w:r>
            <w:r>
              <w:rPr>
                <w:noProof/>
              </w:rPr>
              <w:t>s. 217</w:t>
            </w:r>
          </w:p>
        </w:tc>
        <w:tc>
          <w:tcPr>
            <w:tcW w:w="1106" w:type="dxa"/>
            <w:shd w:val="clear" w:color="auto" w:fill="auto"/>
          </w:tcPr>
          <w:p>
            <w:pPr>
              <w:pStyle w:val="nTable"/>
              <w:spacing w:after="40"/>
              <w:rPr>
                <w:snapToGrid w:val="0"/>
              </w:rPr>
            </w:pPr>
            <w:r>
              <w:t>30 of 2015</w:t>
            </w:r>
          </w:p>
        </w:tc>
        <w:tc>
          <w:tcPr>
            <w:tcW w:w="1134" w:type="dxa"/>
            <w:shd w:val="clear" w:color="auto" w:fill="auto"/>
          </w:tcPr>
          <w:p>
            <w:pPr>
              <w:pStyle w:val="nTable"/>
              <w:spacing w:after="40"/>
            </w:pPr>
            <w:r>
              <w:t>2 Nov 2015</w:t>
            </w:r>
          </w:p>
        </w:tc>
        <w:tc>
          <w:tcPr>
            <w:tcW w:w="2552" w:type="dxa"/>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r>
              <w:rPr>
                <w:snapToGrid w:val="0"/>
              </w:rPr>
              <w:noBreakHyphen/>
              <w:t>2)</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i/>
                <w:noProof/>
              </w:rPr>
            </w:pPr>
            <w:r>
              <w:rPr>
                <w:i/>
              </w:rPr>
              <w:t>Public Health (Consequential Provisions) Act 2016</w:t>
            </w:r>
            <w:r>
              <w:t xml:space="preserve"> s. 101</w:t>
            </w:r>
          </w:p>
        </w:tc>
        <w:tc>
          <w:tcPr>
            <w:tcW w:w="1106"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i/>
              </w:rPr>
            </w:pPr>
            <w:r>
              <w:rPr>
                <w:i/>
              </w:rPr>
              <w:t>Betting Tax Assessment Act 2018</w:t>
            </w:r>
            <w:r>
              <w:t xml:space="preserve"> Pt. 8 Div. 2 Subdiv. 2</w:t>
            </w:r>
          </w:p>
        </w:tc>
        <w:tc>
          <w:tcPr>
            <w:tcW w:w="1106" w:type="dxa"/>
            <w:shd w:val="clear" w:color="auto" w:fill="auto"/>
          </w:tcPr>
          <w:p>
            <w:pPr>
              <w:pStyle w:val="nTable"/>
              <w:spacing w:after="40"/>
            </w:pPr>
            <w:r>
              <w:t>37 of 2018</w:t>
            </w:r>
          </w:p>
        </w:tc>
        <w:tc>
          <w:tcPr>
            <w:tcW w:w="1134" w:type="dxa"/>
            <w:shd w:val="clear" w:color="auto" w:fill="auto"/>
          </w:tcPr>
          <w:p>
            <w:pPr>
              <w:pStyle w:val="nTable"/>
              <w:spacing w:after="40"/>
            </w:pPr>
            <w:r>
              <w:t>12 Dec 2018</w:t>
            </w:r>
          </w:p>
        </w:tc>
        <w:tc>
          <w:tcPr>
            <w:tcW w:w="2552" w:type="dxa"/>
            <w:shd w:val="clear" w:color="auto" w:fill="auto"/>
          </w:tcPr>
          <w:p>
            <w:pPr>
              <w:pStyle w:val="nTable"/>
              <w:spacing w:after="40"/>
              <w:rPr>
                <w:snapToGrid w:val="0"/>
              </w:rPr>
            </w:pPr>
            <w:r>
              <w:t xml:space="preserve">1 Feb 2019 (see s. 2(b) and </w:t>
            </w:r>
            <w:r>
              <w:rPr>
                <w:i/>
              </w:rPr>
              <w:t>Gazette</w:t>
            </w:r>
            <w:r>
              <w:t xml:space="preserve"> 25 Jan 2019 p. 193)</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i/>
              </w:rPr>
            </w:pPr>
            <w:r>
              <w:rPr>
                <w:i/>
              </w:rPr>
              <w:t>Gaming and Wagering Legislation Amendment Act 2018</w:t>
            </w:r>
            <w:r>
              <w:t xml:space="preserve"> Pt. 3</w:t>
            </w:r>
          </w:p>
        </w:tc>
        <w:tc>
          <w:tcPr>
            <w:tcW w:w="1106" w:type="dxa"/>
            <w:shd w:val="clear" w:color="auto" w:fill="auto"/>
          </w:tcPr>
          <w:p>
            <w:pPr>
              <w:pStyle w:val="nTable"/>
              <w:spacing w:after="40"/>
            </w:pPr>
            <w:r>
              <w:t>41 of 2018</w:t>
            </w:r>
          </w:p>
        </w:tc>
        <w:tc>
          <w:tcPr>
            <w:tcW w:w="1134" w:type="dxa"/>
            <w:shd w:val="clear" w:color="auto" w:fill="auto"/>
          </w:tcPr>
          <w:p>
            <w:pPr>
              <w:pStyle w:val="nTable"/>
              <w:spacing w:after="40"/>
            </w:pPr>
            <w:r>
              <w:t>12 Dec 2018</w:t>
            </w:r>
          </w:p>
        </w:tc>
        <w:tc>
          <w:tcPr>
            <w:tcW w:w="2552" w:type="dxa"/>
            <w:shd w:val="clear" w:color="auto" w:fill="auto"/>
          </w:tcPr>
          <w:p>
            <w:pPr>
              <w:pStyle w:val="nTable"/>
              <w:spacing w:after="40"/>
              <w:rPr>
                <w:b/>
                <w:snapToGrid w:val="0"/>
              </w:rPr>
            </w:pPr>
            <w:r>
              <w:t xml:space="preserve">1 Feb 2019 (see s. 2(b) and </w:t>
            </w:r>
            <w:r>
              <w:rPr>
                <w:i/>
              </w:rPr>
              <w:t>Gazette</w:t>
            </w:r>
            <w:r>
              <w:t xml:space="preserve"> 25 Jan 2019 p. 193</w:t>
            </w:r>
            <w:r>
              <w:noBreakHyphen/>
              <w:t>4)</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pPr>
            <w:r>
              <w:rPr>
                <w:i/>
              </w:rPr>
              <w:t xml:space="preserve">TAB (Disposal) Act 2019 </w:t>
            </w:r>
            <w:r>
              <w:t>s. 89(2) and 93</w:t>
            </w:r>
          </w:p>
        </w:tc>
        <w:tc>
          <w:tcPr>
            <w:tcW w:w="1106" w:type="dxa"/>
            <w:shd w:val="clear" w:color="auto" w:fill="auto"/>
          </w:tcPr>
          <w:p>
            <w:pPr>
              <w:pStyle w:val="nTable"/>
              <w:spacing w:after="40"/>
            </w:pPr>
            <w:r>
              <w:t>21 of 2019</w:t>
            </w:r>
          </w:p>
        </w:tc>
        <w:tc>
          <w:tcPr>
            <w:tcW w:w="1134" w:type="dxa"/>
            <w:shd w:val="clear" w:color="auto" w:fill="auto"/>
          </w:tcPr>
          <w:p>
            <w:pPr>
              <w:pStyle w:val="nTable"/>
              <w:spacing w:after="40"/>
            </w:pPr>
            <w:r>
              <w:t>18 Sep 2019</w:t>
            </w:r>
          </w:p>
        </w:tc>
        <w:tc>
          <w:tcPr>
            <w:tcW w:w="2552" w:type="dxa"/>
            <w:shd w:val="clear" w:color="auto" w:fill="auto"/>
          </w:tcPr>
          <w:p>
            <w:pPr>
              <w:pStyle w:val="nTable"/>
              <w:spacing w:after="40"/>
            </w:pPr>
            <w:r>
              <w:t>19 Sep 2019 (see s. 2(1)(c))</w:t>
            </w:r>
          </w:p>
        </w:tc>
      </w:tr>
      <w:tr>
        <w:tblPrEx>
          <w:tblBorders>
            <w:top w:val="none" w:sz="0" w:space="0" w:color="auto"/>
            <w:bottom w:val="none" w:sz="0" w:space="0" w:color="auto"/>
            <w:insideH w:val="none" w:sz="0" w:space="0" w:color="auto"/>
          </w:tblBorders>
        </w:tblPrEx>
        <w:trPr>
          <w:cantSplit/>
        </w:trPr>
        <w:tc>
          <w:tcPr>
            <w:tcW w:w="2296" w:type="dxa"/>
            <w:gridSpan w:val="2"/>
            <w:tcBorders>
              <w:bottom w:val="single" w:sz="4" w:space="0" w:color="auto"/>
            </w:tcBorders>
            <w:shd w:val="clear" w:color="auto" w:fill="auto"/>
          </w:tcPr>
          <w:p>
            <w:pPr>
              <w:pStyle w:val="nTable"/>
              <w:spacing w:after="40"/>
              <w:ind w:right="113"/>
              <w:rPr>
                <w:i/>
              </w:rPr>
            </w:pPr>
            <w:r>
              <w:rPr>
                <w:i/>
              </w:rPr>
              <w:t>Casino Legislation Amendment (Burswood Casino) Act 2022</w:t>
            </w:r>
            <w:r>
              <w:t xml:space="preserve"> Pt. 3</w:t>
            </w:r>
          </w:p>
        </w:tc>
        <w:tc>
          <w:tcPr>
            <w:tcW w:w="1106" w:type="dxa"/>
            <w:tcBorders>
              <w:bottom w:val="single" w:sz="4" w:space="0" w:color="auto"/>
            </w:tcBorders>
            <w:shd w:val="clear" w:color="auto" w:fill="auto"/>
          </w:tcPr>
          <w:p>
            <w:pPr>
              <w:pStyle w:val="nTable"/>
              <w:spacing w:after="40"/>
            </w:pPr>
            <w:r>
              <w:t>32 of 2022</w:t>
            </w:r>
          </w:p>
        </w:tc>
        <w:tc>
          <w:tcPr>
            <w:tcW w:w="1134" w:type="dxa"/>
            <w:tcBorders>
              <w:bottom w:val="single" w:sz="4" w:space="0" w:color="auto"/>
            </w:tcBorders>
            <w:shd w:val="clear" w:color="auto" w:fill="auto"/>
          </w:tcPr>
          <w:p>
            <w:pPr>
              <w:pStyle w:val="nTable"/>
              <w:spacing w:after="40"/>
            </w:pPr>
            <w:r>
              <w:t>28 Sep 2022</w:t>
            </w:r>
          </w:p>
        </w:tc>
        <w:tc>
          <w:tcPr>
            <w:tcW w:w="2552" w:type="dxa"/>
            <w:tcBorders>
              <w:bottom w:val="single" w:sz="4" w:space="0" w:color="auto"/>
            </w:tcBorders>
            <w:shd w:val="clear" w:color="auto" w:fill="auto"/>
          </w:tcPr>
          <w:p>
            <w:pPr>
              <w:pStyle w:val="nTable"/>
              <w:spacing w:after="40"/>
            </w:pPr>
            <w:r>
              <w:t>29 Sep 2022 (see s. 2(b))</w:t>
            </w:r>
          </w:p>
        </w:tc>
      </w:tr>
    </w:tbl>
    <w:p>
      <w:pPr>
        <w:pStyle w:val="nHeading3"/>
      </w:pPr>
      <w:bookmarkStart w:id="203" w:name="_Toc115267927"/>
      <w:r>
        <w:lastRenderedPageBreak/>
        <w:t>Uncommenced provisions table</w:t>
      </w:r>
      <w:bookmarkEnd w:id="203"/>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9"/>
        <w:gridCol w:w="1134"/>
        <w:gridCol w:w="9"/>
        <w:gridCol w:w="2543"/>
      </w:tblGrid>
      <w:tr>
        <w:trPr>
          <w:tblHeader/>
        </w:trPr>
        <w:tc>
          <w:tcPr>
            <w:tcW w:w="2268"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CellMar>
            <w:left w:w="57" w:type="dxa"/>
            <w:right w:w="57" w:type="dxa"/>
          </w:tblCellMar>
        </w:tblPrEx>
        <w:tc>
          <w:tcPr>
            <w:tcW w:w="2268" w:type="dxa"/>
            <w:tcBorders>
              <w:top w:val="single" w:sz="4" w:space="0" w:color="auto"/>
              <w:bottom w:val="nil"/>
            </w:tcBorders>
          </w:tcPr>
          <w:p>
            <w:pPr>
              <w:pStyle w:val="nTable"/>
              <w:spacing w:after="40"/>
              <w:rPr>
                <w:noProof/>
                <w:snapToGrid w:val="0"/>
              </w:rPr>
            </w:pPr>
            <w:r>
              <w:rPr>
                <w:i/>
              </w:rPr>
              <w:t>Public Health (Consequential Provisions) Act 2016</w:t>
            </w:r>
            <w:r>
              <w:t xml:space="preserve"> Pt. 5 Div. 8</w:t>
            </w:r>
          </w:p>
        </w:tc>
        <w:tc>
          <w:tcPr>
            <w:tcW w:w="1139" w:type="dxa"/>
            <w:tcBorders>
              <w:top w:val="single" w:sz="4" w:space="0" w:color="auto"/>
              <w:bottom w:val="nil"/>
            </w:tcBorders>
          </w:tcPr>
          <w:p>
            <w:pPr>
              <w:pStyle w:val="nTable"/>
              <w:spacing w:after="40"/>
            </w:pPr>
            <w:r>
              <w:t>19 of 2016</w:t>
            </w:r>
          </w:p>
        </w:tc>
        <w:tc>
          <w:tcPr>
            <w:tcW w:w="1143" w:type="dxa"/>
            <w:gridSpan w:val="2"/>
            <w:tcBorders>
              <w:top w:val="single" w:sz="4" w:space="0" w:color="auto"/>
              <w:bottom w:val="nil"/>
            </w:tcBorders>
          </w:tcPr>
          <w:p>
            <w:pPr>
              <w:pStyle w:val="nTable"/>
              <w:spacing w:after="40"/>
            </w:pPr>
            <w:r>
              <w:t>25 Jul 2016</w:t>
            </w:r>
          </w:p>
        </w:tc>
        <w:tc>
          <w:tcPr>
            <w:tcW w:w="2543" w:type="dxa"/>
            <w:tcBorders>
              <w:top w:val="single" w:sz="4" w:space="0" w:color="auto"/>
              <w:bottom w:val="nil"/>
            </w:tcBorders>
          </w:tcPr>
          <w:p>
            <w:pPr>
              <w:pStyle w:val="nTable"/>
              <w:spacing w:after="40"/>
              <w:rPr>
                <w:snapToGrid w:val="0"/>
              </w:rPr>
            </w:pPr>
            <w:r>
              <w:rPr>
                <w:snapToGrid w:val="0"/>
              </w:rPr>
              <w:t>To be proclaimed (see s. 2(1)(c))</w:t>
            </w:r>
          </w:p>
        </w:tc>
      </w:tr>
      <w:tr>
        <w:tblPrEx>
          <w:tblCellMar>
            <w:left w:w="57" w:type="dxa"/>
            <w:right w:w="57" w:type="dxa"/>
          </w:tblCellMar>
        </w:tblPrEx>
        <w:tc>
          <w:tcPr>
            <w:tcW w:w="2268" w:type="dxa"/>
            <w:tcBorders>
              <w:top w:val="nil"/>
              <w:bottom w:val="single" w:sz="4" w:space="0" w:color="auto"/>
            </w:tcBorders>
          </w:tcPr>
          <w:p>
            <w:pPr>
              <w:pStyle w:val="nTable"/>
              <w:spacing w:after="40"/>
              <w:rPr>
                <w:i/>
              </w:rPr>
            </w:pPr>
            <w:r>
              <w:rPr>
                <w:i/>
              </w:rPr>
              <w:t xml:space="preserve">TAB (Disposal) Act 2019 </w:t>
            </w:r>
            <w:r>
              <w:t>s. 86-88, 89(1), 90-92 and 94-104</w:t>
            </w:r>
          </w:p>
        </w:tc>
        <w:tc>
          <w:tcPr>
            <w:tcW w:w="1139" w:type="dxa"/>
            <w:tcBorders>
              <w:top w:val="nil"/>
              <w:bottom w:val="single" w:sz="4" w:space="0" w:color="auto"/>
            </w:tcBorders>
          </w:tcPr>
          <w:p>
            <w:pPr>
              <w:pStyle w:val="nTable"/>
              <w:spacing w:after="40"/>
            </w:pPr>
            <w:r>
              <w:t>21 of 2019</w:t>
            </w:r>
          </w:p>
        </w:tc>
        <w:tc>
          <w:tcPr>
            <w:tcW w:w="1143" w:type="dxa"/>
            <w:gridSpan w:val="2"/>
            <w:tcBorders>
              <w:top w:val="nil"/>
              <w:bottom w:val="single" w:sz="4" w:space="0" w:color="auto"/>
            </w:tcBorders>
          </w:tcPr>
          <w:p>
            <w:pPr>
              <w:pStyle w:val="nTable"/>
              <w:spacing w:after="40"/>
            </w:pPr>
            <w:r>
              <w:t>18 Sep 2019</w:t>
            </w:r>
          </w:p>
        </w:tc>
        <w:tc>
          <w:tcPr>
            <w:tcW w:w="2543" w:type="dxa"/>
            <w:tcBorders>
              <w:top w:val="nil"/>
              <w:bottom w:val="single" w:sz="4" w:space="0" w:color="auto"/>
            </w:tcBorders>
          </w:tcPr>
          <w:p>
            <w:pPr>
              <w:pStyle w:val="nTable"/>
              <w:spacing w:after="40"/>
              <w:rPr>
                <w:snapToGrid w:val="0"/>
              </w:rPr>
            </w:pPr>
            <w:r>
              <w:rPr>
                <w:snapToGrid w:val="0"/>
              </w:rPr>
              <w:t>To be proclaimed (see s. 2(1)(b) and (2))</w:t>
            </w:r>
          </w:p>
        </w:tc>
      </w:tr>
    </w:tbl>
    <w:p>
      <w:pPr>
        <w:pStyle w:val="nHeading3"/>
      </w:pPr>
      <w:bookmarkStart w:id="204" w:name="_Toc115267928"/>
      <w:r>
        <w:t>Other notes</w:t>
      </w:r>
      <w:bookmarkEnd w:id="204"/>
    </w:p>
    <w:p>
      <w:pPr>
        <w:pStyle w:val="nNote"/>
        <w:spacing w:before="140"/>
        <w:rPr>
          <w:snapToGrid w:val="0"/>
        </w:rPr>
      </w:pPr>
      <w:r>
        <w:rPr>
          <w:snapToGrid w:val="0"/>
          <w:vertAlign w:val="superscript"/>
        </w:rPr>
        <w:t>1</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Note"/>
        <w:spacing w:before="140"/>
        <w:ind w:left="426" w:hanging="426"/>
        <w:rPr>
          <w:snapToGrid w:val="0"/>
        </w:rPr>
      </w:pPr>
      <w:r>
        <w:rPr>
          <w:snapToGrid w:val="0"/>
          <w:vertAlign w:val="superscript"/>
        </w:rPr>
        <w:t>2</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i/>
          <w:snapToGrid w:val="0"/>
        </w:rPr>
        <w:t xml:space="preserve"> </w:t>
      </w:r>
      <w:r>
        <w:rPr>
          <w:i/>
          <w:iCs/>
          <w:snapToGrid w:val="0"/>
        </w:rPr>
        <w:t>Administration (Consequential Provisions) Act 2002</w:t>
      </w:r>
      <w:r>
        <w:rPr>
          <w:snapToGrid w:val="0"/>
        </w:rPr>
        <w:t xml:space="preserve"> s. 6) contains savings and transitional provisions.</w:t>
      </w:r>
    </w:p>
    <w:p>
      <w:pPr>
        <w:pStyle w:val="nNote"/>
        <w:keepNext/>
        <w:spacing w:before="140"/>
      </w:pPr>
      <w:r>
        <w:rPr>
          <w:vertAlign w:val="superscript"/>
        </w:rPr>
        <w:t>3</w:t>
      </w:r>
      <w:r>
        <w:tab/>
        <w:t xml:space="preserve">The </w:t>
      </w:r>
      <w:r>
        <w:rPr>
          <w:i/>
        </w:rPr>
        <w:t>Racing and Gambling Legislation Amendment and Repeal Act 2003</w:t>
      </w:r>
      <w:r>
        <w:t xml:space="preserve"> Pt. 9 Div. 2 reads as follows:</w:t>
      </w:r>
    </w:p>
    <w:p>
      <w:pPr>
        <w:pStyle w:val="BlankOpen"/>
      </w:pP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spacing w:before="160"/>
      </w:pPr>
      <w:r>
        <w:rPr>
          <w:rStyle w:val="CharSectno"/>
        </w:rPr>
        <w:t>169</w:t>
      </w:r>
      <w:r>
        <w:t>.</w:t>
      </w:r>
      <w:r>
        <w:tab/>
        <w:t>Gaming and Wagering Commission</w:t>
      </w:r>
    </w:p>
    <w:p>
      <w:pPr>
        <w:pStyle w:val="nzSubsection"/>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keepNext/>
        <w:keepLines/>
      </w:pPr>
      <w:r>
        <w:lastRenderedPageBreak/>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BlankClose"/>
      </w:pP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206" w:name="_Toc115166698"/>
      <w:bookmarkStart w:id="207" w:name="_Toc115166855"/>
      <w:bookmarkStart w:id="208" w:name="_Toc115267929"/>
      <w:r>
        <w:rPr>
          <w:sz w:val="28"/>
        </w:rPr>
        <w:lastRenderedPageBreak/>
        <w:t>Defined terms</w:t>
      </w:r>
      <w:bookmarkEnd w:id="206"/>
      <w:bookmarkEnd w:id="207"/>
      <w:bookmarkEnd w:id="2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member</w:t>
      </w:r>
      <w:r>
        <w:tab/>
        <w:t>109D(9)</w:t>
      </w:r>
    </w:p>
    <w:p>
      <w:pPr>
        <w:pStyle w:val="DefinedTerms"/>
      </w:pPr>
      <w:r>
        <w:t>approval</w:t>
      </w:r>
      <w:r>
        <w:tab/>
        <w:t>43A(4)</w:t>
      </w:r>
    </w:p>
    <w:p>
      <w:pPr>
        <w:pStyle w:val="DefinedTerms"/>
      </w:pPr>
      <w:r>
        <w:t>approved</w:t>
      </w:r>
      <w:r>
        <w:tab/>
        <w:t>3(1)</w:t>
      </w:r>
    </w:p>
    <w:p>
      <w:pPr>
        <w:pStyle w:val="DefinedTerms"/>
      </w:pPr>
      <w:r>
        <w:t>approved premises</w:t>
      </w:r>
      <w:r>
        <w:tab/>
        <w:t>3(1)</w:t>
      </w:r>
    </w:p>
    <w:p>
      <w:pPr>
        <w:pStyle w:val="DefinedTerms"/>
      </w:pPr>
      <w:r>
        <w:t>authorised officer</w:t>
      </w:r>
      <w:r>
        <w:tab/>
        <w:t>3(1)</w:t>
      </w:r>
    </w:p>
    <w:p>
      <w:pPr>
        <w:pStyle w:val="DefinedTerms"/>
      </w:pPr>
      <w:r>
        <w:t>authorised person</w:t>
      </w:r>
      <w:r>
        <w:tab/>
        <w:t>85(6)</w:t>
      </w:r>
    </w:p>
    <w:p>
      <w:pPr>
        <w:pStyle w:val="DefinedTerms"/>
      </w:pPr>
      <w:r>
        <w:t>banking day</w:t>
      </w:r>
      <w:r>
        <w:tab/>
        <w:t>63(4)</w:t>
      </w:r>
    </w:p>
    <w:p>
      <w:pPr>
        <w:pStyle w:val="DefinedTerms"/>
      </w:pPr>
      <w:r>
        <w:t>batch</w:t>
      </w:r>
      <w:r>
        <w:tab/>
        <w:t>101(1)</w:t>
      </w:r>
    </w:p>
    <w:p>
      <w:pPr>
        <w:pStyle w:val="DefinedTerms"/>
      </w:pPr>
      <w:r>
        <w:t>bingo</w:t>
      </w:r>
      <w:r>
        <w:tab/>
        <w:t>94(1)</w:t>
      </w:r>
    </w:p>
    <w:p>
      <w:pPr>
        <w:pStyle w:val="DefinedTerms"/>
      </w:pPr>
      <w:r>
        <w:t>books</w:t>
      </w:r>
      <w:r>
        <w:tab/>
        <w:t>3(1)</w:t>
      </w:r>
    </w:p>
    <w:p>
      <w:pPr>
        <w:pStyle w:val="DefinedTerms"/>
      </w:pPr>
      <w:r>
        <w:t>cards</w:t>
      </w:r>
      <w:r>
        <w:tab/>
        <w:t>94(2)</w:t>
      </w:r>
    </w:p>
    <w:p>
      <w:pPr>
        <w:pStyle w:val="DefinedTerms"/>
      </w:pPr>
      <w:r>
        <w:t>casino</w:t>
      </w:r>
      <w:r>
        <w:tab/>
        <w:t>3(1)</w:t>
      </w:r>
    </w:p>
    <w:p>
      <w:pPr>
        <w:pStyle w:val="DefinedTerms"/>
      </w:pPr>
      <w:r>
        <w:t>casino complex agreement</w:t>
      </w:r>
      <w:r>
        <w:tab/>
        <w:t>3(1)</w:t>
      </w:r>
    </w:p>
    <w:p>
      <w:pPr>
        <w:pStyle w:val="DefinedTerms"/>
      </w:pPr>
      <w:r>
        <w:t>certificate</w:t>
      </w:r>
      <w:r>
        <w:tab/>
        <w:t>3(1)</w:t>
      </w:r>
    </w:p>
    <w:p>
      <w:pPr>
        <w:pStyle w:val="DefinedTerms"/>
      </w:pPr>
      <w:r>
        <w:t>charitable organisation</w:t>
      </w:r>
      <w:r>
        <w:tab/>
        <w:t>94(1)</w:t>
      </w:r>
    </w:p>
    <w:p>
      <w:pPr>
        <w:pStyle w:val="DefinedTerms"/>
      </w:pPr>
      <w:r>
        <w:t>Chief Casino Officer</w:t>
      </w:r>
      <w:r>
        <w:tab/>
        <w:t>16(4)</w:t>
      </w:r>
    </w:p>
    <w:p>
      <w:pPr>
        <w:pStyle w:val="DefinedTerms"/>
      </w:pPr>
      <w:r>
        <w:t>closing date</w:t>
      </w:r>
      <w:r>
        <w:tab/>
        <w:t>101(1)</w:t>
      </w:r>
    </w:p>
    <w:p>
      <w:pPr>
        <w:pStyle w:val="DefinedTerms"/>
      </w:pPr>
      <w:r>
        <w:t>club</w:t>
      </w:r>
      <w:r>
        <w:tab/>
        <w:t>94(1)</w:t>
      </w:r>
    </w:p>
    <w:p>
      <w:pPr>
        <w:pStyle w:val="DefinedTerms"/>
      </w:pPr>
      <w:r>
        <w:t>Commission</w:t>
      </w:r>
      <w:r>
        <w:tab/>
        <w:t>3(1)</w:t>
      </w:r>
    </w:p>
    <w:p>
      <w:pPr>
        <w:pStyle w:val="DefinedTerms"/>
      </w:pPr>
      <w:r>
        <w:t>condition</w:t>
      </w:r>
      <w:r>
        <w:tab/>
        <w:t>3(1)</w:t>
      </w:r>
    </w:p>
    <w:p>
      <w:pPr>
        <w:pStyle w:val="DefinedTerms"/>
      </w:pPr>
      <w:r>
        <w:t>conduct</w:t>
      </w:r>
      <w:r>
        <w:tab/>
        <w:t>3(1)</w:t>
      </w:r>
    </w:p>
    <w:p>
      <w:pPr>
        <w:pStyle w:val="DefinedTerms"/>
      </w:pPr>
      <w:r>
        <w:t>conducting</w:t>
      </w:r>
      <w:r>
        <w:tab/>
        <w:t>101(1)</w:t>
      </w:r>
    </w:p>
    <w:p>
      <w:pPr>
        <w:pStyle w:val="DefinedTerms"/>
      </w:pPr>
      <w:r>
        <w:t>confidential police information</w:t>
      </w:r>
      <w:r>
        <w:tab/>
        <w:t>20A(1)</w:t>
      </w:r>
    </w:p>
    <w:p>
      <w:pPr>
        <w:pStyle w:val="DefinedTerms"/>
      </w:pPr>
      <w:r>
        <w:t>continuing lotteries levy</w:t>
      </w:r>
      <w:r>
        <w:tab/>
        <w:t>3(1)</w:t>
      </w:r>
    </w:p>
    <w:p>
      <w:pPr>
        <w:pStyle w:val="DefinedTerms"/>
      </w:pPr>
      <w:r>
        <w:t>continuing lottery</w:t>
      </w:r>
      <w:r>
        <w:tab/>
        <w:t>101(1)</w:t>
      </w:r>
    </w:p>
    <w:p>
      <w:pPr>
        <w:pStyle w:val="DefinedTerms"/>
      </w:pPr>
      <w:r>
        <w:t>credit card</w:t>
      </w:r>
      <w:r>
        <w:tab/>
        <w:t>3(1)</w:t>
      </w:r>
    </w:p>
    <w:p>
      <w:pPr>
        <w:pStyle w:val="DefinedTerms"/>
      </w:pPr>
      <w:r>
        <w:t>date of drawing</w:t>
      </w:r>
      <w:r>
        <w:tab/>
        <w:t>101(1)</w:t>
      </w:r>
    </w:p>
    <w:p>
      <w:pPr>
        <w:pStyle w:val="DefinedTerms"/>
      </w:pPr>
      <w:r>
        <w:t>debit card</w:t>
      </w:r>
      <w:r>
        <w:tab/>
        <w:t>3(1)</w:t>
      </w:r>
    </w:p>
    <w:p>
      <w:pPr>
        <w:pStyle w:val="DefinedTerms"/>
      </w:pPr>
      <w:r>
        <w:t>Department</w:t>
      </w:r>
      <w:r>
        <w:tab/>
        <w:t>3(1)</w:t>
      </w:r>
    </w:p>
    <w:p>
      <w:pPr>
        <w:pStyle w:val="DefinedTerms"/>
      </w:pPr>
      <w:r>
        <w:t>drawing</w:t>
      </w:r>
      <w:r>
        <w:tab/>
        <w:t>101(1)</w:t>
      </w:r>
    </w:p>
    <w:p>
      <w:pPr>
        <w:pStyle w:val="DefinedTerms"/>
      </w:pPr>
      <w:r>
        <w:t>employing authority</w:t>
      </w:r>
      <w:r>
        <w:tab/>
        <w:t>18(2a)</w:t>
      </w:r>
    </w:p>
    <w:p>
      <w:pPr>
        <w:pStyle w:val="DefinedTerms"/>
      </w:pPr>
      <w:r>
        <w:t>event</w:t>
      </w:r>
      <w:r>
        <w:tab/>
        <w:t>3(1)</w:t>
      </w:r>
    </w:p>
    <w:p>
      <w:pPr>
        <w:pStyle w:val="DefinedTerms"/>
      </w:pPr>
      <w:r>
        <w:t>face value</w:t>
      </w:r>
      <w:r>
        <w:tab/>
        <w:t>101(1)</w:t>
      </w:r>
    </w:p>
    <w:p>
      <w:pPr>
        <w:pStyle w:val="DefinedTerms"/>
      </w:pPr>
      <w:r>
        <w:t>foreign lottery</w:t>
      </w:r>
      <w:r>
        <w:tab/>
        <w:t>101(1)</w:t>
      </w:r>
    </w:p>
    <w:p>
      <w:pPr>
        <w:pStyle w:val="DefinedTerms"/>
      </w:pPr>
      <w:r>
        <w:t>gambling</w:t>
      </w:r>
      <w:r>
        <w:tab/>
        <w:t>3(1), 40A</w:t>
      </w:r>
    </w:p>
    <w:p>
      <w:pPr>
        <w:pStyle w:val="DefinedTerms"/>
      </w:pPr>
      <w:r>
        <w:t>game of chance</w:t>
      </w:r>
      <w:r>
        <w:tab/>
        <w:t>3(1)</w:t>
      </w:r>
    </w:p>
    <w:p>
      <w:pPr>
        <w:pStyle w:val="DefinedTerms"/>
      </w:pPr>
      <w:r>
        <w:t>gaming</w:t>
      </w:r>
      <w:r>
        <w:tab/>
        <w:t>3(1)</w:t>
      </w:r>
    </w:p>
    <w:p>
      <w:pPr>
        <w:pStyle w:val="DefinedTerms"/>
      </w:pPr>
      <w:r>
        <w:t>gaming equipment</w:t>
      </w:r>
      <w:r>
        <w:tab/>
        <w:t>3(1)</w:t>
      </w:r>
    </w:p>
    <w:p>
      <w:pPr>
        <w:pStyle w:val="DefinedTerms"/>
      </w:pPr>
      <w:r>
        <w:t>gaming machine</w:t>
      </w:r>
      <w:r>
        <w:tab/>
        <w:t>84(1)</w:t>
      </w:r>
    </w:p>
    <w:p>
      <w:pPr>
        <w:pStyle w:val="DefinedTerms"/>
      </w:pPr>
      <w:r>
        <w:t>gaming permit</w:t>
      </w:r>
      <w:r>
        <w:tab/>
        <w:t>3(1)</w:t>
      </w:r>
    </w:p>
    <w:p>
      <w:pPr>
        <w:pStyle w:val="DefinedTerms"/>
      </w:pPr>
      <w:r>
        <w:lastRenderedPageBreak/>
        <w:t>government inspector</w:t>
      </w:r>
      <w:r>
        <w:tab/>
        <w:t>16(4)</w:t>
      </w:r>
    </w:p>
    <w:p>
      <w:pPr>
        <w:pStyle w:val="DefinedTerms"/>
      </w:pPr>
      <w:r>
        <w:t>house</w:t>
      </w:r>
      <w:r>
        <w:tab/>
        <w:t>3(1)</w:t>
      </w:r>
    </w:p>
    <w:p>
      <w:pPr>
        <w:pStyle w:val="DefinedTerms"/>
      </w:pPr>
      <w:r>
        <w:t>imposed</w:t>
      </w:r>
      <w:r>
        <w:tab/>
        <w:t>3(1)</w:t>
      </w:r>
    </w:p>
    <w:p>
      <w:pPr>
        <w:pStyle w:val="DefinedTerms"/>
      </w:pPr>
      <w:r>
        <w:t>instruments of gaming</w:t>
      </w:r>
      <w:r>
        <w:tab/>
        <w:t>3(1)</w:t>
      </w:r>
    </w:p>
    <w:p>
      <w:pPr>
        <w:pStyle w:val="DefinedTerms"/>
      </w:pPr>
      <w:r>
        <w:t>licence</w:t>
      </w:r>
      <w:r>
        <w:tab/>
        <w:t>3(1)</w:t>
      </w:r>
    </w:p>
    <w:p>
      <w:pPr>
        <w:pStyle w:val="DefinedTerms"/>
      </w:pPr>
      <w:r>
        <w:t>licensed supplier</w:t>
      </w:r>
      <w:r>
        <w:tab/>
        <w:t>3(1)</w:t>
      </w:r>
    </w:p>
    <w:p>
      <w:pPr>
        <w:pStyle w:val="DefinedTerms"/>
      </w:pPr>
      <w:r>
        <w:t>lottery</w:t>
      </w:r>
      <w:r>
        <w:tab/>
        <w:t>3(1)</w:t>
      </w:r>
    </w:p>
    <w:p>
      <w:pPr>
        <w:pStyle w:val="DefinedTerms"/>
      </w:pPr>
      <w:r>
        <w:t>machine</w:t>
      </w:r>
      <w:r>
        <w:tab/>
        <w:t>3(1)</w:t>
      </w:r>
    </w:p>
    <w:p>
      <w:pPr>
        <w:pStyle w:val="DefinedTerms"/>
      </w:pPr>
      <w:r>
        <w:t>material evidence</w:t>
      </w:r>
      <w:r>
        <w:tab/>
        <w:t>26(2)</w:t>
      </w:r>
    </w:p>
    <w:p>
      <w:pPr>
        <w:pStyle w:val="DefinedTerms"/>
      </w:pPr>
      <w:r>
        <w:t>minor fund raising activity</w:t>
      </w:r>
      <w:r>
        <w:tab/>
        <w:t>3(1)</w:t>
      </w:r>
    </w:p>
    <w:p>
      <w:pPr>
        <w:pStyle w:val="DefinedTerms"/>
      </w:pPr>
      <w:r>
        <w:t>money</w:t>
      </w:r>
      <w:r>
        <w:tab/>
        <w:t>3(1), 94(1)</w:t>
      </w:r>
    </w:p>
    <w:p>
      <w:pPr>
        <w:pStyle w:val="DefinedTerms"/>
      </w:pPr>
      <w:r>
        <w:t>multiple bingo</w:t>
      </w:r>
      <w:r>
        <w:tab/>
        <w:t>3(1), 94(1), 96(4)</w:t>
      </w:r>
    </w:p>
    <w:p>
      <w:pPr>
        <w:pStyle w:val="DefinedTerms"/>
      </w:pPr>
      <w:r>
        <w:t>object</w:t>
      </w:r>
      <w:r>
        <w:tab/>
        <w:t>58(2)</w:t>
      </w:r>
    </w:p>
    <w:p>
      <w:pPr>
        <w:pStyle w:val="DefinedTerms"/>
      </w:pPr>
      <w:r>
        <w:t>occupier</w:t>
      </w:r>
      <w:r>
        <w:tab/>
        <w:t>3(1)</w:t>
      </w:r>
    </w:p>
    <w:p>
      <w:pPr>
        <w:pStyle w:val="DefinedTerms"/>
      </w:pPr>
      <w:r>
        <w:t>opening date</w:t>
      </w:r>
      <w:r>
        <w:tab/>
        <w:t>101(1)</w:t>
      </w:r>
    </w:p>
    <w:p>
      <w:pPr>
        <w:pStyle w:val="DefinedTerms"/>
      </w:pPr>
      <w:r>
        <w:t>organiser</w:t>
      </w:r>
      <w:r>
        <w:tab/>
        <w:t>94(1)</w:t>
      </w:r>
    </w:p>
    <w:p>
      <w:pPr>
        <w:pStyle w:val="DefinedTerms"/>
      </w:pPr>
      <w:r>
        <w:t>owner</w:t>
      </w:r>
      <w:r>
        <w:tab/>
        <w:t>3(1)</w:t>
      </w:r>
    </w:p>
    <w:p>
      <w:pPr>
        <w:pStyle w:val="DefinedTerms"/>
      </w:pPr>
      <w:r>
        <w:t>paid</w:t>
      </w:r>
      <w:r>
        <w:tab/>
        <w:t>94(1)</w:t>
      </w:r>
    </w:p>
    <w:p>
      <w:pPr>
        <w:pStyle w:val="DefinedTerms"/>
      </w:pPr>
      <w:r>
        <w:t>permit</w:t>
      </w:r>
      <w:r>
        <w:tab/>
        <w:t>3(1)</w:t>
      </w:r>
    </w:p>
    <w:p>
      <w:pPr>
        <w:pStyle w:val="DefinedTerms"/>
      </w:pPr>
      <w:r>
        <w:t>permit holder</w:t>
      </w:r>
      <w:r>
        <w:tab/>
        <w:t>3(1)</w:t>
      </w:r>
    </w:p>
    <w:p>
      <w:pPr>
        <w:pStyle w:val="DefinedTerms"/>
      </w:pPr>
      <w:r>
        <w:t>permitted amusement with prizes</w:t>
      </w:r>
      <w:r>
        <w:tab/>
        <w:t>3(1)</w:t>
      </w:r>
    </w:p>
    <w:p>
      <w:pPr>
        <w:pStyle w:val="DefinedTerms"/>
      </w:pPr>
      <w:r>
        <w:t>permitted bingo</w:t>
      </w:r>
      <w:r>
        <w:tab/>
        <w:t>3(1)</w:t>
      </w:r>
    </w:p>
    <w:p>
      <w:pPr>
        <w:pStyle w:val="DefinedTerms"/>
      </w:pPr>
      <w:r>
        <w:t>permitted gaming</w:t>
      </w:r>
      <w:r>
        <w:tab/>
        <w:t>3(1)</w:t>
      </w:r>
    </w:p>
    <w:p>
      <w:pPr>
        <w:pStyle w:val="DefinedTerms"/>
      </w:pPr>
      <w:r>
        <w:t>permitted lottery</w:t>
      </w:r>
      <w:r>
        <w:tab/>
        <w:t>3(1)</w:t>
      </w:r>
    </w:p>
    <w:p>
      <w:pPr>
        <w:pStyle w:val="DefinedTerms"/>
      </w:pPr>
      <w:r>
        <w:t>permitted two</w:t>
      </w:r>
      <w:r>
        <w:noBreakHyphen/>
        <w:t>up</w:t>
      </w:r>
      <w:r>
        <w:tab/>
        <w:t>3(1)</w:t>
      </w:r>
    </w:p>
    <w:p>
      <w:pPr>
        <w:pStyle w:val="DefinedTerms"/>
      </w:pPr>
      <w:r>
        <w:t>player</w:t>
      </w:r>
      <w:r>
        <w:tab/>
        <w:t>3(1)</w:t>
      </w:r>
    </w:p>
    <w:p>
      <w:pPr>
        <w:pStyle w:val="DefinedTerms"/>
      </w:pPr>
      <w:r>
        <w:t>playing</w:t>
      </w:r>
      <w:r>
        <w:tab/>
        <w:t>3(1)</w:t>
      </w:r>
    </w:p>
    <w:p>
      <w:pPr>
        <w:pStyle w:val="DefinedTerms"/>
      </w:pPr>
      <w:r>
        <w:t>possession</w:t>
      </w:r>
      <w:r>
        <w:tab/>
        <w:t>3(1)</w:t>
      </w:r>
    </w:p>
    <w:p>
      <w:pPr>
        <w:pStyle w:val="DefinedTerms"/>
      </w:pPr>
      <w:r>
        <w:t>premises</w:t>
      </w:r>
      <w:r>
        <w:tab/>
        <w:t>3(1)</w:t>
      </w:r>
    </w:p>
    <w:p>
      <w:pPr>
        <w:pStyle w:val="DefinedTerms"/>
      </w:pPr>
      <w:r>
        <w:t>prescribed gaming equipment</w:t>
      </w:r>
      <w:r>
        <w:tab/>
        <w:t>84(1)</w:t>
      </w:r>
    </w:p>
    <w:p>
      <w:pPr>
        <w:pStyle w:val="DefinedTerms"/>
      </w:pPr>
      <w:r>
        <w:t>prize</w:t>
      </w:r>
      <w:r>
        <w:tab/>
        <w:t>94(1)</w:t>
      </w:r>
    </w:p>
    <w:p>
      <w:pPr>
        <w:pStyle w:val="DefinedTerms"/>
      </w:pPr>
      <w:r>
        <w:t>prohibited advertisement</w:t>
      </w:r>
      <w:r>
        <w:tab/>
        <w:t>43A(1)</w:t>
      </w:r>
    </w:p>
    <w:p>
      <w:pPr>
        <w:pStyle w:val="DefinedTerms"/>
      </w:pPr>
      <w:r>
        <w:t>promoter</w:t>
      </w:r>
      <w:r>
        <w:tab/>
        <w:t>94(1)</w:t>
      </w:r>
    </w:p>
    <w:p>
      <w:pPr>
        <w:pStyle w:val="DefinedTerms"/>
      </w:pPr>
      <w:r>
        <w:t>public place</w:t>
      </w:r>
      <w:r>
        <w:tab/>
        <w:t>3(1)</w:t>
      </w:r>
    </w:p>
    <w:p>
      <w:pPr>
        <w:pStyle w:val="DefinedTerms"/>
      </w:pPr>
      <w:r>
        <w:t>public premises</w:t>
      </w:r>
      <w:r>
        <w:tab/>
        <w:t>93A</w:t>
      </w:r>
    </w:p>
    <w:p>
      <w:pPr>
        <w:pStyle w:val="DefinedTerms"/>
      </w:pPr>
      <w:r>
        <w:t>Public Service</w:t>
      </w:r>
      <w:r>
        <w:tab/>
        <w:t>18(2a)</w:t>
      </w:r>
    </w:p>
    <w:p>
      <w:pPr>
        <w:pStyle w:val="DefinedTerms"/>
      </w:pPr>
      <w:r>
        <w:t>quarter</w:t>
      </w:r>
      <w:r>
        <w:tab/>
        <w:t>101(1)</w:t>
      </w:r>
    </w:p>
    <w:p>
      <w:pPr>
        <w:pStyle w:val="DefinedTerms"/>
      </w:pPr>
      <w:r>
        <w:t>race</w:t>
      </w:r>
      <w:r>
        <w:tab/>
        <w:t>3(1)</w:t>
      </w:r>
    </w:p>
    <w:p>
      <w:pPr>
        <w:pStyle w:val="DefinedTerms"/>
      </w:pPr>
      <w:r>
        <w:t>race club</w:t>
      </w:r>
      <w:r>
        <w:tab/>
        <w:t>3(1)</w:t>
      </w:r>
    </w:p>
    <w:p>
      <w:pPr>
        <w:pStyle w:val="DefinedTerms"/>
      </w:pPr>
      <w:r>
        <w:t>race day</w:t>
      </w:r>
      <w:r>
        <w:tab/>
        <w:t>80(1a)</w:t>
      </w:r>
    </w:p>
    <w:p>
      <w:pPr>
        <w:pStyle w:val="DefinedTerms"/>
      </w:pPr>
      <w:r>
        <w:t>race meeting</w:t>
      </w:r>
      <w:r>
        <w:tab/>
        <w:t>3(1)</w:t>
      </w:r>
    </w:p>
    <w:p>
      <w:pPr>
        <w:pStyle w:val="DefinedTerms"/>
      </w:pPr>
      <w:r>
        <w:t>related furnishings</w:t>
      </w:r>
      <w:r>
        <w:tab/>
        <w:t>3(1)</w:t>
      </w:r>
    </w:p>
    <w:p>
      <w:pPr>
        <w:pStyle w:val="DefinedTerms"/>
      </w:pPr>
      <w:r>
        <w:t>relevant Act</w:t>
      </w:r>
      <w:r>
        <w:tab/>
        <w:t>20A(1)</w:t>
      </w:r>
    </w:p>
    <w:p>
      <w:pPr>
        <w:pStyle w:val="DefinedTerms"/>
      </w:pPr>
      <w:r>
        <w:t>remote gambling device</w:t>
      </w:r>
      <w:r>
        <w:tab/>
        <w:t>93A</w:t>
      </w:r>
    </w:p>
    <w:p>
      <w:pPr>
        <w:pStyle w:val="DefinedTerms"/>
      </w:pPr>
      <w:r>
        <w:t>responsible person</w:t>
      </w:r>
      <w:r>
        <w:tab/>
        <w:t>109B(1)</w:t>
      </w:r>
    </w:p>
    <w:p>
      <w:pPr>
        <w:pStyle w:val="DefinedTerms"/>
      </w:pPr>
      <w:r>
        <w:lastRenderedPageBreak/>
        <w:t>RWWA</w:t>
      </w:r>
      <w:r>
        <w:tab/>
        <w:t>3(1)</w:t>
      </w:r>
    </w:p>
    <w:p>
      <w:pPr>
        <w:pStyle w:val="DefinedTerms"/>
      </w:pPr>
      <w:r>
        <w:t>RWWA Act</w:t>
      </w:r>
      <w:r>
        <w:tab/>
        <w:t>3(1)</w:t>
      </w:r>
    </w:p>
    <w:p>
      <w:pPr>
        <w:pStyle w:val="DefinedTerms"/>
      </w:pPr>
      <w:r>
        <w:t>seized thing</w:t>
      </w:r>
      <w:r>
        <w:tab/>
        <w:t>32A(1)</w:t>
      </w:r>
    </w:p>
    <w:p>
      <w:pPr>
        <w:pStyle w:val="DefinedTerms"/>
      </w:pPr>
      <w:r>
        <w:t>service agreement</w:t>
      </w:r>
      <w:r>
        <w:tab/>
        <w:t>91(5)</w:t>
      </w:r>
    </w:p>
    <w:p>
      <w:pPr>
        <w:pStyle w:val="DefinedTerms"/>
      </w:pPr>
      <w:r>
        <w:t>simultaneous bingo</w:t>
      </w:r>
      <w:r>
        <w:tab/>
        <w:t>3(1), 94(1)</w:t>
      </w:r>
    </w:p>
    <w:p>
      <w:pPr>
        <w:pStyle w:val="DefinedTerms"/>
      </w:pPr>
      <w:r>
        <w:t>slot machine</w:t>
      </w:r>
      <w:r>
        <w:tab/>
        <w:t>84(1)</w:t>
      </w:r>
    </w:p>
    <w:p>
      <w:pPr>
        <w:pStyle w:val="DefinedTerms"/>
      </w:pPr>
      <w:r>
        <w:t>social gambling</w:t>
      </w:r>
      <w:r>
        <w:tab/>
        <w:t>3(1)</w:t>
      </w:r>
    </w:p>
    <w:p>
      <w:pPr>
        <w:pStyle w:val="DefinedTerms"/>
      </w:pPr>
      <w:r>
        <w:t>specified</w:t>
      </w:r>
      <w:r>
        <w:tab/>
        <w:t>48(2), 87(2), 91(8)</w:t>
      </w:r>
    </w:p>
    <w:p>
      <w:pPr>
        <w:pStyle w:val="DefinedTerms"/>
      </w:pPr>
      <w:r>
        <w:t>standard lottery</w:t>
      </w:r>
      <w:r>
        <w:tab/>
        <w:t>101(1)</w:t>
      </w:r>
    </w:p>
    <w:p>
      <w:pPr>
        <w:pStyle w:val="DefinedTerms"/>
      </w:pPr>
      <w:r>
        <w:t>telecommunication device</w:t>
      </w:r>
      <w:r>
        <w:tab/>
        <w:t>3(1)</w:t>
      </w:r>
    </w:p>
    <w:p>
      <w:pPr>
        <w:pStyle w:val="DefinedTerms"/>
      </w:pPr>
      <w:r>
        <w:t>terms</w:t>
      </w:r>
      <w:r>
        <w:tab/>
        <w:t>89(3)</w:t>
      </w:r>
    </w:p>
    <w:p>
      <w:pPr>
        <w:pStyle w:val="DefinedTerms"/>
      </w:pPr>
      <w:r>
        <w:t>ticket</w:t>
      </w:r>
      <w:r>
        <w:tab/>
        <w:t>101(1), 101(1)</w:t>
      </w:r>
    </w:p>
    <w:p>
      <w:pPr>
        <w:pStyle w:val="DefinedTerms"/>
      </w:pPr>
      <w:r>
        <w:t>token</w:t>
      </w:r>
      <w:r>
        <w:tab/>
        <w:t>3(1)</w:t>
      </w:r>
    </w:p>
    <w:p>
      <w:pPr>
        <w:pStyle w:val="DefinedTerms"/>
      </w:pPr>
      <w:r>
        <w:t>trade promotion lottery</w:t>
      </w:r>
      <w:r>
        <w:tab/>
        <w:t>3(1)</w:t>
      </w:r>
    </w:p>
    <w:p>
      <w:pPr>
        <w:pStyle w:val="DefinedTerms"/>
      </w:pPr>
      <w:r>
        <w:t>Trust</w:t>
      </w:r>
      <w:r>
        <w:tab/>
        <w:t>109A</w:t>
      </w:r>
    </w:p>
    <w:p>
      <w:pPr>
        <w:pStyle w:val="DefinedTerms"/>
      </w:pPr>
      <w:r>
        <w:t>Trust Account</w:t>
      </w:r>
      <w:r>
        <w:tab/>
        <w:t>109A</w:t>
      </w:r>
    </w:p>
    <w:p>
      <w:pPr>
        <w:pStyle w:val="DefinedTerms"/>
      </w:pPr>
      <w:r>
        <w:t>two</w:t>
      </w:r>
      <w:r>
        <w:noBreakHyphen/>
        <w:t>up</w:t>
      </w:r>
      <w:r>
        <w:tab/>
        <w:t>3(1)</w:t>
      </w:r>
    </w:p>
    <w:p>
      <w:pPr>
        <w:pStyle w:val="DefinedTerms"/>
      </w:pPr>
      <w:r>
        <w:t>unclaimed winnings</w:t>
      </w:r>
      <w:r>
        <w:tab/>
        <w:t>109A, 109B(1)</w:t>
      </w:r>
    </w:p>
    <w:p>
      <w:pPr>
        <w:pStyle w:val="DefinedTerms"/>
      </w:pPr>
      <w:r>
        <w:t>unlawful game</w:t>
      </w:r>
      <w:r>
        <w:tab/>
        <w:t>3(1)</w:t>
      </w:r>
    </w:p>
    <w:p>
      <w:pPr>
        <w:pStyle w:val="DefinedTerms"/>
      </w:pPr>
      <w:r>
        <w:t>unlawful gaming</w:t>
      </w:r>
      <w:r>
        <w:tab/>
        <w:t>43A(1)</w:t>
      </w:r>
    </w:p>
    <w:p>
      <w:pPr>
        <w:pStyle w:val="DefinedTerms"/>
      </w:pPr>
      <w:r>
        <w:t>unlawful gaming equipment</w:t>
      </w:r>
      <w:r>
        <w:tab/>
        <w:t>84(1)</w:t>
      </w:r>
    </w:p>
    <w:p>
      <w:pPr>
        <w:pStyle w:val="DefinedTerms"/>
      </w:pPr>
      <w:r>
        <w:t>unlawful gaming machine</w:t>
      </w:r>
      <w:r>
        <w:tab/>
        <w:t>84(1)</w:t>
      </w:r>
    </w:p>
    <w:p>
      <w:pPr>
        <w:pStyle w:val="DefinedTerms"/>
      </w:pPr>
      <w:r>
        <w:t>unlawful lottery</w:t>
      </w:r>
      <w:r>
        <w:tab/>
        <w:t>101(1)</w:t>
      </w:r>
    </w:p>
    <w:p>
      <w:pPr>
        <w:pStyle w:val="DefinedTerms"/>
      </w:pPr>
      <w:r>
        <w:t>unlawful wagering</w:t>
      </w:r>
      <w:r>
        <w:tab/>
        <w:t>43A(1)</w:t>
      </w:r>
    </w:p>
    <w:p>
      <w:pPr>
        <w:pStyle w:val="DefinedTerms"/>
      </w:pPr>
      <w:r>
        <w:t>value</w:t>
      </w:r>
      <w:r>
        <w:tab/>
        <w:t>94(1)</w:t>
      </w:r>
    </w:p>
    <w:p>
      <w:pPr>
        <w:pStyle w:val="DefinedTerms"/>
      </w:pPr>
      <w:r>
        <w:t>vehicle</w:t>
      </w:r>
      <w:r>
        <w:tab/>
        <w:t>3(1)</w:t>
      </w:r>
    </w:p>
    <w:p>
      <w:pPr>
        <w:pStyle w:val="DefinedTerms"/>
      </w:pPr>
      <w:r>
        <w:t>vessel</w:t>
      </w:r>
      <w:r>
        <w:tab/>
        <w:t>3(1)</w:t>
      </w:r>
    </w:p>
    <w:p>
      <w:pPr>
        <w:pStyle w:val="DefinedTerms"/>
      </w:pPr>
      <w:r>
        <w:t>wagering</w:t>
      </w:r>
      <w:r>
        <w:tab/>
        <w:t>3(1), 40A</w:t>
      </w:r>
    </w:p>
    <w:p>
      <w:pPr>
        <w:pStyle w:val="DefinedTerms"/>
      </w:pPr>
      <w:r>
        <w:t>winner</w:t>
      </w:r>
      <w:r>
        <w:tab/>
        <w:t>109B(1)</w:t>
      </w:r>
    </w:p>
    <w:p>
      <w:pPr>
        <w:pStyle w:val="DefinedTerms"/>
      </w:pPr>
      <w:r>
        <w:t>winnings</w:t>
      </w:r>
      <w:r>
        <w:tab/>
        <w:t>3(1)</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06-m0-00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06-m0-00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clxviii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clxviii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5" w:name="Compilation"/>
    <w:bookmarkEnd w:id="20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9" w:name="DefinedTerms"/>
    <w:bookmarkEnd w:id="20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0" w:name="Coversheet"/>
    <w:bookmarkEnd w:id="2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D30A26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A441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8F616E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51C5FA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87835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C922B1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D682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E63DA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E86EA1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ECA88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2F4C2B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927101004"/>
    <w:docVar w:name="WAFER_20140123160344" w:val="RemoveTocBookmarks,RemoveUnusedBookmarks,RemoveLanguageTags,UsedStyles,ResetPageSize,UpdateArrangement"/>
    <w:docVar w:name="WAFER_20140123160344_GUID" w:val="2e5daf11-eae3-4b2f-8827-029c904dc2ef"/>
    <w:docVar w:name="WAFER_20140123160356" w:val="RemoveTocBookmarks,RunningHeaders"/>
    <w:docVar w:name="WAFER_20140123160356_GUID" w:val="92e22a0d-0a40-4690-86ba-0e2b82a9e33a"/>
    <w:docVar w:name="WAFER_20141104172558" w:val="RemoveTocBookmarks,RemoveUnusedBookmarks,RemoveLanguageTags,UsedStyles,ResetPageSize,UpdateArrangement"/>
    <w:docVar w:name="WAFER_20141104172558_GUID" w:val="5a4be81d-7c04-4ed2-baeb-49c888184271"/>
    <w:docVar w:name="WAFER_20150506114414" w:val="ResetPageSize,UpdateArrangement,UpdateNTable"/>
    <w:docVar w:name="WAFER_20150506114414_GUID" w:val="63f23cb0-3b99-47d6-91b3-c23b4c055dd2"/>
    <w:docVar w:name="WAFER_20151104142640" w:val="UpdateStyles,UsedStyles"/>
    <w:docVar w:name="WAFER_20151104142640_GUID" w:val="0b5d45da-e0f4-499a-9354-ea01e6d40f66"/>
    <w:docVar w:name="WAFER_20170111123255" w:val="RemoveTocBookmarks,RemoveUnusedBookmarks,RemoveLanguageTags,UsedStyles,ResetPageSize"/>
    <w:docVar w:name="WAFER_20170111123255_GUID" w:val="1dd3edcc-92b9-45b4-a6d5-cfb042119d2a"/>
    <w:docVar w:name="WAFER_20190919112320" w:val="RemoveTocBookmarks,RemoveUnusedBookmarks,RemoveLanguageTags,ResetPageSize,RunningHeaders,UpdateStyles,UsedStyles"/>
    <w:docVar w:name="WAFER_20190919112320_GUID" w:val="4285692c-dae8-4465-a1b4-0fc263346761"/>
    <w:docVar w:name="WAFER_2020021314331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3319_GUID" w:val="1891f3fc-21ef-4232-9559-ad57ae98dfeb"/>
    <w:docVar w:name="WAFER_202209271010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927101004_GUID" w:val="dcb49953-8ed2-47f8-be3c-c9319e47d7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77D6E56-7E31-497B-88F9-1AF364BEE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5603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45912</Words>
  <Characters>215789</Characters>
  <Application>Microsoft Office Word</Application>
  <DocSecurity>0</DocSecurity>
  <Lines>5832</Lines>
  <Paragraphs>2875</Paragraphs>
  <ScaleCrop>false</ScaleCrop>
  <HeadingPairs>
    <vt:vector size="2" baseType="variant">
      <vt:variant>
        <vt:lpstr>Title</vt:lpstr>
      </vt:variant>
      <vt:variant>
        <vt:i4>1</vt:i4>
      </vt:variant>
    </vt:vector>
  </HeadingPairs>
  <TitlesOfParts>
    <vt:vector size="1" baseType="lpstr">
      <vt:lpstr>Gaming and Wagering Commission Act 1987</vt:lpstr>
    </vt:vector>
  </TitlesOfParts>
  <Manager/>
  <Company/>
  <LinksUpToDate>false</LinksUpToDate>
  <CharactersWithSpaces>258826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1987 - 06-m0-00</dc:title>
  <dc:subject/>
  <dc:creator/>
  <cp:keywords/>
  <dc:description/>
  <cp:lastModifiedBy>Master Repository Process</cp:lastModifiedBy>
  <cp:revision>4</cp:revision>
  <cp:lastPrinted>2019-01-30T08:13:00Z</cp:lastPrinted>
  <dcterms:created xsi:type="dcterms:W3CDTF">2022-09-28T09:09:00Z</dcterms:created>
  <dcterms:modified xsi:type="dcterms:W3CDTF">2022-09-28T09:09:00Z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DocumentType">
    <vt:lpwstr>Act</vt:lpwstr>
  </property>
  <property fmtid="{D5CDD505-2E9C-101B-9397-08002B2CF9AE}" pid="4" name="OwlsUID">
    <vt:i4>311</vt:i4>
  </property>
  <property fmtid="{D5CDD505-2E9C-101B-9397-08002B2CF9AE}" pid="5" name="ReprintNo">
    <vt:lpwstr>6</vt:lpwstr>
  </property>
  <property fmtid="{D5CDD505-2E9C-101B-9397-08002B2CF9AE}" pid="6" name="ReprintedAsAt">
    <vt:filetime>2011-12-15T16:00:00Z</vt:filetime>
  </property>
  <property fmtid="{D5CDD505-2E9C-101B-9397-08002B2CF9AE}" pid="7" name="AsAtDate">
    <vt:lpwstr>29 Sep 2022</vt:lpwstr>
  </property>
  <property fmtid="{D5CDD505-2E9C-101B-9397-08002B2CF9AE}" pid="8" name="Suffix">
    <vt:lpwstr>06-m0-00</vt:lpwstr>
  </property>
  <property fmtid="{D5CDD505-2E9C-101B-9397-08002B2CF9AE}" pid="9" name="CommencementDate">
    <vt:lpwstr>20220929</vt:lpwstr>
  </property>
</Properties>
</file>