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_Toc117598435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_Toc117598436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_Toc117598437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_Toc117598438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_Toc117598439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_Toc117598440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_Toc117598441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_Toc117598442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_Toc117598443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_Toc117598444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_Toc117598445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_Toc117598446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_Toc117598447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_Toc117598448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keepNext w:val="0"/>
        <w:tabs>
          <w:tab w:val="right" w:leader="dot" w:pos="7077"/>
        </w:tabs>
        <w:rPr>
          <w:rFonts w:asciiTheme="minorHAnsi" w:eastAsiaTheme="minorEastAsia" w:hAnsiTheme="minorHAnsi" w:cstheme="minorBidi"/>
          <w:b w:val="0"/>
          <w:szCs w:val="22"/>
        </w:rPr>
      </w:pPr>
      <w:r>
        <w:t>Part 2 — Medical procedures</w:t>
      </w:r>
    </w:p>
    <w:p>
      <w:pPr>
        <w:pStyle w:val="TOC4"/>
        <w:keepNext w:val="0"/>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lastRenderedPageBreak/>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 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_Toc117598467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_Toc117598468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117598435"/>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117598436"/>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2022.</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w:t>
      </w:r>
    </w:p>
    <w:p>
      <w:pPr>
        <w:pStyle w:val="Heading5"/>
        <w:rPr>
          <w:snapToGrid w:val="0"/>
        </w:rPr>
      </w:pPr>
      <w:bookmarkStart w:id="5" w:name="_Toc117598437"/>
      <w:r>
        <w:rPr>
          <w:rStyle w:val="CharSectno"/>
        </w:rPr>
        <w:lastRenderedPageBreak/>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117598438"/>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117598439"/>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117598440"/>
      <w:r>
        <w:rPr>
          <w:rStyle w:val="CharSectno"/>
        </w:rPr>
        <w:t>6</w:t>
      </w:r>
      <w:r>
        <w:t>.</w:t>
      </w:r>
      <w:r>
        <w:tab/>
        <w:t>Scale of fees — clinical psychologists</w:t>
      </w:r>
      <w:bookmarkEnd w:id="8"/>
    </w:p>
    <w:p>
      <w:pPr>
        <w:pStyle w:val="Subsection"/>
      </w:pPr>
      <w:r>
        <w:tab/>
        <w:t>(1)</w:t>
      </w:r>
      <w:r>
        <w:tab/>
        <w:t>Under section 292(2)(a)(vi) of the Act, the hourly rate of $268.25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w:t>
      </w:r>
    </w:p>
    <w:p>
      <w:pPr>
        <w:pStyle w:val="Heading5"/>
      </w:pPr>
      <w:bookmarkStart w:id="9" w:name="_Toc117598441"/>
      <w:r>
        <w:rPr>
          <w:rStyle w:val="CharSectno"/>
        </w:rPr>
        <w:t>6A</w:t>
      </w:r>
      <w:r>
        <w:t>.</w:t>
      </w:r>
      <w:r>
        <w:tab/>
        <w:t>Scale of fees — counselling psychology</w:t>
      </w:r>
      <w:bookmarkEnd w:id="9"/>
    </w:p>
    <w:p>
      <w:pPr>
        <w:pStyle w:val="Subsection"/>
      </w:pPr>
      <w:r>
        <w:tab/>
      </w:r>
      <w:r>
        <w:tab/>
        <w:t>Under section 292(2)(a)(viii) of the Act, the hourly rate of $268.25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rPr>
          <w:snapToGrid w:val="0"/>
        </w:rPr>
      </w:pPr>
      <w:bookmarkStart w:id="10" w:name="_Toc117598442"/>
      <w:r>
        <w:rPr>
          <w:rStyle w:val="CharSectno"/>
        </w:rPr>
        <w:t>7</w:t>
      </w:r>
      <w:r>
        <w:rPr>
          <w:snapToGrid w:val="0"/>
        </w:rPr>
        <w:t>.</w:t>
      </w:r>
      <w:r>
        <w:rPr>
          <w:snapToGrid w:val="0"/>
        </w:rPr>
        <w:tab/>
        <w:t>Scale of fees — speech pathologists</w:t>
      </w:r>
      <w:bookmarkEnd w:id="10"/>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117598443"/>
      <w:r>
        <w:rPr>
          <w:rStyle w:val="CharSectno"/>
        </w:rPr>
        <w:lastRenderedPageBreak/>
        <w:t>7A</w:t>
      </w:r>
      <w:r>
        <w:t>.</w:t>
      </w:r>
      <w:r>
        <w:tab/>
        <w:t>Scale of fees — osteopaths</w:t>
      </w:r>
      <w:bookmarkEnd w:id="11"/>
    </w:p>
    <w:p>
      <w:pPr>
        <w:pStyle w:val="Subsection"/>
      </w:pPr>
      <w:r>
        <w:tab/>
      </w:r>
      <w:r>
        <w:tab/>
        <w:t xml:space="preserve">Under section 292(2)(a)(viii) of the Act, the amount of $84.80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2" w:name="_Toc117598444"/>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117598445"/>
      <w:r>
        <w:rPr>
          <w:rStyle w:val="CharSectno"/>
        </w:rPr>
        <w:t>7C</w:t>
      </w:r>
      <w:r>
        <w:t>.</w:t>
      </w:r>
      <w:r>
        <w:tab/>
        <w:t>Scale of fees — acupuncturists</w:t>
      </w:r>
      <w:bookmarkEnd w:id="1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$82.80 for each consultation is prescribed as the fee to be paid to an acupuncturist for acupuncture provided to a worker suffering injuries that are compensable under the Act. </w:t>
      </w:r>
    </w:p>
    <w:p>
      <w:pPr>
        <w:pStyle w:val="Footnotesection"/>
        <w:spacing w:before="100"/>
        <w:ind w:left="890" w:hanging="890"/>
      </w:pPr>
      <w:r>
        <w:lastRenderedPageBreak/>
        <w:tab/>
        <w:t>[Regulation 7C inserted: Gazette 20 Mar 2015 p. 912; amended: Gazette 16 Oct 2015 p. 4076; 21 Oct 2016 p. 4822; 6 Oct 2017 p. 5204; 19 Oct 2018 p. 4162; 22 Oct 2019 p. 3734; SL 2020/203 r. 5; SL 2021/169 r. 5; SL 2022/164 r. 5.]</w:t>
      </w:r>
    </w:p>
    <w:p>
      <w:pPr>
        <w:pStyle w:val="Heading5"/>
        <w:rPr>
          <w:snapToGrid w:val="0"/>
        </w:rPr>
      </w:pPr>
      <w:bookmarkStart w:id="14" w:name="_Toc117598446"/>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5" w:name="_Toc117598447"/>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117598448"/>
      <w:r>
        <w:rPr>
          <w:rStyle w:val="CharSectno"/>
        </w:rPr>
        <w:lastRenderedPageBreak/>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114056495"/>
      <w:bookmarkStart w:id="18" w:name="_Toc114060334"/>
      <w:bookmarkStart w:id="19" w:name="_Toc114215397"/>
      <w:bookmarkStart w:id="20" w:name="_Toc114215579"/>
      <w:bookmarkStart w:id="21" w:name="_Toc114217500"/>
      <w:bookmarkStart w:id="22" w:name="_Toc115774347"/>
      <w:bookmarkStart w:id="23" w:name="_Toc117494688"/>
      <w:bookmarkStart w:id="24" w:name="_Toc117494751"/>
      <w:bookmarkStart w:id="25" w:name="_Toc117494831"/>
      <w:bookmarkStart w:id="26" w:name="_Toc117508785"/>
      <w:bookmarkStart w:id="27" w:name="_Toc117510800"/>
      <w:bookmarkStart w:id="28" w:name="_Toc117578374"/>
      <w:bookmarkStart w:id="29" w:name="_Toc117598449"/>
      <w:bookmarkStart w:id="30" w:name="_Toc117258595"/>
      <w:r>
        <w:rPr>
          <w:rStyle w:val="CharSchNo"/>
        </w:rPr>
        <w:lastRenderedPageBreak/>
        <w:t>Schedule 1</w:t>
      </w:r>
      <w:r>
        <w:t> — </w:t>
      </w:r>
      <w:r>
        <w:rPr>
          <w:rStyle w:val="CharSchText"/>
        </w:rPr>
        <w:t>Scale of fees: medical specialists and other medical practitioners</w:t>
      </w:r>
      <w:bookmarkEnd w:id="17"/>
      <w:bookmarkEnd w:id="18"/>
      <w:bookmarkEnd w:id="19"/>
      <w:bookmarkEnd w:id="20"/>
      <w:bookmarkEnd w:id="21"/>
      <w:bookmarkEnd w:id="22"/>
      <w:bookmarkEnd w:id="23"/>
      <w:bookmarkEnd w:id="24"/>
      <w:bookmarkEnd w:id="25"/>
      <w:bookmarkEnd w:id="26"/>
      <w:bookmarkEnd w:id="27"/>
      <w:bookmarkEnd w:id="28"/>
      <w:bookmarkEnd w:id="29"/>
    </w:p>
    <w:p>
      <w:pPr>
        <w:pStyle w:val="yShoulderClause"/>
      </w:pPr>
      <w:r>
        <w:t>[r. 2]</w:t>
      </w:r>
    </w:p>
    <w:p>
      <w:pPr>
        <w:pStyle w:val="yFootnoteheading"/>
      </w:pPr>
      <w:bookmarkStart w:id="31" w:name="_Toc114056496"/>
      <w:bookmarkStart w:id="32" w:name="_Toc114060335"/>
      <w:bookmarkStart w:id="33" w:name="_Toc114215398"/>
      <w:bookmarkStart w:id="34" w:name="_Toc114215580"/>
      <w:bookmarkStart w:id="35" w:name="_Toc114217501"/>
      <w:bookmarkStart w:id="36" w:name="_Toc115774348"/>
      <w:r>
        <w:tab/>
        <w:t>[Heading inserted: SL 2022/164 r. 6.]</w:t>
      </w:r>
    </w:p>
    <w:p>
      <w:pPr>
        <w:pStyle w:val="yHeading3"/>
      </w:pPr>
      <w:bookmarkStart w:id="37" w:name="_Toc117494689"/>
      <w:bookmarkStart w:id="38" w:name="_Toc117494752"/>
      <w:bookmarkStart w:id="39" w:name="_Toc117494832"/>
      <w:bookmarkStart w:id="40" w:name="_Toc117508786"/>
      <w:bookmarkStart w:id="41" w:name="_Toc117510801"/>
      <w:bookmarkStart w:id="42" w:name="_Toc117578375"/>
      <w:bookmarkStart w:id="43" w:name="_Toc117598450"/>
      <w:r>
        <w:rPr>
          <w:rStyle w:val="CharSDivNo"/>
        </w:rPr>
        <w:t>Part 1</w:t>
      </w:r>
      <w:r>
        <w:t> — </w:t>
      </w:r>
      <w:r>
        <w:rPr>
          <w:rStyle w:val="CharSDivText"/>
        </w:rPr>
        <w:t>Medical specialists and other medical practitioners</w:t>
      </w:r>
      <w:bookmarkEnd w:id="31"/>
      <w:bookmarkEnd w:id="32"/>
      <w:bookmarkEnd w:id="33"/>
      <w:bookmarkEnd w:id="34"/>
      <w:bookmarkEnd w:id="35"/>
      <w:bookmarkEnd w:id="36"/>
      <w:bookmarkEnd w:id="37"/>
      <w:bookmarkEnd w:id="38"/>
      <w:bookmarkEnd w:id="39"/>
      <w:bookmarkEnd w:id="40"/>
      <w:bookmarkEnd w:id="41"/>
      <w:bookmarkEnd w:id="42"/>
      <w:bookmarkEnd w:id="43"/>
    </w:p>
    <w:p>
      <w:pPr>
        <w:pStyle w:val="yFootnoteheading"/>
      </w:pPr>
      <w:r>
        <w:tab/>
        <w:t>[Heading inserted: SL 2022/164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$83.45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$152.35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$234.00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$49.75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$64.80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$189.30</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$256.50</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$62.65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$227.80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$352.70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$99.10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$107.50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$166.55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$227.80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$104.35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$142.60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$211.60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$294.90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$125.10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$186.05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$285.45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$416.85</w:t>
            </w:r>
          </w:p>
        </w:tc>
      </w:tr>
    </w:tbl>
    <w:p>
      <w:pPr>
        <w:pStyle w:val="yMiscellaneousHeading"/>
        <w:keepNext w:val="0"/>
        <w:jc w:val="left"/>
      </w:pPr>
      <w:r>
        <w:lastRenderedPageBreak/>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$313.65</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$316.65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$158.35</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$218.65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$316.65</w:t>
            </w:r>
          </w:p>
        </w:tc>
      </w:tr>
      <w:t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lastRenderedPageBreak/>
              <w:t>first attendance</w:t>
            </w:r>
          </w:p>
        </w:tc>
        <w:tc>
          <w:tcPr>
            <w:tcW w:w="1134" w:type="dxa"/>
            <w:noWrap/>
            <w:vAlign w:val="bottom"/>
          </w:tcPr>
          <w:p>
            <w:pPr>
              <w:pStyle w:val="yTableNAm"/>
              <w:jc w:val="right"/>
            </w:pPr>
            <w: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$321.75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$379.00</w:t>
            </w:r>
          </w:p>
        </w:tc>
      </w:tr>
      <w:t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t>$107.05</w:t>
            </w:r>
          </w:p>
        </w:tc>
      </w:tr>
      <w:tr>
        <w:tc>
          <w:tcPr>
            <w:tcW w:w="5245" w:type="dxa"/>
            <w:noWrap/>
          </w:tcPr>
          <w:p>
            <w:pPr>
              <w:pStyle w:val="yTableNAm"/>
            </w:pPr>
            <w:r>
              <w:tab/>
              <w:t>more than 30 minutes</w:t>
            </w:r>
          </w:p>
        </w:tc>
        <w:tc>
          <w:tcPr>
            <w:tcW w:w="1134" w:type="dxa"/>
            <w:noWrap/>
            <w:vAlign w:val="bottom"/>
          </w:tcPr>
          <w:p>
            <w:pPr>
              <w:pStyle w:val="yTableNAm"/>
              <w:jc w:val="right"/>
            </w:pPr>
            <w: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jc w:val="left"/>
        <w:rPr>
          <w:b/>
          <w:i/>
        </w:rPr>
      </w:pPr>
      <w:r>
        <w:rPr>
          <w:b/>
          <w:i/>
        </w:rPr>
        <w:lastRenderedPageBreak/>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$92.90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$185.25</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$277.45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$371.25</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$420.10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$468.85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$246.15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$335.95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$429.75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$517.95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$123.30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$268.90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lastRenderedPageBreak/>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$154.70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$242.20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$154.35</w:t>
            </w:r>
          </w:p>
        </w:tc>
      </w:tr>
    </w:tbl>
    <w:p>
      <w:pPr>
        <w:pStyle w:val="yMiscellaneousHeading"/>
        <w:jc w:val="left"/>
      </w:pPr>
      <w:r>
        <w:lastRenderedPageBreak/>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$107.05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$93.60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lastRenderedPageBreak/>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lastRenderedPageBreak/>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44" w:name="_Toc114056497"/>
      <w:bookmarkStart w:id="45" w:name="_Toc114060336"/>
      <w:bookmarkStart w:id="46" w:name="_Toc114215399"/>
      <w:bookmarkStart w:id="47" w:name="_Toc114215581"/>
      <w:bookmarkStart w:id="48" w:name="_Toc114217502"/>
      <w:bookmarkStart w:id="49" w:name="_Toc115774349"/>
      <w:bookmarkStart w:id="50" w:name="_Toc117494690"/>
      <w:bookmarkStart w:id="51" w:name="_Toc117494753"/>
      <w:bookmarkStart w:id="52" w:name="_Toc117494833"/>
      <w:bookmarkStart w:id="53" w:name="_Toc117508787"/>
      <w:bookmarkStart w:id="54" w:name="_Toc117510802"/>
      <w:bookmarkStart w:id="55" w:name="_Toc117578376"/>
      <w:bookmarkStart w:id="56" w:name="_Toc117598451"/>
      <w:r>
        <w:t>Division 1 — Procedures</w:t>
      </w:r>
      <w:bookmarkEnd w:id="44"/>
      <w:bookmarkEnd w:id="45"/>
      <w:bookmarkEnd w:id="46"/>
      <w:bookmarkEnd w:id="47"/>
      <w:bookmarkEnd w:id="48"/>
      <w:bookmarkEnd w:id="49"/>
      <w:bookmarkEnd w:id="50"/>
      <w:bookmarkEnd w:id="51"/>
      <w:bookmarkEnd w:id="52"/>
      <w:bookmarkEnd w:id="53"/>
      <w:bookmarkEnd w:id="54"/>
      <w:bookmarkEnd w:id="55"/>
      <w:bookmarkEnd w:id="56"/>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lastRenderedPageBreak/>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incision and drainage of large haematoma, large abscess, cellulitis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lastRenderedPageBreak/>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lastRenderedPageBreak/>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lastRenderedPageBreak/>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lastRenderedPageBreak/>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lastRenderedPageBreak/>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lastRenderedPageBreak/>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lastRenderedPageBreak/>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lastRenderedPageBreak/>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lastRenderedPageBreak/>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lastRenderedPageBreak/>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57" w:name="_Toc114056498"/>
      <w:bookmarkStart w:id="58" w:name="_Toc114060337"/>
      <w:bookmarkStart w:id="59" w:name="_Toc114215400"/>
      <w:bookmarkStart w:id="60" w:name="_Toc114215582"/>
      <w:bookmarkStart w:id="61" w:name="_Toc114217503"/>
      <w:bookmarkStart w:id="62" w:name="_Toc115774350"/>
      <w:bookmarkStart w:id="63" w:name="_Toc117494691"/>
      <w:bookmarkStart w:id="64" w:name="_Toc117494754"/>
      <w:bookmarkStart w:id="65" w:name="_Toc117494834"/>
      <w:bookmarkStart w:id="66" w:name="_Toc117508788"/>
      <w:bookmarkStart w:id="67" w:name="_Toc117510803"/>
      <w:bookmarkStart w:id="68" w:name="_Toc117578377"/>
      <w:bookmarkStart w:id="69" w:name="_Toc117598452"/>
      <w:r>
        <w:t>Division 2 — Therapeutic and diagnostic services</w:t>
      </w:r>
      <w:bookmarkEnd w:id="57"/>
      <w:bookmarkEnd w:id="58"/>
      <w:bookmarkEnd w:id="59"/>
      <w:bookmarkEnd w:id="60"/>
      <w:bookmarkEnd w:id="61"/>
      <w:bookmarkEnd w:id="62"/>
      <w:bookmarkEnd w:id="63"/>
      <w:bookmarkEnd w:id="64"/>
      <w:bookmarkEnd w:id="65"/>
      <w:bookmarkEnd w:id="66"/>
      <w:bookmarkEnd w:id="67"/>
      <w:bookmarkEnd w:id="68"/>
      <w:bookmarkEnd w:id="69"/>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lastRenderedPageBreak/>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lastRenderedPageBreak/>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lastRenderedPageBreak/>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lastRenderedPageBreak/>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lastRenderedPageBreak/>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lastRenderedPageBreak/>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bookmarkStart w:id="70" w:name="_Toc114056499"/>
      <w:bookmarkStart w:id="71" w:name="_Toc114060338"/>
      <w:bookmarkStart w:id="72" w:name="_Toc114215401"/>
      <w:bookmarkStart w:id="73" w:name="_Toc114215583"/>
      <w:bookmarkStart w:id="74" w:name="_Toc114217504"/>
      <w:bookmarkStart w:id="75" w:name="_Toc115774351"/>
      <w:r>
        <w:tab/>
        <w:t>[Part 1 inserted: SL 2022/164 r. 6.]</w:t>
      </w:r>
    </w:p>
    <w:p>
      <w:pPr>
        <w:pStyle w:val="yHeading3"/>
      </w:pPr>
      <w:bookmarkStart w:id="76" w:name="_Toc117494692"/>
      <w:bookmarkStart w:id="77" w:name="_Toc117494755"/>
      <w:bookmarkStart w:id="78" w:name="_Toc117494835"/>
      <w:bookmarkStart w:id="79" w:name="_Toc117508789"/>
      <w:bookmarkStart w:id="80" w:name="_Toc117510804"/>
      <w:bookmarkStart w:id="81" w:name="_Toc117578378"/>
      <w:bookmarkStart w:id="82" w:name="_Toc117598453"/>
      <w:r>
        <w:rPr>
          <w:rStyle w:val="CharSDivNo"/>
        </w:rPr>
        <w:lastRenderedPageBreak/>
        <w:t>Part 2</w:t>
      </w:r>
      <w:r>
        <w:t> — </w:t>
      </w:r>
      <w:r>
        <w:rPr>
          <w:rStyle w:val="CharSDivText"/>
        </w:rPr>
        <w:t>Medical procedures</w:t>
      </w:r>
      <w:bookmarkEnd w:id="70"/>
      <w:bookmarkEnd w:id="71"/>
      <w:bookmarkEnd w:id="72"/>
      <w:bookmarkEnd w:id="73"/>
      <w:bookmarkEnd w:id="74"/>
      <w:bookmarkEnd w:id="75"/>
      <w:bookmarkEnd w:id="76"/>
      <w:bookmarkEnd w:id="77"/>
      <w:bookmarkEnd w:id="78"/>
      <w:bookmarkEnd w:id="79"/>
      <w:bookmarkEnd w:id="80"/>
      <w:bookmarkEnd w:id="81"/>
      <w:bookmarkEnd w:id="82"/>
    </w:p>
    <w:p>
      <w:pPr>
        <w:pStyle w:val="yFootnoteheading"/>
        <w:keepNext/>
      </w:pPr>
      <w:r>
        <w:tab/>
        <w:t>[Heading inserted: SL 2022/164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$69.55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Extensive burns</w:t>
            </w:r>
          </w:p>
        </w:tc>
        <w:tc>
          <w:tcPr>
            <w:tcW w:w="1134" w:type="dxa"/>
            <w:noWrap/>
            <w:vAlign w:val="bottom"/>
          </w:tcPr>
          <w:p>
            <w:pPr>
              <w:pStyle w:val="yTableNAm"/>
              <w:jc w:val="right"/>
            </w:pPr>
            <w:r>
              <w:t>$120.05</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$418.45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$92.25</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$494.55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$158.10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$177.80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$637.45</w:t>
            </w:r>
          </w:p>
        </w:tc>
      </w:tr>
      <w:tr>
        <w:trPr>
          <w:cantSplit/>
        </w:trPr>
        <w:tc>
          <w:tcPr>
            <w:tcW w:w="5670" w:type="dxa"/>
            <w:noWrap/>
          </w:tcPr>
          <w:p>
            <w:pPr>
              <w:pStyle w:val="yTableNAm"/>
            </w:pPr>
            <w:r>
              <w:lastRenderedPageBreak/>
              <w:t>Shoulder, other, with general anaesthetic</w:t>
            </w:r>
          </w:p>
        </w:tc>
        <w:tc>
          <w:tcPr>
            <w:tcW w:w="1134" w:type="dxa"/>
            <w:noWrap/>
            <w:vAlign w:val="bottom"/>
          </w:tcPr>
          <w:p>
            <w:pPr>
              <w:pStyle w:val="yTableNAm"/>
              <w:jc w:val="right"/>
            </w:pPr>
            <w:r>
              <w:t>$315.60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$213.05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$239.50</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$319.60</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$58.00</w:t>
            </w:r>
          </w:p>
        </w:tc>
      </w:tr>
      <w:tr>
        <w:trPr>
          <w:cantSplit/>
        </w:trPr>
        <w:tc>
          <w:tcPr>
            <w:tcW w:w="5670" w:type="dxa"/>
            <w:noWrap/>
          </w:tcPr>
          <w:p>
            <w:pPr>
              <w:pStyle w:val="yTableNAm"/>
            </w:pPr>
            <w:r>
              <w:tab/>
              <w:t>superficial</w:t>
            </w:r>
          </w:p>
        </w:tc>
        <w:tc>
          <w:tcPr>
            <w:tcW w:w="1134" w:type="dxa"/>
            <w:noWrap/>
            <w:vAlign w:val="bottom"/>
          </w:tcPr>
          <w:p>
            <w:pPr>
              <w:pStyle w:val="yTableNAm"/>
              <w:jc w:val="right"/>
            </w:pPr>
            <w:r>
              <w:t>$258.70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$722.90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$186.40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$186.40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$190.30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$1 065.20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$475.45</w:t>
            </w:r>
          </w:p>
        </w:tc>
      </w:tr>
      <w:tr>
        <w:trPr>
          <w:cantSplit/>
        </w:trPr>
        <w:tc>
          <w:tcPr>
            <w:tcW w:w="5670" w:type="dxa"/>
            <w:noWrap/>
          </w:tcPr>
          <w:p>
            <w:pPr>
              <w:pStyle w:val="yTableNAm"/>
            </w:pPr>
            <w:r>
              <w:lastRenderedPageBreak/>
              <w:t>Carpus (excluding Scaphoid), by open reduction</w:t>
            </w:r>
          </w:p>
        </w:tc>
        <w:tc>
          <w:tcPr>
            <w:tcW w:w="1134" w:type="dxa"/>
            <w:noWrap/>
            <w:vAlign w:val="bottom"/>
          </w:tcPr>
          <w:p>
            <w:pPr>
              <w:pStyle w:val="yTableNAm"/>
              <w:jc w:val="right"/>
            </w:pPr>
            <w:r>
              <w:t>$665.65</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$266.35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$532.40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$1 065.20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$121.80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$960.65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$1 597.75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$2 139.95</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$190.30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$494.55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$144.60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$475.45</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$722.90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$836.95</w:t>
            </w:r>
          </w:p>
        </w:tc>
      </w:tr>
      <w:tr>
        <w:trPr>
          <w:cantSplit/>
        </w:trPr>
        <w:tc>
          <w:tcPr>
            <w:tcW w:w="5670" w:type="dxa"/>
            <w:noWrap/>
          </w:tcPr>
          <w:p>
            <w:pPr>
              <w:pStyle w:val="yTableNAm"/>
            </w:pPr>
            <w:r>
              <w:t>At shoulder</w:t>
            </w:r>
          </w:p>
        </w:tc>
        <w:tc>
          <w:tcPr>
            <w:tcW w:w="1134" w:type="dxa"/>
            <w:noWrap/>
            <w:vAlign w:val="bottom"/>
          </w:tcPr>
          <w:p>
            <w:pPr>
              <w:pStyle w:val="yTableNAm"/>
              <w:jc w:val="right"/>
            </w:pPr>
            <w:r>
              <w:t>$1 416.95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$2 815.05</w:t>
            </w:r>
          </w:p>
        </w:tc>
      </w:tr>
      <w:tr>
        <w:trPr>
          <w:cantSplit/>
        </w:trPr>
        <w:tc>
          <w:tcPr>
            <w:tcW w:w="5670" w:type="dxa"/>
            <w:noWrap/>
          </w:tcPr>
          <w:p>
            <w:pPr>
              <w:pStyle w:val="yTableNAm"/>
            </w:pPr>
            <w:r>
              <w:t>1 digit of foot</w:t>
            </w:r>
          </w:p>
        </w:tc>
        <w:tc>
          <w:tcPr>
            <w:tcW w:w="1134" w:type="dxa"/>
            <w:noWrap/>
            <w:vAlign w:val="bottom"/>
          </w:tcPr>
          <w:p>
            <w:pPr>
              <w:pStyle w:val="yTableNAm"/>
              <w:jc w:val="right"/>
            </w:pPr>
            <w:r>
              <w:t>$380.35</w:t>
            </w:r>
          </w:p>
        </w:tc>
      </w:tr>
      <w:tr>
        <w:trPr>
          <w:cantSplit/>
        </w:trPr>
        <w:tc>
          <w:tcPr>
            <w:tcW w:w="5670" w:type="dxa"/>
            <w:noWrap/>
          </w:tcPr>
          <w:p>
            <w:pPr>
              <w:pStyle w:val="yTableNAm"/>
            </w:pPr>
            <w:r>
              <w:lastRenderedPageBreak/>
              <w:t>2 digits of 1 foot</w:t>
            </w:r>
          </w:p>
        </w:tc>
        <w:tc>
          <w:tcPr>
            <w:tcW w:w="1134" w:type="dxa"/>
            <w:noWrap/>
            <w:vAlign w:val="bottom"/>
          </w:tcPr>
          <w:p>
            <w:pPr>
              <w:pStyle w:val="yTableNAm"/>
              <w:jc w:val="right"/>
            </w:pPr>
            <w:r>
              <w:t>$570.75</w:t>
            </w:r>
          </w:p>
        </w:tc>
      </w:tr>
      <w:tr>
        <w:trPr>
          <w:cantSplit/>
        </w:trPr>
        <w:tc>
          <w:tcPr>
            <w:tcW w:w="5670" w:type="dxa"/>
            <w:noWrap/>
          </w:tcPr>
          <w:p>
            <w:pPr>
              <w:pStyle w:val="yTableNAm"/>
            </w:pPr>
            <w:r>
              <w:t>3 digits of 1 foot</w:t>
            </w:r>
          </w:p>
        </w:tc>
        <w:tc>
          <w:tcPr>
            <w:tcW w:w="1134" w:type="dxa"/>
            <w:noWrap/>
            <w:vAlign w:val="bottom"/>
          </w:tcPr>
          <w:p>
            <w:pPr>
              <w:pStyle w:val="yTableNAm"/>
              <w:jc w:val="right"/>
            </w:pPr>
            <w:r>
              <w:t>$770.40</w:t>
            </w:r>
          </w:p>
        </w:tc>
      </w:tr>
      <w:tr>
        <w:trPr>
          <w:cantSplit/>
        </w:trPr>
        <w:tc>
          <w:tcPr>
            <w:tcW w:w="5670" w:type="dxa"/>
            <w:noWrap/>
          </w:tcPr>
          <w:p>
            <w:pPr>
              <w:pStyle w:val="yTableNAm"/>
            </w:pPr>
            <w:r>
              <w:t>4 digits of 1 foot</w:t>
            </w:r>
          </w:p>
        </w:tc>
        <w:tc>
          <w:tcPr>
            <w:tcW w:w="1134" w:type="dxa"/>
            <w:noWrap/>
            <w:vAlign w:val="bottom"/>
          </w:tcPr>
          <w:p>
            <w:pPr>
              <w:pStyle w:val="yTableNAm"/>
              <w:jc w:val="right"/>
            </w:pPr>
            <w:r>
              <w:t>$960.65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$1 150.75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$722.90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$1 236.50</w:t>
            </w:r>
          </w:p>
        </w:tc>
      </w:tr>
      <w:tr>
        <w:trPr>
          <w:cantSplit/>
        </w:trPr>
        <w:tc>
          <w:tcPr>
            <w:tcW w:w="5670" w:type="dxa"/>
            <w:noWrap/>
          </w:tcPr>
          <w:p>
            <w:pPr>
              <w:pStyle w:val="yTableNAm"/>
            </w:pPr>
            <w:r>
              <w:t>At hip</w:t>
            </w:r>
          </w:p>
        </w:tc>
        <w:tc>
          <w:tcPr>
            <w:tcW w:w="1134" w:type="dxa"/>
            <w:noWrap/>
            <w:vAlign w:val="bottom"/>
          </w:tcPr>
          <w:p>
            <w:pPr>
              <w:pStyle w:val="yTableNAm"/>
              <w:jc w:val="right"/>
            </w:pPr>
            <w:r>
              <w:t>$1 740.25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$239.50, whichever is greater.</w:t>
            </w:r>
          </w:p>
        </w:tc>
        <w:tc>
          <w:tcPr>
            <w:tcW w:w="1134" w:type="dxa"/>
            <w:tcBorders>
              <w:bottom w:val="single" w:sz="4" w:space="0" w:color="auto"/>
            </w:tcBorders>
            <w:noWrap/>
            <w:vAlign w:val="bottom"/>
          </w:tcPr>
          <w:p>
            <w:pPr>
              <w:pStyle w:val="yTableNAm"/>
              <w:jc w:val="right"/>
            </w:pPr>
          </w:p>
        </w:tc>
      </w:tr>
    </w:tbl>
    <w:p>
      <w:pPr>
        <w:pStyle w:val="yFootnotesection"/>
      </w:pPr>
      <w:bookmarkStart w:id="83" w:name="_Toc114056500"/>
      <w:bookmarkStart w:id="84" w:name="_Toc114060339"/>
      <w:bookmarkStart w:id="85" w:name="_Toc114215402"/>
      <w:bookmarkStart w:id="86" w:name="_Toc114215584"/>
      <w:bookmarkStart w:id="87" w:name="_Toc114217505"/>
      <w:bookmarkStart w:id="88" w:name="_Toc115774352"/>
      <w:r>
        <w:tab/>
        <w:t>[Part 2 inserted: SL 2022/164 r. 6.]</w:t>
      </w:r>
    </w:p>
    <w:p>
      <w:pPr>
        <w:pStyle w:val="yHeading3"/>
      </w:pPr>
      <w:bookmarkStart w:id="89" w:name="_Toc117494693"/>
      <w:bookmarkStart w:id="90" w:name="_Toc117494756"/>
      <w:bookmarkStart w:id="91" w:name="_Toc117494836"/>
      <w:bookmarkStart w:id="92" w:name="_Toc117508790"/>
      <w:bookmarkStart w:id="93" w:name="_Toc117510805"/>
      <w:bookmarkStart w:id="94" w:name="_Toc117578379"/>
      <w:bookmarkStart w:id="95" w:name="_Toc117598454"/>
      <w:r>
        <w:rPr>
          <w:rStyle w:val="CharSDivNo"/>
        </w:rPr>
        <w:t>Part 3</w:t>
      </w:r>
      <w:r>
        <w:t> — </w:t>
      </w:r>
      <w:r>
        <w:rPr>
          <w:rStyle w:val="CharSDivText"/>
        </w:rPr>
        <w:t>Diagnostic Imaging Services</w:t>
      </w:r>
      <w:bookmarkEnd w:id="83"/>
      <w:bookmarkEnd w:id="84"/>
      <w:bookmarkEnd w:id="85"/>
      <w:bookmarkEnd w:id="86"/>
      <w:bookmarkEnd w:id="87"/>
      <w:bookmarkEnd w:id="88"/>
      <w:bookmarkEnd w:id="89"/>
      <w:bookmarkEnd w:id="90"/>
      <w:bookmarkEnd w:id="91"/>
      <w:bookmarkEnd w:id="92"/>
      <w:bookmarkEnd w:id="93"/>
      <w:bookmarkEnd w:id="94"/>
      <w:bookmarkEnd w:id="95"/>
    </w:p>
    <w:p>
      <w:pPr>
        <w:pStyle w:val="yFootnoteheading"/>
      </w:pPr>
      <w:r>
        <w:tab/>
        <w:t>[Heading inserted: SL 2022/164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237.55</w:t>
            </w:r>
          </w:p>
        </w:tc>
      </w:tr>
      <w:tr>
        <w:tblPrEx>
          <w:tblCellMar>
            <w:left w:w="108" w:type="dxa"/>
            <w:right w:w="108" w:type="dxa"/>
          </w:tblCellMar>
        </w:tblPrEx>
        <w:trPr>
          <w:cantSplit/>
          <w:trHeight w:val="386"/>
          <w:jc w:val="center"/>
        </w:trPr>
        <w:tc>
          <w:tcPr>
            <w:tcW w:w="4535" w:type="dxa"/>
            <w:noWrap/>
            <w:vAlign w:val="bottom"/>
          </w:tcPr>
          <w:p>
            <w:pPr>
              <w:pStyle w:val="yTableNAm"/>
            </w:pPr>
            <w:r>
              <w:lastRenderedPageBreak/>
              <w:t>55037</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80.80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588.20</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363.10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755.00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55284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237.15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58.20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271.10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121.65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55764</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186.50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326.35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233.05</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80.80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382.40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494.35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568.70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660.60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lastRenderedPageBreak/>
              <w:t>56030</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660.60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451.20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666.95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639.80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240.10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578.55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784.25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396.10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56501</w:t>
            </w:r>
          </w:p>
        </w:tc>
        <w:tc>
          <w:tcPr>
            <w:tcW w:w="1134" w:type="dxa"/>
            <w:noWrap/>
            <w:vAlign w:val="bottom"/>
          </w:tcPr>
          <w:p>
            <w:pPr>
              <w:pStyle w:val="yTableNAm"/>
              <w:jc w:val="right"/>
            </w:pPr>
            <w:r>
              <w:t>755.00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915.05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1 098.30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915.25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1 113.40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304.30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921.75</w:t>
            </w:r>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111.95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57721</w:t>
            </w:r>
          </w:p>
        </w:tc>
        <w:tc>
          <w:tcPr>
            <w:tcW w:w="1134" w:type="dxa"/>
            <w:noWrap/>
            <w:vAlign w:val="bottom"/>
          </w:tcPr>
          <w:p>
            <w:pPr>
              <w:pStyle w:val="yTableNAm"/>
              <w:jc w:val="right"/>
            </w:pPr>
            <w:r>
              <w:t>224.75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220.25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90.85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58306</w:t>
            </w:r>
          </w:p>
        </w:tc>
        <w:tc>
          <w:tcPr>
            <w:tcW w:w="1134" w:type="dxa"/>
            <w:noWrap/>
            <w:vAlign w:val="bottom"/>
          </w:tcPr>
          <w:p>
            <w:pPr>
              <w:pStyle w:val="yTableNAm"/>
              <w:jc w:val="right"/>
            </w:pPr>
            <w:r>
              <w:t>202.30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127.95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357.55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343.25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313.15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80.80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203.60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313.65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306.35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173.10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465.70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443.85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315.45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59300</w:t>
            </w:r>
          </w:p>
        </w:tc>
        <w:tc>
          <w:tcPr>
            <w:tcW w:w="1134" w:type="dxa"/>
            <w:noWrap/>
            <w:vAlign w:val="bottom"/>
          </w:tcPr>
          <w:p>
            <w:pPr>
              <w:pStyle w:val="yTableNAm"/>
              <w:jc w:val="right"/>
            </w:pPr>
            <w:r>
              <w:t>202.75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197.05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118.80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106.60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257.50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304.95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512.95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243.90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315.15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496.75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303.30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381.25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60024</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326.55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144.50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223.95</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61109</w:t>
            </w:r>
          </w:p>
        </w:tc>
        <w:tc>
          <w:tcPr>
            <w:tcW w:w="1134" w:type="dxa"/>
            <w:noWrap/>
            <w:vAlign w:val="bottom"/>
          </w:tcPr>
          <w:p>
            <w:pPr>
              <w:pStyle w:val="yTableNAm"/>
              <w:jc w:val="right"/>
            </w:pPr>
            <w:r>
              <w:t>586.35</w:t>
            </w:r>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640.70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529.25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732.60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397.15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773.45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685.20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703.70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804.95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3 516.30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250.10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1 001.85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1 090.05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1 199.65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580.10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61387</w:t>
            </w:r>
          </w:p>
        </w:tc>
        <w:tc>
          <w:tcPr>
            <w:tcW w:w="1154" w:type="dxa"/>
            <w:noWrap/>
            <w:vAlign w:val="bottom"/>
          </w:tcPr>
          <w:p>
            <w:pPr>
              <w:pStyle w:val="yTableNAm"/>
              <w:jc w:val="right"/>
            </w:pPr>
            <w:r>
              <w:t>751.50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715.20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1 056.25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1 055.50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1 523.90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394.10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837.00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967.80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947.20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1 150.40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1 073.50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1 173.95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1 312.45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500.25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581.95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795.75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r>
              <w:t>693.45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897.85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61461</w:t>
            </w:r>
          </w:p>
        </w:tc>
        <w:tc>
          <w:tcPr>
            <w:tcW w:w="1154" w:type="dxa"/>
            <w:noWrap/>
            <w:vAlign w:val="bottom"/>
          </w:tcPr>
          <w:p>
            <w:pPr>
              <w:pStyle w:val="yTableNAm"/>
              <w:jc w:val="right"/>
            </w:pPr>
            <w:r>
              <w:t>920.65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227.30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674.90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1 743.05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441.35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1 135.95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1 135.95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129.90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389.90</w:t>
            </w:r>
          </w:p>
        </w:tc>
      </w:tr>
    </w:tbl>
    <w:p>
      <w:pPr>
        <w:pStyle w:val="yFootnotesection"/>
      </w:pPr>
      <w:bookmarkStart w:id="96" w:name="_Toc114056501"/>
      <w:bookmarkStart w:id="97" w:name="_Toc114060340"/>
      <w:bookmarkStart w:id="98" w:name="_Toc114215403"/>
      <w:bookmarkStart w:id="99" w:name="_Toc114215585"/>
      <w:bookmarkStart w:id="100" w:name="_Toc114217506"/>
      <w:bookmarkStart w:id="101" w:name="_Toc115774353"/>
      <w:r>
        <w:tab/>
        <w:t>[Part 3 inserted: SL 2022/164 r. 6.]</w:t>
      </w:r>
    </w:p>
    <w:p>
      <w:pPr>
        <w:pStyle w:val="yScheduleHeading"/>
      </w:pPr>
      <w:bookmarkStart w:id="102" w:name="_Toc117494694"/>
      <w:bookmarkStart w:id="103" w:name="_Toc117494757"/>
      <w:bookmarkStart w:id="104" w:name="_Toc117494837"/>
      <w:bookmarkStart w:id="105" w:name="_Toc117508791"/>
      <w:bookmarkStart w:id="106" w:name="_Toc117510806"/>
      <w:bookmarkStart w:id="107" w:name="_Toc117578380"/>
      <w:bookmarkStart w:id="108" w:name="_Toc117598455"/>
      <w:r>
        <w:rPr>
          <w:rStyle w:val="CharSchNo"/>
        </w:rPr>
        <w:lastRenderedPageBreak/>
        <w:t>Schedule 2</w:t>
      </w:r>
      <w:r>
        <w:t> — </w:t>
      </w:r>
      <w:r>
        <w:rPr>
          <w:rStyle w:val="CharSchText"/>
        </w:rPr>
        <w:t>Scale of fees: physiotherapists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ShoulderClause"/>
      </w:pPr>
      <w:r>
        <w:t>[r. 3]</w:t>
      </w:r>
    </w:p>
    <w:p>
      <w:pPr>
        <w:pStyle w:val="yFootnoteheading"/>
      </w:pPr>
      <w:bookmarkStart w:id="109" w:name="_Toc114056502"/>
      <w:bookmarkStart w:id="110" w:name="_Toc114060341"/>
      <w:bookmarkStart w:id="111" w:name="_Toc114215404"/>
      <w:bookmarkStart w:id="112" w:name="_Toc114215586"/>
      <w:bookmarkStart w:id="113" w:name="_Toc114217507"/>
      <w:bookmarkStart w:id="114" w:name="_Toc115774354"/>
      <w:r>
        <w:tab/>
        <w:t>[Heading inserted: SL 2022/164 r. 6.]</w:t>
      </w:r>
    </w:p>
    <w:p>
      <w:pPr>
        <w:pStyle w:val="yHeading3"/>
      </w:pPr>
      <w:bookmarkStart w:id="115" w:name="_Toc117494695"/>
      <w:bookmarkStart w:id="116" w:name="_Toc117494758"/>
      <w:bookmarkStart w:id="117" w:name="_Toc117494838"/>
      <w:bookmarkStart w:id="118" w:name="_Toc117508792"/>
      <w:bookmarkStart w:id="119" w:name="_Toc117510807"/>
      <w:bookmarkStart w:id="120" w:name="_Toc117578381"/>
      <w:bookmarkStart w:id="121" w:name="_Toc117598456"/>
      <w:r>
        <w:rPr>
          <w:rStyle w:val="CharSDivNo"/>
        </w:rPr>
        <w:t>Part 1</w:t>
      </w:r>
      <w:r>
        <w:t> — </w:t>
      </w:r>
      <w:r>
        <w:rPr>
          <w:rStyle w:val="CharS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$92.90</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$94.25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$169.50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22" w:name="_Toc114056503"/>
      <w:bookmarkStart w:id="123" w:name="_Toc114060342"/>
      <w:bookmarkStart w:id="124" w:name="_Toc114215405"/>
      <w:bookmarkStart w:id="125" w:name="_Toc114215587"/>
      <w:bookmarkStart w:id="126" w:name="_Toc114217508"/>
      <w:bookmarkStart w:id="127" w:name="_Toc115774355"/>
      <w:bookmarkStart w:id="128" w:name="_Toc117494696"/>
      <w:bookmarkStart w:id="129" w:name="_Toc117494759"/>
      <w:bookmarkStart w:id="130" w:name="_Toc117494839"/>
      <w:r>
        <w:tab/>
        <w:t>[Part 1 inserted: SL 2022/164 r. 6.]</w:t>
      </w:r>
    </w:p>
    <w:p>
      <w:pPr>
        <w:pStyle w:val="yHeading3"/>
      </w:pPr>
      <w:bookmarkStart w:id="131" w:name="_Toc117508793"/>
      <w:bookmarkStart w:id="132" w:name="_Toc117510808"/>
      <w:bookmarkStart w:id="133" w:name="_Toc117578382"/>
      <w:bookmarkStart w:id="134" w:name="_Toc117598457"/>
      <w:r>
        <w:rPr>
          <w:rStyle w:val="CharSDivNo"/>
        </w:rPr>
        <w:t>Part 2</w:t>
      </w:r>
      <w:r>
        <w:t> — </w:t>
      </w:r>
      <w:r>
        <w:rPr>
          <w:rStyle w:val="CharSDivText"/>
        </w:rPr>
        <w:t>Exercise based programs</w:t>
      </w:r>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$211.70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$211.70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$211.70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lastRenderedPageBreak/>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$211.70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$211.70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$211.70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35" w:name="_Toc114056504"/>
      <w:bookmarkStart w:id="136" w:name="_Toc114060343"/>
      <w:bookmarkStart w:id="137" w:name="_Toc114215406"/>
      <w:bookmarkStart w:id="138" w:name="_Toc114215588"/>
      <w:bookmarkStart w:id="139" w:name="_Toc114217509"/>
      <w:bookmarkStart w:id="140" w:name="_Toc115774356"/>
      <w:bookmarkStart w:id="141" w:name="_Toc117494697"/>
      <w:bookmarkStart w:id="142" w:name="_Toc117494760"/>
      <w:bookmarkStart w:id="143" w:name="_Toc117494840"/>
      <w:r>
        <w:tab/>
        <w:t>[Part 2 inserted: SL 2022/164 r. 6.]</w:t>
      </w:r>
    </w:p>
    <w:p>
      <w:pPr>
        <w:pStyle w:val="yScheduleHeading"/>
      </w:pPr>
      <w:bookmarkStart w:id="144" w:name="_Toc117508794"/>
      <w:bookmarkStart w:id="145" w:name="_Toc117510809"/>
      <w:bookmarkStart w:id="146" w:name="_Toc117578383"/>
      <w:bookmarkStart w:id="147" w:name="_Toc117598458"/>
      <w:r>
        <w:rPr>
          <w:rStyle w:val="CharSchNo"/>
        </w:rPr>
        <w:lastRenderedPageBreak/>
        <w:t>Schedule 3</w:t>
      </w:r>
      <w:r>
        <w:rPr>
          <w:rStyle w:val="CharSDivNo"/>
        </w:rPr>
        <w:t> </w:t>
      </w:r>
      <w:r>
        <w:t>—</w:t>
      </w:r>
      <w:r>
        <w:rPr>
          <w:rStyle w:val="CharSDivText"/>
        </w:rPr>
        <w:t> </w:t>
      </w:r>
      <w:r>
        <w:rPr>
          <w:rStyle w:val="CharSchText"/>
        </w:rPr>
        <w:t>Scale of fees: chiropractors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4]</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$73.35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$61.20</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$145.80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$218.95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bookmarkStart w:id="148" w:name="_Toc114056505"/>
      <w:bookmarkStart w:id="149" w:name="_Toc114060344"/>
      <w:bookmarkStart w:id="150" w:name="_Toc114215407"/>
      <w:bookmarkStart w:id="151" w:name="_Toc114215589"/>
      <w:bookmarkStart w:id="152" w:name="_Toc114217510"/>
      <w:bookmarkStart w:id="153" w:name="_Toc115774357"/>
      <w:bookmarkStart w:id="154" w:name="_Toc117494698"/>
      <w:bookmarkStart w:id="155" w:name="_Toc117494761"/>
      <w:bookmarkStart w:id="156" w:name="_Toc117494841"/>
      <w:r>
        <w:tab/>
        <w:t>[Schedule 3 inserted: SL 2022/164 r. 6.]</w:t>
      </w:r>
    </w:p>
    <w:p>
      <w:pPr>
        <w:pStyle w:val="yScheduleHeading"/>
      </w:pPr>
      <w:bookmarkStart w:id="157" w:name="_Toc117508795"/>
      <w:bookmarkStart w:id="158" w:name="_Toc117510810"/>
      <w:bookmarkStart w:id="159" w:name="_Toc117578384"/>
      <w:bookmarkStart w:id="160" w:name="_Toc117598459"/>
      <w:r>
        <w:rPr>
          <w:rStyle w:val="CharSchNo"/>
        </w:rPr>
        <w:lastRenderedPageBreak/>
        <w:t>Schedule 4</w:t>
      </w:r>
      <w:r>
        <w:rPr>
          <w:rStyle w:val="CharSDivNo"/>
        </w:rPr>
        <w:t> </w:t>
      </w:r>
      <w:r>
        <w:t>—</w:t>
      </w:r>
      <w:r>
        <w:rPr>
          <w:rStyle w:val="CharSDivText"/>
        </w:rPr>
        <w:t> </w:t>
      </w:r>
      <w:r>
        <w:rPr>
          <w:rStyle w:val="CharSchText"/>
        </w:rPr>
        <w:t>Scale of fees: occupational therapists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5]</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$31.55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$63.50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$104.70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$157.00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$209.55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$68.80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$209.55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$92.90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61" w:name="_Toc114056506"/>
      <w:bookmarkStart w:id="162" w:name="_Toc114060345"/>
      <w:bookmarkStart w:id="163" w:name="_Toc114215408"/>
      <w:bookmarkStart w:id="164" w:name="_Toc114215590"/>
      <w:bookmarkStart w:id="165" w:name="_Toc114217511"/>
      <w:bookmarkStart w:id="166" w:name="_Toc115774358"/>
      <w:bookmarkStart w:id="167" w:name="_Toc117494699"/>
      <w:bookmarkStart w:id="168" w:name="_Toc117494762"/>
      <w:bookmarkStart w:id="169" w:name="_Toc117494842"/>
      <w:r>
        <w:tab/>
        <w:t>[Schedule 4 inserted: SL 2022/164 r. 6.]</w:t>
      </w:r>
    </w:p>
    <w:p>
      <w:pPr>
        <w:pStyle w:val="yScheduleHeading"/>
      </w:pPr>
      <w:bookmarkStart w:id="170" w:name="_Toc117508796"/>
      <w:bookmarkStart w:id="171" w:name="_Toc117510811"/>
      <w:bookmarkStart w:id="172" w:name="_Toc117578385"/>
      <w:bookmarkStart w:id="173" w:name="_Toc117598460"/>
      <w:r>
        <w:rPr>
          <w:rStyle w:val="CharSchNo"/>
        </w:rPr>
        <w:lastRenderedPageBreak/>
        <w:t>Schedule 5</w:t>
      </w:r>
      <w:r>
        <w:rPr>
          <w:rStyle w:val="CharSDivNo"/>
        </w:rPr>
        <w:t> </w:t>
      </w:r>
      <w:r>
        <w:t>—</w:t>
      </w:r>
      <w:r>
        <w:rPr>
          <w:rStyle w:val="CharSDivText"/>
        </w:rPr>
        <w:t> </w:t>
      </w:r>
      <w:r>
        <w:rPr>
          <w:rStyle w:val="CharSchText"/>
        </w:rPr>
        <w:t>Scale of fees: speech pathologists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7]</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$193.55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$250.65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$84.40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$109.65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$147.95</w:t>
            </w:r>
          </w:p>
        </w:tc>
      </w:tr>
    </w:tbl>
    <w:p>
      <w:pPr>
        <w:pStyle w:val="yFootnotesection"/>
      </w:pPr>
      <w:bookmarkStart w:id="174" w:name="_Toc114056507"/>
      <w:bookmarkStart w:id="175" w:name="_Toc114060346"/>
      <w:bookmarkStart w:id="176" w:name="_Toc114215409"/>
      <w:bookmarkStart w:id="177" w:name="_Toc114215591"/>
      <w:bookmarkStart w:id="178" w:name="_Toc114217512"/>
      <w:bookmarkStart w:id="179" w:name="_Toc115774359"/>
      <w:bookmarkStart w:id="180" w:name="_Toc117494700"/>
      <w:bookmarkStart w:id="181" w:name="_Toc117494763"/>
      <w:bookmarkStart w:id="182" w:name="_Toc117494843"/>
      <w:r>
        <w:tab/>
        <w:t>[Schedule 5 inserted: SL 2022/164 r. 6.]</w:t>
      </w:r>
    </w:p>
    <w:p>
      <w:pPr>
        <w:pStyle w:val="yScheduleHeading"/>
      </w:pPr>
      <w:bookmarkStart w:id="183" w:name="_Toc117508797"/>
      <w:bookmarkStart w:id="184" w:name="_Toc117510812"/>
      <w:bookmarkStart w:id="185" w:name="_Toc117578386"/>
      <w:bookmarkStart w:id="186" w:name="_Toc117598461"/>
      <w:r>
        <w:rPr>
          <w:rStyle w:val="CharSchNo"/>
        </w:rPr>
        <w:lastRenderedPageBreak/>
        <w:t>Schedule 5A</w:t>
      </w:r>
      <w:r>
        <w:rPr>
          <w:rStyle w:val="CharSDivNo"/>
        </w:rPr>
        <w:t> </w:t>
      </w:r>
      <w:r>
        <w:t>—</w:t>
      </w:r>
      <w:r>
        <w:rPr>
          <w:rStyle w:val="CharSDivText"/>
        </w:rPr>
        <w:t> </w:t>
      </w:r>
      <w:r>
        <w:rPr>
          <w:rStyle w:val="CharSchText"/>
        </w:rPr>
        <w:t>Scale of fees: exercise physiologists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pPr>
      <w:r>
        <w:t>[r. 7B]</w:t>
      </w:r>
    </w:p>
    <w:p>
      <w:pPr>
        <w:pStyle w:val="yFootnoteheading"/>
      </w:pPr>
      <w:r>
        <w:tab/>
        <w:t>[Heading inserted: SL 2022/164 r. 6.]</w:t>
      </w:r>
    </w:p>
    <w:p>
      <w:pPr>
        <w:pStyle w:val="yHeading3"/>
      </w:pPr>
      <w:bookmarkStart w:id="187" w:name="_Toc114056508"/>
      <w:bookmarkStart w:id="188" w:name="_Toc114060347"/>
      <w:bookmarkStart w:id="189" w:name="_Toc114215410"/>
      <w:bookmarkStart w:id="190" w:name="_Toc114215592"/>
      <w:bookmarkStart w:id="191" w:name="_Toc114217513"/>
      <w:bookmarkStart w:id="192" w:name="_Toc115774360"/>
      <w:bookmarkStart w:id="193" w:name="_Toc117494701"/>
      <w:bookmarkStart w:id="194" w:name="_Toc117494764"/>
      <w:bookmarkStart w:id="195" w:name="_Toc117494844"/>
      <w:bookmarkStart w:id="196" w:name="_Toc117508798"/>
      <w:bookmarkStart w:id="197" w:name="_Toc117510813"/>
      <w:bookmarkStart w:id="198" w:name="_Toc117578387"/>
      <w:bookmarkStart w:id="199" w:name="_Toc117598462"/>
      <w:r>
        <w:t>Exercise</w:t>
      </w:r>
      <w:r>
        <w:noBreakHyphen/>
        <w:t>based programs</w:t>
      </w:r>
      <w:bookmarkEnd w:id="187"/>
      <w:bookmarkEnd w:id="188"/>
      <w:bookmarkEnd w:id="189"/>
      <w:bookmarkEnd w:id="190"/>
      <w:bookmarkEnd w:id="191"/>
      <w:bookmarkEnd w:id="192"/>
      <w:bookmarkEnd w:id="193"/>
      <w:bookmarkEnd w:id="194"/>
      <w:bookmarkEnd w:id="195"/>
      <w:bookmarkEnd w:id="196"/>
      <w:bookmarkEnd w:id="197"/>
      <w:bookmarkEnd w:id="198"/>
      <w:bookmarkEnd w:id="19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$211.70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lastRenderedPageBreak/>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$211.70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lastRenderedPageBreak/>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992" w:type="dxa"/>
            <w:tcBorders>
              <w:top w:val="single" w:sz="4" w:space="0" w:color="auto"/>
              <w:bottom w:val="single" w:sz="4" w:space="0" w:color="auto"/>
            </w:tcBorders>
            <w:noWrap/>
          </w:tcPr>
          <w:p>
            <w:pPr>
              <w:pStyle w:val="yTableNAm"/>
            </w:pPr>
            <w:r>
              <w:lastRenderedPageBreak/>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$211.70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200" w:name="_Toc114056509"/>
      <w:bookmarkStart w:id="201" w:name="_Toc114060348"/>
      <w:bookmarkStart w:id="202" w:name="_Toc114215411"/>
      <w:bookmarkStart w:id="203" w:name="_Toc114215593"/>
      <w:bookmarkStart w:id="204" w:name="_Toc114217514"/>
      <w:bookmarkStart w:id="205" w:name="_Toc115774361"/>
      <w:bookmarkStart w:id="206" w:name="_Toc117494702"/>
      <w:bookmarkStart w:id="207" w:name="_Toc117494765"/>
      <w:bookmarkStart w:id="208" w:name="_Toc117494845"/>
      <w:r>
        <w:tab/>
        <w:t>[Schedule 5A inserted: SL 2022/164 r. 6.]</w:t>
      </w:r>
    </w:p>
    <w:p>
      <w:pPr>
        <w:pStyle w:val="yScheduleHeading"/>
      </w:pPr>
      <w:bookmarkStart w:id="209" w:name="_Toc117508799"/>
      <w:bookmarkStart w:id="210" w:name="_Toc117510814"/>
      <w:bookmarkStart w:id="211" w:name="_Toc117578388"/>
      <w:bookmarkStart w:id="212" w:name="_Toc117598463"/>
      <w:r>
        <w:rPr>
          <w:rStyle w:val="CharSchNo"/>
        </w:rPr>
        <w:lastRenderedPageBreak/>
        <w:t>Schedule 6</w:t>
      </w:r>
      <w:r>
        <w:t> — </w:t>
      </w:r>
      <w:r>
        <w:rPr>
          <w:rStyle w:val="CharSchText"/>
        </w:rPr>
        <w:t>Scale of maximum fees: approved medical specialists</w:t>
      </w:r>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ShoulderClause"/>
      </w:pPr>
      <w:r>
        <w:t>[r. 9]</w:t>
      </w:r>
    </w:p>
    <w:p>
      <w:pPr>
        <w:pStyle w:val="yFootnoteheading"/>
      </w:pPr>
      <w:r>
        <w:tab/>
        <w:t>[Heading inserted: SL 2022/164 r. 6.]</w:t>
      </w:r>
    </w:p>
    <w:p>
      <w:pPr>
        <w:pStyle w:val="yHeading3"/>
      </w:pPr>
      <w:bookmarkStart w:id="213" w:name="_Toc114056510"/>
      <w:bookmarkStart w:id="214" w:name="_Toc114060349"/>
      <w:bookmarkStart w:id="215" w:name="_Toc114215412"/>
      <w:bookmarkStart w:id="216" w:name="_Toc114215594"/>
      <w:bookmarkStart w:id="217" w:name="_Toc114217515"/>
      <w:bookmarkStart w:id="218" w:name="_Toc115774362"/>
      <w:bookmarkStart w:id="219" w:name="_Toc117494703"/>
      <w:bookmarkStart w:id="220" w:name="_Toc117494766"/>
      <w:bookmarkStart w:id="221" w:name="_Toc117494846"/>
      <w:bookmarkStart w:id="222" w:name="_Toc117508800"/>
      <w:bookmarkStart w:id="223" w:name="_Toc117510815"/>
      <w:bookmarkStart w:id="224" w:name="_Toc117578389"/>
      <w:bookmarkStart w:id="225" w:name="_Toc117598464"/>
      <w:r>
        <w:rPr>
          <w:rStyle w:val="CharSDivNo"/>
        </w:rPr>
        <w:t>Part 1</w:t>
      </w:r>
      <w:r>
        <w:t> — </w:t>
      </w:r>
      <w:r>
        <w:rPr>
          <w:rStyle w:val="CharSDivText"/>
        </w:rPr>
        <w:t>Assessments</w:t>
      </w:r>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$1 785.30 (or, if an interpreter is present at the examination, $2 142.35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$3 570.30 (or, if an interpreter is present at the examination, $3 927.30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$714.05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$1 071.10 (or, if an interpreter is present at the examination, $1 428.25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$357.10</w:t>
            </w:r>
          </w:p>
        </w:tc>
      </w:tr>
    </w:tbl>
    <w:p>
      <w:pPr>
        <w:pStyle w:val="yFootnotesection"/>
      </w:pPr>
      <w:bookmarkStart w:id="226" w:name="_Toc114056511"/>
      <w:bookmarkStart w:id="227" w:name="_Toc114060350"/>
      <w:bookmarkStart w:id="228" w:name="_Toc114215413"/>
      <w:bookmarkStart w:id="229" w:name="_Toc114215595"/>
      <w:bookmarkStart w:id="230" w:name="_Toc114217516"/>
      <w:bookmarkStart w:id="231" w:name="_Toc115774363"/>
      <w:bookmarkStart w:id="232" w:name="_Toc117494704"/>
      <w:bookmarkStart w:id="233" w:name="_Toc117494767"/>
      <w:bookmarkStart w:id="234" w:name="_Toc117494847"/>
      <w:r>
        <w:tab/>
        <w:t>[Part 1 inserted: SL 2022/164 r. 6.]</w:t>
      </w:r>
    </w:p>
    <w:p>
      <w:pPr>
        <w:pStyle w:val="yHeading3"/>
      </w:pPr>
      <w:bookmarkStart w:id="235" w:name="_Toc117508801"/>
      <w:bookmarkStart w:id="236" w:name="_Toc117510816"/>
      <w:bookmarkStart w:id="237" w:name="_Toc117578390"/>
      <w:bookmarkStart w:id="238" w:name="_Toc117598465"/>
      <w:r>
        <w:rPr>
          <w:rStyle w:val="CharSDivNo"/>
        </w:rPr>
        <w:t>Part 2</w:t>
      </w:r>
      <w:r>
        <w:t> — </w:t>
      </w:r>
      <w:r>
        <w:rPr>
          <w:rStyle w:val="CharSDivText"/>
        </w:rPr>
        <w:t>Attempted assessments</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$714.05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bookmarkEnd w:id="3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0" w:name="_Toc117258612"/>
      <w:bookmarkStart w:id="241" w:name="_Toc117494705"/>
      <w:bookmarkStart w:id="242" w:name="_Toc117494768"/>
      <w:bookmarkStart w:id="243" w:name="_Toc117494848"/>
      <w:bookmarkStart w:id="244" w:name="_Toc117508802"/>
      <w:bookmarkStart w:id="245" w:name="_Toc117510817"/>
      <w:bookmarkStart w:id="246" w:name="_Toc117578391"/>
      <w:bookmarkStart w:id="247" w:name="_Toc117598466"/>
      <w:r>
        <w:lastRenderedPageBreak/>
        <w:t>Notes</w:t>
      </w:r>
      <w:bookmarkEnd w:id="240"/>
      <w:bookmarkEnd w:id="241"/>
      <w:bookmarkEnd w:id="242"/>
      <w:bookmarkEnd w:id="243"/>
      <w:bookmarkEnd w:id="244"/>
      <w:bookmarkEnd w:id="245"/>
      <w:bookmarkEnd w:id="246"/>
      <w:bookmarkEnd w:id="247"/>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w:t>
      </w:r>
    </w:p>
    <w:p>
      <w:pPr>
        <w:pStyle w:val="nHeading3"/>
      </w:pPr>
      <w:bookmarkStart w:id="248" w:name="_Toc117598467"/>
      <w:r>
        <w:t>Compilation table</w:t>
      </w:r>
      <w:bookmarkEnd w:id="2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 2022</w:t>
            </w:r>
          </w:p>
        </w:tc>
        <w:tc>
          <w:tcPr>
            <w:tcW w:w="1276" w:type="dxa"/>
            <w:tcBorders>
              <w:bottom w:val="single" w:sz="4" w:space="0" w:color="auto"/>
            </w:tcBorders>
          </w:tcPr>
          <w:p>
            <w:pPr>
              <w:pStyle w:val="nTable"/>
              <w:spacing w:after="40"/>
            </w:pPr>
            <w:r>
              <w:t>SL 2022/164 7 Oct 2022</w:t>
            </w:r>
          </w:p>
        </w:tc>
        <w:tc>
          <w:tcPr>
            <w:tcW w:w="2693" w:type="dxa"/>
            <w:tcBorders>
              <w:bottom w:val="single" w:sz="4" w:space="0" w:color="auto"/>
            </w:tcBorders>
          </w:tcPr>
          <w:p>
            <w:pPr>
              <w:pStyle w:val="nTable"/>
              <w:spacing w:after="40"/>
            </w:pPr>
            <w:r>
              <w:t>r. 1 and 2: 7 Oct 2022 (see r. 2(a));</w:t>
            </w:r>
            <w:r>
              <w:br/>
              <w:t>Regulations other than r. 1 and 2: 1 Nov 2022 (see r. 2(b))</w:t>
            </w:r>
          </w:p>
        </w:tc>
      </w:tr>
    </w:tbl>
    <w:p>
      <w:pPr>
        <w:pStyle w:val="nHeading3"/>
        <w:keepLines/>
      </w:pPr>
      <w:bookmarkStart w:id="249" w:name="_Toc117598468"/>
      <w:r>
        <w:lastRenderedPageBreak/>
        <w:t>Other notes</w:t>
      </w:r>
      <w:bookmarkEnd w:id="249"/>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251" w:name="_Toc117598469"/>
      <w:r>
        <w:rPr>
          <w:sz w:val="28"/>
        </w:rPr>
        <w:lastRenderedPageBreak/>
        <w:t>Defined terms</w:t>
      </w:r>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9" w:name="Schedule"/>
    <w:bookmarkEnd w:id="239"/>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2" w:name="DefinedTerms"/>
    <w:bookmarkEnd w:id="2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52734"/>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
    <w:name w:val="yFootnote"/>
    <w:basedOn w:val="yFootnoteheading"/>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B09F6-42AB-4138-A66B-E22D53C7A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13293</Words>
  <Characters>72452</Characters>
  <Application>Microsoft Office Word</Application>
  <DocSecurity>0</DocSecurity>
  <Lines>4261</Lines>
  <Paragraphs>3062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1998 - 05-t0-00</dc:title>
  <dc:subject/>
  <dc:creator/>
  <cp:keywords/>
  <dc:description/>
  <cp:lastModifiedBy>Master Repository Process</cp:lastModifiedBy>
  <cp:revision>4</cp:revision>
  <cp:lastPrinted>2022-10-24T00:18:00Z</cp:lastPrinted>
  <dcterms:created xsi:type="dcterms:W3CDTF">2022-10-31T06:38:00Z</dcterms:created>
  <dcterms:modified xsi:type="dcterms:W3CDTF">2022-10-31T06:38:00Z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01 Nov 2022</vt:lpwstr>
  </property>
  <property fmtid="{D5CDD505-2E9C-101B-9397-08002B2CF9AE}" pid="8" name="Suffix">
    <vt:lpwstr>05-t0-00</vt:lpwstr>
  </property>
  <property fmtid="{D5CDD505-2E9C-101B-9397-08002B2CF9AE}" pid="9" name="CommencementDate">
    <vt:lpwstr>20221101</vt:lpwstr>
  </property>
</Properties>
</file>