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Charitable Trusts Act 2022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Charitable Trusts Act 2022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Short title</w:t>
      </w:r>
      <w:r>
        <w:tab/>
      </w:r>
      <w:r>
        <w:fldChar w:fldCharType="begin"/>
      </w:r>
      <w:r>
        <w:instrText xml:space="preserve"> PAGEREF _Toc118271810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_Toc118271811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Act binds Crown</w:t>
      </w:r>
      <w:r>
        <w:tab/>
      </w:r>
      <w:r>
        <w:fldChar w:fldCharType="begin"/>
      </w:r>
      <w:r>
        <w:instrText xml:space="preserve"> PAGEREF _Toc118271812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Terms used</w:t>
      </w:r>
      <w:r>
        <w:tab/>
      </w:r>
      <w:r>
        <w:fldChar w:fldCharType="begin"/>
      </w:r>
      <w:r>
        <w:instrText xml:space="preserve"> PAGEREF _Toc118271813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_Toc118271815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_Toc118271816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after="48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-467995</wp:posOffset>
            </wp:positionV>
            <wp:extent cx="471600" cy="417600"/>
            <wp:effectExtent l="0" t="0" r="508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>
      <w:pPr>
        <w:pStyle w:val="NameofActReg"/>
      </w:pPr>
      <w:r>
        <w:t>Charitable Trusts Act 2022</w:t>
      </w:r>
    </w:p>
    <w:p>
      <w:pPr>
        <w:pStyle w:val="LongTitle"/>
      </w:pPr>
      <w:bookmarkStart w:id="3" w:name="BillCited"/>
      <w:bookmarkEnd w:id="3"/>
      <w:r>
        <w:t xml:space="preserve">An Act — </w:t>
      </w:r>
    </w:p>
    <w:p>
      <w:pPr>
        <w:pStyle w:val="LongTitle"/>
        <w:numPr>
          <w:ilvl w:val="0"/>
          <w:numId w:val="5"/>
        </w:numPr>
        <w:ind w:left="426"/>
      </w:pPr>
      <w:r>
        <w:t>to affect the law relating to charitable trusts; and</w:t>
      </w:r>
    </w:p>
    <w:p>
      <w:pPr>
        <w:pStyle w:val="LongTitle"/>
        <w:numPr>
          <w:ilvl w:val="0"/>
          <w:numId w:val="5"/>
        </w:numPr>
        <w:ind w:left="426"/>
      </w:pPr>
      <w:r>
        <w:t xml:space="preserve">to repeal the </w:t>
      </w:r>
      <w:r>
        <w:rPr>
          <w:i/>
        </w:rPr>
        <w:t>Charitable Trusts Act 1962</w:t>
      </w:r>
      <w:r>
        <w:t>; and</w:t>
      </w:r>
    </w:p>
    <w:p>
      <w:pPr>
        <w:pStyle w:val="LongTitle"/>
        <w:numPr>
          <w:ilvl w:val="0"/>
          <w:numId w:val="5"/>
        </w:numPr>
        <w:ind w:left="426"/>
      </w:pPr>
      <w:r>
        <w:t xml:space="preserve">to make a consequential amendment to the </w:t>
      </w:r>
      <w:r>
        <w:rPr>
          <w:i/>
        </w:rPr>
        <w:t>Freedom of Information Act 1992</w:t>
      </w:r>
      <w:r>
        <w:t>.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Heading2"/>
      </w:pPr>
      <w:bookmarkStart w:id="4" w:name="_Toc118212842"/>
      <w:bookmarkStart w:id="5" w:name="_Toc118212909"/>
      <w:bookmarkStart w:id="6" w:name="_Toc118213364"/>
      <w:bookmarkStart w:id="7" w:name="_Toc118215297"/>
      <w:bookmarkStart w:id="8" w:name="_Toc118215322"/>
      <w:bookmarkStart w:id="9" w:name="_Toc118271809"/>
      <w:r>
        <w:rPr>
          <w:rStyle w:val="CharPartNo"/>
        </w:rPr>
        <w:lastRenderedPageBreak/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4"/>
      <w:bookmarkEnd w:id="5"/>
      <w:bookmarkEnd w:id="6"/>
      <w:bookmarkEnd w:id="7"/>
      <w:bookmarkEnd w:id="8"/>
      <w:bookmarkEnd w:id="9"/>
    </w:p>
    <w:p>
      <w:pPr>
        <w:pStyle w:val="Heading5"/>
      </w:pPr>
      <w:bookmarkStart w:id="10" w:name="_Toc118271810"/>
      <w:r>
        <w:rPr>
          <w:rStyle w:val="CharSectno"/>
        </w:rPr>
        <w:t>1</w:t>
      </w:r>
      <w:r>
        <w:t>.</w:t>
      </w:r>
      <w:r>
        <w:tab/>
        <w:t>Short title</w:t>
      </w:r>
      <w:bookmarkEnd w:id="10"/>
    </w:p>
    <w:p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Charitable Trusts Act 2022</w:t>
      </w:r>
      <w:r>
        <w:t>.</w:t>
      </w:r>
    </w:p>
    <w:p>
      <w:pPr>
        <w:pStyle w:val="Heading5"/>
      </w:pPr>
      <w:bookmarkStart w:id="11" w:name="_Toc118271811"/>
      <w:r>
        <w:rPr>
          <w:rStyle w:val="CharSectno"/>
        </w:rPr>
        <w:t>2</w:t>
      </w:r>
      <w:r>
        <w:t>.</w:t>
      </w:r>
      <w:r>
        <w:tab/>
        <w:t>Commencement</w:t>
      </w:r>
      <w:bookmarkEnd w:id="11"/>
    </w:p>
    <w:p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as follows</w:t>
      </w:r>
      <w:r>
        <w:t> —</w:t>
      </w:r>
    </w:p>
    <w:p>
      <w:pPr>
        <w:pStyle w:val="Indenta"/>
      </w:pPr>
      <w:r>
        <w:tab/>
        <w:t>(a)</w:t>
      </w:r>
      <w:r>
        <w:tab/>
        <w:t>Part 1 — on the day on which this Act receives the Royal Assent;</w:t>
      </w:r>
    </w:p>
    <w:p>
      <w:pPr>
        <w:pStyle w:val="Indenta"/>
      </w:pPr>
      <w:r>
        <w:tab/>
        <w:t>(b)</w:t>
      </w:r>
      <w:r>
        <w:tab/>
        <w:t>the rest of the Act — on a day fixed by proclamation, and different days may be fixed for different provisions.</w:t>
      </w:r>
    </w:p>
    <w:p>
      <w:pPr>
        <w:pStyle w:val="Heading5"/>
      </w:pPr>
      <w:bookmarkStart w:id="12" w:name="_Toc118271812"/>
      <w:r>
        <w:rPr>
          <w:rStyle w:val="CharSectno"/>
        </w:rPr>
        <w:t>3</w:t>
      </w:r>
      <w:r>
        <w:t>.</w:t>
      </w:r>
      <w:r>
        <w:tab/>
        <w:t>Act binds Crown</w:t>
      </w:r>
      <w:bookmarkEnd w:id="12"/>
    </w:p>
    <w:p>
      <w:pPr>
        <w:pStyle w:val="Subsection"/>
      </w:pPr>
      <w:r>
        <w:tab/>
      </w:r>
      <w:r>
        <w:tab/>
        <w:t>This Act binds the Crown in right of Western Australia and, so far as the legislative power of the Parliament permits, the Crown in all its other capacities.</w:t>
      </w:r>
    </w:p>
    <w:p>
      <w:pPr>
        <w:pStyle w:val="Heading5"/>
      </w:pPr>
      <w:bookmarkStart w:id="13" w:name="_Toc118271813"/>
      <w:r>
        <w:rPr>
          <w:rStyle w:val="CharSectno"/>
        </w:rPr>
        <w:t>4</w:t>
      </w:r>
      <w:r>
        <w:t>.</w:t>
      </w:r>
      <w:r>
        <w:tab/>
        <w:t>Terms used</w:t>
      </w:r>
      <w:bookmarkEnd w:id="13"/>
    </w:p>
    <w:p>
      <w:pPr>
        <w:pStyle w:val="Subsection"/>
      </w:pPr>
      <w:r>
        <w:tab/>
      </w:r>
      <w:r>
        <w:tab/>
        <w:t xml:space="preserve">In this Act — </w:t>
      </w:r>
    </w:p>
    <w:p>
      <w:pPr>
        <w:pStyle w:val="Defstart"/>
      </w:pPr>
      <w:r>
        <w:tab/>
      </w:r>
      <w:r>
        <w:rPr>
          <w:rStyle w:val="CharDefText"/>
        </w:rPr>
        <w:t>administration</w:t>
      </w:r>
      <w:r>
        <w:t>, of a charitable trust or property held for a charitable purpose, includes management of the trust or property (as the case requires);</w:t>
      </w:r>
    </w:p>
    <w:p>
      <w:pPr>
        <w:pStyle w:val="Defstart"/>
      </w:pPr>
      <w:r>
        <w:tab/>
      </w:r>
      <w:r>
        <w:rPr>
          <w:rStyle w:val="CharDefText"/>
        </w:rPr>
        <w:t>approved scheme</w:t>
      </w:r>
      <w:r>
        <w:t xml:space="preserve"> means a scheme approved under Part 3;</w:t>
      </w:r>
    </w:p>
    <w:p>
      <w:pPr>
        <w:pStyle w:val="Defstart"/>
      </w:pPr>
      <w:r>
        <w:tab/>
      </w:r>
      <w:r>
        <w:rPr>
          <w:rStyle w:val="CharDefText"/>
        </w:rPr>
        <w:t>charitable purpose</w:t>
      </w:r>
      <w:r>
        <w:t xml:space="preserve"> — </w:t>
      </w:r>
    </w:p>
    <w:p>
      <w:pPr>
        <w:pStyle w:val="Defpara"/>
      </w:pPr>
      <w:r>
        <w:tab/>
        <w:t>(a)</w:t>
      </w:r>
      <w:r>
        <w:tab/>
        <w:t>means a purpose that is charitable under the law of this State; and</w:t>
      </w:r>
    </w:p>
    <w:p>
      <w:pPr>
        <w:pStyle w:val="Defpara"/>
      </w:pPr>
      <w:r>
        <w:tab/>
        <w:t>(b)</w:t>
      </w:r>
      <w:r>
        <w:tab/>
        <w:t xml:space="preserve">includes a charitable purpose as defined in the </w:t>
      </w:r>
      <w:r>
        <w:rPr>
          <w:i/>
        </w:rPr>
        <w:t>Charities Act 2013</w:t>
      </w:r>
      <w:r>
        <w:t xml:space="preserve"> (Commonwealth) section 12;</w:t>
      </w:r>
    </w:p>
    <w:p>
      <w:pPr>
        <w:pStyle w:val="Defstart"/>
      </w:pPr>
      <w:r>
        <w:tab/>
      </w:r>
      <w:r>
        <w:rPr>
          <w:rStyle w:val="CharDefText"/>
        </w:rPr>
        <w:t>charitable trust</w:t>
      </w:r>
      <w:r>
        <w:t xml:space="preserve"> means a trust for a charitable purpose;</w:t>
      </w:r>
    </w:p>
    <w:p>
      <w:pPr>
        <w:pStyle w:val="Defstart"/>
      </w:pPr>
      <w:r>
        <w:tab/>
      </w:r>
      <w:r>
        <w:rPr>
          <w:rStyle w:val="CharDefText"/>
        </w:rPr>
        <w:t>Court</w:t>
      </w:r>
      <w:r>
        <w:t xml:space="preserve"> means the Supreme Court;</w:t>
      </w:r>
    </w:p>
    <w:p>
      <w:pPr>
        <w:pStyle w:val="Defstart"/>
      </w:pPr>
      <w:r>
        <w:tab/>
      </w:r>
      <w:r>
        <w:rPr>
          <w:rStyle w:val="CharDefText"/>
        </w:rPr>
        <w:t>investigation</w:t>
      </w:r>
      <w:r>
        <w:t xml:space="preserve"> and </w:t>
      </w:r>
      <w:r>
        <w:rPr>
          <w:rStyle w:val="CharDefText"/>
        </w:rPr>
        <w:t>investigator</w:t>
      </w:r>
      <w:r>
        <w:t xml:space="preserve"> have the meanings given in section 32(1);</w:t>
      </w:r>
    </w:p>
    <w:p>
      <w:pPr>
        <w:pStyle w:val="Defstart"/>
      </w:pPr>
      <w:r>
        <w:lastRenderedPageBreak/>
        <w:tab/>
      </w:r>
      <w:r>
        <w:rPr>
          <w:rStyle w:val="CharDefText"/>
        </w:rPr>
        <w:t>involved in the administration</w:t>
      </w:r>
      <w:r>
        <w:t>, of a charitable trust or property held for a charitable purpose, means employed, engaged or otherwise concerned (including as trustee) in the administration of the charitable trust or property (as the case requires);</w:t>
      </w:r>
    </w:p>
    <w:p>
      <w:pPr>
        <w:pStyle w:val="Defstart"/>
      </w:pPr>
      <w:r>
        <w:tab/>
      </w:r>
      <w:r>
        <w:rPr>
          <w:rStyle w:val="CharDefText"/>
        </w:rPr>
        <w:t>property</w:t>
      </w:r>
      <w:r>
        <w:t xml:space="preserve"> — </w:t>
      </w:r>
    </w:p>
    <w:p>
      <w:pPr>
        <w:pStyle w:val="Defpara"/>
      </w:pPr>
      <w:r>
        <w:tab/>
        <w:t>(a)</w:t>
      </w:r>
      <w:r>
        <w:tab/>
        <w:t>means any real or personal property; and</w:t>
      </w:r>
    </w:p>
    <w:p>
      <w:pPr>
        <w:pStyle w:val="Defpara"/>
      </w:pPr>
      <w:r>
        <w:tab/>
        <w:t>(b)</w:t>
      </w:r>
      <w:r>
        <w:tab/>
        <w:t>includes money;</w:t>
      </w:r>
    </w:p>
    <w:p>
      <w:pPr>
        <w:pStyle w:val="Defstart"/>
      </w:pPr>
      <w:r>
        <w:tab/>
      </w:r>
      <w:r>
        <w:rPr>
          <w:rStyle w:val="CharDefText"/>
        </w:rPr>
        <w:t>property held for a charitable purpose</w:t>
      </w:r>
      <w:r>
        <w:t xml:space="preserve"> means property that is held on trust for, or is otherwise to be applied to, a charitable purpose.</w:t>
      </w:r>
    </w:p>
    <w:p>
      <w:pPr>
        <w:pStyle w:val="Ednotepart"/>
      </w:pPr>
      <w:r>
        <w:t>[Parts 2</w:t>
      </w:r>
      <w:r>
        <w:noBreakHyphen/>
        <w:t>8 have not come into operation.]</w:t>
      </w:r>
    </w:p>
    <w:p>
      <w:pPr>
        <w:pStyle w:val="Defstart"/>
      </w:pP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22671" cy="17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ubsection"/>
        <w:sectPr>
          <w:headerReference w:type="even" r:id="rId25"/>
          <w:headerReference w:type="default" r:id="rId26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>
      <w:pPr>
        <w:pStyle w:val="nHeading2"/>
      </w:pPr>
      <w:bookmarkStart w:id="14" w:name="_Toc118215302"/>
      <w:bookmarkStart w:id="15" w:name="_Toc118215327"/>
      <w:bookmarkStart w:id="16" w:name="_Toc118271814"/>
      <w:bookmarkStart w:id="17" w:name="_Toc118212908"/>
      <w:bookmarkStart w:id="18" w:name="_Toc118212975"/>
      <w:bookmarkStart w:id="19" w:name="_Toc118213430"/>
      <w:r>
        <w:lastRenderedPageBreak/>
        <w:t>Notes</w:t>
      </w:r>
      <w:bookmarkEnd w:id="14"/>
      <w:bookmarkEnd w:id="15"/>
      <w:bookmarkEnd w:id="16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Charitable Trusts Act 2022</w:t>
      </w:r>
      <w:r>
        <w:t>. For provisions that have come into operation see the compilation table. For provisions that have not yet come into operation see the uncommenced provisions table.</w:t>
      </w:r>
    </w:p>
    <w:p>
      <w:pPr>
        <w:pStyle w:val="nHeading3"/>
      </w:pPr>
      <w:bookmarkStart w:id="20" w:name="_Toc118271815"/>
      <w:r>
        <w:t>Compilation table</w:t>
      </w:r>
      <w:bookmarkEnd w:id="20"/>
    </w:p>
    <w:tbl>
      <w:tblPr>
        <w:tblW w:w="0" w:type="auto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2"/>
      </w:tblGrid>
      <w:tr>
        <w:trPr>
          <w:tblHeader/>
        </w:trPr>
        <w:tc>
          <w:tcPr>
            <w:tcW w:w="226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 year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226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 xml:space="preserve">Charitable Trusts Act 2022 </w:t>
            </w:r>
            <w:r>
              <w:rPr>
                <w:noProof/>
              </w:rPr>
              <w:t>Pt. 1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38 of 2022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1 Nov 2022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</w:pPr>
            <w:r>
              <w:t>1 Nov 2022 (see s. 2(a))</w:t>
            </w:r>
          </w:p>
        </w:tc>
      </w:tr>
    </w:tbl>
    <w:p>
      <w:pPr>
        <w:pStyle w:val="nHeading3"/>
      </w:pPr>
      <w:bookmarkStart w:id="21" w:name="_Toc118271816"/>
      <w:r>
        <w:t>Uncommenced provisions table</w:t>
      </w:r>
      <w:bookmarkEnd w:id="21"/>
    </w:p>
    <w:p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Acts as passed</w:t>
      </w:r>
      <w:r>
        <w:t xml:space="preserve"> on the WA Legislation website.</w:t>
      </w:r>
    </w:p>
    <w:tbl>
      <w:tblPr>
        <w:tblW w:w="7088" w:type="dxa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134"/>
        <w:gridCol w:w="2552"/>
      </w:tblGrid>
      <w:tr>
        <w:trPr>
          <w:tblHeader/>
        </w:trPr>
        <w:tc>
          <w:tcPr>
            <w:tcW w:w="226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 year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226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 xml:space="preserve">Charitable Trusts Act 2022 </w:t>
            </w:r>
            <w:r>
              <w:rPr>
                <w:noProof/>
              </w:rPr>
              <w:t>(other than Pt. 1)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38 of 2022</w:t>
            </w:r>
          </w:p>
        </w:tc>
        <w:tc>
          <w:tcPr>
            <w:tcW w:w="1134" w:type="dxa"/>
          </w:tcPr>
          <w:p>
            <w:pPr>
              <w:pStyle w:val="nTable"/>
              <w:spacing w:after="40"/>
            </w:pPr>
            <w:r>
              <w:t>1 Nov 2022</w:t>
            </w:r>
          </w:p>
        </w:tc>
        <w:tc>
          <w:tcPr>
            <w:tcW w:w="2552" w:type="dxa"/>
          </w:tcPr>
          <w:p>
            <w:pPr>
              <w:pStyle w:val="nTable"/>
              <w:spacing w:after="40"/>
            </w:pPr>
            <w:r>
              <w:t>To be proclaimed (see s. 2(b))</w:t>
            </w:r>
          </w:p>
        </w:tc>
      </w:tr>
    </w:tbl>
    <w:p>
      <w:pPr>
        <w:sectPr>
          <w:headerReference w:type="even" r:id="rId27"/>
          <w:headerReference w:type="default" r:id="rId28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3" w:name="_Toc118271817"/>
      <w:bookmarkEnd w:id="17"/>
      <w:bookmarkEnd w:id="18"/>
      <w:bookmarkEnd w:id="19"/>
      <w:r>
        <w:rPr>
          <w:sz w:val="28"/>
        </w:rPr>
        <w:lastRenderedPageBreak/>
        <w:t>Defined terms</w:t>
      </w:r>
      <w:bookmarkEnd w:id="23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administration</w:t>
      </w:r>
      <w:r>
        <w:tab/>
        <w:t>4</w:t>
      </w:r>
    </w:p>
    <w:p>
      <w:pPr>
        <w:pStyle w:val="DefinedTerms"/>
      </w:pPr>
      <w:r>
        <w:t>approved scheme</w:t>
      </w:r>
      <w:r>
        <w:tab/>
        <w:t>4</w:t>
      </w:r>
    </w:p>
    <w:p>
      <w:pPr>
        <w:pStyle w:val="DefinedTerms"/>
      </w:pPr>
      <w:r>
        <w:t>charitable purpose</w:t>
      </w:r>
      <w:r>
        <w:tab/>
        <w:t>4</w:t>
      </w:r>
    </w:p>
    <w:p>
      <w:pPr>
        <w:pStyle w:val="DefinedTerms"/>
      </w:pPr>
      <w:r>
        <w:t>charitable trust</w:t>
      </w:r>
      <w:r>
        <w:tab/>
        <w:t>4</w:t>
      </w:r>
    </w:p>
    <w:p>
      <w:pPr>
        <w:pStyle w:val="DefinedTerms"/>
      </w:pPr>
      <w:r>
        <w:t>Court</w:t>
      </w:r>
      <w:r>
        <w:tab/>
        <w:t>4</w:t>
      </w:r>
    </w:p>
    <w:p>
      <w:pPr>
        <w:pStyle w:val="DefinedTerms"/>
      </w:pPr>
      <w:r>
        <w:t>investigation</w:t>
      </w:r>
      <w:r>
        <w:tab/>
        <w:t>4</w:t>
      </w:r>
    </w:p>
    <w:p>
      <w:pPr>
        <w:pStyle w:val="DefinedTerms"/>
      </w:pPr>
      <w:r>
        <w:t>investigator</w:t>
      </w:r>
      <w:r>
        <w:tab/>
        <w:t>4</w:t>
      </w:r>
    </w:p>
    <w:p>
      <w:pPr>
        <w:pStyle w:val="DefinedTerms"/>
      </w:pPr>
      <w:r>
        <w:t>involved in the administration</w:t>
      </w:r>
      <w:r>
        <w:tab/>
        <w:t>4</w:t>
      </w:r>
    </w:p>
    <w:p>
      <w:pPr>
        <w:pStyle w:val="DefinedTerms"/>
      </w:pPr>
      <w:r>
        <w:t>property</w:t>
      </w:r>
      <w:r>
        <w:tab/>
        <w:t>4</w:t>
      </w:r>
    </w:p>
    <w:p>
      <w:pPr>
        <w:pStyle w:val="DefinedTerms"/>
      </w:pPr>
      <w:r>
        <w:t>property held for a charitable purpose</w:t>
      </w:r>
      <w:r>
        <w:tab/>
        <w:t>4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  <w:endnote w:type="continuationNotice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Nov 2022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64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2" w:name="Compilation"/>
    <w:bookmarkEnd w:id="2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4" w:name="DefinedTerms"/>
    <w:bookmarkEnd w:id="24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5" w:name="Coversheet"/>
    <w:bookmarkEnd w:id="2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Charitable Trusts Act 2022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1635DDF"/>
    <w:multiLevelType w:val="hybridMultilevel"/>
    <w:tmpl w:val="0DC0E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9"/>
  </w:num>
  <w:num w:numId="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21101163225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90125160012" w:val="UpdateStyles"/>
    <w:docVar w:name="WAFER_20190125160012_GUID" w:val="dc5d0076-61d2-4a5a-ade6-d09c39dd39b9"/>
    <w:docVar w:name="WAFER_20190213151032" w:val="UpdateStyles"/>
    <w:docVar w:name="WAFER_20190213151032_GUID" w:val="9dd68532-689a-40c0-9c87-5c2f321a3e4e"/>
    <w:docVar w:name="WAFER_20190227114526" w:val="UpdateStyles"/>
    <w:docVar w:name="WAFER_20190227114526_GUID" w:val="0e6e130b-18da-4239-84b5-f08b99a6e1c9"/>
    <w:docVar w:name="WAFER_20200207102225" w:val="UpdateStyles.ProcessFixes,UpdateStyles.ProcessFixes,RemoveIncorrectStyles.ProcessStyles,RemoveIncorrectStyles.ProcessStyles"/>
    <w:docVar w:name="WAFER_20200207102225_GUID" w:val="592fe921-7416-4a1a-b8d7-41a034b93757"/>
    <w:docVar w:name="WAFER_20210503112852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503112852_GUID" w:val="bebd4b7e-98c6-4b75-bb2c-6f874b8334ff"/>
    <w:docVar w:name="WAFER_2021051110512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511105127_GUID" w:val="7776712a-d865-4048-9c26-274943cb34af"/>
    <w:docVar w:name="WAFER_2022033111032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331110323_GUID" w:val="c38c8e79-faa7-4341-8eb2-694dfc4e1861"/>
    <w:docVar w:name="WAFER_20221101163225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"/>
    <w:docVar w:name="WAFER_20221101163225_GUID" w:val="a69be0bd-bf07-407a-a77f-090dbcc185c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2D054C-ADB7-4C42-89CC-D54C637E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3C6E-F61A-40EF-855B-E60110AB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3072</Characters>
  <Application>Microsoft Office Word</Application>
  <DocSecurity>0</DocSecurity>
  <Lines>139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3574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Charitable Trusts Act 2022 - 00-a0-00</dc:title>
  <dc:subject/>
  <dc:creator/>
  <cp:keywords/>
  <dc:description/>
  <cp:lastModifiedBy>Master Repository Process</cp:lastModifiedBy>
  <cp:revision>4</cp:revision>
  <cp:lastPrinted>2022-11-01T08:17:00Z</cp:lastPrinted>
  <dcterms:created xsi:type="dcterms:W3CDTF">2022-11-02T01:12:00Z</dcterms:created>
  <dcterms:modified xsi:type="dcterms:W3CDTF">2022-11-02T01:12:00Z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38 of 2022</vt:lpwstr>
  </property>
  <property fmtid="{D5CDD505-2E9C-101B-9397-08002B2CF9AE}" pid="3" name="DocumentType">
    <vt:lpwstr>Act</vt:lpwstr>
  </property>
  <property fmtid="{D5CDD505-2E9C-101B-9397-08002B2CF9AE}" pid="4" name="AsAtDate">
    <vt:lpwstr>01 Nov 2022</vt:lpwstr>
  </property>
  <property fmtid="{D5CDD505-2E9C-101B-9397-08002B2CF9AE}" pid="5" name="Suffix">
    <vt:lpwstr>00-a0-00</vt:lpwstr>
  </property>
  <property fmtid="{D5CDD505-2E9C-101B-9397-08002B2CF9AE}" pid="6" name="CommencementDate">
    <vt:lpwstr>20221101</vt:lpwstr>
  </property>
</Properties>
</file>