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(Functions and General)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_Toc118118162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_Toc118118163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1A — Local laws</w:t>
      </w:r>
    </w:p>
    <w:p>
      <w:pPr>
        <w:pStyle w:val="TOC8"/>
        <w:rPr>
          <w:rFonts w:asciiTheme="minorHAnsi" w:eastAsiaTheme="minorEastAsia" w:hAnsiTheme="minorHAnsi" w:cstheme="minorBidi"/>
          <w:szCs w:val="22"/>
        </w:rPr>
      </w:pPr>
      <w:r>
        <w:t>2A.</w:t>
      </w:r>
      <w:r>
        <w:tab/>
        <w:t>Matters about which local laws are not to be made (Act s. 3.5)</w:t>
      </w:r>
      <w:r>
        <w:tab/>
      </w:r>
      <w:r>
        <w:fldChar w:fldCharType="begin"/>
      </w:r>
      <w:r>
        <w:instrText xml:space="preserve"> PAGEREF _Toc118118165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Prescribed manner of giving notice of purpose and effect of proposed local law </w:t>
      </w:r>
      <w:r>
        <w:rPr>
          <w:snapToGrid w:val="0"/>
        </w:rPr>
        <w:t>(Act </w:t>
      </w:r>
      <w:r>
        <w:t>s. 3.12(2))</w:t>
      </w:r>
      <w:r>
        <w:tab/>
      </w:r>
      <w:r>
        <w:fldChar w:fldCharType="begin"/>
      </w:r>
      <w:r>
        <w:instrText xml:space="preserve"> PAGEREF _Toc118118166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Thoroughfares</w:t>
      </w:r>
    </w:p>
    <w:p>
      <w:pPr>
        <w:pStyle w:val="TOC8"/>
        <w:rPr>
          <w:rFonts w:asciiTheme="minorHAnsi" w:eastAsiaTheme="minorEastAsia" w:hAnsiTheme="minorHAnsi" w:cstheme="minorBidi"/>
          <w:szCs w:val="22"/>
        </w:rPr>
      </w:pPr>
      <w:r>
        <w:t>4</w:t>
      </w:r>
      <w:r>
        <w:rPr>
          <w:snapToGrid w:val="0"/>
        </w:rPr>
        <w:t>.</w:t>
      </w:r>
      <w:r>
        <w:rPr>
          <w:snapToGrid w:val="0"/>
        </w:rPr>
        <w:tab/>
        <w:t>Persons prescribed to be notified of road closure (Act s. 3.50)</w:t>
      </w:r>
      <w:r>
        <w:tab/>
      </w:r>
      <w:r>
        <w:fldChar w:fldCharType="begin"/>
      </w:r>
      <w:r>
        <w:instrText xml:space="preserve"> PAGEREF _Toc118118168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Persons prescribed to be notified of certain proposals (Act s. </w:t>
      </w:r>
      <w:r>
        <w:t>3</w:t>
      </w:r>
      <w:r>
        <w:rPr>
          <w:snapToGrid w:val="0"/>
        </w:rPr>
        <w:t xml:space="preserve">.51(1) </w:t>
      </w:r>
      <w:r>
        <w:rPr>
          <w:i/>
          <w:snapToGrid w:val="0"/>
        </w:rPr>
        <w:t>person having an interest</w:t>
      </w:r>
      <w:r>
        <w:rPr>
          <w:snapToGrid w:val="0"/>
        </w:rPr>
        <w:t>)</w:t>
      </w:r>
      <w:r>
        <w:tab/>
      </w:r>
      <w:r>
        <w:fldChar w:fldCharType="begin"/>
      </w:r>
      <w:r>
        <w:instrText xml:space="preserve"> PAGEREF _Toc118118169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Transitional provisions about road closures</w:t>
      </w:r>
      <w:r>
        <w:tab/>
      </w:r>
      <w:r>
        <w:fldChar w:fldCharType="begin"/>
      </w:r>
      <w:r>
        <w:instrText xml:space="preserve"> PAGEREF _Toc118118170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Commercial enterprises by local governments (s. 3.59)</w:t>
      </w:r>
    </w:p>
    <w:p>
      <w:pPr>
        <w:pStyle w:val="TOC8"/>
        <w:rPr>
          <w:rFonts w:asciiTheme="minorHAnsi" w:eastAsiaTheme="minorEastAsia" w:hAnsiTheme="minorHAnsi" w:cstheme="minorBidi"/>
          <w:szCs w:val="22"/>
        </w:rPr>
      </w:pPr>
      <w:r>
        <w:t>7.</w:t>
      </w:r>
      <w:r>
        <w:tab/>
        <w:t>Term used: major regional centre</w:t>
      </w:r>
      <w:r>
        <w:tab/>
      </w:r>
      <w:r>
        <w:fldChar w:fldCharType="begin"/>
      </w:r>
      <w:r>
        <w:instrText xml:space="preserve"> PAGEREF _Toc118118172 \h </w:instrText>
      </w:r>
      <w:r>
        <w:fldChar w:fldCharType="separate"/>
      </w:r>
      <w:r>
        <w:t>5</w:t>
      </w:r>
      <w:r>
        <w:fldChar w:fldCharType="end"/>
      </w:r>
    </w:p>
    <w:p>
      <w:pPr>
        <w:pStyle w:val="TOC8"/>
        <w:rPr>
          <w:rFonts w:asciiTheme="minorHAnsi" w:eastAsiaTheme="minorEastAsia" w:hAnsiTheme="minorHAnsi" w:cstheme="minorBidi"/>
          <w:szCs w:val="22"/>
        </w:rPr>
      </w:pPr>
      <w:r>
        <w:t>8A.</w:t>
      </w:r>
      <w:r>
        <w:tab/>
        <w:t xml:space="preserve">Amount prescribed for major land transactions; exempt land transactions prescribed </w:t>
      </w:r>
      <w:r>
        <w:rPr>
          <w:snapToGrid w:val="0"/>
        </w:rPr>
        <w:t>(Act </w:t>
      </w:r>
      <w:r>
        <w:t>s. 3.59)</w:t>
      </w:r>
      <w:r>
        <w:tab/>
      </w:r>
      <w:r>
        <w:fldChar w:fldCharType="begin"/>
      </w:r>
      <w:r>
        <w:instrText xml:space="preserve"> PAGEREF _Toc118118173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 land transactions prescribed (Act s. 3.59)</w:t>
      </w:r>
      <w:r>
        <w:tab/>
      </w:r>
      <w:r>
        <w:fldChar w:fldCharType="begin"/>
      </w:r>
      <w:r>
        <w:instrText xml:space="preserve"> PAGEREF _Toc118118174 \h </w:instrText>
      </w:r>
      <w:r>
        <w:fldChar w:fldCharType="separate"/>
      </w:r>
      <w:r>
        <w:t>6</w:t>
      </w:r>
      <w:r>
        <w:fldChar w:fldCharType="end"/>
      </w:r>
    </w:p>
    <w:p>
      <w:pPr>
        <w:pStyle w:val="TOC8"/>
        <w:rPr>
          <w:rFonts w:asciiTheme="minorHAnsi" w:eastAsiaTheme="minorEastAsia" w:hAnsiTheme="minorHAnsi" w:cstheme="minorBidi"/>
          <w:szCs w:val="22"/>
        </w:rPr>
      </w:pPr>
      <w:r>
        <w:lastRenderedPageBreak/>
        <w:t>9</w:t>
      </w:r>
      <w:r>
        <w:rPr>
          <w:snapToGrid w:val="0"/>
        </w:rPr>
        <w:t>.</w:t>
      </w:r>
      <w:r>
        <w:rPr>
          <w:snapToGrid w:val="0"/>
        </w:rPr>
        <w:tab/>
        <w:t>Amount prescribed for major trading undertakings; exempt trading undertakings prescribed (Act s. 3.59)</w:t>
      </w:r>
      <w:r>
        <w:tab/>
      </w:r>
      <w:r>
        <w:fldChar w:fldCharType="begin"/>
      </w:r>
      <w:r>
        <w:instrText xml:space="preserve"> PAGEREF _Toc118118175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plans for major trading undertaking and major land transaction, content of</w:t>
      </w:r>
      <w:r>
        <w:tab/>
      </w:r>
      <w:r>
        <w:fldChar w:fldCharType="begin"/>
      </w:r>
      <w:r>
        <w:instrText xml:space="preserve"> PAGEREF _Toc118118176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w:t>
      </w:r>
      <w:r>
        <w:rPr>
          <w:b w:val="0"/>
          <w:noProof/>
        </w:rPr>
        <w:t> </w:t>
      </w:r>
      <w:r>
        <w:rPr>
          <w:noProof/>
        </w:rPr>
        <w:t>—</w:t>
      </w:r>
      <w:r>
        <w:rPr>
          <w:b w:val="0"/>
          <w:noProof/>
        </w:rPr>
        <w:t> </w:t>
      </w:r>
      <w:r>
        <w:rPr>
          <w:noProof/>
        </w:rPr>
        <w:t>Provision of goods and services</w:t>
      </w:r>
    </w:p>
    <w:p>
      <w:pPr>
        <w:pStyle w:val="TOC4"/>
        <w:tabs>
          <w:tab w:val="right" w:leader="dot" w:pos="7077"/>
        </w:tabs>
        <w:rPr>
          <w:rFonts w:asciiTheme="minorHAnsi" w:eastAsiaTheme="minorEastAsia" w:hAnsiTheme="minorHAnsi" w:cstheme="minorBidi"/>
          <w:b w:val="0"/>
          <w:szCs w:val="22"/>
        </w:rPr>
      </w:pPr>
      <w:r>
        <w:t>Division 1 — Purchasing policies</w:t>
      </w:r>
    </w:p>
    <w:p>
      <w:pPr>
        <w:pStyle w:val="TOC8"/>
        <w:rPr>
          <w:rFonts w:asciiTheme="minorHAnsi" w:eastAsiaTheme="minorEastAsia" w:hAnsiTheme="minorHAnsi" w:cstheme="minorBidi"/>
          <w:szCs w:val="22"/>
        </w:rPr>
      </w:pPr>
      <w:r>
        <w:t>11A.</w:t>
      </w:r>
      <w:r>
        <w:tab/>
        <w:t>Purchasing policies for local governments</w:t>
      </w:r>
      <w:r>
        <w:tab/>
      </w:r>
      <w:r>
        <w:fldChar w:fldCharType="begin"/>
      </w:r>
      <w:r>
        <w:instrText xml:space="preserve"> PAGEREF _Toc118118179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Tenders for providing goods or services (s. 3.57)</w:t>
      </w:r>
    </w:p>
    <w:p>
      <w:pPr>
        <w:pStyle w:val="TOC8"/>
        <w:rPr>
          <w:rFonts w:asciiTheme="minorHAnsi" w:eastAsiaTheme="minorEastAsia" w:hAnsiTheme="minorHAnsi" w:cstheme="minorBidi"/>
          <w:szCs w:val="22"/>
        </w:rPr>
      </w:pPr>
      <w:r>
        <w:t>11</w:t>
      </w:r>
      <w:r>
        <w:rPr>
          <w:snapToGrid w:val="0"/>
        </w:rPr>
        <w:t>.</w:t>
      </w:r>
      <w:r>
        <w:rPr>
          <w:snapToGrid w:val="0"/>
        </w:rPr>
        <w:tab/>
        <w:t>When tenders have to be publicly invited</w:t>
      </w:r>
      <w:r>
        <w:tab/>
      </w:r>
      <w:r>
        <w:fldChar w:fldCharType="begin"/>
      </w:r>
      <w:r>
        <w:instrText xml:space="preserve"> PAGEREF _Toc118118181 \h </w:instrText>
      </w:r>
      <w:r>
        <w:fldChar w:fldCharType="separate"/>
      </w:r>
      <w:r>
        <w:t>11</w:t>
      </w:r>
      <w:r>
        <w:fldChar w:fldCharType="end"/>
      </w:r>
    </w:p>
    <w:p>
      <w:pPr>
        <w:pStyle w:val="TOC8"/>
        <w:rPr>
          <w:rFonts w:asciiTheme="minorHAnsi" w:eastAsiaTheme="minorEastAsia" w:hAnsiTheme="minorHAnsi" w:cstheme="minorBidi"/>
          <w:szCs w:val="22"/>
        </w:rPr>
      </w:pPr>
      <w:r>
        <w:t>12.</w:t>
      </w:r>
      <w:r>
        <w:tab/>
        <w:t>Anti</w:t>
      </w:r>
      <w:r>
        <w:noBreakHyphen/>
        <w:t>avoidance provision for r. 11(1)</w:t>
      </w:r>
      <w:r>
        <w:tab/>
      </w:r>
      <w:r>
        <w:fldChar w:fldCharType="begin"/>
      </w:r>
      <w:r>
        <w:instrText xml:space="preserve"> PAGEREF _Toc118118182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Requirements when local government invites tenders though not required to do so</w:t>
      </w:r>
      <w:r>
        <w:tab/>
      </w:r>
      <w:r>
        <w:fldChar w:fldCharType="begin"/>
      </w:r>
      <w:r>
        <w:instrText xml:space="preserve"> PAGEREF _Toc118118183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Publicly inviting tenders, requirements for</w:t>
      </w:r>
      <w:r>
        <w:tab/>
      </w:r>
      <w:r>
        <w:fldChar w:fldCharType="begin"/>
      </w:r>
      <w:r>
        <w:instrText xml:space="preserve"> PAGEREF _Toc118118184 \h </w:instrText>
      </w:r>
      <w:r>
        <w:fldChar w:fldCharType="separate"/>
      </w:r>
      <w:r>
        <w:t>16</w:t>
      </w:r>
      <w:r>
        <w:fldChar w:fldCharType="end"/>
      </w:r>
    </w:p>
    <w:p>
      <w:pPr>
        <w:pStyle w:val="TOC8"/>
        <w:rPr>
          <w:rFonts w:asciiTheme="minorHAnsi" w:eastAsiaTheme="minorEastAsia" w:hAnsiTheme="minorHAnsi" w:cstheme="minorBidi"/>
          <w:szCs w:val="22"/>
        </w:rPr>
      </w:pPr>
      <w:r>
        <w:t>15.</w:t>
      </w:r>
      <w:r>
        <w:tab/>
      </w:r>
      <w:r>
        <w:rPr>
          <w:snapToGrid w:val="0"/>
        </w:rPr>
        <w:t>Minimum time to be allowed for submitting tenders</w:t>
      </w:r>
      <w:r>
        <w:tab/>
      </w:r>
      <w:r>
        <w:fldChar w:fldCharType="begin"/>
      </w:r>
      <w:r>
        <w:instrText xml:space="preserve"> PAGEREF _Toc118118185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Receiving and opening tenders, procedure for</w:t>
      </w:r>
      <w:r>
        <w:tab/>
      </w:r>
      <w:r>
        <w:fldChar w:fldCharType="begin"/>
      </w:r>
      <w:r>
        <w:instrText xml:space="preserve"> PAGEREF _Toc118118186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Tenders register</w:t>
      </w:r>
      <w:r>
        <w:tab/>
      </w:r>
      <w:r>
        <w:fldChar w:fldCharType="begin"/>
      </w:r>
      <w:r>
        <w:instrText xml:space="preserve"> PAGEREF _Toc118118187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Rejecting and accepting tenders</w:t>
      </w:r>
      <w:r>
        <w:tab/>
      </w:r>
      <w:r>
        <w:fldChar w:fldCharType="begin"/>
      </w:r>
      <w:r>
        <w:instrText xml:space="preserve"> PAGEREF _Toc118118188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Tenderers to be notified of outcome</w:t>
      </w:r>
      <w:r>
        <w:tab/>
      </w:r>
      <w:r>
        <w:fldChar w:fldCharType="begin"/>
      </w:r>
      <w:r>
        <w:instrText xml:space="preserve"> PAGEREF _Toc118118189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Variation of requirements before entry into contract</w:t>
      </w:r>
      <w:r>
        <w:tab/>
      </w:r>
      <w:r>
        <w:fldChar w:fldCharType="begin"/>
      </w:r>
      <w:r>
        <w:instrText xml:space="preserve"> PAGEREF _Toc118118190 \h </w:instrText>
      </w:r>
      <w:r>
        <w:fldChar w:fldCharType="separate"/>
      </w:r>
      <w:r>
        <w:t>21</w:t>
      </w:r>
      <w:r>
        <w:fldChar w:fldCharType="end"/>
      </w:r>
    </w:p>
    <w:p>
      <w:pPr>
        <w:pStyle w:val="TOC8"/>
        <w:rPr>
          <w:rFonts w:asciiTheme="minorHAnsi" w:eastAsiaTheme="minorEastAsia" w:hAnsiTheme="minorHAnsi" w:cstheme="minorBidi"/>
          <w:szCs w:val="22"/>
        </w:rPr>
      </w:pPr>
      <w:r>
        <w:t>21A.</w:t>
      </w:r>
      <w:r>
        <w:tab/>
        <w:t>Varying a contract for the supply of goods or services</w:t>
      </w:r>
      <w:r>
        <w:tab/>
      </w:r>
      <w:r>
        <w:fldChar w:fldCharType="begin"/>
      </w:r>
      <w:r>
        <w:instrText xml:space="preserve"> PAGEREF _Toc118118191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Limiting who can tender, procedure for</w:t>
      </w:r>
      <w:r>
        <w:tab/>
      </w:r>
      <w:r>
        <w:fldChar w:fldCharType="begin"/>
      </w:r>
      <w:r>
        <w:instrText xml:space="preserve"> PAGEREF _Toc118118192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Minimum time to be allowed for submitting expressions of interest</w:t>
      </w:r>
      <w:r>
        <w:tab/>
      </w:r>
      <w:r>
        <w:fldChar w:fldCharType="begin"/>
      </w:r>
      <w:r>
        <w:instrText xml:space="preserve"> PAGEREF _Toc118118193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Rejecting and accepting expressions of interest to be acceptable tenderer</w:t>
      </w:r>
      <w:r>
        <w:tab/>
      </w:r>
      <w:r>
        <w:fldChar w:fldCharType="begin"/>
      </w:r>
      <w:r>
        <w:instrText xml:space="preserve"> PAGEREF _Toc118118194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People who submitted expression of interest to be notified of outcome</w:t>
      </w:r>
      <w:r>
        <w:tab/>
      </w:r>
      <w:r>
        <w:fldChar w:fldCharType="begin"/>
      </w:r>
      <w:r>
        <w:instrText xml:space="preserve"> PAGEREF _Toc118118195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Panels of pre</w:t>
      </w:r>
      <w:r>
        <w:noBreakHyphen/>
        <w:t>qualified suppliers</w:t>
      </w:r>
    </w:p>
    <w:p>
      <w:pPr>
        <w:pStyle w:val="TOC8"/>
        <w:rPr>
          <w:rFonts w:asciiTheme="minorHAnsi" w:eastAsiaTheme="minorEastAsia" w:hAnsiTheme="minorHAnsi" w:cstheme="minorBidi"/>
          <w:szCs w:val="22"/>
        </w:rPr>
      </w:pPr>
      <w:r>
        <w:t>24AA.</w:t>
      </w:r>
      <w:r>
        <w:tab/>
        <w:t>Terms used</w:t>
      </w:r>
      <w:r>
        <w:tab/>
      </w:r>
      <w:r>
        <w:fldChar w:fldCharType="begin"/>
      </w:r>
      <w:r>
        <w:instrText xml:space="preserve"> PAGEREF _Toc118118197 \h </w:instrText>
      </w:r>
      <w:r>
        <w:fldChar w:fldCharType="separate"/>
      </w:r>
      <w:r>
        <w:t>24</w:t>
      </w:r>
      <w:r>
        <w:fldChar w:fldCharType="end"/>
      </w:r>
    </w:p>
    <w:p>
      <w:pPr>
        <w:pStyle w:val="TOC8"/>
        <w:rPr>
          <w:rFonts w:asciiTheme="minorHAnsi" w:eastAsiaTheme="minorEastAsia" w:hAnsiTheme="minorHAnsi" w:cstheme="minorBidi"/>
          <w:szCs w:val="22"/>
        </w:rPr>
      </w:pPr>
      <w:r>
        <w:t>24AB.</w:t>
      </w:r>
      <w:r>
        <w:tab/>
        <w:t>Local government may establish panels of pre</w:t>
      </w:r>
      <w:r>
        <w:noBreakHyphen/>
        <w:t>qualified suppliers</w:t>
      </w:r>
      <w:r>
        <w:tab/>
      </w:r>
      <w:r>
        <w:fldChar w:fldCharType="begin"/>
      </w:r>
      <w:r>
        <w:instrText xml:space="preserve"> PAGEREF _Toc118118198 \h </w:instrText>
      </w:r>
      <w:r>
        <w:fldChar w:fldCharType="separate"/>
      </w:r>
      <w:r>
        <w:t>25</w:t>
      </w:r>
      <w:r>
        <w:fldChar w:fldCharType="end"/>
      </w:r>
    </w:p>
    <w:p>
      <w:pPr>
        <w:pStyle w:val="TOC8"/>
        <w:rPr>
          <w:rFonts w:asciiTheme="minorHAnsi" w:eastAsiaTheme="minorEastAsia" w:hAnsiTheme="minorHAnsi" w:cstheme="minorBidi"/>
          <w:szCs w:val="22"/>
        </w:rPr>
      </w:pPr>
      <w:r>
        <w:t>24AC.</w:t>
      </w:r>
      <w:r>
        <w:tab/>
        <w:t>Requirements before establishing panels of pre</w:t>
      </w:r>
      <w:r>
        <w:noBreakHyphen/>
        <w:t>qualified suppliers</w:t>
      </w:r>
      <w:r>
        <w:tab/>
      </w:r>
      <w:r>
        <w:fldChar w:fldCharType="begin"/>
      </w:r>
      <w:r>
        <w:instrText xml:space="preserve"> PAGEREF _Toc118118199 \h </w:instrText>
      </w:r>
      <w:r>
        <w:fldChar w:fldCharType="separate"/>
      </w:r>
      <w:r>
        <w:t>25</w:t>
      </w:r>
      <w:r>
        <w:fldChar w:fldCharType="end"/>
      </w:r>
    </w:p>
    <w:p>
      <w:pPr>
        <w:pStyle w:val="TOC8"/>
        <w:rPr>
          <w:rFonts w:asciiTheme="minorHAnsi" w:eastAsiaTheme="minorEastAsia" w:hAnsiTheme="minorHAnsi" w:cstheme="minorBidi"/>
          <w:szCs w:val="22"/>
        </w:rPr>
      </w:pPr>
      <w:r>
        <w:lastRenderedPageBreak/>
        <w:t>24AD.</w:t>
      </w:r>
      <w:r>
        <w:tab/>
        <w:t>Requirements when inviting persons to apply to join panel of pre</w:t>
      </w:r>
      <w:r>
        <w:noBreakHyphen/>
        <w:t>qualified suppliers</w:t>
      </w:r>
      <w:r>
        <w:tab/>
      </w:r>
      <w:r>
        <w:fldChar w:fldCharType="begin"/>
      </w:r>
      <w:r>
        <w:instrText xml:space="preserve"> PAGEREF _Toc118118200 \h </w:instrText>
      </w:r>
      <w:r>
        <w:fldChar w:fldCharType="separate"/>
      </w:r>
      <w:r>
        <w:t>26</w:t>
      </w:r>
      <w:r>
        <w:fldChar w:fldCharType="end"/>
      </w:r>
    </w:p>
    <w:p>
      <w:pPr>
        <w:pStyle w:val="TOC8"/>
        <w:rPr>
          <w:rFonts w:asciiTheme="minorHAnsi" w:eastAsiaTheme="minorEastAsia" w:hAnsiTheme="minorHAnsi" w:cstheme="minorBidi"/>
          <w:szCs w:val="22"/>
        </w:rPr>
      </w:pPr>
      <w:r>
        <w:t>24AE.</w:t>
      </w:r>
      <w:r>
        <w:tab/>
        <w:t>Minimum time to be allowed for submitting application to join panel of pre</w:t>
      </w:r>
      <w:r>
        <w:noBreakHyphen/>
        <w:t>qualified suppliers</w:t>
      </w:r>
      <w:r>
        <w:tab/>
      </w:r>
      <w:r>
        <w:fldChar w:fldCharType="begin"/>
      </w:r>
      <w:r>
        <w:instrText xml:space="preserve"> PAGEREF _Toc118118201 \h </w:instrText>
      </w:r>
      <w:r>
        <w:fldChar w:fldCharType="separate"/>
      </w:r>
      <w:r>
        <w:t>28</w:t>
      </w:r>
      <w:r>
        <w:fldChar w:fldCharType="end"/>
      </w:r>
    </w:p>
    <w:p>
      <w:pPr>
        <w:pStyle w:val="TOC8"/>
        <w:rPr>
          <w:rFonts w:asciiTheme="minorHAnsi" w:eastAsiaTheme="minorEastAsia" w:hAnsiTheme="minorHAnsi" w:cstheme="minorBidi"/>
          <w:szCs w:val="22"/>
        </w:rPr>
      </w:pPr>
      <w:r>
        <w:t>24AF.</w:t>
      </w:r>
      <w:r>
        <w:tab/>
        <w:t>Procedure for receiving and opening applications</w:t>
      </w:r>
      <w:r>
        <w:tab/>
      </w:r>
      <w:r>
        <w:fldChar w:fldCharType="begin"/>
      </w:r>
      <w:r>
        <w:instrText xml:space="preserve"> PAGEREF _Toc118118202 \h </w:instrText>
      </w:r>
      <w:r>
        <w:fldChar w:fldCharType="separate"/>
      </w:r>
      <w:r>
        <w:t>28</w:t>
      </w:r>
      <w:r>
        <w:fldChar w:fldCharType="end"/>
      </w:r>
    </w:p>
    <w:p>
      <w:pPr>
        <w:pStyle w:val="TOC8"/>
        <w:rPr>
          <w:rFonts w:asciiTheme="minorHAnsi" w:eastAsiaTheme="minorEastAsia" w:hAnsiTheme="minorHAnsi" w:cstheme="minorBidi"/>
          <w:szCs w:val="22"/>
        </w:rPr>
      </w:pPr>
      <w:r>
        <w:t>24AG.</w:t>
      </w:r>
      <w:r>
        <w:tab/>
        <w:t>Information about panels of pre</w:t>
      </w:r>
      <w:r>
        <w:noBreakHyphen/>
        <w:t>qualified suppliers to be included in tenders register</w:t>
      </w:r>
      <w:r>
        <w:tab/>
      </w:r>
      <w:r>
        <w:fldChar w:fldCharType="begin"/>
      </w:r>
      <w:r>
        <w:instrText xml:space="preserve"> PAGEREF _Toc118118203 \h </w:instrText>
      </w:r>
      <w:r>
        <w:fldChar w:fldCharType="separate"/>
      </w:r>
      <w:r>
        <w:t>28</w:t>
      </w:r>
      <w:r>
        <w:fldChar w:fldCharType="end"/>
      </w:r>
    </w:p>
    <w:p>
      <w:pPr>
        <w:pStyle w:val="TOC8"/>
        <w:rPr>
          <w:rFonts w:asciiTheme="minorHAnsi" w:eastAsiaTheme="minorEastAsia" w:hAnsiTheme="minorHAnsi" w:cstheme="minorBidi"/>
          <w:szCs w:val="22"/>
        </w:rPr>
      </w:pPr>
      <w:r>
        <w:t>24AH.</w:t>
      </w:r>
      <w:r>
        <w:tab/>
        <w:t>Rejecting and accepting applications to join panel of pre</w:t>
      </w:r>
      <w:r>
        <w:noBreakHyphen/>
        <w:t>qualified suppliers</w:t>
      </w:r>
      <w:r>
        <w:tab/>
      </w:r>
      <w:r>
        <w:fldChar w:fldCharType="begin"/>
      </w:r>
      <w:r>
        <w:instrText xml:space="preserve"> PAGEREF _Toc118118204 \h </w:instrText>
      </w:r>
      <w:r>
        <w:fldChar w:fldCharType="separate"/>
      </w:r>
      <w:r>
        <w:t>29</w:t>
      </w:r>
      <w:r>
        <w:fldChar w:fldCharType="end"/>
      </w:r>
    </w:p>
    <w:p>
      <w:pPr>
        <w:pStyle w:val="TOC8"/>
        <w:rPr>
          <w:rFonts w:asciiTheme="minorHAnsi" w:eastAsiaTheme="minorEastAsia" w:hAnsiTheme="minorHAnsi" w:cstheme="minorBidi"/>
          <w:szCs w:val="22"/>
        </w:rPr>
      </w:pPr>
      <w:r>
        <w:t>24AI.</w:t>
      </w:r>
      <w:r>
        <w:tab/>
        <w:t>Applicants to be notified of outcome</w:t>
      </w:r>
      <w:r>
        <w:tab/>
      </w:r>
      <w:r>
        <w:fldChar w:fldCharType="begin"/>
      </w:r>
      <w:r>
        <w:instrText xml:space="preserve"> PAGEREF _Toc118118205 \h </w:instrText>
      </w:r>
      <w:r>
        <w:fldChar w:fldCharType="separate"/>
      </w:r>
      <w:r>
        <w:t>29</w:t>
      </w:r>
      <w:r>
        <w:fldChar w:fldCharType="end"/>
      </w:r>
    </w:p>
    <w:p>
      <w:pPr>
        <w:pStyle w:val="TOC8"/>
        <w:rPr>
          <w:rFonts w:asciiTheme="minorHAnsi" w:eastAsiaTheme="minorEastAsia" w:hAnsiTheme="minorHAnsi" w:cstheme="minorBidi"/>
          <w:szCs w:val="22"/>
        </w:rPr>
      </w:pPr>
      <w:r>
        <w:t>24AJ.</w:t>
      </w:r>
      <w:r>
        <w:tab/>
        <w:t>Contracts with pre</w:t>
      </w:r>
      <w:r>
        <w:noBreakHyphen/>
        <w:t>qualified suppliers</w:t>
      </w:r>
      <w:r>
        <w:tab/>
      </w:r>
      <w:r>
        <w:fldChar w:fldCharType="begin"/>
      </w:r>
      <w:r>
        <w:instrText xml:space="preserve"> PAGEREF _Toc118118206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4A — Regional price preference</w:t>
      </w:r>
    </w:p>
    <w:p>
      <w:pPr>
        <w:pStyle w:val="TOC8"/>
        <w:rPr>
          <w:rFonts w:asciiTheme="minorHAnsi" w:eastAsiaTheme="minorEastAsia" w:hAnsiTheme="minorHAnsi" w:cstheme="minorBidi"/>
          <w:szCs w:val="22"/>
        </w:rPr>
      </w:pPr>
      <w:r>
        <w:t>24A.</w:t>
      </w:r>
      <w:r>
        <w:tab/>
        <w:t>Application of this Part</w:t>
      </w:r>
      <w:r>
        <w:tab/>
      </w:r>
      <w:r>
        <w:fldChar w:fldCharType="begin"/>
      </w:r>
      <w:r>
        <w:instrText xml:space="preserve"> PAGEREF _Toc118118208 \h </w:instrText>
      </w:r>
      <w:r>
        <w:fldChar w:fldCharType="separate"/>
      </w:r>
      <w:r>
        <w:t>31</w:t>
      </w:r>
      <w:r>
        <w:fldChar w:fldCharType="end"/>
      </w:r>
    </w:p>
    <w:p>
      <w:pPr>
        <w:pStyle w:val="TOC8"/>
        <w:rPr>
          <w:rFonts w:asciiTheme="minorHAnsi" w:eastAsiaTheme="minorEastAsia" w:hAnsiTheme="minorHAnsi" w:cstheme="minorBidi"/>
          <w:szCs w:val="22"/>
        </w:rPr>
      </w:pPr>
      <w:r>
        <w:t>24B.</w:t>
      </w:r>
      <w:r>
        <w:tab/>
        <w:t>Terms used</w:t>
      </w:r>
      <w:r>
        <w:tab/>
      </w:r>
      <w:r>
        <w:fldChar w:fldCharType="begin"/>
      </w:r>
      <w:r>
        <w:instrText xml:space="preserve"> PAGEREF _Toc118118209 \h </w:instrText>
      </w:r>
      <w:r>
        <w:fldChar w:fldCharType="separate"/>
      </w:r>
      <w:r>
        <w:t>31</w:t>
      </w:r>
      <w:r>
        <w:fldChar w:fldCharType="end"/>
      </w:r>
    </w:p>
    <w:p>
      <w:pPr>
        <w:pStyle w:val="TOC8"/>
        <w:rPr>
          <w:rFonts w:asciiTheme="minorHAnsi" w:eastAsiaTheme="minorEastAsia" w:hAnsiTheme="minorHAnsi" w:cstheme="minorBidi"/>
          <w:szCs w:val="22"/>
        </w:rPr>
      </w:pPr>
      <w:r>
        <w:t>24C.</w:t>
      </w:r>
      <w:r>
        <w:tab/>
        <w:t>Regional price preference may be given</w:t>
      </w:r>
      <w:r>
        <w:tab/>
      </w:r>
      <w:r>
        <w:fldChar w:fldCharType="begin"/>
      </w:r>
      <w:r>
        <w:instrText xml:space="preserve"> PAGEREF _Toc118118210 \h </w:instrText>
      </w:r>
      <w:r>
        <w:fldChar w:fldCharType="separate"/>
      </w:r>
      <w:r>
        <w:t>31</w:t>
      </w:r>
      <w:r>
        <w:fldChar w:fldCharType="end"/>
      </w:r>
    </w:p>
    <w:p>
      <w:pPr>
        <w:pStyle w:val="TOC8"/>
        <w:rPr>
          <w:rFonts w:asciiTheme="minorHAnsi" w:eastAsiaTheme="minorEastAsia" w:hAnsiTheme="minorHAnsi" w:cstheme="minorBidi"/>
          <w:szCs w:val="22"/>
        </w:rPr>
      </w:pPr>
      <w:r>
        <w:t>24D.</w:t>
      </w:r>
      <w:r>
        <w:tab/>
        <w:t>Discounts permitted for regional price preferences</w:t>
      </w:r>
      <w:r>
        <w:tab/>
      </w:r>
      <w:r>
        <w:fldChar w:fldCharType="begin"/>
      </w:r>
      <w:r>
        <w:instrText xml:space="preserve"> PAGEREF _Toc118118211 \h </w:instrText>
      </w:r>
      <w:r>
        <w:fldChar w:fldCharType="separate"/>
      </w:r>
      <w:r>
        <w:t>32</w:t>
      </w:r>
      <w:r>
        <w:fldChar w:fldCharType="end"/>
      </w:r>
    </w:p>
    <w:p>
      <w:pPr>
        <w:pStyle w:val="TOC8"/>
        <w:rPr>
          <w:rFonts w:asciiTheme="minorHAnsi" w:eastAsiaTheme="minorEastAsia" w:hAnsiTheme="minorHAnsi" w:cstheme="minorBidi"/>
          <w:szCs w:val="22"/>
        </w:rPr>
      </w:pPr>
      <w:r>
        <w:t>24E.</w:t>
      </w:r>
      <w:r>
        <w:tab/>
        <w:t>Regional price preference policies for local governments</w:t>
      </w:r>
      <w:r>
        <w:tab/>
      </w:r>
      <w:r>
        <w:fldChar w:fldCharType="begin"/>
      </w:r>
      <w:r>
        <w:instrText xml:space="preserve"> PAGEREF _Toc118118212 \h </w:instrText>
      </w:r>
      <w:r>
        <w:fldChar w:fldCharType="separate"/>
      </w:r>
      <w:r>
        <w:t>33</w:t>
      </w:r>
      <w:r>
        <w:fldChar w:fldCharType="end"/>
      </w:r>
    </w:p>
    <w:p>
      <w:pPr>
        <w:pStyle w:val="TOC8"/>
        <w:rPr>
          <w:rFonts w:asciiTheme="minorHAnsi" w:eastAsiaTheme="minorEastAsia" w:hAnsiTheme="minorHAnsi" w:cstheme="minorBidi"/>
          <w:szCs w:val="22"/>
        </w:rPr>
      </w:pPr>
      <w:r>
        <w:t>24F.</w:t>
      </w:r>
      <w:r>
        <w:tab/>
        <w:t>Adoption and notice of regional price preference policy</w:t>
      </w:r>
      <w:r>
        <w:tab/>
      </w:r>
      <w:r>
        <w:fldChar w:fldCharType="begin"/>
      </w:r>
      <w:r>
        <w:instrText xml:space="preserve"> PAGEREF _Toc118118213 \h </w:instrText>
      </w:r>
      <w:r>
        <w:fldChar w:fldCharType="separate"/>
      </w:r>
      <w:r>
        <w:t>34</w:t>
      </w:r>
      <w:r>
        <w:fldChar w:fldCharType="end"/>
      </w:r>
    </w:p>
    <w:p>
      <w:pPr>
        <w:pStyle w:val="TOC8"/>
        <w:rPr>
          <w:rFonts w:asciiTheme="minorHAnsi" w:eastAsiaTheme="minorEastAsia" w:hAnsiTheme="minorHAnsi" w:cstheme="minorBidi"/>
          <w:szCs w:val="22"/>
        </w:rPr>
      </w:pPr>
      <w:r>
        <w:t>24G.</w:t>
      </w:r>
      <w:r>
        <w:tab/>
        <w:t>Adopted regional price preference policy, effect of</w:t>
      </w:r>
      <w:r>
        <w:tab/>
      </w:r>
      <w:r>
        <w:fldChar w:fldCharType="begin"/>
      </w:r>
      <w:r>
        <w:instrText xml:space="preserve"> PAGEREF _Toc118118214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Owner onus and infringement notices</w:t>
      </w:r>
    </w:p>
    <w:p>
      <w:pPr>
        <w:pStyle w:val="TOC8"/>
        <w:rPr>
          <w:rFonts w:asciiTheme="minorHAnsi" w:eastAsiaTheme="minorEastAsia" w:hAnsiTheme="minorHAnsi" w:cstheme="minorBidi"/>
          <w:szCs w:val="22"/>
        </w:rPr>
      </w:pPr>
      <w:r>
        <w:t>25</w:t>
      </w:r>
      <w:r>
        <w:rPr>
          <w:snapToGrid w:val="0"/>
        </w:rPr>
        <w:t>.</w:t>
      </w:r>
      <w:r>
        <w:rPr>
          <w:snapToGrid w:val="0"/>
        </w:rPr>
        <w:tab/>
        <w:t>Notice to put onus on vehicle owner, form of (Act s. 9.13)</w:t>
      </w:r>
      <w:r>
        <w:tab/>
      </w:r>
      <w:r>
        <w:fldChar w:fldCharType="begin"/>
      </w:r>
      <w:r>
        <w:instrText xml:space="preserve"> PAGEREF _Toc118118216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Infringement notice, form of (Act s. 9.16)</w:t>
      </w:r>
      <w:r>
        <w:tab/>
      </w:r>
      <w:r>
        <w:fldChar w:fldCharType="begin"/>
      </w:r>
      <w:r>
        <w:instrText xml:space="preserve"> PAGEREF _Toc118118217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Withdrawal of infringement notice, form of (Act s. 9.20)</w:t>
      </w:r>
      <w:r>
        <w:tab/>
      </w:r>
      <w:r>
        <w:fldChar w:fldCharType="begin"/>
      </w:r>
      <w:r>
        <w:instrText xml:space="preserve"> PAGEREF _Toc118118218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Miscellaneous</w:t>
      </w:r>
    </w:p>
    <w:p>
      <w:pPr>
        <w:pStyle w:val="TOC8"/>
        <w:rPr>
          <w:rFonts w:asciiTheme="minorHAnsi" w:eastAsiaTheme="minorEastAsia" w:hAnsiTheme="minorHAnsi" w:cstheme="minorBidi"/>
          <w:szCs w:val="22"/>
        </w:rPr>
      </w:pPr>
      <w:r>
        <w:t>29</w:t>
      </w:r>
      <w:r>
        <w:rPr>
          <w:snapToGrid w:val="0"/>
        </w:rPr>
        <w:t>.</w:t>
      </w:r>
      <w:r>
        <w:rPr>
          <w:snapToGrid w:val="0"/>
        </w:rPr>
        <w:tab/>
        <w:t>Contraventions that may lead to impounding of goods (Act s. </w:t>
      </w:r>
      <w:r>
        <w:t>3</w:t>
      </w:r>
      <w:r>
        <w:rPr>
          <w:snapToGrid w:val="0"/>
        </w:rPr>
        <w:t>.37)</w:t>
      </w:r>
      <w:r>
        <w:tab/>
      </w:r>
      <w:r>
        <w:fldChar w:fldCharType="begin"/>
      </w:r>
      <w:r>
        <w:instrText xml:space="preserve"> PAGEREF _Toc118118220 \h </w:instrText>
      </w:r>
      <w:r>
        <w:fldChar w:fldCharType="separate"/>
      </w:r>
      <w:r>
        <w:t>37</w:t>
      </w:r>
      <w:r>
        <w:fldChar w:fldCharType="end"/>
      </w:r>
    </w:p>
    <w:p>
      <w:pPr>
        <w:pStyle w:val="TOC8"/>
        <w:rPr>
          <w:rFonts w:asciiTheme="minorHAnsi" w:eastAsiaTheme="minorEastAsia" w:hAnsiTheme="minorHAnsi" w:cstheme="minorBidi"/>
          <w:szCs w:val="22"/>
        </w:rPr>
      </w:pPr>
      <w:r>
        <w:t>29A.</w:t>
      </w:r>
      <w:r>
        <w:tab/>
        <w:t xml:space="preserve">Abandoned vehicle wrecks, value etc. prescribed for </w:t>
      </w:r>
      <w:r>
        <w:rPr>
          <w:snapToGrid w:val="0"/>
        </w:rPr>
        <w:t>(Act </w:t>
      </w:r>
      <w:r>
        <w:t>s. 3.40A(5)(c))</w:t>
      </w:r>
      <w:r>
        <w:tab/>
      </w:r>
      <w:r>
        <w:fldChar w:fldCharType="begin"/>
      </w:r>
      <w:r>
        <w:instrText xml:space="preserve"> PAGEREF _Toc118118221 \h </w:instrText>
      </w:r>
      <w:r>
        <w:fldChar w:fldCharType="separate"/>
      </w:r>
      <w:r>
        <w:t>37</w:t>
      </w:r>
      <w:r>
        <w:fldChar w:fldCharType="end"/>
      </w:r>
    </w:p>
    <w:p>
      <w:pPr>
        <w:pStyle w:val="TOC8"/>
        <w:rPr>
          <w:rFonts w:asciiTheme="minorHAnsi" w:eastAsiaTheme="minorEastAsia" w:hAnsiTheme="minorHAnsi" w:cstheme="minorBidi"/>
          <w:szCs w:val="22"/>
        </w:rPr>
      </w:pPr>
      <w:r>
        <w:t>29B.</w:t>
      </w:r>
      <w:r>
        <w:tab/>
        <w:t>Prescribed non</w:t>
      </w:r>
      <w:r>
        <w:noBreakHyphen/>
        <w:t xml:space="preserve">perishable goods </w:t>
      </w:r>
      <w:r>
        <w:rPr>
          <w:snapToGrid w:val="0"/>
        </w:rPr>
        <w:t>(Act </w:t>
      </w:r>
      <w:r>
        <w:t>s. 3.47(2b)(ca))</w:t>
      </w:r>
      <w:r>
        <w:tab/>
      </w:r>
      <w:r>
        <w:fldChar w:fldCharType="begin"/>
      </w:r>
      <w:r>
        <w:instrText xml:space="preserve"> PAGEREF _Toc118118222 \h </w:instrText>
      </w:r>
      <w:r>
        <w:fldChar w:fldCharType="separate"/>
      </w:r>
      <w:r>
        <w:t>38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Dispositions of property excluded from Act s. 3.58</w:t>
      </w:r>
      <w:r>
        <w:tab/>
      </w:r>
      <w:r>
        <w:fldChar w:fldCharType="begin"/>
      </w:r>
      <w:r>
        <w:instrText xml:space="preserve"> PAGEREF _Toc118118223 \h </w:instrText>
      </w:r>
      <w:r>
        <w:fldChar w:fldCharType="separate"/>
      </w:r>
      <w:r>
        <w:t>38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Anti</w:t>
      </w:r>
      <w:r>
        <w:rPr>
          <w:snapToGrid w:val="0"/>
        </w:rPr>
        <w:noBreakHyphen/>
        <w:t>avoidance provision for Act s. 3.58</w:t>
      </w:r>
      <w:r>
        <w:tab/>
      </w:r>
      <w:r>
        <w:fldChar w:fldCharType="begin"/>
      </w:r>
      <w:r>
        <w:instrText xml:space="preserve"> PAGEREF _Toc118118224 \h </w:instrText>
      </w:r>
      <w:r>
        <w:fldChar w:fldCharType="separate"/>
      </w:r>
      <w:r>
        <w:t>40</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r>
      <w:r>
        <w:t>Local government permitted to form bodies corporate (Act s. 3.60)</w:t>
      </w:r>
      <w:r>
        <w:tab/>
      </w:r>
      <w:r>
        <w:fldChar w:fldCharType="begin"/>
      </w:r>
      <w:r>
        <w:instrText xml:space="preserve"> PAGEREF _Toc118118225 \h </w:instrText>
      </w:r>
      <w:r>
        <w:fldChar w:fldCharType="separate"/>
      </w:r>
      <w:r>
        <w:t>41</w:t>
      </w:r>
      <w:r>
        <w:fldChar w:fldCharType="end"/>
      </w:r>
    </w:p>
    <w:p>
      <w:pPr>
        <w:pStyle w:val="TOC8"/>
        <w:rPr>
          <w:rFonts w:asciiTheme="minorHAnsi" w:eastAsiaTheme="minorEastAsia" w:hAnsiTheme="minorHAnsi" w:cstheme="minorBidi"/>
          <w:szCs w:val="22"/>
        </w:rPr>
      </w:pPr>
      <w:r>
        <w:t>32A.</w:t>
      </w:r>
      <w:r>
        <w:tab/>
        <w:t xml:space="preserve">Excluded authorisations </w:t>
      </w:r>
      <w:r>
        <w:rPr>
          <w:snapToGrid w:val="0"/>
        </w:rPr>
        <w:t>(Act </w:t>
      </w:r>
      <w:r>
        <w:t>s. 9.2)</w:t>
      </w:r>
      <w:r>
        <w:tab/>
      </w:r>
      <w:r>
        <w:fldChar w:fldCharType="begin"/>
      </w:r>
      <w:r>
        <w:instrText xml:space="preserve"> PAGEREF _Toc118118226 \h </w:instrText>
      </w:r>
      <w:r>
        <w:fldChar w:fldCharType="separate"/>
      </w:r>
      <w:r>
        <w:t>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Objections to decisions, form of etc. prescribed (Act s. 9.5)</w:t>
      </w:r>
      <w:r>
        <w:tab/>
      </w:r>
      <w:r>
        <w:fldChar w:fldCharType="begin"/>
      </w:r>
      <w:r>
        <w:instrText xml:space="preserve"> PAGEREF _Toc118118227 \h </w:instrText>
      </w:r>
      <w:r>
        <w:fldChar w:fldCharType="separate"/>
      </w:r>
      <w:r>
        <w:t>42</w:t>
      </w:r>
      <w:r>
        <w:fldChar w:fldCharType="end"/>
      </w:r>
    </w:p>
    <w:p>
      <w:pPr>
        <w:pStyle w:val="TOC8"/>
        <w:rPr>
          <w:rFonts w:asciiTheme="minorHAnsi" w:eastAsiaTheme="minorEastAsia" w:hAnsiTheme="minorHAnsi" w:cstheme="minorBidi"/>
          <w:szCs w:val="22"/>
        </w:rPr>
      </w:pPr>
      <w:r>
        <w:t>34.</w:t>
      </w:r>
      <w:r>
        <w:tab/>
        <w:t>Common seal, unauthorised use of</w:t>
      </w:r>
      <w:r>
        <w:tab/>
      </w:r>
      <w:r>
        <w:fldChar w:fldCharType="begin"/>
      </w:r>
      <w:r>
        <w:instrText xml:space="preserve"> PAGEREF _Toc118118228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Certain persons protected from liability for wrongdoing (Act s. </w:t>
      </w:r>
      <w:r>
        <w:t>9</w:t>
      </w:r>
      <w:r>
        <w:rPr>
          <w:snapToGrid w:val="0"/>
        </w:rPr>
        <w:t>.56(1)(c))</w:t>
      </w:r>
      <w:r>
        <w:tab/>
      </w:r>
      <w:r>
        <w:fldChar w:fldCharType="begin"/>
      </w:r>
      <w:r>
        <w:instrText xml:space="preserve"> PAGEREF _Toc118118229 \h </w:instrText>
      </w:r>
      <w:r>
        <w:fldChar w:fldCharType="separate"/>
      </w:r>
      <w:r>
        <w:t>42</w:t>
      </w:r>
      <w:r>
        <w:fldChar w:fldCharType="end"/>
      </w:r>
    </w:p>
    <w:p>
      <w:pPr>
        <w:pStyle w:val="TOC8"/>
        <w:rPr>
          <w:rFonts w:asciiTheme="minorHAnsi" w:eastAsiaTheme="minorEastAsia" w:hAnsiTheme="minorHAnsi" w:cstheme="minorBidi"/>
          <w:szCs w:val="22"/>
        </w:rPr>
      </w:pPr>
      <w:r>
        <w:t>35A.</w:t>
      </w:r>
      <w:r>
        <w:tab/>
        <w:t xml:space="preserve">Delegable functions of Minister </w:t>
      </w:r>
      <w:r>
        <w:rPr>
          <w:snapToGrid w:val="0"/>
        </w:rPr>
        <w:t>(Act </w:t>
      </w:r>
      <w:r>
        <w:t>s. 9.66)</w:t>
      </w:r>
      <w:r>
        <w:tab/>
      </w:r>
      <w:r>
        <w:fldChar w:fldCharType="begin"/>
      </w:r>
      <w:r>
        <w:instrText xml:space="preserve"> PAGEREF _Toc118118230 \h </w:instrText>
      </w:r>
      <w:r>
        <w:fldChar w:fldCharType="separate"/>
      </w:r>
      <w:r>
        <w:t>43</w:t>
      </w:r>
      <w:r>
        <w:fldChar w:fldCharType="end"/>
      </w:r>
    </w:p>
    <w:p>
      <w:pPr>
        <w:pStyle w:val="TOC8"/>
        <w:rPr>
          <w:rFonts w:asciiTheme="minorHAnsi" w:eastAsiaTheme="minorEastAsia" w:hAnsiTheme="minorHAnsi" w:cstheme="minorBidi"/>
          <w:szCs w:val="22"/>
        </w:rPr>
      </w:pPr>
      <w:r>
        <w:t>35B.</w:t>
      </w:r>
      <w:r>
        <w:tab/>
        <w:t>Delegable functions of Departmental CEO (Act s. 9.67)</w:t>
      </w:r>
      <w:r>
        <w:tab/>
      </w:r>
      <w:r>
        <w:fldChar w:fldCharType="begin"/>
      </w:r>
      <w:r>
        <w:instrText xml:space="preserve"> PAGEREF _Toc118118231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to enter, form of (Act s. 3.33(1) and 8.8(1))</w:t>
      </w:r>
      <w:r>
        <w:tab/>
      </w:r>
      <w:r>
        <w:fldChar w:fldCharType="begin"/>
      </w:r>
      <w:r>
        <w:instrText xml:space="preserve"> PAGEREF _Toc118118232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Other transitional provisions</w:t>
      </w:r>
    </w:p>
    <w:p>
      <w:pPr>
        <w:pStyle w:val="TOC8"/>
        <w:rPr>
          <w:rFonts w:asciiTheme="minorHAnsi" w:eastAsiaTheme="minorEastAsia" w:hAnsiTheme="minorHAnsi" w:cstheme="minorBidi"/>
          <w:szCs w:val="22"/>
        </w:rPr>
      </w:pPr>
      <w:r>
        <w:t>38.</w:t>
      </w:r>
      <w:r>
        <w:rPr>
          <w:snapToGrid w:val="0"/>
        </w:rPr>
        <w:tab/>
        <w:t>Adopting former model by</w:t>
      </w:r>
      <w:r>
        <w:rPr>
          <w:snapToGrid w:val="0"/>
        </w:rPr>
        <w:noBreakHyphen/>
        <w:t>laws as local laws (Act s. 3.8(2) and (3))</w:t>
      </w:r>
      <w:r>
        <w:tab/>
      </w:r>
      <w:r>
        <w:fldChar w:fldCharType="begin"/>
      </w:r>
      <w:r>
        <w:instrText xml:space="preserve"> PAGEREF _Toc118118234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Forms</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_Toc118118237 \h </w:instrText>
      </w:r>
      <w:r>
        <w:fldChar w:fldCharType="separate"/>
      </w:r>
      <w:r>
        <w:t>52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_Toc118118238 \h </w:instrText>
      </w:r>
      <w:r>
        <w:fldChar w:fldCharType="separate"/>
      </w:r>
      <w:r>
        <w:t>54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_Toc118118239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Local Government Act 1995</w:t>
      </w:r>
    </w:p>
    <w:p>
      <w:pPr>
        <w:pStyle w:val="NameofActReg"/>
      </w:pPr>
      <w:r>
        <w:t>Local Government (Functions and General) Regulations 1996</w:t>
      </w:r>
    </w:p>
    <w:p>
      <w:pPr>
        <w:pStyle w:val="Heading2"/>
        <w:pageBreakBefore w:val="0"/>
        <w:spacing w:before="480"/>
      </w:pPr>
      <w:bookmarkStart w:id="3" w:name="_Toc118108477"/>
      <w:bookmarkStart w:id="4" w:name="_Toc118109098"/>
      <w:bookmarkStart w:id="5" w:name="_Toc11811816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18118162"/>
      <w:r>
        <w:rPr>
          <w:rStyle w:val="CharSectno"/>
        </w:rPr>
        <w:t>1</w:t>
      </w:r>
      <w:r>
        <w:rPr>
          <w:snapToGrid w:val="0"/>
        </w:rPr>
        <w:t>.</w:t>
      </w:r>
      <w:r>
        <w:rPr>
          <w:snapToGrid w:val="0"/>
        </w:rPr>
        <w:tab/>
        <w:t>Citation</w:t>
      </w:r>
      <w:bookmarkEnd w:id="6"/>
    </w:p>
    <w:p>
      <w:pPr>
        <w:pStyle w:val="Subsection"/>
        <w:rPr>
          <w:i/>
          <w:snapToGrid w:val="0"/>
        </w:rPr>
      </w:pPr>
      <w:r>
        <w:rPr>
          <w:snapToGrid w:val="0"/>
        </w:rPr>
        <w:tab/>
      </w:r>
      <w:r>
        <w:rPr>
          <w:snapToGrid w:val="0"/>
        </w:rPr>
        <w:tab/>
        <w:t xml:space="preserve">These regulations may be cited as the </w:t>
      </w:r>
      <w:r>
        <w:rPr>
          <w:i/>
          <w:snapToGrid w:val="0"/>
        </w:rPr>
        <w:t>Local Government (Functions and General) Regulations 1996</w:t>
      </w:r>
      <w:r>
        <w:rPr>
          <w:snapToGrid w:val="0"/>
        </w:rPr>
        <w:t>.</w:t>
      </w:r>
    </w:p>
    <w:p>
      <w:pPr>
        <w:pStyle w:val="Heading5"/>
        <w:rPr>
          <w:snapToGrid w:val="0"/>
        </w:rPr>
      </w:pPr>
      <w:bookmarkStart w:id="7" w:name="_Toc118118163"/>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come into operation on 1 July 1996.</w:t>
      </w:r>
    </w:p>
    <w:p>
      <w:pPr>
        <w:pStyle w:val="Heading2"/>
      </w:pPr>
      <w:bookmarkStart w:id="8" w:name="_Toc118108480"/>
      <w:bookmarkStart w:id="9" w:name="_Toc118109101"/>
      <w:bookmarkStart w:id="10" w:name="_Toc118118164"/>
      <w:r>
        <w:rPr>
          <w:rStyle w:val="CharPartNo"/>
        </w:rPr>
        <w:lastRenderedPageBreak/>
        <w:t>Part 1A</w:t>
      </w:r>
      <w:r>
        <w:rPr>
          <w:rStyle w:val="CharDivNo"/>
        </w:rPr>
        <w:t> </w:t>
      </w:r>
      <w:r>
        <w:rPr>
          <w:rStyle w:val="CharPartNo"/>
        </w:rPr>
        <w:t>—</w:t>
      </w:r>
      <w:r>
        <w:rPr>
          <w:rStyle w:val="CharDivText"/>
        </w:rPr>
        <w:t> </w:t>
      </w:r>
      <w:r>
        <w:rPr>
          <w:rStyle w:val="CharPartText"/>
        </w:rPr>
        <w:t>Local laws</w:t>
      </w:r>
      <w:bookmarkEnd w:id="8"/>
      <w:bookmarkEnd w:id="9"/>
      <w:bookmarkEnd w:id="10"/>
    </w:p>
    <w:p>
      <w:pPr>
        <w:pStyle w:val="Footnoteheading"/>
      </w:pPr>
      <w:r>
        <w:tab/>
        <w:t>[Heading inserted: Gazette 11 Sep 1998 p. 4927.]</w:t>
      </w:r>
    </w:p>
    <w:p>
      <w:pPr>
        <w:pStyle w:val="Heading5"/>
      </w:pPr>
      <w:bookmarkStart w:id="11" w:name="_Toc118118165"/>
      <w:r>
        <w:rPr>
          <w:rStyle w:val="CharSectno"/>
        </w:rPr>
        <w:t>2A</w:t>
      </w:r>
      <w:r>
        <w:t>.</w:t>
      </w:r>
      <w:r>
        <w:tab/>
        <w:t>Matters about which local laws are not to be made (Act s. 3.5)</w:t>
      </w:r>
      <w:bookmarkEnd w:id="11"/>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Gazette 11 Sep 1998 p. 4927.]</w:t>
      </w:r>
    </w:p>
    <w:p>
      <w:pPr>
        <w:pStyle w:val="Heading5"/>
      </w:pPr>
      <w:bookmarkStart w:id="12" w:name="_Toc118118166"/>
      <w:r>
        <w:rPr>
          <w:rStyle w:val="CharSectno"/>
        </w:rPr>
        <w:t>3</w:t>
      </w:r>
      <w:r>
        <w:t>.</w:t>
      </w:r>
      <w:r>
        <w:tab/>
        <w:t xml:space="preserve">Prescribed manner of giving notice of purpose and effect of proposed local law </w:t>
      </w:r>
      <w:r>
        <w:rPr>
          <w:snapToGrid w:val="0"/>
        </w:rPr>
        <w:t>(Act </w:t>
      </w:r>
      <w:r>
        <w:t>s. 3.12(2))</w:t>
      </w:r>
      <w:bookmarkEnd w:id="12"/>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Gazette 31 Mar 2005 p. 1057; amended: Gazette 27 Sep 2011 p. 3846.]</w:t>
      </w:r>
    </w:p>
    <w:p>
      <w:pPr>
        <w:pStyle w:val="Heading2"/>
      </w:pPr>
      <w:bookmarkStart w:id="13" w:name="_Toc118108483"/>
      <w:bookmarkStart w:id="14" w:name="_Toc118109104"/>
      <w:bookmarkStart w:id="15" w:name="_Toc118118167"/>
      <w:r>
        <w:rPr>
          <w:rStyle w:val="CharPartNo"/>
        </w:rPr>
        <w:lastRenderedPageBreak/>
        <w:t>Part 2</w:t>
      </w:r>
      <w:r>
        <w:rPr>
          <w:rStyle w:val="CharDivNo"/>
        </w:rPr>
        <w:t> </w:t>
      </w:r>
      <w:r>
        <w:t>—</w:t>
      </w:r>
      <w:r>
        <w:rPr>
          <w:rStyle w:val="CharDivText"/>
        </w:rPr>
        <w:t> </w:t>
      </w:r>
      <w:r>
        <w:rPr>
          <w:rStyle w:val="CharPartText"/>
        </w:rPr>
        <w:t>Thoroughfares</w:t>
      </w:r>
      <w:bookmarkEnd w:id="13"/>
      <w:bookmarkEnd w:id="14"/>
      <w:bookmarkEnd w:id="15"/>
    </w:p>
    <w:p>
      <w:pPr>
        <w:pStyle w:val="Heading5"/>
        <w:rPr>
          <w:snapToGrid w:val="0"/>
        </w:rPr>
      </w:pPr>
      <w:bookmarkStart w:id="16" w:name="_Toc118118168"/>
      <w:r>
        <w:rPr>
          <w:rStyle w:val="CharSectno"/>
        </w:rPr>
        <w:t>4</w:t>
      </w:r>
      <w:r>
        <w:rPr>
          <w:snapToGrid w:val="0"/>
        </w:rPr>
        <w:t>.</w:t>
      </w:r>
      <w:r>
        <w:rPr>
          <w:snapToGrid w:val="0"/>
        </w:rPr>
        <w:tab/>
        <w:t>Persons prescribed to be notified of road closure (Act s. 3.50)</w:t>
      </w:r>
      <w:bookmarkEnd w:id="16"/>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17" w:name="_Toc118118169"/>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17"/>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18" w:name="_Toc118118170"/>
      <w:r>
        <w:rPr>
          <w:rStyle w:val="CharSectno"/>
        </w:rPr>
        <w:lastRenderedPageBreak/>
        <w:t>6</w:t>
      </w:r>
      <w:r>
        <w:rPr>
          <w:snapToGrid w:val="0"/>
        </w:rPr>
        <w:t>.</w:t>
      </w:r>
      <w:r>
        <w:rPr>
          <w:snapToGrid w:val="0"/>
        </w:rPr>
        <w:tab/>
        <w:t>Transitional provisions about road closures</w:t>
      </w:r>
      <w:bookmarkEnd w:id="18"/>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1</w:t>
      </w:r>
      <w:r>
        <w:t>.</w:t>
      </w:r>
    </w:p>
    <w:p>
      <w:pPr>
        <w:pStyle w:val="Heading2"/>
      </w:pPr>
      <w:bookmarkStart w:id="19" w:name="_Toc118108487"/>
      <w:bookmarkStart w:id="20" w:name="_Toc118109108"/>
      <w:bookmarkStart w:id="21" w:name="_Toc118118171"/>
      <w:r>
        <w:rPr>
          <w:rStyle w:val="CharPartNo"/>
        </w:rPr>
        <w:lastRenderedPageBreak/>
        <w:t>Part 3</w:t>
      </w:r>
      <w:r>
        <w:rPr>
          <w:rStyle w:val="CharDivNo"/>
        </w:rPr>
        <w:t> </w:t>
      </w:r>
      <w:r>
        <w:t>—</w:t>
      </w:r>
      <w:r>
        <w:rPr>
          <w:rStyle w:val="CharDivText"/>
        </w:rPr>
        <w:t> </w:t>
      </w:r>
      <w:r>
        <w:rPr>
          <w:rStyle w:val="CharPartText"/>
        </w:rPr>
        <w:t>Commercial enterprises by local governments (s. 3.59)</w:t>
      </w:r>
      <w:bookmarkEnd w:id="19"/>
      <w:bookmarkEnd w:id="20"/>
      <w:bookmarkEnd w:id="21"/>
    </w:p>
    <w:p>
      <w:pPr>
        <w:pStyle w:val="Heading5"/>
      </w:pPr>
      <w:bookmarkStart w:id="22" w:name="_Toc118118172"/>
      <w:r>
        <w:rPr>
          <w:rStyle w:val="CharSectno"/>
        </w:rPr>
        <w:t>7</w:t>
      </w:r>
      <w:r>
        <w:t>.</w:t>
      </w:r>
      <w:r>
        <w:tab/>
        <w:t>Term used: major regional centre</w:t>
      </w:r>
      <w:bookmarkEnd w:id="22"/>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Gazette 27 Sep 2011 p. 3843-4.]</w:t>
      </w:r>
    </w:p>
    <w:p>
      <w:pPr>
        <w:pStyle w:val="Heading5"/>
      </w:pPr>
      <w:bookmarkStart w:id="23" w:name="_Toc118118173"/>
      <w:r>
        <w:rPr>
          <w:rStyle w:val="CharSectno"/>
        </w:rPr>
        <w:t>8A</w:t>
      </w:r>
      <w:r>
        <w:t>.</w:t>
      </w:r>
      <w:r>
        <w:tab/>
        <w:t xml:space="preserve">Amount prescribed for major land transactions; exempt land transactions prescribed </w:t>
      </w:r>
      <w:r>
        <w:rPr>
          <w:snapToGrid w:val="0"/>
        </w:rPr>
        <w:t>(Act </w:t>
      </w:r>
      <w:r>
        <w:t>s. 3.59)</w:t>
      </w:r>
      <w:bookmarkEnd w:id="23"/>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lastRenderedPageBreak/>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Gazette 27 Sep 2011 p. 3844.]</w:t>
      </w:r>
    </w:p>
    <w:p>
      <w:pPr>
        <w:pStyle w:val="Heading5"/>
        <w:rPr>
          <w:snapToGrid w:val="0"/>
        </w:rPr>
      </w:pPr>
      <w:bookmarkStart w:id="24" w:name="_Toc118118174"/>
      <w:r>
        <w:rPr>
          <w:rStyle w:val="CharSectno"/>
        </w:rPr>
        <w:t>8</w:t>
      </w:r>
      <w:r>
        <w:rPr>
          <w:snapToGrid w:val="0"/>
        </w:rPr>
        <w:t>.</w:t>
      </w:r>
      <w:r>
        <w:rPr>
          <w:snapToGrid w:val="0"/>
        </w:rPr>
        <w:tab/>
        <w:t>Exempt land transactions prescribed (Act s. 3.59)</w:t>
      </w:r>
      <w:bookmarkEnd w:id="24"/>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lastRenderedPageBreak/>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Gazette 29 Aug 1997 p. 4867</w:t>
      </w:r>
      <w:r>
        <w:noBreakHyphen/>
        <w:t>8.]</w:t>
      </w:r>
    </w:p>
    <w:p>
      <w:pPr>
        <w:pStyle w:val="Heading5"/>
        <w:rPr>
          <w:snapToGrid w:val="0"/>
        </w:rPr>
      </w:pPr>
      <w:bookmarkStart w:id="25" w:name="_Toc118118175"/>
      <w:r>
        <w:rPr>
          <w:rStyle w:val="CharSectno"/>
        </w:rPr>
        <w:t>9</w:t>
      </w:r>
      <w:r>
        <w:rPr>
          <w:snapToGrid w:val="0"/>
        </w:rPr>
        <w:t>.</w:t>
      </w:r>
      <w:r>
        <w:rPr>
          <w:snapToGrid w:val="0"/>
        </w:rPr>
        <w:tab/>
        <w:t>Amount prescribed for major trading undertakings; exempt trading undertakings prescribed (Act s. 3.59)</w:t>
      </w:r>
      <w:bookmarkEnd w:id="25"/>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tab/>
        <w:t>(ii)</w:t>
      </w:r>
      <w:r>
        <w:tab/>
        <w:t>10% of the lowest operating expenditure described in subregulation (2).</w:t>
      </w:r>
    </w:p>
    <w:p>
      <w:pPr>
        <w:pStyle w:val="Subsection"/>
        <w:rPr>
          <w:snapToGrid w:val="0"/>
        </w:rPr>
      </w:pPr>
      <w:r>
        <w:rPr>
          <w:snapToGrid w:val="0"/>
        </w:rPr>
        <w:lastRenderedPageBreak/>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pPr>
      <w:r>
        <w:tab/>
        <w:t>(ii)</w:t>
      </w:r>
      <w:r>
        <w:tab/>
        <w:t>variations throughout the State in the value of land.</w:t>
      </w:r>
    </w:p>
    <w:p>
      <w:pPr>
        <w:pStyle w:val="Footnotesection"/>
      </w:pPr>
      <w:r>
        <w:tab/>
        <w:t>[Regulation 9 amended: Gazette 31 Mar 2005 p. 1054; 27 Sep 2011 p. 3845.]</w:t>
      </w:r>
    </w:p>
    <w:p>
      <w:pPr>
        <w:pStyle w:val="Heading5"/>
        <w:rPr>
          <w:snapToGrid w:val="0"/>
        </w:rPr>
      </w:pPr>
      <w:bookmarkStart w:id="26" w:name="_Toc118118176"/>
      <w:r>
        <w:rPr>
          <w:rStyle w:val="CharSectno"/>
        </w:rPr>
        <w:lastRenderedPageBreak/>
        <w:t>10</w:t>
      </w:r>
      <w:r>
        <w:rPr>
          <w:snapToGrid w:val="0"/>
        </w:rPr>
        <w:t>.</w:t>
      </w:r>
      <w:r>
        <w:rPr>
          <w:snapToGrid w:val="0"/>
        </w:rPr>
        <w:tab/>
        <w:t>Business plans for major trading undertaking and major land transaction, content of</w:t>
      </w:r>
      <w:bookmarkEnd w:id="26"/>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27" w:name="_Toc118108493"/>
      <w:bookmarkStart w:id="28" w:name="_Toc118109114"/>
      <w:bookmarkStart w:id="29" w:name="_Toc118118177"/>
      <w:r>
        <w:rPr>
          <w:rStyle w:val="CharPartNo"/>
        </w:rPr>
        <w:lastRenderedPageBreak/>
        <w:t>Part 4</w:t>
      </w:r>
      <w:r>
        <w:rPr>
          <w:b w:val="0"/>
        </w:rPr>
        <w:t> </w:t>
      </w:r>
      <w:r>
        <w:t>—</w:t>
      </w:r>
      <w:r>
        <w:rPr>
          <w:b w:val="0"/>
        </w:rPr>
        <w:t> </w:t>
      </w:r>
      <w:r>
        <w:rPr>
          <w:rStyle w:val="CharPartText"/>
        </w:rPr>
        <w:t>Provision of goods and services</w:t>
      </w:r>
      <w:bookmarkEnd w:id="27"/>
      <w:bookmarkEnd w:id="28"/>
      <w:bookmarkEnd w:id="29"/>
    </w:p>
    <w:p>
      <w:pPr>
        <w:pStyle w:val="Footnoteheading"/>
      </w:pPr>
      <w:r>
        <w:tab/>
        <w:t>[Heading inserted: Gazette 2 Feb 2007 p. 244.]</w:t>
      </w:r>
    </w:p>
    <w:p>
      <w:pPr>
        <w:pStyle w:val="Heading3"/>
      </w:pPr>
      <w:bookmarkStart w:id="30" w:name="_Toc118108494"/>
      <w:bookmarkStart w:id="31" w:name="_Toc118109115"/>
      <w:bookmarkStart w:id="32" w:name="_Toc118118178"/>
      <w:r>
        <w:rPr>
          <w:rStyle w:val="CharDivNo"/>
        </w:rPr>
        <w:t>Division 1</w:t>
      </w:r>
      <w:r>
        <w:t> — </w:t>
      </w:r>
      <w:r>
        <w:rPr>
          <w:rStyle w:val="CharDivText"/>
        </w:rPr>
        <w:t>Purchasing policies</w:t>
      </w:r>
      <w:bookmarkEnd w:id="30"/>
      <w:bookmarkEnd w:id="31"/>
      <w:bookmarkEnd w:id="32"/>
    </w:p>
    <w:p>
      <w:pPr>
        <w:pStyle w:val="Footnoteheading"/>
      </w:pPr>
      <w:r>
        <w:tab/>
        <w:t>[Heading inserted: Gazette 2 Feb 2007 p. 244.]</w:t>
      </w:r>
    </w:p>
    <w:p>
      <w:pPr>
        <w:pStyle w:val="Heading5"/>
      </w:pPr>
      <w:bookmarkStart w:id="33" w:name="_Toc118118179"/>
      <w:r>
        <w:rPr>
          <w:rStyle w:val="CharSectno"/>
        </w:rPr>
        <w:t>11A</w:t>
      </w:r>
      <w:r>
        <w:t>.</w:t>
      </w:r>
      <w:r>
        <w:tab/>
        <w:t>Purchasing policies for local governments</w:t>
      </w:r>
      <w:bookmarkEnd w:id="33"/>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$250 000 or less or worth $250 000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 Gazette 2 Feb 2007 p. 245; amended: Gazette 18 Sep 2015 p. 3804; SL 2020/55 r. 4.]</w:t>
      </w:r>
    </w:p>
    <w:p>
      <w:pPr>
        <w:pStyle w:val="Heading3"/>
      </w:pPr>
      <w:bookmarkStart w:id="34" w:name="_Toc118108496"/>
      <w:bookmarkStart w:id="35" w:name="_Toc118109117"/>
      <w:bookmarkStart w:id="36" w:name="_Toc118118180"/>
      <w:r>
        <w:rPr>
          <w:rStyle w:val="CharDivNo"/>
        </w:rPr>
        <w:lastRenderedPageBreak/>
        <w:t>Division 2</w:t>
      </w:r>
      <w:r>
        <w:t> — </w:t>
      </w:r>
      <w:r>
        <w:rPr>
          <w:rStyle w:val="CharDivText"/>
        </w:rPr>
        <w:t>Tenders for providing goods or services (s. 3.57)</w:t>
      </w:r>
      <w:bookmarkEnd w:id="34"/>
      <w:bookmarkEnd w:id="35"/>
      <w:bookmarkEnd w:id="36"/>
    </w:p>
    <w:p>
      <w:pPr>
        <w:pStyle w:val="Footnoteheading"/>
        <w:keepNext/>
      </w:pPr>
      <w:r>
        <w:tab/>
        <w:t>[Heading inserted: Gazette 2 Feb 2007 p. 245.]</w:t>
      </w:r>
    </w:p>
    <w:p>
      <w:pPr>
        <w:pStyle w:val="Heading5"/>
        <w:rPr>
          <w:snapToGrid w:val="0"/>
        </w:rPr>
      </w:pPr>
      <w:bookmarkStart w:id="37" w:name="_Toc118118181"/>
      <w:r>
        <w:rPr>
          <w:rStyle w:val="CharSectno"/>
        </w:rPr>
        <w:t>11</w:t>
      </w:r>
      <w:r>
        <w:rPr>
          <w:snapToGrid w:val="0"/>
        </w:rPr>
        <w:t>.</w:t>
      </w:r>
      <w:r>
        <w:rPr>
          <w:snapToGrid w:val="0"/>
        </w:rPr>
        <w:tab/>
        <w:t>When tenders have to be publicly invited</w:t>
      </w:r>
      <w:bookmarkEnd w:id="37"/>
    </w:p>
    <w:p>
      <w:pPr>
        <w:pStyle w:val="Subsection"/>
      </w:pPr>
      <w:r>
        <w:tab/>
        <w:t>(1A)</w:t>
      </w:r>
      <w:r>
        <w:tab/>
        <w:t xml:space="preserve">In this regulation — </w:t>
      </w:r>
    </w:p>
    <w:p>
      <w:pPr>
        <w:pStyle w:val="Defstart"/>
      </w:pPr>
      <w:r>
        <w:tab/>
      </w:r>
      <w:r>
        <w:rPr>
          <w:rStyle w:val="CharDefText"/>
        </w:rPr>
        <w:t>COVID</w:t>
      </w:r>
      <w:r>
        <w:rPr>
          <w:rStyle w:val="CharDefText"/>
        </w:rPr>
        <w:noBreakHyphen/>
        <w:t>19 declaration</w:t>
      </w:r>
      <w:r>
        <w:t xml:space="preserve"> has the meaning given in the </w:t>
      </w:r>
      <w:r>
        <w:rPr>
          <w:i/>
        </w:rPr>
        <w:t>Emergency Management Act 2005</w:t>
      </w:r>
      <w:r>
        <w:t xml:space="preserve"> section 77C(1);</w:t>
      </w:r>
    </w:p>
    <w:p>
      <w:pPr>
        <w:pStyle w:val="Defstart"/>
      </w:pPr>
      <w:r>
        <w:tab/>
      </w:r>
      <w:r>
        <w:rPr>
          <w:rStyle w:val="CharDefText"/>
        </w:rPr>
        <w:t>state of emergency declaration</w:t>
      </w:r>
      <w:r>
        <w:t xml:space="preserve"> has the meaning given in the </w:t>
      </w:r>
      <w:r>
        <w:rPr>
          <w:i/>
        </w:rPr>
        <w:t>Emergency Management Act 2005</w:t>
      </w:r>
      <w:r>
        <w:t xml:space="preserve"> section 3.</w:t>
      </w:r>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$250 000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pPr>
      <w:r>
        <w:tab/>
        <w:t>(aa)</w:t>
      </w:r>
      <w:r>
        <w:tab/>
        <w:t>the supply of the goods or services is associated with a state of emergency or a COVID</w:t>
      </w:r>
      <w:r>
        <w:noBreakHyphen/>
        <w:t xml:space="preserve">19 declaration; or </w:t>
      </w:r>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keepNext/>
        <w:rPr>
          <w:snapToGrid w:val="0"/>
        </w:rPr>
      </w:pPr>
      <w:r>
        <w:rPr>
          <w:snapToGrid w:val="0"/>
        </w:rPr>
        <w:lastRenderedPageBreak/>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keepNext/>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keepNext/>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keepNext/>
      </w:pPr>
      <w:r>
        <w:tab/>
        <w:t>(g)</w:t>
      </w:r>
      <w:r>
        <w:tab/>
        <w:t>the goods to be supplied under the contract are —</w:t>
      </w:r>
    </w:p>
    <w:p>
      <w:pPr>
        <w:pStyle w:val="Indenti"/>
      </w:pPr>
      <w:r>
        <w:tab/>
        <w:t>(i)</w:t>
      </w:r>
      <w:r>
        <w:tab/>
        <w:t>petrol or oil; or</w:t>
      </w:r>
    </w:p>
    <w:p>
      <w:pPr>
        <w:pStyle w:val="Indenti"/>
        <w:keepNext/>
      </w:pPr>
      <w:r>
        <w:tab/>
        <w:t>(ii)</w:t>
      </w:r>
      <w:r>
        <w:tab/>
        <w:t>any other liquid, or any gas, used for internal combustion engines;</w:t>
      </w:r>
    </w:p>
    <w:p>
      <w:pPr>
        <w:pStyle w:val="Indenta"/>
      </w:pPr>
      <w:r>
        <w:tab/>
      </w:r>
      <w:r>
        <w:tab/>
        <w:t>or</w:t>
      </w:r>
    </w:p>
    <w:p>
      <w:pPr>
        <w:pStyle w:val="Indenta"/>
        <w:keepNext/>
      </w:pPr>
      <w:r>
        <w:lastRenderedPageBreak/>
        <w:tab/>
        <w:t>(h)</w:t>
      </w:r>
      <w:r>
        <w:tab/>
        <w:t xml:space="preserve">the following apply — </w:t>
      </w:r>
    </w:p>
    <w:p>
      <w:pPr>
        <w:pStyle w:val="Indenti"/>
        <w:keepNext/>
      </w:pPr>
      <w:r>
        <w:tab/>
        <w:t>(i)</w:t>
      </w:r>
      <w:r>
        <w:tab/>
        <w:t xml:space="preserve">the goods or services are to be supplied by — </w:t>
      </w:r>
    </w:p>
    <w:p>
      <w:pPr>
        <w:pStyle w:val="IndentI0"/>
      </w:pPr>
      <w:r>
        <w:tab/>
        <w:t>(I)</w:t>
      </w:r>
      <w:r>
        <w:tab/>
        <w:t>a person registered on the Aboriginal Business Directory WA published by the Chamber of Commerce and Industry of Western Australia Limited ABN 96 929 977 985; or</w:t>
      </w:r>
    </w:p>
    <w:p>
      <w:pPr>
        <w:pStyle w:val="IndentI0"/>
        <w:keepNext/>
      </w:pPr>
      <w:r>
        <w:tab/>
        <w:t>(II)</w:t>
      </w:r>
      <w:r>
        <w:tab/>
        <w:t>a person registered with the Australian Indigenous Minority Supplier Office Limited (trading as Supply Nation) ABN 50 134 720 362;</w:t>
      </w:r>
    </w:p>
    <w:p>
      <w:pPr>
        <w:pStyle w:val="Indenti"/>
      </w:pPr>
      <w:r>
        <w:tab/>
      </w:r>
      <w:r>
        <w:tab/>
        <w:t>and</w:t>
      </w:r>
    </w:p>
    <w:p>
      <w:pPr>
        <w:pStyle w:val="Indenti"/>
      </w:pPr>
      <w:r>
        <w:tab/>
        <w:t>(ii)</w:t>
      </w:r>
      <w:r>
        <w:tab/>
        <w:t>the consideration under the contract is $250 000 or less, or worth $250 000 or less; and</w:t>
      </w:r>
    </w:p>
    <w:p>
      <w:pPr>
        <w:pStyle w:val="Indenti"/>
        <w:keepNext/>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keepNext/>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keepNext/>
      </w:pPr>
      <w:r>
        <w:tab/>
        <w:t>(iv)</w:t>
      </w:r>
      <w:r>
        <w:tab/>
        <w:t xml:space="preserve">the supplier’s tender included a requirement for such an option and specified the consideration payable, or the method by which the </w:t>
      </w:r>
      <w:r>
        <w:lastRenderedPageBreak/>
        <w:t>consideration is to be calculated, if the option were exercised;</w:t>
      </w:r>
    </w:p>
    <w:p>
      <w:pPr>
        <w:pStyle w:val="Indenta"/>
      </w:pPr>
      <w:r>
        <w:tab/>
      </w:r>
      <w:r>
        <w:tab/>
        <w:t>or</w:t>
      </w:r>
    </w:p>
    <w:p>
      <w:pPr>
        <w:pStyle w:val="Indenta"/>
        <w:keepNext/>
      </w:pPr>
      <w:r>
        <w:tab/>
        <w:t>(ja)</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is to expire within 3 months; and</w:t>
      </w:r>
    </w:p>
    <w:p>
      <w:pPr>
        <w:pStyle w:val="Indenti"/>
      </w:pPr>
      <w:r>
        <w:tab/>
        <w:t>(ii)</w:t>
      </w:r>
      <w:r>
        <w:tab/>
        <w:t>the renewal or extension is for a term of not more than 12 months from the expiry of the original contract; and</w:t>
      </w:r>
    </w:p>
    <w:p>
      <w:pPr>
        <w:pStyle w:val="Indenti"/>
        <w:keepNext/>
      </w:pPr>
      <w:r>
        <w:tab/>
        <w:t>(iii)</w:t>
      </w:r>
      <w:r>
        <w:tab/>
        <w:t>the contract for renewal or extension is entered into at a time when there is in force a state of emergency declaration or a COVID</w:t>
      </w:r>
      <w:r>
        <w:noBreakHyphen/>
        <w:t>19 declaration applying to the district, or part of the district, of the local government;</w:t>
      </w:r>
    </w:p>
    <w:p>
      <w:pPr>
        <w:pStyle w:val="Indenta"/>
      </w:pPr>
      <w:r>
        <w:tab/>
      </w:r>
      <w:r>
        <w:tab/>
        <w:t>or</w:t>
      </w:r>
    </w:p>
    <w:p>
      <w:pPr>
        <w:pStyle w:val="Indenta"/>
        <w:rPr>
          <w:snapToGrid w:val="0"/>
        </w:rPr>
      </w:pPr>
      <w:r>
        <w:tab/>
        <w:t>(k)</w:t>
      </w:r>
      <w:r>
        <w:tab/>
        <w:t>the goods or services are to be supplied by a pre</w:t>
      </w:r>
      <w:r>
        <w:noBreakHyphen/>
        <w:t>qualified supplier under Division 3.</w:t>
      </w:r>
    </w:p>
    <w:p>
      <w:pPr>
        <w:pStyle w:val="Subsection"/>
        <w:keepNext/>
      </w:pPr>
      <w:r>
        <w:tab/>
        <w:t>(3)</w:t>
      </w:r>
      <w:r>
        <w:tab/>
        <w:t xml:space="preserve">For the purposes of subregulation (2)(aa) a supply of goods or services is associated with a state of emergency if — </w:t>
      </w:r>
    </w:p>
    <w:p>
      <w:pPr>
        <w:pStyle w:val="Indenta"/>
      </w:pPr>
      <w:r>
        <w:tab/>
        <w:t>(a)</w:t>
      </w:r>
      <w:r>
        <w:tab/>
        <w:t>the contract for the supply is entered into while there is in force a state of emergency declaration applying to the district, or part of the district, of the local government; and</w:t>
      </w:r>
    </w:p>
    <w:p>
      <w:pPr>
        <w:pStyle w:val="Indenta"/>
      </w:pPr>
      <w:r>
        <w:tab/>
        <w:t>(b)</w:t>
      </w:r>
      <w:r>
        <w:tab/>
        <w:t>the local government considers that the goods or services are required for the purposes of addressing a need arising from the hazard, or from the impact or consequences of the hazard, to which the state of emergency declaration relates.</w:t>
      </w:r>
    </w:p>
    <w:p>
      <w:pPr>
        <w:pStyle w:val="Subsection"/>
        <w:keepNext/>
      </w:pPr>
      <w:r>
        <w:lastRenderedPageBreak/>
        <w:tab/>
        <w:t>(4)</w:t>
      </w:r>
      <w:r>
        <w:tab/>
        <w:t>For the purposes of subregulation (2)(aa) a supply of goods or services is associated with a COVID</w:t>
      </w:r>
      <w:r>
        <w:noBreakHyphen/>
        <w:t xml:space="preserve">19 declaration if — </w:t>
      </w:r>
    </w:p>
    <w:p>
      <w:pPr>
        <w:pStyle w:val="Indenta"/>
      </w:pPr>
      <w:r>
        <w:tab/>
        <w:t>(a)</w:t>
      </w:r>
      <w:r>
        <w:tab/>
        <w:t>the contract for the supply is entered into while there is in force a COVID</w:t>
      </w:r>
      <w:r>
        <w:noBreakHyphen/>
        <w:t>19 declaration applying to the district, or part of the district, of the local government; and</w:t>
      </w:r>
    </w:p>
    <w:p>
      <w:pPr>
        <w:pStyle w:val="Indenta"/>
        <w:keepNext/>
      </w:pPr>
      <w:r>
        <w:tab/>
        <w:t>(b)</w:t>
      </w:r>
      <w:r>
        <w:tab/>
        <w:t>the local government considers that the goods or services are required for the purposes of addressing a need arising from the occurrence of COVID</w:t>
      </w:r>
      <w:r>
        <w:noBreakHyphen/>
        <w:t>19, or from the impact or consequences of the occurrence of COVID</w:t>
      </w:r>
      <w:r>
        <w:noBreakHyphen/>
        <w:t>19, in the area to which the COVID</w:t>
      </w:r>
      <w:r>
        <w:noBreakHyphen/>
        <w:t>19 declaration relates.</w:t>
      </w:r>
    </w:p>
    <w:p>
      <w:pPr>
        <w:pStyle w:val="Footnotesection"/>
      </w:pPr>
      <w:r>
        <w:tab/>
        <w:t>[Regulation 11 amended: Gazette 29 Apr 1997 p. 2145; 26 Jun 1998 p. 3447; 25 Feb 2000 p. 970</w:t>
      </w:r>
      <w:r>
        <w:noBreakHyphen/>
        <w:t>1; 29 Jun 2001 p. 3130; 31 Mar 2005 p. 1054</w:t>
      </w:r>
      <w:r>
        <w:noBreakHyphen/>
        <w:t>5; 2 Feb 2007 p. 245</w:t>
      </w:r>
      <w:r>
        <w:noBreakHyphen/>
        <w:t>6; 18 Sep 2015 p. 3804</w:t>
      </w:r>
      <w:r>
        <w:noBreakHyphen/>
        <w:t>6; SL 2020/35 r. 8; SL 2020/55 r. 5; SL 2022/177 r. 14.]</w:t>
      </w:r>
    </w:p>
    <w:p>
      <w:pPr>
        <w:pStyle w:val="Heading5"/>
      </w:pPr>
      <w:bookmarkStart w:id="38" w:name="_Toc118118182"/>
      <w:r>
        <w:rPr>
          <w:rStyle w:val="CharSectno"/>
        </w:rPr>
        <w:t>12</w:t>
      </w:r>
      <w:r>
        <w:t>.</w:t>
      </w:r>
      <w:r>
        <w:tab/>
        <w:t>Anti</w:t>
      </w:r>
      <w:r>
        <w:noBreakHyphen/>
        <w:t>avoidance provision for r. 11(1)</w:t>
      </w:r>
      <w:bookmarkEnd w:id="38"/>
    </w:p>
    <w:p>
      <w:pPr>
        <w:pStyle w:val="Subsection"/>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keepNext/>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 xml:space="preserve">[Regulation 12 inserted: Gazette 18 Sep 2015 p. 3806.] </w:t>
      </w:r>
    </w:p>
    <w:p>
      <w:pPr>
        <w:pStyle w:val="Heading5"/>
        <w:rPr>
          <w:snapToGrid w:val="0"/>
        </w:rPr>
      </w:pPr>
      <w:bookmarkStart w:id="39" w:name="_Toc118118183"/>
      <w:r>
        <w:rPr>
          <w:rStyle w:val="CharSectno"/>
        </w:rPr>
        <w:t>13</w:t>
      </w:r>
      <w:r>
        <w:rPr>
          <w:snapToGrid w:val="0"/>
        </w:rPr>
        <w:t>.</w:t>
      </w:r>
      <w:r>
        <w:rPr>
          <w:snapToGrid w:val="0"/>
        </w:rPr>
        <w:tab/>
        <w:t>Requirements when local government invites tenders though not required to do so</w:t>
      </w:r>
      <w:bookmarkEnd w:id="39"/>
    </w:p>
    <w:p>
      <w:pPr>
        <w:pStyle w:val="Subsection"/>
        <w:keepNext/>
        <w:rPr>
          <w:snapToGrid w:val="0"/>
        </w:rPr>
      </w:pPr>
      <w:r>
        <w:rPr>
          <w:snapToGrid w:val="0"/>
        </w:rPr>
        <w:tab/>
      </w:r>
      <w:r>
        <w:rPr>
          <w:snapToGrid w:val="0"/>
        </w:rPr>
        <w:tab/>
        <w:t xml:space="preserve">If a local government, although not required by this </w:t>
      </w:r>
      <w:r>
        <w:t xml:space="preserve">Division </w:t>
      </w:r>
      <w:r>
        <w:rPr>
          <w:snapToGrid w:val="0"/>
        </w:rPr>
        <w:t xml:space="preserve">to invite tenders before entering into a contract for another person to supply goods or services, decides to invite tenders, the </w:t>
      </w:r>
      <w:r>
        <w:rPr>
          <w:snapToGrid w:val="0"/>
        </w:rPr>
        <w:lastRenderedPageBreak/>
        <w:t>tenders are to be publicly invited according to the requirements of this</w:t>
      </w:r>
      <w:r>
        <w:t xml:space="preserve"> Division</w:t>
      </w:r>
      <w:r>
        <w:rPr>
          <w:snapToGrid w:val="0"/>
        </w:rPr>
        <w:t>.</w:t>
      </w:r>
    </w:p>
    <w:p>
      <w:pPr>
        <w:pStyle w:val="Footnotesection"/>
      </w:pPr>
      <w:r>
        <w:tab/>
        <w:t>[Regulation 13 amended: Gazette 2 Feb 2007 p. 245</w:t>
      </w:r>
      <w:r>
        <w:noBreakHyphen/>
        <w:t>6.]</w:t>
      </w:r>
    </w:p>
    <w:p>
      <w:pPr>
        <w:pStyle w:val="Heading5"/>
        <w:rPr>
          <w:snapToGrid w:val="0"/>
        </w:rPr>
      </w:pPr>
      <w:bookmarkStart w:id="40" w:name="_Toc118118184"/>
      <w:r>
        <w:rPr>
          <w:rStyle w:val="CharSectno"/>
        </w:rPr>
        <w:t>14</w:t>
      </w:r>
      <w:r>
        <w:rPr>
          <w:snapToGrid w:val="0"/>
        </w:rPr>
        <w:t>.</w:t>
      </w:r>
      <w:r>
        <w:rPr>
          <w:snapToGrid w:val="0"/>
        </w:rPr>
        <w:tab/>
        <w:t>Publicly inviting tenders, requirements for</w:t>
      </w:r>
      <w:bookmarkEnd w:id="40"/>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keepNext/>
      </w:pPr>
      <w:r>
        <w:tab/>
        <w:t>(2a)</w:t>
      </w:r>
      <w:r>
        <w:tab/>
        <w:t>If a local government —</w:t>
      </w:r>
    </w:p>
    <w:p>
      <w:pPr>
        <w:pStyle w:val="Indenta"/>
      </w:pPr>
      <w:r>
        <w:tab/>
        <w:t>(a)</w:t>
      </w:r>
      <w:r>
        <w:tab/>
        <w:t>is required to invite a tender; or</w:t>
      </w:r>
    </w:p>
    <w:p>
      <w:pPr>
        <w:pStyle w:val="Indenta"/>
        <w:keepNext/>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keepNext/>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keepNext/>
      </w:pPr>
      <w:r>
        <w:lastRenderedPageBreak/>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keepNext/>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Gazette 29 Jun 2001 p. 3130; 18 Sep 2015 p. 3806.]</w:t>
      </w:r>
    </w:p>
    <w:p>
      <w:pPr>
        <w:pStyle w:val="Heading5"/>
        <w:rPr>
          <w:snapToGrid w:val="0"/>
        </w:rPr>
      </w:pPr>
      <w:bookmarkStart w:id="41" w:name="_Toc118118185"/>
      <w:r>
        <w:rPr>
          <w:rStyle w:val="CharSectno"/>
        </w:rPr>
        <w:t>15</w:t>
      </w:r>
      <w:r>
        <w:t>.</w:t>
      </w:r>
      <w:r>
        <w:tab/>
      </w:r>
      <w:r>
        <w:rPr>
          <w:snapToGrid w:val="0"/>
        </w:rPr>
        <w:t>Minimum time to be allowed for submitting tenders</w:t>
      </w:r>
      <w:bookmarkEnd w:id="41"/>
    </w:p>
    <w:p>
      <w:pPr>
        <w:pStyle w:val="Subsection"/>
        <w:keepNext/>
      </w:pPr>
      <w:r>
        <w:tab/>
        <w:t>(1)</w:t>
      </w:r>
      <w:r>
        <w:tab/>
        <w:t xml:space="preserve">If a notice under regulation 14(1) is given, the date and time referred to in regulation 14(3)(d) has to be at least 14 days after the notice is — </w:t>
      </w:r>
    </w:p>
    <w:p>
      <w:pPr>
        <w:pStyle w:val="Indenta"/>
      </w:pPr>
      <w:r>
        <w:tab/>
        <w:t>(a)</w:t>
      </w:r>
      <w:r>
        <w:tab/>
        <w:t xml:space="preserve">published on the local government’s official website; and </w:t>
      </w:r>
    </w:p>
    <w:p>
      <w:pPr>
        <w:pStyle w:val="Indenta"/>
      </w:pPr>
      <w:r>
        <w:tab/>
        <w:t>(b)</w:t>
      </w:r>
      <w:r>
        <w:tab/>
        <w:t xml:space="preserve">published in at least 3 of the ways prescribed in the </w:t>
      </w:r>
      <w:r>
        <w:rPr>
          <w:i/>
        </w:rPr>
        <w:t>Local Government (Administration) Regulations 1996</w:t>
      </w:r>
      <w:r>
        <w:t xml:space="preserve"> regulation 3A(2).</w:t>
      </w:r>
    </w:p>
    <w:p>
      <w:pPr>
        <w:pStyle w:val="Subsection"/>
        <w:keepNext/>
        <w:rPr>
          <w:snapToGrid w:val="0"/>
        </w:rPr>
      </w:pPr>
      <w:r>
        <w:tab/>
        <w:t>(2)</w:t>
      </w:r>
      <w:r>
        <w:tab/>
        <w:t xml:space="preserve">If a notice under regulation 14(2) </w:t>
      </w:r>
      <w:r>
        <w:rPr>
          <w:snapToGrid w:val="0"/>
        </w:rPr>
        <w:t xml:space="preserve">is given to a person listed as an acceptable tenderer, the date and time referred to in </w:t>
      </w:r>
      <w:r>
        <w:rPr>
          <w:snapToGrid w:val="0"/>
        </w:rPr>
        <w:lastRenderedPageBreak/>
        <w:t>regulation 14(3)(d) has to be at least 14 days after the notice is given.</w:t>
      </w:r>
    </w:p>
    <w:p>
      <w:pPr>
        <w:pStyle w:val="Footnotesection"/>
      </w:pPr>
      <w:r>
        <w:tab/>
        <w:t>[Regulation 15 inserted: Gazette 18 Sep 2015 p. 3806</w:t>
      </w:r>
      <w:r>
        <w:noBreakHyphen/>
        <w:t xml:space="preserve">7; amended: SL 2020/213 r. 35.] </w:t>
      </w:r>
    </w:p>
    <w:p>
      <w:pPr>
        <w:pStyle w:val="Heading5"/>
        <w:rPr>
          <w:snapToGrid w:val="0"/>
        </w:rPr>
      </w:pPr>
      <w:bookmarkStart w:id="42" w:name="_Toc118118186"/>
      <w:r>
        <w:rPr>
          <w:rStyle w:val="CharSectno"/>
        </w:rPr>
        <w:t>16</w:t>
      </w:r>
      <w:r>
        <w:rPr>
          <w:snapToGrid w:val="0"/>
        </w:rPr>
        <w:t>.</w:t>
      </w:r>
      <w:r>
        <w:rPr>
          <w:snapToGrid w:val="0"/>
        </w:rPr>
        <w:tab/>
        <w:t>Receiving and opening tenders, procedure for</w:t>
      </w:r>
      <w:bookmarkEnd w:id="42"/>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keepNext/>
      </w:pPr>
      <w:r>
        <w:tab/>
        <w:t>(a)</w:t>
      </w:r>
      <w:r>
        <w:tab/>
        <w:t xml:space="preserve">there must be present — </w:t>
      </w:r>
    </w:p>
    <w:p>
      <w:pPr>
        <w:pStyle w:val="Indenti"/>
      </w:pPr>
      <w:r>
        <w:tab/>
        <w:t>(i)</w:t>
      </w:r>
      <w:r>
        <w:tab/>
        <w:t>at least 2 employees of the local government; or</w:t>
      </w:r>
    </w:p>
    <w:p>
      <w:pPr>
        <w:pStyle w:val="Indenti"/>
        <w:keepNext/>
        <w:rPr>
          <w:snapToGrid w:val="0"/>
        </w:rPr>
      </w:pPr>
      <w:r>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keepNext/>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Gazette 29 Jun 2001 p. 3131; 31 Mar 2005 p. 1055; 18 Sep 2015 p. 3807.]</w:t>
      </w:r>
    </w:p>
    <w:p>
      <w:pPr>
        <w:pStyle w:val="Heading5"/>
        <w:rPr>
          <w:snapToGrid w:val="0"/>
        </w:rPr>
      </w:pPr>
      <w:bookmarkStart w:id="43" w:name="_Toc118118187"/>
      <w:r>
        <w:rPr>
          <w:rStyle w:val="CharSectno"/>
        </w:rPr>
        <w:t>17</w:t>
      </w:r>
      <w:r>
        <w:rPr>
          <w:snapToGrid w:val="0"/>
        </w:rPr>
        <w:t>.</w:t>
      </w:r>
      <w:r>
        <w:rPr>
          <w:snapToGrid w:val="0"/>
        </w:rPr>
        <w:tab/>
        <w:t>Tenders register</w:t>
      </w:r>
      <w:bookmarkEnd w:id="43"/>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pPr>
      <w:r>
        <w:tab/>
        <w:t>(1A)</w:t>
      </w:r>
      <w:r>
        <w:tab/>
        <w:t>The CEO must publish the tenders register on the local government’s official website.</w:t>
      </w:r>
    </w:p>
    <w:p>
      <w:pPr>
        <w:pStyle w:val="Subsection"/>
        <w:keepNext/>
        <w:rPr>
          <w:snapToGrid w:val="0"/>
        </w:rPr>
      </w:pPr>
      <w:r>
        <w:rPr>
          <w:snapToGrid w:val="0"/>
        </w:rPr>
        <w:lastRenderedPageBreak/>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keepNext/>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keepNext/>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keepNext/>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Gazette 29 Jun 2001 p. 3131; 18 Sep 2015 p. 3807; SL 2020/213 r. 36.]</w:t>
      </w:r>
    </w:p>
    <w:p>
      <w:pPr>
        <w:pStyle w:val="Heading5"/>
        <w:rPr>
          <w:snapToGrid w:val="0"/>
        </w:rPr>
      </w:pPr>
      <w:bookmarkStart w:id="44" w:name="_Toc118118188"/>
      <w:r>
        <w:rPr>
          <w:rStyle w:val="CharSectno"/>
        </w:rPr>
        <w:t>18</w:t>
      </w:r>
      <w:r>
        <w:rPr>
          <w:snapToGrid w:val="0"/>
        </w:rPr>
        <w:t>.</w:t>
      </w:r>
      <w:r>
        <w:rPr>
          <w:snapToGrid w:val="0"/>
        </w:rPr>
        <w:tab/>
        <w:t>Rejecting and accepting tenders</w:t>
      </w:r>
      <w:bookmarkEnd w:id="44"/>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 xml:space="preserve">If, under regulation 23(4), the CEO has prepared a list of acceptable tenderers for the supply of goods or services, a tender </w:t>
      </w:r>
      <w:r>
        <w:rPr>
          <w:snapToGrid w:val="0"/>
        </w:rPr>
        <w:lastRenderedPageBreak/>
        <w:t>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keepNext/>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Gazette 29 Jun 2001 p. 3131</w:t>
      </w:r>
      <w:r>
        <w:noBreakHyphen/>
        <w:t>2; 18 Sep 2015 p. 3807.]</w:t>
      </w:r>
    </w:p>
    <w:p>
      <w:pPr>
        <w:pStyle w:val="Heading5"/>
        <w:rPr>
          <w:snapToGrid w:val="0"/>
        </w:rPr>
      </w:pPr>
      <w:bookmarkStart w:id="45" w:name="_Toc118118189"/>
      <w:r>
        <w:rPr>
          <w:rStyle w:val="CharSectno"/>
        </w:rPr>
        <w:lastRenderedPageBreak/>
        <w:t>19</w:t>
      </w:r>
      <w:r>
        <w:rPr>
          <w:snapToGrid w:val="0"/>
        </w:rPr>
        <w:t>.</w:t>
      </w:r>
      <w:r>
        <w:rPr>
          <w:snapToGrid w:val="0"/>
        </w:rPr>
        <w:tab/>
        <w:t>Tenderers to be notified of outcome</w:t>
      </w:r>
      <w:bookmarkEnd w:id="45"/>
    </w:p>
    <w:p>
      <w:pPr>
        <w:pStyle w:val="Subsection"/>
        <w:keepNext/>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Gazette 29 Jun 2001 p. 3132.]</w:t>
      </w:r>
    </w:p>
    <w:p>
      <w:pPr>
        <w:pStyle w:val="Heading5"/>
        <w:rPr>
          <w:snapToGrid w:val="0"/>
        </w:rPr>
      </w:pPr>
      <w:bookmarkStart w:id="46" w:name="_Toc118118190"/>
      <w:r>
        <w:rPr>
          <w:rStyle w:val="CharSectno"/>
        </w:rPr>
        <w:t>20</w:t>
      </w:r>
      <w:r>
        <w:rPr>
          <w:snapToGrid w:val="0"/>
        </w:rPr>
        <w:t>.</w:t>
      </w:r>
      <w:r>
        <w:rPr>
          <w:snapToGrid w:val="0"/>
        </w:rPr>
        <w:tab/>
        <w:t>Variation of requirements before entry into contract</w:t>
      </w:r>
      <w:bookmarkEnd w:id="46"/>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keepNext/>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47" w:name="_Toc118118191"/>
      <w:r>
        <w:rPr>
          <w:rStyle w:val="CharSectno"/>
        </w:rPr>
        <w:lastRenderedPageBreak/>
        <w:t>21A</w:t>
      </w:r>
      <w:r>
        <w:t>.</w:t>
      </w:r>
      <w:r>
        <w:tab/>
        <w:t>Varying a contract for the supply of goods or services</w:t>
      </w:r>
      <w:bookmarkEnd w:id="47"/>
    </w:p>
    <w:p>
      <w:pPr>
        <w:pStyle w:val="Subsection"/>
        <w:keepNext/>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keepNext/>
      </w:pPr>
      <w:r>
        <w:tab/>
        <w:t>(b)</w:t>
      </w:r>
      <w:r>
        <w:tab/>
        <w:t>the variation is a renewal or extension of the term of the contract as described in regulation 11(2)(j).</w:t>
      </w:r>
    </w:p>
    <w:p>
      <w:pPr>
        <w:pStyle w:val="Footnotesection"/>
      </w:pPr>
      <w:r>
        <w:tab/>
        <w:t xml:space="preserve">[Regulation 21A inserted: Gazette 18 Sep 2015 p. 3807.] </w:t>
      </w:r>
    </w:p>
    <w:p>
      <w:pPr>
        <w:pStyle w:val="Heading5"/>
        <w:rPr>
          <w:snapToGrid w:val="0"/>
        </w:rPr>
      </w:pPr>
      <w:bookmarkStart w:id="48" w:name="_Toc118118192"/>
      <w:r>
        <w:rPr>
          <w:rStyle w:val="CharSectno"/>
        </w:rPr>
        <w:t>21</w:t>
      </w:r>
      <w:r>
        <w:rPr>
          <w:snapToGrid w:val="0"/>
        </w:rPr>
        <w:t>.</w:t>
      </w:r>
      <w:r>
        <w:rPr>
          <w:snapToGrid w:val="0"/>
        </w:rPr>
        <w:tab/>
        <w:t>Limiting who can tender, procedure for</w:t>
      </w:r>
      <w:bookmarkEnd w:id="48"/>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keepNext/>
        <w:rPr>
          <w:snapToGrid w:val="0"/>
        </w:rPr>
      </w:pPr>
      <w:r>
        <w:rPr>
          <w:snapToGrid w:val="0"/>
        </w:rPr>
        <w:tab/>
        <w:t>(d)</w:t>
      </w:r>
      <w:r>
        <w:rPr>
          <w:snapToGrid w:val="0"/>
        </w:rPr>
        <w:tab/>
        <w:t>the date and time after which expressions of interest cannot be submitted.</w:t>
      </w:r>
    </w:p>
    <w:p>
      <w:pPr>
        <w:pStyle w:val="Footnotesection"/>
      </w:pPr>
      <w:r>
        <w:tab/>
        <w:t xml:space="preserve">[Regulation 21 amended: Gazette 18 Sep 2015 p. 3808.] </w:t>
      </w:r>
    </w:p>
    <w:p>
      <w:pPr>
        <w:pStyle w:val="Heading5"/>
        <w:rPr>
          <w:snapToGrid w:val="0"/>
        </w:rPr>
      </w:pPr>
      <w:bookmarkStart w:id="49" w:name="_Toc118118193"/>
      <w:r>
        <w:rPr>
          <w:rStyle w:val="CharSectno"/>
        </w:rPr>
        <w:lastRenderedPageBreak/>
        <w:t>22</w:t>
      </w:r>
      <w:r>
        <w:rPr>
          <w:snapToGrid w:val="0"/>
        </w:rPr>
        <w:t>.</w:t>
      </w:r>
      <w:r>
        <w:rPr>
          <w:snapToGrid w:val="0"/>
        </w:rPr>
        <w:tab/>
        <w:t>Minimum time to be allowed for submitting expressions of interest</w:t>
      </w:r>
      <w:bookmarkEnd w:id="49"/>
    </w:p>
    <w:p>
      <w:pPr>
        <w:pStyle w:val="Subsection"/>
        <w:keepNext/>
      </w:pPr>
      <w:r>
        <w:rPr>
          <w:snapToGrid w:val="0"/>
        </w:rPr>
        <w:tab/>
      </w:r>
      <w:r>
        <w:rPr>
          <w:snapToGrid w:val="0"/>
        </w:rPr>
        <w:tab/>
        <w:t xml:space="preserve">The time specified in the notice as the time after which expressions of interest cannot be submitted has to be at least 14 days after the notice </w:t>
      </w:r>
      <w:r>
        <w:t xml:space="preserve">is — </w:t>
      </w:r>
    </w:p>
    <w:p>
      <w:pPr>
        <w:pStyle w:val="Indenta"/>
      </w:pPr>
      <w:r>
        <w:tab/>
        <w:t>(a)</w:t>
      </w:r>
      <w:r>
        <w:tab/>
        <w:t xml:space="preserve">published on the local government’s official website; and </w:t>
      </w:r>
    </w:p>
    <w:p>
      <w:pPr>
        <w:pStyle w:val="Indenta"/>
        <w:keepNext/>
      </w:pPr>
      <w:r>
        <w:tab/>
        <w:t>(b)</w:t>
      </w:r>
      <w:r>
        <w:tab/>
        <w:t xml:space="preserve">published in at least 3 of the ways prescribed in the </w:t>
      </w:r>
      <w:r>
        <w:rPr>
          <w:i/>
        </w:rPr>
        <w:t>Local Government (Administration) Regulations 1996</w:t>
      </w:r>
      <w:r>
        <w:t xml:space="preserve"> regulation 3A(2).</w:t>
      </w:r>
    </w:p>
    <w:p>
      <w:pPr>
        <w:pStyle w:val="Footnotesection"/>
      </w:pPr>
      <w:r>
        <w:tab/>
        <w:t>[Regulation 22 amended: SL 2020/213 r. 37</w:t>
      </w:r>
    </w:p>
    <w:p>
      <w:pPr>
        <w:pStyle w:val="Heading5"/>
        <w:rPr>
          <w:snapToGrid w:val="0"/>
        </w:rPr>
      </w:pPr>
      <w:bookmarkStart w:id="50" w:name="_Toc118118194"/>
      <w:r>
        <w:rPr>
          <w:rStyle w:val="CharSectno"/>
        </w:rPr>
        <w:t>23</w:t>
      </w:r>
      <w:r>
        <w:rPr>
          <w:snapToGrid w:val="0"/>
        </w:rPr>
        <w:t>.</w:t>
      </w:r>
      <w:r>
        <w:rPr>
          <w:snapToGrid w:val="0"/>
        </w:rPr>
        <w:tab/>
        <w:t>Rejecting and accepting expressions of interest to be acceptable tenderer</w:t>
      </w:r>
      <w:bookmarkEnd w:id="50"/>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keepNext/>
        <w:rPr>
          <w:snapToGrid w:val="0"/>
        </w:rPr>
      </w:pPr>
      <w:r>
        <w:rPr>
          <w:snapToGrid w:val="0"/>
        </w:rPr>
        <w:tab/>
        <w:t>(4)</w:t>
      </w:r>
      <w:r>
        <w:rPr>
          <w:snapToGrid w:val="0"/>
        </w:rPr>
        <w:tab/>
        <w:t>The CEO is to list each of those persons as an acceptable tenderer.</w:t>
      </w:r>
    </w:p>
    <w:p>
      <w:pPr>
        <w:pStyle w:val="Footnotesection"/>
      </w:pPr>
      <w:r>
        <w:tab/>
        <w:t>[Regulation 23 amended: Gazette 29 Jun 2001 p. 3132.]</w:t>
      </w:r>
    </w:p>
    <w:p>
      <w:pPr>
        <w:pStyle w:val="Heading5"/>
        <w:rPr>
          <w:snapToGrid w:val="0"/>
        </w:rPr>
      </w:pPr>
      <w:bookmarkStart w:id="51" w:name="_Toc118118195"/>
      <w:r>
        <w:rPr>
          <w:rStyle w:val="CharSectno"/>
        </w:rPr>
        <w:lastRenderedPageBreak/>
        <w:t>24</w:t>
      </w:r>
      <w:r>
        <w:rPr>
          <w:snapToGrid w:val="0"/>
        </w:rPr>
        <w:t>.</w:t>
      </w:r>
      <w:r>
        <w:rPr>
          <w:snapToGrid w:val="0"/>
        </w:rPr>
        <w:tab/>
        <w:t>People who submitted expression of interest to be notified of outcome</w:t>
      </w:r>
      <w:bookmarkEnd w:id="51"/>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keepNext/>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Gazette 29 Jun 2001 p. 3133.]</w:t>
      </w:r>
    </w:p>
    <w:p>
      <w:pPr>
        <w:pStyle w:val="Heading3"/>
      </w:pPr>
      <w:bookmarkStart w:id="52" w:name="_Toc118108512"/>
      <w:bookmarkStart w:id="53" w:name="_Toc118109133"/>
      <w:bookmarkStart w:id="54" w:name="_Toc118118196"/>
      <w:r>
        <w:rPr>
          <w:rStyle w:val="CharDivNo"/>
        </w:rPr>
        <w:t>Division 3</w:t>
      </w:r>
      <w:r>
        <w:t> — </w:t>
      </w:r>
      <w:r>
        <w:rPr>
          <w:rStyle w:val="CharDivText"/>
        </w:rPr>
        <w:t>Panels of pre</w:t>
      </w:r>
      <w:r>
        <w:rPr>
          <w:rStyle w:val="CharDivText"/>
        </w:rPr>
        <w:noBreakHyphen/>
        <w:t>qualified suppliers</w:t>
      </w:r>
      <w:bookmarkEnd w:id="52"/>
      <w:bookmarkEnd w:id="53"/>
      <w:bookmarkEnd w:id="54"/>
    </w:p>
    <w:p>
      <w:pPr>
        <w:pStyle w:val="Footnoteheading"/>
        <w:keepNext/>
      </w:pPr>
      <w:r>
        <w:tab/>
        <w:t>[Heading inserted: Gazette 18 Sep 2015 p. 3808.]</w:t>
      </w:r>
    </w:p>
    <w:p>
      <w:pPr>
        <w:pStyle w:val="Heading5"/>
      </w:pPr>
      <w:bookmarkStart w:id="55" w:name="_Toc118118197"/>
      <w:r>
        <w:rPr>
          <w:rStyle w:val="CharSectno"/>
        </w:rPr>
        <w:t>24AA</w:t>
      </w:r>
      <w:r>
        <w:t>.</w:t>
      </w:r>
      <w:r>
        <w:tab/>
        <w:t>Terms used</w:t>
      </w:r>
      <w:bookmarkEnd w:id="55"/>
    </w:p>
    <w:p>
      <w:pPr>
        <w:pStyle w:val="Subsection"/>
        <w:keepNext/>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keepNext/>
      </w:pPr>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 xml:space="preserve">[Regulation 24AA inserted: Gazette 18 Sep 2015 p. 3808.] </w:t>
      </w:r>
    </w:p>
    <w:p>
      <w:pPr>
        <w:pStyle w:val="Heading5"/>
      </w:pPr>
      <w:bookmarkStart w:id="56" w:name="_Toc118118198"/>
      <w:r>
        <w:rPr>
          <w:rStyle w:val="CharSectno"/>
        </w:rPr>
        <w:lastRenderedPageBreak/>
        <w:t>24AB</w:t>
      </w:r>
      <w:r>
        <w:t>.</w:t>
      </w:r>
      <w:r>
        <w:tab/>
        <w:t>Local government may establish panels of pre</w:t>
      </w:r>
      <w:r>
        <w:noBreakHyphen/>
        <w:t>qualified suppliers</w:t>
      </w:r>
      <w:bookmarkEnd w:id="56"/>
    </w:p>
    <w:p>
      <w:pPr>
        <w:pStyle w:val="Subsection"/>
        <w:keepNext/>
      </w:pPr>
      <w:r>
        <w:tab/>
      </w:r>
      <w:r>
        <w:tab/>
        <w:t>A local government may establish a panel of pre</w:t>
      </w:r>
      <w:r>
        <w:noBreakHyphen/>
        <w:t>qualified suppliers to supply particular goods or services to the local government in accordance with this Division.</w:t>
      </w:r>
    </w:p>
    <w:p>
      <w:pPr>
        <w:pStyle w:val="Footnotesection"/>
      </w:pPr>
      <w:r>
        <w:tab/>
        <w:t xml:space="preserve">[Regulation 24AB inserted: Gazette 18 Sep 2015 p. 3808.] </w:t>
      </w:r>
    </w:p>
    <w:p>
      <w:pPr>
        <w:pStyle w:val="Heading5"/>
      </w:pPr>
      <w:bookmarkStart w:id="57" w:name="_Toc118118199"/>
      <w:r>
        <w:rPr>
          <w:rStyle w:val="CharSectno"/>
        </w:rPr>
        <w:t>24AC</w:t>
      </w:r>
      <w:r>
        <w:t>.</w:t>
      </w:r>
      <w:r>
        <w:tab/>
        <w:t>Requirements before establishing panels of pre</w:t>
      </w:r>
      <w:r>
        <w:noBreakHyphen/>
        <w:t>qualified suppliers</w:t>
      </w:r>
      <w:bookmarkEnd w:id="57"/>
    </w:p>
    <w:p>
      <w:pPr>
        <w:pStyle w:val="Subsection"/>
        <w:keepNext/>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keepNext/>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tab/>
        <w:t>(d)</w:t>
      </w:r>
      <w:r>
        <w:tab/>
        <w:t>any factors that the local government will take into account when distributing work among pre</w:t>
      </w:r>
      <w:r>
        <w:noBreakHyphen/>
        <w:t>qualified suppliers; and</w:t>
      </w:r>
    </w:p>
    <w:p>
      <w:pPr>
        <w:pStyle w:val="Indenta"/>
        <w:keepNext/>
      </w:pPr>
      <w:r>
        <w:lastRenderedPageBreak/>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keepNext/>
      </w:pPr>
      <w:r>
        <w:tab/>
        <w:t>(ii)</w:t>
      </w:r>
      <w:r>
        <w:tab/>
        <w:t>all purchases made from pre</w:t>
      </w:r>
      <w:r>
        <w:noBreakHyphen/>
        <w:t>qualified suppliers.</w:t>
      </w:r>
    </w:p>
    <w:p>
      <w:pPr>
        <w:pStyle w:val="Footnotesection"/>
      </w:pPr>
      <w:r>
        <w:tab/>
        <w:t>[Regulation 24AC inserted: Gazette 18 Sep 2015 p. 3808</w:t>
      </w:r>
      <w:r>
        <w:noBreakHyphen/>
        <w:t xml:space="preserve">9.] </w:t>
      </w:r>
    </w:p>
    <w:p>
      <w:pPr>
        <w:pStyle w:val="Heading5"/>
      </w:pPr>
      <w:bookmarkStart w:id="58" w:name="_Toc118118200"/>
      <w:r>
        <w:rPr>
          <w:rStyle w:val="CharSectno"/>
        </w:rPr>
        <w:t>24AD</w:t>
      </w:r>
      <w:r>
        <w:t>.</w:t>
      </w:r>
      <w:r>
        <w:tab/>
        <w:t>Requirements when inviting persons to apply to join panel of pre</w:t>
      </w:r>
      <w:r>
        <w:noBreakHyphen/>
        <w:t>qualified suppliers</w:t>
      </w:r>
      <w:bookmarkEnd w:id="58"/>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keepNext/>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tab/>
        <w:t>(d)</w:t>
      </w:r>
      <w:r>
        <w:tab/>
        <w:t>the date and time after which applications to join the panel of pre</w:t>
      </w:r>
      <w:r>
        <w:noBreakHyphen/>
        <w:t>qualified suppliers cannot be submitted.</w:t>
      </w:r>
    </w:p>
    <w:p>
      <w:pPr>
        <w:pStyle w:val="Subsection"/>
        <w:keepNext/>
      </w:pPr>
      <w:r>
        <w:lastRenderedPageBreak/>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keepNext/>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 Gazette 18 Sep 2015 p. 3809</w:t>
      </w:r>
      <w:r>
        <w:noBreakHyphen/>
        <w:t xml:space="preserve">10.] </w:t>
      </w:r>
    </w:p>
    <w:p>
      <w:pPr>
        <w:pStyle w:val="Heading5"/>
      </w:pPr>
      <w:bookmarkStart w:id="59" w:name="_Toc118118201"/>
      <w:r>
        <w:rPr>
          <w:rStyle w:val="CharSectno"/>
        </w:rPr>
        <w:lastRenderedPageBreak/>
        <w:t>24AE</w:t>
      </w:r>
      <w:r>
        <w:t>.</w:t>
      </w:r>
      <w:r>
        <w:tab/>
        <w:t>Minimum time to be allowed for submitting application to join panel of pre</w:t>
      </w:r>
      <w:r>
        <w:noBreakHyphen/>
        <w:t>qualified suppliers</w:t>
      </w:r>
      <w:bookmarkEnd w:id="59"/>
    </w:p>
    <w:p>
      <w:pPr>
        <w:pStyle w:val="Subsection"/>
        <w:keepNext/>
      </w:pPr>
      <w:r>
        <w:tab/>
      </w:r>
      <w:r>
        <w:tab/>
        <w:t xml:space="preserve">If notice under regulation 24AD(2) is given, the date and time referred to in regulation 24AD(4)(d) has to be at least 14 days after the notice is — </w:t>
      </w:r>
    </w:p>
    <w:p>
      <w:pPr>
        <w:pStyle w:val="Indenta"/>
      </w:pPr>
      <w:r>
        <w:tab/>
        <w:t>(a)</w:t>
      </w:r>
      <w:r>
        <w:tab/>
        <w:t xml:space="preserve">published on the local government’s official website; and </w:t>
      </w:r>
    </w:p>
    <w:p>
      <w:pPr>
        <w:pStyle w:val="Indenta"/>
        <w:keepNext/>
      </w:pPr>
      <w:r>
        <w:tab/>
        <w:t>(b)</w:t>
      </w:r>
      <w:r>
        <w:tab/>
        <w:t xml:space="preserve">published in at least 3 of the ways prescribed in the </w:t>
      </w:r>
      <w:r>
        <w:rPr>
          <w:i/>
        </w:rPr>
        <w:t>Local Government (Administration) Regulations 1996</w:t>
      </w:r>
      <w:r>
        <w:t xml:space="preserve"> regulation 3A(2).</w:t>
      </w:r>
    </w:p>
    <w:p>
      <w:pPr>
        <w:pStyle w:val="Footnotesection"/>
      </w:pPr>
      <w:r>
        <w:tab/>
        <w:t xml:space="preserve">[Regulation 24AE inserted: Gazette 18 Sep 2015 p. 3810; amended: SL 2020/213 r. 38.] </w:t>
      </w:r>
    </w:p>
    <w:p>
      <w:pPr>
        <w:pStyle w:val="Heading5"/>
      </w:pPr>
      <w:bookmarkStart w:id="60" w:name="_Toc118118202"/>
      <w:r>
        <w:rPr>
          <w:rStyle w:val="CharSectno"/>
        </w:rPr>
        <w:t>24AF</w:t>
      </w:r>
      <w:r>
        <w:t>.</w:t>
      </w:r>
      <w:r>
        <w:tab/>
        <w:t>Procedure for receiving and opening applications</w:t>
      </w:r>
      <w:bookmarkEnd w:id="60"/>
    </w:p>
    <w:p>
      <w:pPr>
        <w:pStyle w:val="Subsection"/>
        <w:keepNext/>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 Gazette 18 Sep 2015 p. 3810.]</w:t>
      </w:r>
    </w:p>
    <w:p>
      <w:pPr>
        <w:pStyle w:val="Heading5"/>
      </w:pPr>
      <w:bookmarkStart w:id="61" w:name="_Toc118118203"/>
      <w:r>
        <w:rPr>
          <w:rStyle w:val="CharSectno"/>
        </w:rPr>
        <w:t>24AG</w:t>
      </w:r>
      <w:r>
        <w:t>.</w:t>
      </w:r>
      <w:r>
        <w:tab/>
        <w:t>Information about panels of pre</w:t>
      </w:r>
      <w:r>
        <w:noBreakHyphen/>
        <w:t>qualified suppliers to be included in tenders register</w:t>
      </w:r>
      <w:bookmarkEnd w:id="61"/>
    </w:p>
    <w:p>
      <w:pPr>
        <w:pStyle w:val="Subsection"/>
        <w:keepNext/>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keepNext/>
      </w:pPr>
      <w:r>
        <w:lastRenderedPageBreak/>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 xml:space="preserve">[Regulation 24AG inserted: Gazette 18 Sep 2015 p. 3811.] </w:t>
      </w:r>
    </w:p>
    <w:p>
      <w:pPr>
        <w:pStyle w:val="Heading5"/>
      </w:pPr>
      <w:bookmarkStart w:id="62" w:name="_Toc118118204"/>
      <w:r>
        <w:rPr>
          <w:rStyle w:val="CharSectno"/>
        </w:rPr>
        <w:t>24AH</w:t>
      </w:r>
      <w:r>
        <w:t>.</w:t>
      </w:r>
      <w:r>
        <w:tab/>
        <w:t>Rejecting and accepting applications to join panel of pre</w:t>
      </w:r>
      <w:r>
        <w:noBreakHyphen/>
        <w:t>qualified suppliers</w:t>
      </w:r>
      <w:bookmarkEnd w:id="62"/>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keepNext/>
      </w:pPr>
      <w:r>
        <w:tab/>
        <w:t>(5)</w:t>
      </w:r>
      <w:r>
        <w:tab/>
        <w:t>The local government may decline to accept any application.</w:t>
      </w:r>
    </w:p>
    <w:p>
      <w:pPr>
        <w:pStyle w:val="Footnotesection"/>
      </w:pPr>
      <w:r>
        <w:tab/>
        <w:t xml:space="preserve">[Regulation 24AH inserted: Gazette 18 Sep 2015 p. 3811.] </w:t>
      </w:r>
    </w:p>
    <w:p>
      <w:pPr>
        <w:pStyle w:val="Heading5"/>
      </w:pPr>
      <w:bookmarkStart w:id="63" w:name="_Toc118118205"/>
      <w:r>
        <w:rPr>
          <w:rStyle w:val="CharSectno"/>
        </w:rPr>
        <w:t>24AI</w:t>
      </w:r>
      <w:r>
        <w:t>.</w:t>
      </w:r>
      <w:r>
        <w:tab/>
        <w:t>Applicants to be notified of outcome</w:t>
      </w:r>
      <w:bookmarkEnd w:id="63"/>
    </w:p>
    <w:p>
      <w:pPr>
        <w:pStyle w:val="Subsection"/>
        <w:keepNext/>
      </w:pPr>
      <w:r>
        <w:tab/>
      </w:r>
      <w:r>
        <w:tab/>
        <w:t xml:space="preserve">After the local government has decided under regulation 24AH which applications (if any) it will accept, the CEO is to give </w:t>
      </w:r>
      <w:r>
        <w:lastRenderedPageBreak/>
        <w:t xml:space="preserve">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 xml:space="preserve">[Regulation 24AI inserted: Gazette 18 Sep 2015 p. 3812.] </w:t>
      </w:r>
    </w:p>
    <w:p>
      <w:pPr>
        <w:pStyle w:val="Heading5"/>
      </w:pPr>
      <w:bookmarkStart w:id="64" w:name="_Toc118118206"/>
      <w:r>
        <w:rPr>
          <w:rStyle w:val="CharSectno"/>
        </w:rPr>
        <w:t>24AJ</w:t>
      </w:r>
      <w:r>
        <w:t>.</w:t>
      </w:r>
      <w:r>
        <w:tab/>
        <w:t>Contracts with pre</w:t>
      </w:r>
      <w:r>
        <w:noBreakHyphen/>
        <w:t>qualified suppliers</w:t>
      </w:r>
      <w:bookmarkEnd w:id="64"/>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keepNext/>
      </w:pPr>
      <w:r>
        <w:tab/>
        <w:t>(2)</w:t>
      </w:r>
      <w:r>
        <w:tab/>
        <w:t xml:space="preserve">A contract referred to in subregulation (1) must not — </w:t>
      </w:r>
    </w:p>
    <w:p>
      <w:pPr>
        <w:pStyle w:val="Indenta"/>
      </w:pPr>
      <w:r>
        <w:tab/>
        <w:t>(a)</w:t>
      </w:r>
      <w:r>
        <w:tab/>
        <w:t>be for a term exceeding 12 months; or</w:t>
      </w:r>
    </w:p>
    <w:p>
      <w:pPr>
        <w:pStyle w:val="Indenta"/>
        <w:keepNext/>
      </w:pPr>
      <w:r>
        <w:tab/>
        <w:t>(b)</w:t>
      </w:r>
      <w:r>
        <w:tab/>
        <w:t>contain an option to renew or extend its term.</w:t>
      </w:r>
    </w:p>
    <w:p>
      <w:pPr>
        <w:pStyle w:val="Footnotesection"/>
      </w:pPr>
      <w:r>
        <w:tab/>
        <w:t xml:space="preserve">[Regulation 24AJ inserted: Gazette 18 Sep 2015 p. 3812.] </w:t>
      </w:r>
    </w:p>
    <w:p>
      <w:pPr>
        <w:pStyle w:val="Heading2"/>
      </w:pPr>
      <w:bookmarkStart w:id="65" w:name="_Toc118108523"/>
      <w:bookmarkStart w:id="66" w:name="_Toc118109144"/>
      <w:bookmarkStart w:id="67" w:name="_Toc118118207"/>
      <w:r>
        <w:rPr>
          <w:rStyle w:val="CharPartNo"/>
        </w:rPr>
        <w:lastRenderedPageBreak/>
        <w:t>Part 4A</w:t>
      </w:r>
      <w:r>
        <w:rPr>
          <w:rStyle w:val="CharDivNo"/>
        </w:rPr>
        <w:t xml:space="preserve"> </w:t>
      </w:r>
      <w:r>
        <w:t>—</w:t>
      </w:r>
      <w:r>
        <w:rPr>
          <w:rStyle w:val="CharDivText"/>
        </w:rPr>
        <w:t xml:space="preserve"> </w:t>
      </w:r>
      <w:r>
        <w:rPr>
          <w:rStyle w:val="CharPartText"/>
        </w:rPr>
        <w:t>Regional price preference</w:t>
      </w:r>
      <w:bookmarkEnd w:id="65"/>
      <w:bookmarkEnd w:id="66"/>
      <w:bookmarkEnd w:id="67"/>
    </w:p>
    <w:p>
      <w:pPr>
        <w:pStyle w:val="Footnoteheading"/>
      </w:pPr>
      <w:r>
        <w:tab/>
        <w:t>[Heading inserted: Gazette 25 Feb 2000 p. 971.]</w:t>
      </w:r>
    </w:p>
    <w:p>
      <w:pPr>
        <w:pStyle w:val="Heading5"/>
        <w:spacing w:before="180"/>
      </w:pPr>
      <w:bookmarkStart w:id="68" w:name="_Toc118118208"/>
      <w:r>
        <w:rPr>
          <w:rStyle w:val="CharSectno"/>
        </w:rPr>
        <w:t>24A</w:t>
      </w:r>
      <w:r>
        <w:t>.</w:t>
      </w:r>
      <w:r>
        <w:tab/>
        <w:t>Application of this Part</w:t>
      </w:r>
      <w:bookmarkEnd w:id="68"/>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Gazette 25 Feb 2000 p. 971.]</w:t>
      </w:r>
    </w:p>
    <w:p>
      <w:pPr>
        <w:pStyle w:val="Heading5"/>
        <w:spacing w:before="180"/>
      </w:pPr>
      <w:bookmarkStart w:id="69" w:name="_Toc118118209"/>
      <w:r>
        <w:rPr>
          <w:rStyle w:val="CharSectno"/>
        </w:rPr>
        <w:t>24B</w:t>
      </w:r>
      <w:r>
        <w:t>.</w:t>
      </w:r>
      <w:r>
        <w:tab/>
        <w:t>Terms used</w:t>
      </w:r>
      <w:bookmarkEnd w:id="69"/>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Gazette 25 Feb 2000 p. 971.]</w:t>
      </w:r>
    </w:p>
    <w:p>
      <w:pPr>
        <w:pStyle w:val="Heading5"/>
        <w:spacing w:before="180"/>
      </w:pPr>
      <w:bookmarkStart w:id="70" w:name="_Toc118118210"/>
      <w:r>
        <w:rPr>
          <w:rStyle w:val="CharSectno"/>
        </w:rPr>
        <w:t>24C</w:t>
      </w:r>
      <w:r>
        <w:t>.</w:t>
      </w:r>
      <w:r>
        <w:tab/>
        <w:t>Regional price preference may be given</w:t>
      </w:r>
      <w:bookmarkEnd w:id="70"/>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Gazette 25 Feb 2000 p. 971.]</w:t>
      </w:r>
    </w:p>
    <w:p>
      <w:pPr>
        <w:pStyle w:val="Heading5"/>
      </w:pPr>
      <w:bookmarkStart w:id="71" w:name="_Toc118118211"/>
      <w:r>
        <w:rPr>
          <w:rStyle w:val="CharSectno"/>
        </w:rPr>
        <w:lastRenderedPageBreak/>
        <w:t>24D</w:t>
      </w:r>
      <w:r>
        <w:t>.</w:t>
      </w:r>
      <w:r>
        <w:tab/>
        <w:t>Discounts permitted for regional price preferences</w:t>
      </w:r>
      <w:bookmarkEnd w:id="71"/>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Gazette 25 Feb 2000 p. 972.]</w:t>
      </w:r>
    </w:p>
    <w:p>
      <w:pPr>
        <w:pStyle w:val="Heading5"/>
      </w:pPr>
      <w:bookmarkStart w:id="72" w:name="_Toc118118212"/>
      <w:r>
        <w:rPr>
          <w:rStyle w:val="CharSectno"/>
        </w:rPr>
        <w:lastRenderedPageBreak/>
        <w:t>24E</w:t>
      </w:r>
      <w:r>
        <w:t>.</w:t>
      </w:r>
      <w:r>
        <w:tab/>
        <w:t>Regional price preference policies for local governments</w:t>
      </w:r>
      <w:bookmarkEnd w:id="72"/>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 and</w:t>
      </w:r>
    </w:p>
    <w:p>
      <w:pPr>
        <w:pStyle w:val="Indenta"/>
      </w:pPr>
      <w:r>
        <w:tab/>
        <w:t>(d)</w:t>
      </w:r>
      <w:r>
        <w:tab/>
        <w:t>publish the proposed regional price preference policy on the local government’s official website.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lastRenderedPageBreak/>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Gazette 25 Feb 2000 p. 972</w:t>
      </w:r>
      <w:r>
        <w:noBreakHyphen/>
        <w:t>3; amended: Gazette 31 Mar 2005 p. 1055; SL 2020/213 r. 39.]</w:t>
      </w:r>
    </w:p>
    <w:p>
      <w:pPr>
        <w:pStyle w:val="Heading5"/>
        <w:spacing w:before="180"/>
      </w:pPr>
      <w:bookmarkStart w:id="73" w:name="_Toc118118213"/>
      <w:r>
        <w:rPr>
          <w:rStyle w:val="CharSectno"/>
        </w:rPr>
        <w:t>24F</w:t>
      </w:r>
      <w:r>
        <w:t>.</w:t>
      </w:r>
      <w:r>
        <w:tab/>
        <w:t>Adoption and notice of regional price preference policy</w:t>
      </w:r>
      <w:bookmarkEnd w:id="73"/>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spacing w:before="60"/>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lastRenderedPageBreak/>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pPr>
      <w:r>
        <w:tab/>
        <w:t>(b)</w:t>
      </w:r>
      <w:r>
        <w:tab/>
        <w:t>published on the local government’s official website.</w:t>
      </w:r>
    </w:p>
    <w:p>
      <w:pPr>
        <w:pStyle w:val="Footnotesection"/>
      </w:pPr>
      <w:r>
        <w:tab/>
        <w:t>[Regulation 24F inserted: Gazette 25 Feb 2000 p. 973</w:t>
      </w:r>
      <w:r>
        <w:noBreakHyphen/>
        <w:t>4; amended: Gazette 31 Mar 2005 p. 1055; SL 2020/213 r. 40.]</w:t>
      </w:r>
    </w:p>
    <w:p>
      <w:pPr>
        <w:pStyle w:val="Heading5"/>
      </w:pPr>
      <w:bookmarkStart w:id="74" w:name="_Toc118118214"/>
      <w:r>
        <w:rPr>
          <w:rStyle w:val="CharSectno"/>
        </w:rPr>
        <w:t>24G</w:t>
      </w:r>
      <w:r>
        <w:t>.</w:t>
      </w:r>
      <w:r>
        <w:tab/>
        <w:t>Adopted regional price preference policy, effect of</w:t>
      </w:r>
      <w:bookmarkEnd w:id="74"/>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Gazette 25 Feb 2000 p. 974.]</w:t>
      </w:r>
    </w:p>
    <w:p>
      <w:pPr>
        <w:pStyle w:val="Ednotepart"/>
      </w:pPr>
      <w:r>
        <w:t>[Part 4B (r. 24H-24I) deleted: Gazette 27 Sep 2011 p. 3846.]</w:t>
      </w:r>
    </w:p>
    <w:p>
      <w:pPr>
        <w:pStyle w:val="Heading2"/>
      </w:pPr>
      <w:bookmarkStart w:id="75" w:name="_Toc118108531"/>
      <w:bookmarkStart w:id="76" w:name="_Toc118109152"/>
      <w:bookmarkStart w:id="77" w:name="_Toc118118215"/>
      <w:r>
        <w:rPr>
          <w:rStyle w:val="CharPartNo"/>
        </w:rPr>
        <w:lastRenderedPageBreak/>
        <w:t>Part 5</w:t>
      </w:r>
      <w:r>
        <w:rPr>
          <w:rStyle w:val="CharDivNo"/>
        </w:rPr>
        <w:t> </w:t>
      </w:r>
      <w:r>
        <w:t>—</w:t>
      </w:r>
      <w:r>
        <w:rPr>
          <w:rStyle w:val="CharDivText"/>
        </w:rPr>
        <w:t> </w:t>
      </w:r>
      <w:r>
        <w:rPr>
          <w:rStyle w:val="CharPartText"/>
        </w:rPr>
        <w:t>Owner onus and infringement notices</w:t>
      </w:r>
      <w:bookmarkEnd w:id="75"/>
      <w:bookmarkEnd w:id="76"/>
      <w:bookmarkEnd w:id="77"/>
    </w:p>
    <w:p>
      <w:pPr>
        <w:pStyle w:val="Heading5"/>
        <w:ind w:right="376"/>
        <w:rPr>
          <w:snapToGrid w:val="0"/>
        </w:rPr>
      </w:pPr>
      <w:bookmarkStart w:id="78" w:name="_Toc118118216"/>
      <w:r>
        <w:rPr>
          <w:rStyle w:val="CharSectno"/>
        </w:rPr>
        <w:t>25</w:t>
      </w:r>
      <w:r>
        <w:rPr>
          <w:snapToGrid w:val="0"/>
        </w:rPr>
        <w:t>.</w:t>
      </w:r>
      <w:r>
        <w:rPr>
          <w:snapToGrid w:val="0"/>
        </w:rPr>
        <w:tab/>
        <w:t>Notice to put onus on vehicle owner, form of (Act s. 9.13)</w:t>
      </w:r>
      <w:bookmarkEnd w:id="78"/>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79" w:name="_Toc118118217"/>
      <w:r>
        <w:rPr>
          <w:rStyle w:val="CharSectno"/>
        </w:rPr>
        <w:t>26</w:t>
      </w:r>
      <w:r>
        <w:rPr>
          <w:snapToGrid w:val="0"/>
        </w:rPr>
        <w:t>.</w:t>
      </w:r>
      <w:r>
        <w:rPr>
          <w:snapToGrid w:val="0"/>
        </w:rPr>
        <w:tab/>
        <w:t>Infringement notice, form of (Act s. 9.16)</w:t>
      </w:r>
      <w:bookmarkEnd w:id="79"/>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80" w:name="_Toc118118218"/>
      <w:r>
        <w:rPr>
          <w:rStyle w:val="CharSectno"/>
        </w:rPr>
        <w:t>27</w:t>
      </w:r>
      <w:r>
        <w:rPr>
          <w:snapToGrid w:val="0"/>
        </w:rPr>
        <w:t>.</w:t>
      </w:r>
      <w:r>
        <w:rPr>
          <w:snapToGrid w:val="0"/>
        </w:rPr>
        <w:tab/>
        <w:t>Withdrawal of infringement notice, form of (Act s. 9.20)</w:t>
      </w:r>
      <w:bookmarkEnd w:id="80"/>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81" w:name="_Toc118108535"/>
      <w:bookmarkStart w:id="82" w:name="_Toc118109156"/>
      <w:bookmarkStart w:id="83" w:name="_Toc118118219"/>
      <w:r>
        <w:rPr>
          <w:rStyle w:val="CharPartNo"/>
        </w:rPr>
        <w:lastRenderedPageBreak/>
        <w:t>Part 6</w:t>
      </w:r>
      <w:r>
        <w:rPr>
          <w:rStyle w:val="CharDivNo"/>
        </w:rPr>
        <w:t> </w:t>
      </w:r>
      <w:r>
        <w:t>—</w:t>
      </w:r>
      <w:r>
        <w:rPr>
          <w:rStyle w:val="CharDivText"/>
        </w:rPr>
        <w:t> </w:t>
      </w:r>
      <w:r>
        <w:rPr>
          <w:rStyle w:val="CharPartText"/>
        </w:rPr>
        <w:t>Miscellaneous</w:t>
      </w:r>
      <w:bookmarkEnd w:id="81"/>
      <w:bookmarkEnd w:id="82"/>
      <w:bookmarkEnd w:id="83"/>
    </w:p>
    <w:p>
      <w:pPr>
        <w:pStyle w:val="Heading5"/>
        <w:ind w:right="856"/>
        <w:rPr>
          <w:snapToGrid w:val="0"/>
        </w:rPr>
      </w:pPr>
      <w:bookmarkStart w:id="84" w:name="_Toc118118220"/>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84"/>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Gazette 29 Apr 1997 p. 2145; 25 Feb 2000 p. 974.]</w:t>
      </w:r>
    </w:p>
    <w:p>
      <w:pPr>
        <w:pStyle w:val="Heading5"/>
      </w:pPr>
      <w:bookmarkStart w:id="85" w:name="_Toc118118221"/>
      <w:r>
        <w:rPr>
          <w:rStyle w:val="CharSectno"/>
        </w:rPr>
        <w:t>29A</w:t>
      </w:r>
      <w:r>
        <w:t>.</w:t>
      </w:r>
      <w:r>
        <w:tab/>
        <w:t xml:space="preserve">Abandoned vehicle wrecks, value etc. prescribed for </w:t>
      </w:r>
      <w:r>
        <w:rPr>
          <w:snapToGrid w:val="0"/>
        </w:rPr>
        <w:t>(Act </w:t>
      </w:r>
      <w:r>
        <w:t>s. 3.40A(5)(c))</w:t>
      </w:r>
      <w:bookmarkEnd w:id="85"/>
    </w:p>
    <w:p>
      <w:pPr>
        <w:pStyle w:val="Subsection"/>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lastRenderedPageBreak/>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Gazette 31 Mar 2005 p. 1058; amended: Gazette 27 Sep 2011 p. 3846; 18 Sep 2015 p. 3812.]</w:t>
      </w:r>
    </w:p>
    <w:p>
      <w:pPr>
        <w:pStyle w:val="Heading5"/>
      </w:pPr>
      <w:bookmarkStart w:id="86" w:name="_Toc118118222"/>
      <w:r>
        <w:rPr>
          <w:rStyle w:val="CharSectno"/>
        </w:rPr>
        <w:t>29B</w:t>
      </w:r>
      <w:r>
        <w:t>.</w:t>
      </w:r>
      <w:r>
        <w:tab/>
        <w:t>Prescribed non</w:t>
      </w:r>
      <w:r>
        <w:noBreakHyphen/>
        <w:t xml:space="preserve">perishable goods </w:t>
      </w:r>
      <w:r>
        <w:rPr>
          <w:snapToGrid w:val="0"/>
        </w:rPr>
        <w:t>(Act </w:t>
      </w:r>
      <w:r>
        <w:t>s. 3.47(2b)(ca))</w:t>
      </w:r>
      <w:bookmarkEnd w:id="86"/>
    </w:p>
    <w:p>
      <w:pPr>
        <w:pStyle w:val="Subsection"/>
      </w:pPr>
      <w:r>
        <w:tab/>
      </w:r>
      <w:r>
        <w:tab/>
        <w:t>For the purposes of section 3.47(2b)(ca) of the Act, shopping trolleys are prescribed non</w:t>
      </w:r>
      <w:r>
        <w:noBreakHyphen/>
        <w:t>perishable goods.</w:t>
      </w:r>
    </w:p>
    <w:p>
      <w:pPr>
        <w:pStyle w:val="Footnotesection"/>
      </w:pPr>
      <w:r>
        <w:tab/>
        <w:t>[Regulation 29B inserted: Gazette 20 Nov 2009 p. 4660.]</w:t>
      </w:r>
    </w:p>
    <w:p>
      <w:pPr>
        <w:pStyle w:val="Heading5"/>
        <w:rPr>
          <w:snapToGrid w:val="0"/>
        </w:rPr>
      </w:pPr>
      <w:bookmarkStart w:id="87" w:name="_Toc118118223"/>
      <w:r>
        <w:rPr>
          <w:rStyle w:val="CharSectno"/>
        </w:rPr>
        <w:t>30</w:t>
      </w:r>
      <w:r>
        <w:rPr>
          <w:snapToGrid w:val="0"/>
        </w:rPr>
        <w:t>.</w:t>
      </w:r>
      <w:r>
        <w:rPr>
          <w:snapToGrid w:val="0"/>
        </w:rPr>
        <w:tab/>
        <w:t>Dispositions of property excluded from Act s. 3.58</w:t>
      </w:r>
      <w:bookmarkEnd w:id="87"/>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(Western Australia)</w:t>
      </w:r>
      <w:r>
        <w:t xml:space="preserve"> in the medical profession to be used for carrying on his or her medical practice; or</w:t>
      </w:r>
    </w:p>
    <w:p>
      <w:pPr>
        <w:pStyle w:val="Indenta"/>
        <w:rPr>
          <w:snapToGrid w:val="0"/>
        </w:rPr>
      </w:pPr>
      <w:r>
        <w:tab/>
        <w:t>(g)</w:t>
      </w:r>
      <w:r>
        <w:tab/>
        <w:t>it is the leasing of residential property to a person.</w:t>
      </w:r>
    </w:p>
    <w:p>
      <w:pPr>
        <w:pStyle w:val="Subsection"/>
      </w:pPr>
      <w:r>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 xml:space="preserve">the subject of Statewide public notice under section 3.59(4) of the Act, and if the business plan referred to in that notice described the property </w:t>
      </w:r>
      <w:r>
        <w:lastRenderedPageBreak/>
        <w:t>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 xml:space="preserve">Details of a disposition of property under subregulation (2a) must, for a period of 1 year beginning on the day of the initial auction or tender — </w:t>
      </w:r>
    </w:p>
    <w:p>
      <w:pPr>
        <w:pStyle w:val="Indenta"/>
      </w:pPr>
      <w:r>
        <w:tab/>
        <w:t>(a)</w:t>
      </w:r>
      <w:r>
        <w:tab/>
        <w:t>be made available for public inspection; and</w:t>
      </w:r>
    </w:p>
    <w:p>
      <w:pPr>
        <w:pStyle w:val="Indenta"/>
      </w:pPr>
      <w:r>
        <w:tab/>
        <w:t>(b)</w:t>
      </w:r>
      <w:r>
        <w:tab/>
        <w:t>be published on the local government’s official website.</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pPr>
      <w:r>
        <w:tab/>
        <w:t>(b)</w:t>
      </w:r>
      <w:r>
        <w:tab/>
        <w:t>the entire consideration received by the local government for the disposition is used to purchase other property, and where the total consideration for the other property is not more, or worth more, than $75 000.</w:t>
      </w:r>
    </w:p>
    <w:p>
      <w:pPr>
        <w:pStyle w:val="Footnotesection"/>
      </w:pPr>
      <w:r>
        <w:tab/>
        <w:t>[Regulation 30 amended: Gazette 25 Feb 2000 p. 974</w:t>
      </w:r>
      <w:r>
        <w:noBreakHyphen/>
        <w:t>5; 28 Apr 2000 p. 2041; 31 Mar 2005 p. 1055</w:t>
      </w:r>
      <w:r>
        <w:noBreakHyphen/>
        <w:t>6; 27 Sep 2011 p. 3846; 18 Sep 2015 p. 3812; SL 2020/213 r. 41.]</w:t>
      </w:r>
    </w:p>
    <w:p>
      <w:pPr>
        <w:pStyle w:val="Heading5"/>
        <w:rPr>
          <w:snapToGrid w:val="0"/>
        </w:rPr>
      </w:pPr>
      <w:bookmarkStart w:id="88" w:name="_Toc118118224"/>
      <w:r>
        <w:rPr>
          <w:rStyle w:val="CharSectno"/>
        </w:rPr>
        <w:t>31</w:t>
      </w:r>
      <w:r>
        <w:rPr>
          <w:snapToGrid w:val="0"/>
        </w:rPr>
        <w:t>.</w:t>
      </w:r>
      <w:r>
        <w:rPr>
          <w:snapToGrid w:val="0"/>
        </w:rPr>
        <w:tab/>
        <w:t>Anti</w:t>
      </w:r>
      <w:r>
        <w:rPr>
          <w:snapToGrid w:val="0"/>
        </w:rPr>
        <w:noBreakHyphen/>
        <w:t>avoidance provision for Act s. 3.58</w:t>
      </w:r>
      <w:bookmarkEnd w:id="88"/>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89" w:name="_Toc118118225"/>
      <w:r>
        <w:rPr>
          <w:rStyle w:val="CharSectno"/>
        </w:rPr>
        <w:lastRenderedPageBreak/>
        <w:t>32</w:t>
      </w:r>
      <w:r>
        <w:rPr>
          <w:snapToGrid w:val="0"/>
        </w:rPr>
        <w:t>.</w:t>
      </w:r>
      <w:r>
        <w:rPr>
          <w:snapToGrid w:val="0"/>
        </w:rPr>
        <w:tab/>
      </w:r>
      <w:r>
        <w:t>Local government permitted to form bodies corporate (Act s. 3.60)</w:t>
      </w:r>
      <w:bookmarkEnd w:id="89"/>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pPr>
        <w:pStyle w:val="Subsection"/>
      </w:pPr>
      <w:r>
        <w:tab/>
        <w:t>(2)</w:t>
      </w:r>
      <w:r>
        <w:tab/>
        <w:t xml:space="preserve">A local government may form or take part in forming a body corporate established under — </w:t>
      </w:r>
    </w:p>
    <w:p>
      <w:pPr>
        <w:pStyle w:val="Indenta"/>
      </w:pPr>
      <w:r>
        <w:tab/>
        <w:t>(a)</w:t>
      </w:r>
      <w:r>
        <w:tab/>
        <w:t xml:space="preserve">the </w:t>
      </w:r>
      <w:r>
        <w:rPr>
          <w:i/>
        </w:rPr>
        <w:t>Strata Titles Act 1985</w:t>
      </w:r>
      <w:r>
        <w:t xml:space="preserve"> section 14(1); or</w:t>
      </w:r>
    </w:p>
    <w:p>
      <w:pPr>
        <w:pStyle w:val="Indenta"/>
      </w:pPr>
      <w:r>
        <w:tab/>
        <w:t>(b)</w:t>
      </w:r>
      <w:r>
        <w:tab/>
        <w:t xml:space="preserve">the </w:t>
      </w:r>
      <w:r>
        <w:rPr>
          <w:i/>
        </w:rPr>
        <w:t>Community Titles Act 2018</w:t>
      </w:r>
      <w:r>
        <w:t xml:space="preserve"> section 17(1).</w:t>
      </w:r>
    </w:p>
    <w:p>
      <w:pPr>
        <w:pStyle w:val="Footnotesection"/>
      </w:pPr>
      <w:r>
        <w:tab/>
        <w:t>[Regulation 32 amended: Gazette 4 Dec 1998 p. 6500; 30 Dec 2016 p. 5970; 31 Dec 2019 p. 4649; SL 2021/75 r. 4.]</w:t>
      </w:r>
    </w:p>
    <w:p>
      <w:pPr>
        <w:pStyle w:val="Heading5"/>
      </w:pPr>
      <w:bookmarkStart w:id="90" w:name="_Toc118118226"/>
      <w:r>
        <w:rPr>
          <w:rStyle w:val="CharSectno"/>
        </w:rPr>
        <w:t>32A</w:t>
      </w:r>
      <w:r>
        <w:t>.</w:t>
      </w:r>
      <w:r>
        <w:tab/>
        <w:t xml:space="preserve">Excluded authorisations </w:t>
      </w:r>
      <w:r>
        <w:rPr>
          <w:snapToGrid w:val="0"/>
        </w:rPr>
        <w:t>(Act </w:t>
      </w:r>
      <w:r>
        <w:t>s. 9.2)</w:t>
      </w:r>
      <w:bookmarkEnd w:id="90"/>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 xml:space="preserve">by virtue of that authority, a reasonable expectation of the enjoyment (or the continued </w:t>
      </w:r>
      <w:r>
        <w:lastRenderedPageBreak/>
        <w:t>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Gazette 25 Feb 2000 p. 975</w:t>
      </w:r>
      <w:r>
        <w:noBreakHyphen/>
        <w:t>6; amended: Gazette 27 Sep 2011 p. 3846-7.]</w:t>
      </w:r>
    </w:p>
    <w:p>
      <w:pPr>
        <w:pStyle w:val="Heading5"/>
        <w:rPr>
          <w:snapToGrid w:val="0"/>
        </w:rPr>
      </w:pPr>
      <w:bookmarkStart w:id="91" w:name="_Toc118118227"/>
      <w:r>
        <w:rPr>
          <w:rStyle w:val="CharSectno"/>
        </w:rPr>
        <w:t>33</w:t>
      </w:r>
      <w:r>
        <w:rPr>
          <w:snapToGrid w:val="0"/>
        </w:rPr>
        <w:t>.</w:t>
      </w:r>
      <w:r>
        <w:rPr>
          <w:snapToGrid w:val="0"/>
        </w:rPr>
        <w:tab/>
        <w:t>Objections to decisions, form of etc. prescribed (Act s. 9.5)</w:t>
      </w:r>
      <w:bookmarkEnd w:id="91"/>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92" w:name="_Toc118118228"/>
      <w:r>
        <w:rPr>
          <w:rStyle w:val="CharSectno"/>
        </w:rPr>
        <w:t>34</w:t>
      </w:r>
      <w:r>
        <w:t>.</w:t>
      </w:r>
      <w:r>
        <w:tab/>
        <w:t>Common seal, unauthorised use of</w:t>
      </w:r>
      <w:bookmarkEnd w:id="92"/>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Gazette 27 Sep 2011 p. 3846.]</w:t>
      </w:r>
    </w:p>
    <w:p>
      <w:pPr>
        <w:pStyle w:val="Heading5"/>
        <w:rPr>
          <w:snapToGrid w:val="0"/>
        </w:rPr>
      </w:pPr>
      <w:bookmarkStart w:id="93" w:name="_Toc118118229"/>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93"/>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94" w:name="_Toc118118230"/>
      <w:r>
        <w:rPr>
          <w:rStyle w:val="CharSectno"/>
        </w:rPr>
        <w:lastRenderedPageBreak/>
        <w:t>35A</w:t>
      </w:r>
      <w:r>
        <w:t>.</w:t>
      </w:r>
      <w:r>
        <w:tab/>
        <w:t xml:space="preserve">Delegable functions of Minister </w:t>
      </w:r>
      <w:r>
        <w:rPr>
          <w:snapToGrid w:val="0"/>
        </w:rPr>
        <w:t>(Act </w:t>
      </w:r>
      <w:r>
        <w:t>s. 9.66)</w:t>
      </w:r>
      <w:bookmarkEnd w:id="94"/>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Gazette 28 Jun 2002 p. 3082; amended: Gazette 27 Sep 2011 p. 3846.]</w:t>
      </w:r>
    </w:p>
    <w:p>
      <w:pPr>
        <w:pStyle w:val="Heading5"/>
      </w:pPr>
      <w:bookmarkStart w:id="95" w:name="_Toc118118231"/>
      <w:r>
        <w:rPr>
          <w:rStyle w:val="CharSectno"/>
        </w:rPr>
        <w:t>35B</w:t>
      </w:r>
      <w:r>
        <w:t>.</w:t>
      </w:r>
      <w:r>
        <w:tab/>
        <w:t>Delegable functions of Departmental CEO (Act s. 9.67)</w:t>
      </w:r>
      <w:bookmarkEnd w:id="95"/>
    </w:p>
    <w:p>
      <w:pPr>
        <w:pStyle w:val="Subsection"/>
      </w:pPr>
      <w:r>
        <w:tab/>
      </w:r>
      <w:r>
        <w:tab/>
        <w:t xml:space="preserve">The Departmental CEO’s functions under the provisions of the Act that are listed in the Table are </w:t>
      </w:r>
      <w:r>
        <w:rPr>
          <w:szCs w:val="24"/>
        </w:rPr>
        <w:t>delegable functions.</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19"/>
        <w:gridCol w:w="2892"/>
      </w:tblGrid>
      <w:tr>
        <w:tc>
          <w:tcPr>
            <w:tcW w:w="2919" w:type="dxa"/>
          </w:tcPr>
          <w:p>
            <w:pPr>
              <w:pStyle w:val="TableNAm"/>
            </w:pPr>
            <w:r>
              <w:rPr>
                <w:szCs w:val="24"/>
              </w:rPr>
              <w:t>s. 5.108(1)</w:t>
            </w:r>
          </w:p>
        </w:tc>
        <w:tc>
          <w:tcPr>
            <w:tcW w:w="2892" w:type="dxa"/>
          </w:tcPr>
          <w:p>
            <w:pPr>
              <w:pStyle w:val="TableNAm"/>
            </w:pPr>
            <w:r>
              <w:rPr>
                <w:szCs w:val="24"/>
              </w:rPr>
              <w:t>s. 5.112(1), (2), (3) and (4)</w:t>
            </w:r>
          </w:p>
        </w:tc>
      </w:tr>
      <w:tr>
        <w:tc>
          <w:tcPr>
            <w:tcW w:w="2919" w:type="dxa"/>
          </w:tcPr>
          <w:p>
            <w:pPr>
              <w:pStyle w:val="TableNAm"/>
            </w:pPr>
            <w:r>
              <w:rPr>
                <w:szCs w:val="24"/>
              </w:rPr>
              <w:t>s. 5.116(1), (2), (3) and (5)</w:t>
            </w:r>
          </w:p>
        </w:tc>
        <w:tc>
          <w:tcPr>
            <w:tcW w:w="2892" w:type="dxa"/>
          </w:tcPr>
          <w:p>
            <w:pPr>
              <w:pStyle w:val="TableNAm"/>
            </w:pPr>
            <w:r>
              <w:rPr>
                <w:szCs w:val="24"/>
              </w:rPr>
              <w:t>s. 5.117(4) and (5)</w:t>
            </w:r>
          </w:p>
        </w:tc>
      </w:tr>
      <w:tr>
        <w:tc>
          <w:tcPr>
            <w:tcW w:w="2919" w:type="dxa"/>
          </w:tcPr>
          <w:p>
            <w:pPr>
              <w:pStyle w:val="TableNAm"/>
            </w:pPr>
            <w:r>
              <w:rPr>
                <w:szCs w:val="24"/>
              </w:rPr>
              <w:t>s. 5.118(2)</w:t>
            </w:r>
          </w:p>
        </w:tc>
        <w:tc>
          <w:tcPr>
            <w:tcW w:w="2892" w:type="dxa"/>
          </w:tcPr>
          <w:p>
            <w:pPr>
              <w:pStyle w:val="TableNAm"/>
            </w:pPr>
            <w:r>
              <w:rPr>
                <w:szCs w:val="24"/>
              </w:rPr>
              <w:t>s. 8.2(1)</w:t>
            </w:r>
          </w:p>
        </w:tc>
      </w:tr>
      <w:tr>
        <w:tc>
          <w:tcPr>
            <w:tcW w:w="2919" w:type="dxa"/>
          </w:tcPr>
          <w:p>
            <w:pPr>
              <w:pStyle w:val="TableNAm"/>
            </w:pPr>
            <w:r>
              <w:rPr>
                <w:szCs w:val="24"/>
              </w:rPr>
              <w:t>s. 8.3(1), (2) and (4)</w:t>
            </w:r>
          </w:p>
        </w:tc>
        <w:tc>
          <w:tcPr>
            <w:tcW w:w="2892" w:type="dxa"/>
          </w:tcPr>
          <w:p>
            <w:pPr>
              <w:pStyle w:val="TableNAm"/>
            </w:pPr>
            <w:r>
              <w:rPr>
                <w:szCs w:val="24"/>
              </w:rPr>
              <w:t>s. 8.4(4)</w:t>
            </w:r>
          </w:p>
        </w:tc>
      </w:tr>
      <w:tr>
        <w:tc>
          <w:tcPr>
            <w:tcW w:w="2919" w:type="dxa"/>
          </w:tcPr>
          <w:p>
            <w:pPr>
              <w:pStyle w:val="TableNAm"/>
            </w:pPr>
            <w:r>
              <w:rPr>
                <w:szCs w:val="24"/>
              </w:rPr>
              <w:t>s. 8.13(4)</w:t>
            </w:r>
          </w:p>
        </w:tc>
        <w:tc>
          <w:tcPr>
            <w:tcW w:w="2892" w:type="dxa"/>
          </w:tcPr>
          <w:p>
            <w:pPr>
              <w:pStyle w:val="TableNAm"/>
            </w:pPr>
            <w:r>
              <w:rPr>
                <w:szCs w:val="24"/>
              </w:rPr>
              <w:t>s. 8.14(1) and (2)</w:t>
            </w:r>
          </w:p>
        </w:tc>
      </w:tr>
      <w:tr>
        <w:tc>
          <w:tcPr>
            <w:tcW w:w="2919" w:type="dxa"/>
          </w:tcPr>
          <w:p>
            <w:pPr>
              <w:pStyle w:val="TableNAm"/>
              <w:rPr>
                <w:szCs w:val="24"/>
              </w:rPr>
            </w:pPr>
            <w:r>
              <w:rPr>
                <w:szCs w:val="24"/>
              </w:rPr>
              <w:t>s. 8.36(1)</w:t>
            </w:r>
          </w:p>
        </w:tc>
        <w:tc>
          <w:tcPr>
            <w:tcW w:w="2892" w:type="dxa"/>
          </w:tcPr>
          <w:p>
            <w:pPr>
              <w:pStyle w:val="TableNAm"/>
              <w:rPr>
                <w:szCs w:val="24"/>
              </w:rPr>
            </w:pPr>
            <w:r>
              <w:rPr>
                <w:szCs w:val="24"/>
              </w:rPr>
              <w:t>s. 8.41(2)</w:t>
            </w:r>
          </w:p>
        </w:tc>
      </w:tr>
      <w:tr>
        <w:tc>
          <w:tcPr>
            <w:tcW w:w="2919" w:type="dxa"/>
          </w:tcPr>
          <w:p>
            <w:pPr>
              <w:pStyle w:val="TableNAm"/>
              <w:rPr>
                <w:szCs w:val="24"/>
              </w:rPr>
            </w:pPr>
            <w:r>
              <w:rPr>
                <w:szCs w:val="24"/>
              </w:rPr>
              <w:t>s. 8.43(2)</w:t>
            </w:r>
          </w:p>
        </w:tc>
        <w:tc>
          <w:tcPr>
            <w:tcW w:w="2892" w:type="dxa"/>
          </w:tcPr>
          <w:p>
            <w:pPr>
              <w:pStyle w:val="TableNAm"/>
              <w:rPr>
                <w:szCs w:val="24"/>
              </w:rPr>
            </w:pPr>
            <w:r>
              <w:rPr>
                <w:szCs w:val="24"/>
              </w:rPr>
              <w:t>Sch. 9.3 cl. 51(3) and (7)</w:t>
            </w:r>
          </w:p>
        </w:tc>
      </w:tr>
    </w:tbl>
    <w:p>
      <w:pPr>
        <w:pStyle w:val="Footnotesection"/>
      </w:pPr>
      <w:r>
        <w:tab/>
        <w:t>[Regulation 35B inserted: Gazette 8 Dec 2017 p. 5845.]</w:t>
      </w:r>
    </w:p>
    <w:p>
      <w:pPr>
        <w:pStyle w:val="Heading5"/>
        <w:rPr>
          <w:snapToGrid w:val="0"/>
        </w:rPr>
      </w:pPr>
      <w:bookmarkStart w:id="96" w:name="_Toc118118232"/>
      <w:r>
        <w:rPr>
          <w:rStyle w:val="CharSectno"/>
        </w:rPr>
        <w:lastRenderedPageBreak/>
        <w:t>36</w:t>
      </w:r>
      <w:r>
        <w:rPr>
          <w:snapToGrid w:val="0"/>
        </w:rPr>
        <w:t>.</w:t>
      </w:r>
      <w:r>
        <w:rPr>
          <w:snapToGrid w:val="0"/>
        </w:rPr>
        <w:tab/>
        <w:t>Warrant to enter, form of (Act s. 3.33(1) and 8.8(1))</w:t>
      </w:r>
      <w:bookmarkEnd w:id="96"/>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97" w:name="_Toc118108549"/>
      <w:bookmarkStart w:id="98" w:name="_Toc118109170"/>
      <w:bookmarkStart w:id="99" w:name="_Toc118118233"/>
      <w:r>
        <w:rPr>
          <w:rStyle w:val="CharPartNo"/>
        </w:rPr>
        <w:lastRenderedPageBreak/>
        <w:t>Part 7</w:t>
      </w:r>
      <w:r>
        <w:rPr>
          <w:rStyle w:val="CharDivNo"/>
        </w:rPr>
        <w:t> </w:t>
      </w:r>
      <w:r>
        <w:t>—</w:t>
      </w:r>
      <w:r>
        <w:rPr>
          <w:rStyle w:val="CharDivText"/>
        </w:rPr>
        <w:t> </w:t>
      </w:r>
      <w:r>
        <w:rPr>
          <w:rStyle w:val="CharPartText"/>
        </w:rPr>
        <w:t>Other transitional provisions</w:t>
      </w:r>
      <w:bookmarkEnd w:id="97"/>
      <w:bookmarkEnd w:id="98"/>
      <w:bookmarkEnd w:id="99"/>
    </w:p>
    <w:p>
      <w:pPr>
        <w:pStyle w:val="Ednotesection"/>
        <w:ind w:left="890" w:hanging="890"/>
      </w:pPr>
      <w:r>
        <w:t>[</w:t>
      </w:r>
      <w:r>
        <w:rPr>
          <w:b/>
          <w:bCs/>
        </w:rPr>
        <w:t>37.</w:t>
      </w:r>
      <w:r>
        <w:tab/>
      </w:r>
      <w:r>
        <w:rPr>
          <w:snapToGrid/>
        </w:rPr>
        <w:t>Omitted under the Reprints Act 1984 s. 7(4)(e).]</w:t>
      </w:r>
    </w:p>
    <w:p>
      <w:pPr>
        <w:pStyle w:val="Heading5"/>
        <w:rPr>
          <w:snapToGrid w:val="0"/>
        </w:rPr>
      </w:pPr>
      <w:bookmarkStart w:id="100" w:name="_Toc118118234"/>
      <w:r>
        <w:rPr>
          <w:rStyle w:val="CharSectno"/>
        </w:rPr>
        <w:t>38</w:t>
      </w:r>
      <w:r>
        <w:t>.</w:t>
      </w:r>
      <w:r>
        <w:rPr>
          <w:snapToGrid w:val="0"/>
        </w:rPr>
        <w:tab/>
        <w:t>Adopting former model by</w:t>
      </w:r>
      <w:r>
        <w:rPr>
          <w:snapToGrid w:val="0"/>
        </w:rPr>
        <w:noBreakHyphen/>
        <w:t>laws as local laws (Act s. 3.8(2) and (3))</w:t>
      </w:r>
      <w:bookmarkEnd w:id="100"/>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01" w:name="_Toc118108551"/>
      <w:bookmarkStart w:id="102" w:name="_Toc118109172"/>
      <w:bookmarkStart w:id="103" w:name="_Toc118118235"/>
      <w:r>
        <w:rPr>
          <w:rStyle w:val="CharSchNo"/>
        </w:rPr>
        <w:lastRenderedPageBreak/>
        <w:t>Schedule 1</w:t>
      </w:r>
      <w:r>
        <w:t> — </w:t>
      </w:r>
      <w:r>
        <w:rPr>
          <w:rStyle w:val="CharSchText"/>
        </w:rPr>
        <w:t>Forms</w:t>
      </w:r>
      <w:bookmarkEnd w:id="101"/>
      <w:bookmarkEnd w:id="102"/>
      <w:bookmarkEnd w:id="103"/>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lastRenderedPageBreak/>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lastRenderedPageBreak/>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lastRenderedPageBreak/>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lastRenderedPageBreak/>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Gazette 30 Dec 2004 p. 7016.]</w:t>
      </w:r>
    </w:p>
    <w:p>
      <w:pPr>
        <w:pStyle w:val="yTable"/>
        <w:pageBreakBefore/>
        <w:tabs>
          <w:tab w:val="right" w:leader="dot" w:pos="7088"/>
        </w:tabs>
        <w:jc w:val="center"/>
        <w:rPr>
          <w:b/>
          <w:snapToGrid w:val="0"/>
        </w:rPr>
      </w:pPr>
      <w:r>
        <w:rPr>
          <w:b/>
          <w:snapToGrid w:val="0"/>
        </w:rPr>
        <w:lastRenderedPageBreak/>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type w:val="continuous"/>
          <w:pgSz w:w="11907" w:h="16840" w:code="9"/>
          <w:pgMar w:top="2381" w:right="2410" w:bottom="2977" w:left="2410" w:header="720" w:footer="3380" w:gutter="0"/>
          <w:cols w:space="720"/>
          <w:noEndnote/>
          <w:docGrid w:linePitch="326"/>
        </w:sectPr>
      </w:pPr>
    </w:p>
    <w:p>
      <w:pPr>
        <w:pStyle w:val="nHeading2"/>
      </w:pPr>
      <w:bookmarkStart w:id="105" w:name="_Toc118108552"/>
      <w:bookmarkStart w:id="106" w:name="_Toc118109173"/>
      <w:bookmarkStart w:id="107" w:name="_Toc118118236"/>
      <w:r>
        <w:lastRenderedPageBreak/>
        <w:t>Notes</w:t>
      </w:r>
      <w:bookmarkEnd w:id="105"/>
      <w:bookmarkEnd w:id="106"/>
      <w:bookmarkEnd w:id="107"/>
    </w:p>
    <w:p>
      <w:pPr>
        <w:pStyle w:val="nStatement"/>
      </w:pPr>
      <w:r>
        <w:t xml:space="preserve">This is a compilation of the </w:t>
      </w:r>
      <w:r>
        <w:rPr>
          <w:i/>
          <w:noProof/>
        </w:rPr>
        <w:t>Local Government (Functions and General)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8" w:name="_Toc118118237"/>
      <w:r>
        <w:t>Compilation table</w:t>
      </w:r>
      <w:bookmarkEnd w:id="10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2001</w:t>
            </w:r>
            <w:r>
              <w:rPr>
                <w:vertAlign w:val="superscript"/>
              </w:rPr>
              <w:t xml:space="preserve"> 2</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 xml:space="preserve">Local Government (Functions and General) Amendment Regulations 2015 </w:t>
            </w:r>
            <w:r>
              <w:t>Pt. 2</w:t>
            </w:r>
          </w:p>
        </w:tc>
        <w:tc>
          <w:tcPr>
            <w:tcW w:w="1276" w:type="dxa"/>
            <w:shd w:val="clear" w:color="auto" w:fill="auto"/>
          </w:tcPr>
          <w:p>
            <w:pPr>
              <w:pStyle w:val="nTable"/>
              <w:spacing w:after="40"/>
            </w:pPr>
            <w:r>
              <w:t>18 Sep 2015 p. 3804</w:t>
            </w:r>
            <w:r>
              <w:noBreakHyphen/>
              <w:t>13</w:t>
            </w:r>
          </w:p>
        </w:tc>
        <w:tc>
          <w:tcPr>
            <w:tcW w:w="2693" w:type="dxa"/>
            <w:shd w:val="clear" w:color="auto" w:fill="auto"/>
          </w:tcPr>
          <w:p>
            <w:pPr>
              <w:pStyle w:val="nTable"/>
              <w:spacing w:after="40"/>
              <w:rPr>
                <w:snapToGrid w:val="0"/>
              </w:rPr>
            </w:pPr>
            <w:r>
              <w:rPr>
                <w:snapToGrid w:val="0"/>
              </w:rPr>
              <w:t>1 Oct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Local Government Regulations Amendment (Associations Incorporation) Regulations 2016</w:t>
            </w:r>
            <w:r>
              <w:t xml:space="preserve"> Pt. 3</w:t>
            </w:r>
          </w:p>
        </w:tc>
        <w:tc>
          <w:tcPr>
            <w:tcW w:w="1276" w:type="dxa"/>
            <w:shd w:val="clear" w:color="auto" w:fill="auto"/>
          </w:tcPr>
          <w:p>
            <w:pPr>
              <w:pStyle w:val="nTable"/>
              <w:spacing w:after="40"/>
            </w:pPr>
            <w:r>
              <w:t>30 Dec 2016 p. 5969</w:t>
            </w:r>
            <w:r>
              <w:noBreakHyphen/>
              <w:t>70</w:t>
            </w:r>
          </w:p>
        </w:tc>
        <w:tc>
          <w:tcPr>
            <w:tcW w:w="2693" w:type="dxa"/>
            <w:shd w:val="clear" w:color="auto" w:fill="auto"/>
          </w:tcPr>
          <w:p>
            <w:pPr>
              <w:pStyle w:val="nTable"/>
              <w:spacing w:after="40"/>
              <w:rPr>
                <w:snapToGrid w:val="0"/>
              </w:rPr>
            </w:pPr>
            <w:r>
              <w:rPr>
                <w:snapToGrid w:val="0"/>
              </w:rPr>
              <w:t>31 Dec 2016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2017</w:t>
            </w:r>
          </w:p>
        </w:tc>
        <w:tc>
          <w:tcPr>
            <w:tcW w:w="1276" w:type="dxa"/>
            <w:tcBorders>
              <w:top w:val="nil"/>
              <w:bottom w:val="nil"/>
            </w:tcBorders>
            <w:shd w:val="clear" w:color="auto" w:fill="auto"/>
          </w:tcPr>
          <w:p>
            <w:pPr>
              <w:pStyle w:val="nTable"/>
              <w:spacing w:after="40"/>
            </w:pPr>
            <w:r>
              <w:t>8 Dec 2017 p. 5844</w:t>
            </w:r>
            <w:r>
              <w:noBreakHyphen/>
              <w:t>5</w:t>
            </w:r>
          </w:p>
        </w:tc>
        <w:tc>
          <w:tcPr>
            <w:tcW w:w="2693" w:type="dxa"/>
            <w:tcBorders>
              <w:top w:val="nil"/>
              <w:bottom w:val="nil"/>
            </w:tcBorders>
            <w:shd w:val="clear" w:color="auto" w:fill="auto"/>
          </w:tcPr>
          <w:p>
            <w:pPr>
              <w:pStyle w:val="nTable"/>
              <w:spacing w:after="40"/>
              <w:rPr>
                <w:snapToGrid w:val="0"/>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2019</w:t>
            </w:r>
          </w:p>
        </w:tc>
        <w:tc>
          <w:tcPr>
            <w:tcW w:w="1276" w:type="dxa"/>
            <w:shd w:val="clear" w:color="auto" w:fill="auto"/>
          </w:tcPr>
          <w:p>
            <w:pPr>
              <w:pStyle w:val="nTable"/>
              <w:spacing w:after="40"/>
            </w:pPr>
            <w:r>
              <w:t>31 Dec 2019 p. 4649</w:t>
            </w:r>
          </w:p>
        </w:tc>
        <w:tc>
          <w:tcPr>
            <w:tcW w:w="2693" w:type="dxa"/>
            <w:shd w:val="clear" w:color="auto" w:fill="auto"/>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rPr>
          <w:cantSplit/>
        </w:trPr>
        <w:tc>
          <w:tcPr>
            <w:tcW w:w="3119" w:type="dxa"/>
            <w:tcBorders>
              <w:top w:val="nil"/>
              <w:bottom w:val="nil"/>
            </w:tcBorders>
            <w:shd w:val="clear" w:color="auto" w:fill="auto"/>
          </w:tcPr>
          <w:p>
            <w:pPr>
              <w:pStyle w:val="nTable"/>
              <w:spacing w:after="40"/>
              <w:ind w:right="113"/>
            </w:pPr>
            <w:r>
              <w:rPr>
                <w:i/>
              </w:rPr>
              <w:lastRenderedPageBreak/>
              <w:t>Local Government Regulations Amendment Regulations 2020</w:t>
            </w:r>
            <w:r>
              <w:t xml:space="preserve"> Pt. 3</w:t>
            </w:r>
          </w:p>
        </w:tc>
        <w:tc>
          <w:tcPr>
            <w:tcW w:w="1276" w:type="dxa"/>
            <w:tcBorders>
              <w:top w:val="nil"/>
              <w:bottom w:val="nil"/>
            </w:tcBorders>
            <w:shd w:val="clear" w:color="auto" w:fill="auto"/>
          </w:tcPr>
          <w:p>
            <w:pPr>
              <w:pStyle w:val="nTable"/>
              <w:spacing w:after="40"/>
            </w:pPr>
            <w:r>
              <w:t>SL 2020/35 9 Apr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10 Apr 2020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2020</w:t>
            </w:r>
          </w:p>
        </w:tc>
        <w:tc>
          <w:tcPr>
            <w:tcW w:w="1276" w:type="dxa"/>
            <w:tcBorders>
              <w:top w:val="nil"/>
              <w:bottom w:val="nil"/>
            </w:tcBorders>
            <w:shd w:val="clear" w:color="auto" w:fill="auto"/>
          </w:tcPr>
          <w:p>
            <w:pPr>
              <w:pStyle w:val="nTable"/>
              <w:spacing w:after="40"/>
            </w:pPr>
            <w:r>
              <w:t xml:space="preserve">SL 2020/55 8 May 2020 </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8</w:t>
            </w:r>
            <w:r>
              <w:t xml:space="preserve"> May 2020 </w:t>
            </w:r>
            <w:r>
              <w:rPr>
                <w:bCs/>
                <w:snapToGrid w:val="0"/>
                <w:spacing w:val="-2"/>
              </w:rPr>
              <w:t>(see r. 2(a));</w:t>
            </w:r>
            <w:r>
              <w:rPr>
                <w:bCs/>
                <w:snapToGrid w:val="0"/>
                <w:spacing w:val="-2"/>
              </w:rPr>
              <w:br/>
              <w:t xml:space="preserve">Regulations other than r. 1 and 2: </w:t>
            </w:r>
            <w:r>
              <w:t>9 May 2020 (see r. 2(b))</w:t>
            </w:r>
          </w:p>
        </w:tc>
      </w:tr>
      <w:tr>
        <w:trPr>
          <w:cantSplit/>
        </w:trPr>
        <w:tc>
          <w:tcPr>
            <w:tcW w:w="3119" w:type="dxa"/>
            <w:tcBorders>
              <w:top w:val="nil"/>
              <w:bottom w:val="nil"/>
            </w:tcBorders>
            <w:shd w:val="clear" w:color="auto" w:fill="auto"/>
          </w:tcPr>
          <w:p>
            <w:pPr>
              <w:pStyle w:val="nTable"/>
              <w:spacing w:after="40"/>
              <w:ind w:right="113"/>
            </w:pPr>
            <w:r>
              <w:rPr>
                <w:i/>
              </w:rPr>
              <w:t>Local Government Regulations Amendment Regulations (No. 2) 2020</w:t>
            </w:r>
            <w:r>
              <w:t xml:space="preserve"> Pt. 8</w:t>
            </w:r>
          </w:p>
        </w:tc>
        <w:tc>
          <w:tcPr>
            <w:tcW w:w="1276" w:type="dxa"/>
            <w:tcBorders>
              <w:top w:val="nil"/>
              <w:bottom w:val="nil"/>
            </w:tcBorders>
            <w:shd w:val="clear" w:color="auto" w:fill="auto"/>
          </w:tcPr>
          <w:p>
            <w:pPr>
              <w:pStyle w:val="nTable"/>
              <w:spacing w:after="40"/>
            </w:pPr>
            <w:r>
              <w:t>SL 2020/213 6 Nov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7 Nov 2020 (see r. 2(b) and SL 2020/212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2021</w:t>
            </w:r>
          </w:p>
        </w:tc>
        <w:tc>
          <w:tcPr>
            <w:tcW w:w="1276" w:type="dxa"/>
            <w:tcBorders>
              <w:top w:val="nil"/>
              <w:bottom w:val="nil"/>
            </w:tcBorders>
            <w:shd w:val="clear" w:color="auto" w:fill="auto"/>
          </w:tcPr>
          <w:p>
            <w:pPr>
              <w:pStyle w:val="nTable"/>
              <w:spacing w:after="40"/>
            </w:pPr>
            <w:r>
              <w:t>SL 2021/75 18 Jun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 xml:space="preserve">18 Jun 2021 </w:t>
            </w:r>
            <w:r>
              <w:rPr>
                <w:bCs/>
                <w:snapToGrid w:val="0"/>
                <w:spacing w:val="-2"/>
              </w:rPr>
              <w:t>(see r. 2(a));</w:t>
            </w:r>
            <w:r>
              <w:rPr>
                <w:bCs/>
                <w:snapToGrid w:val="0"/>
                <w:spacing w:val="-2"/>
              </w:rPr>
              <w:br/>
              <w:t xml:space="preserve">Regulations other than r. 1 and 2: </w:t>
            </w:r>
            <w:r>
              <w:t>30 Jun 2021 (see r. 2(b) and SL 2021/69 cl. 2)</w:t>
            </w:r>
          </w:p>
        </w:tc>
      </w:tr>
      <w:tr>
        <w:trPr>
          <w:cantSplit/>
        </w:trPr>
        <w:tc>
          <w:tcPr>
            <w:tcW w:w="3119" w:type="dxa"/>
            <w:tcBorders>
              <w:top w:val="nil"/>
              <w:bottom w:val="single" w:sz="4" w:space="0" w:color="auto"/>
            </w:tcBorders>
            <w:shd w:val="clear" w:color="auto" w:fill="auto"/>
          </w:tcPr>
          <w:p>
            <w:pPr>
              <w:pStyle w:val="nTable"/>
              <w:spacing w:after="40"/>
              <w:ind w:right="113"/>
              <w:rPr>
                <w:i/>
              </w:rPr>
            </w:pPr>
            <w:r>
              <w:rPr>
                <w:i/>
              </w:rPr>
              <w:t>Local Government Regulations Amendment Regulations 2022</w:t>
            </w:r>
            <w:r>
              <w:t xml:space="preserve"> Pt. 4 (other than Div. 3)</w:t>
            </w:r>
          </w:p>
        </w:tc>
        <w:tc>
          <w:tcPr>
            <w:tcW w:w="1276" w:type="dxa"/>
            <w:tcBorders>
              <w:top w:val="nil"/>
              <w:bottom w:val="single" w:sz="4" w:space="0" w:color="auto"/>
            </w:tcBorders>
            <w:shd w:val="clear" w:color="auto" w:fill="auto"/>
          </w:tcPr>
          <w:p>
            <w:pPr>
              <w:pStyle w:val="nTable"/>
              <w:spacing w:after="40"/>
            </w:pPr>
            <w:r>
              <w:t>SL 2022/177 2 Nov 2022</w:t>
            </w:r>
          </w:p>
        </w:tc>
        <w:tc>
          <w:tcPr>
            <w:tcW w:w="2693" w:type="dxa"/>
            <w:tcBorders>
              <w:top w:val="nil"/>
              <w:bottom w:val="single" w:sz="4" w:space="0" w:color="auto"/>
            </w:tcBorders>
            <w:shd w:val="clear" w:color="auto" w:fill="auto"/>
          </w:tcPr>
          <w:p>
            <w:pPr>
              <w:pStyle w:val="nTable"/>
              <w:spacing w:after="40"/>
              <w:rPr>
                <w:bCs/>
                <w:snapToGrid w:val="0"/>
                <w:spacing w:val="-2"/>
              </w:rPr>
            </w:pPr>
            <w:r>
              <w:rPr>
                <w:bCs/>
                <w:snapToGrid w:val="0"/>
                <w:spacing w:val="-2"/>
              </w:rPr>
              <w:t>3 Nov 2022 (see r. 2(b) and SL 2022/175 cl. 2)</w:t>
            </w:r>
          </w:p>
        </w:tc>
      </w:tr>
    </w:tbl>
    <w:p>
      <w:pPr>
        <w:pStyle w:val="nHeading3"/>
      </w:pPr>
      <w:bookmarkStart w:id="109" w:name="_Toc118118238"/>
      <w:r>
        <w:t>Uncommenced provisions table</w:t>
      </w:r>
      <w:bookmarkEnd w:id="10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Local Government Regulations Amendment Regulations 2022</w:t>
            </w:r>
            <w:r>
              <w:t xml:space="preserve"> Pt. 4 Div. 3</w:t>
            </w:r>
          </w:p>
        </w:tc>
        <w:tc>
          <w:tcPr>
            <w:tcW w:w="1276" w:type="dxa"/>
          </w:tcPr>
          <w:p>
            <w:pPr>
              <w:pStyle w:val="nTable"/>
              <w:spacing w:after="40"/>
            </w:pPr>
            <w:r>
              <w:t>SL 2022/177 2 Nov 2022</w:t>
            </w:r>
          </w:p>
        </w:tc>
        <w:tc>
          <w:tcPr>
            <w:tcW w:w="2693" w:type="dxa"/>
          </w:tcPr>
          <w:p>
            <w:pPr>
              <w:pStyle w:val="nTable"/>
              <w:spacing w:after="40"/>
            </w:pPr>
            <w:r>
              <w:t>3 Nov 2024 (see r. 2(c) and SL 2022/175 cl. 2)</w:t>
            </w:r>
          </w:p>
        </w:tc>
      </w:tr>
    </w:tbl>
    <w:p>
      <w:pPr>
        <w:pStyle w:val="nHeading3"/>
      </w:pPr>
      <w:bookmarkStart w:id="110" w:name="_Toc118118239"/>
      <w:r>
        <w:t>Other notes</w:t>
      </w:r>
      <w:bookmarkEnd w:id="110"/>
    </w:p>
    <w:p>
      <w:pPr>
        <w:pStyle w:val="nNote"/>
        <w:spacing w:before="160"/>
      </w:pPr>
      <w:r>
        <w:rPr>
          <w:vertAlign w:val="superscript"/>
        </w:rPr>
        <w:t>1</w:t>
      </w:r>
      <w:r>
        <w:tab/>
        <w:t xml:space="preserve">The </w:t>
      </w:r>
      <w:r>
        <w:rPr>
          <w:i/>
          <w:iCs/>
        </w:rPr>
        <w:t>Local Government Act 1995</w:t>
      </w:r>
      <w:r>
        <w:t xml:space="preserve"> came into operation on 1 July 1996.</w:t>
      </w:r>
    </w:p>
    <w:p>
      <w:pPr>
        <w:pStyle w:val="nNote"/>
      </w:pPr>
      <w:r>
        <w:rPr>
          <w:vertAlign w:val="superscript"/>
        </w:rPr>
        <w:t>2</w:t>
      </w:r>
      <w:r>
        <w:tab/>
        <w:t xml:space="preserve">The </w:t>
      </w:r>
      <w:r>
        <w:rPr>
          <w:i/>
        </w:rPr>
        <w:t>Local Government (Functions and General) Amendment Regulations 2001</w:t>
      </w:r>
      <w:r>
        <w:t xml:space="preserve"> r. 11 is a transitional provision that is of no further effect.</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112" w:name="_Toc118118240"/>
      <w:r>
        <w:rPr>
          <w:sz w:val="28"/>
        </w:rPr>
        <w:lastRenderedPageBreak/>
        <w:t>Defined terms</w:t>
      </w:r>
      <w:bookmarkEnd w:id="1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application</w:t>
      </w:r>
      <w:r>
        <w:tab/>
        <w:t>24AH(1)</w:t>
      </w:r>
    </w:p>
    <w:p>
      <w:pPr>
        <w:pStyle w:val="DefinedTerms"/>
      </w:pPr>
      <w:r>
        <w:t>contracts</w:t>
      </w:r>
      <w:r>
        <w:tab/>
        <w:t>12(1)</w:t>
      </w:r>
    </w:p>
    <w:p>
      <w:pPr>
        <w:pStyle w:val="DefinedTerms"/>
      </w:pPr>
      <w:r>
        <w:t>COVID-19 declaration</w:t>
      </w:r>
      <w:r>
        <w:tab/>
        <w:t>11(1A)</w:t>
      </w:r>
    </w:p>
    <w:p>
      <w:pPr>
        <w:pStyle w:val="DefinedTerms"/>
      </w:pPr>
      <w:r>
        <w:t>former draft model by-law</w:t>
      </w:r>
      <w:r>
        <w:tab/>
        <w:t>38(4)</w:t>
      </w:r>
    </w:p>
    <w:p>
      <w:pPr>
        <w:pStyle w:val="DefinedTerms"/>
      </w:pPr>
      <w:r>
        <w:t>former section</w:t>
      </w:r>
      <w:r>
        <w:tab/>
        <w:t>6(4)</w:t>
      </w:r>
    </w:p>
    <w:p>
      <w:pPr>
        <w:pStyle w:val="DefinedTerms"/>
      </w:pPr>
      <w:r>
        <w:t>joint venture</w:t>
      </w:r>
      <w:r>
        <w:tab/>
        <w:t>9(2)</w:t>
      </w:r>
    </w:p>
    <w:p>
      <w:pPr>
        <w:pStyle w:val="DefinedTerms"/>
      </w:pPr>
      <w:r>
        <w:t>joint venturer</w:t>
      </w:r>
      <w:r>
        <w:tab/>
        <w:t>9(2)</w:t>
      </w:r>
    </w:p>
    <w:p>
      <w:pPr>
        <w:pStyle w:val="DefinedTerms"/>
      </w:pPr>
      <w:r>
        <w:t>land that will lose its access</w:t>
      </w:r>
      <w:r>
        <w:tab/>
        <w:t>4(3)</w:t>
      </w:r>
    </w:p>
    <w:p>
      <w:pPr>
        <w:pStyle w:val="DefinedTerms"/>
      </w:pPr>
      <w:r>
        <w:t>major regional centre</w:t>
      </w:r>
      <w:r>
        <w:tab/>
        <w:t>7(1)</w:t>
      </w:r>
    </w:p>
    <w:p>
      <w:pPr>
        <w:pStyle w:val="DefinedTerms"/>
      </w:pPr>
      <w:r>
        <w:t>minor variation</w:t>
      </w:r>
      <w:r>
        <w:tab/>
        <w:t>20(3)</w:t>
      </w:r>
    </w:p>
    <w:p>
      <w:pPr>
        <w:pStyle w:val="DefinedTerms"/>
      </w:pPr>
      <w:r>
        <w:t>original contract</w:t>
      </w:r>
      <w:r>
        <w:tab/>
        <w:t>11</w:t>
      </w:r>
    </w:p>
    <w:p>
      <w:pPr>
        <w:pStyle w:val="DefinedTerms"/>
      </w:pPr>
      <w:r>
        <w:t>panel of pre-qualified suppliers</w:t>
      </w:r>
      <w:r>
        <w:tab/>
        <w:t>24AA</w:t>
      </w:r>
    </w:p>
    <w:p>
      <w:pPr>
        <w:pStyle w:val="DefinedTerms"/>
      </w:pPr>
      <w:r>
        <w:t>pre-qualified supplier</w:t>
      </w:r>
      <w:r>
        <w:tab/>
        <w:t>24AA</w:t>
      </w:r>
    </w:p>
    <w:p>
      <w:pPr>
        <w:pStyle w:val="DefinedTerms"/>
      </w:pPr>
      <w:r>
        <w:t>public place</w:t>
      </w:r>
      <w:r>
        <w:tab/>
        <w:t>29(2)</w:t>
      </w:r>
    </w:p>
    <w:p>
      <w:pPr>
        <w:pStyle w:val="DefinedTerms"/>
      </w:pPr>
      <w:r>
        <w:t>regional price preference</w:t>
      </w:r>
      <w:r>
        <w:tab/>
        <w:t>24B(1)</w:t>
      </w:r>
    </w:p>
    <w:p>
      <w:pPr>
        <w:pStyle w:val="DefinedTerms"/>
      </w:pPr>
      <w:r>
        <w:t>regional tenderer</w:t>
      </w:r>
      <w:r>
        <w:tab/>
        <w:t>24B(1)</w:t>
      </w:r>
    </w:p>
    <w:p>
      <w:pPr>
        <w:pStyle w:val="DefinedTerms"/>
      </w:pPr>
      <w:r>
        <w:t>state of emergency declaration</w:t>
      </w:r>
      <w:r>
        <w:tab/>
        <w:t>11(1A)</w:t>
      </w:r>
    </w:p>
    <w:p>
      <w:pPr>
        <w:pStyle w:val="DefinedTerms"/>
      </w:pPr>
      <w:r>
        <w:t>transferee</w:t>
      </w:r>
      <w:r>
        <w:tab/>
        <w:t>30(2)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4" w:name="Schedule"/>
    <w:bookmarkEnd w:id="10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3" w:name="DefinedTerms"/>
    <w:bookmarkEnd w:id="11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4" w:name="Coversheet"/>
    <w:bookmarkEnd w:id="1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36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31110627"/>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 w:name="WAFER_20171207105328" w:val="RemoveTocBookmarks,RemoveUnusedBookmarks,RemoveLanguageTags,UsedStyles,ResetPageSize"/>
    <w:docVar w:name="WAFER_20171207105328_GUID" w:val="1421a779-b912-4ce8-a8c7-af32431e4417"/>
    <w:docVar w:name="WAFER_20171207115802" w:val="RemoveTocBookmarks,RemoveUnusedBookmarks,RemoveLanguageTags,UsedStyles,ResetPageSize"/>
    <w:docVar w:name="WAFER_20171207115802_GUID" w:val="86549e10-5878-40f9-b375-038c17683e46"/>
    <w:docVar w:name="WAFER_20171207115825" w:val="RemoveTocBookmarks,RemoveUnusedBookmarks,RemoveLanguageTags,UsedStyles,ResetPageSize"/>
    <w:docVar w:name="WAFER_20171207115825_GUID" w:val="d52c36cb-da0b-45eb-8b44-913855b6b89a"/>
    <w:docVar w:name="WAFER_20171207120039" w:val="RemoveTocBookmarks,RemoveUnusedBookmarks,RemoveLanguageTags,UsedStyles,ResetPageSize"/>
    <w:docVar w:name="WAFER_20171207120039_GUID" w:val="886383aa-4e43-4a67-8483-0516bab34336"/>
    <w:docVar w:name="WAFER_20171207120058" w:val="RemoveTocBookmarks,RemoveUnusedBookmarks,RemoveLanguageTags,UsedStyles,ResetPageSize"/>
    <w:docVar w:name="WAFER_20171207120058_GUID" w:val="d8ff3925-b4ff-4353-bf91-274182f2eaf2"/>
    <w:docVar w:name="WAFER_20191218152628" w:val="RemoveTocBookmarks,RemoveUnusedBookmarks,RemoveLanguageTags,ResetPageSize,RunningHeaders,UpdateStyles,UsedStyles"/>
    <w:docVar w:name="WAFER_20191218152628_GUID" w:val="2b75b0fa-c10a-4f36-90d5-4615a7e8354c"/>
    <w:docVar w:name="WAFER_202002110857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723_GUID" w:val="579a2ed0-872e-47e4-93fd-a6eeb89d65ee"/>
    <w:docVar w:name="WAFER_20200408142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42148_GUID" w:val="49eeb3c4-efce-4254-85c2-251e70273447"/>
    <w:docVar w:name="WAFER_2020041715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302_GUID" w:val="981cb513-0e76-48ee-8570-57495907068a"/>
    <w:docVar w:name="WAFER_20200420093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900_GUID" w:val="5a41054a-2ee8-43cf-8a1f-26bb9bef30c7"/>
    <w:docVar w:name="WAFER_20200507144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7144939_GUID" w:val="628e7ee1-8e14-4df1-98e2-36817933a63e"/>
    <w:docVar w:name="WAFER_20201103090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090737_GUID" w:val="1c935dd3-59cc-4062-82f6-21acb1f62951"/>
    <w:docVar w:name="WAFER_202106151023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2340_GUID" w:val="8677039b-e8d2-49dc-b7c9-27942ab9aa0f"/>
    <w:docVar w:name="WAFER_202106221326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32607_GUID" w:val="fcfa720f-ecb9-4ba2-b6bd-45456f5a6329"/>
    <w:docVar w:name="WAFER_202210311106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27_GUID" w:val="4d7922ea-3e5e-4ba3-95c1-1d8e1ba3a8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3665"/>
    <o:shapelayout v:ext="edit">
      <o:idmap v:ext="edit" data="1"/>
    </o:shapelayout>
  </w:shapeDefaults>
  <w:decimalSymbol w:val="."/>
  <w:listSeparator w:val=","/>
  <w15:docId w15:val="{8B3690B1-1D52-4C15-917F-8CAD6B57F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12907</Words>
  <Characters>69184</Characters>
  <Application>Microsoft Office Word</Application>
  <DocSecurity>0</DocSecurity>
  <Lines>1869</Lines>
  <Paragraphs>1124</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80967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1996 - 03-l0-00</dc:title>
  <dc:subject/>
  <dc:creator/>
  <cp:keywords/>
  <dc:description/>
  <cp:lastModifiedBy>Master Repository Process</cp:lastModifiedBy>
  <cp:revision>4</cp:revision>
  <cp:lastPrinted>2012-04-02T07:14:00Z</cp:lastPrinted>
  <dcterms:created xsi:type="dcterms:W3CDTF">2022-11-02T03:57:00Z</dcterms:created>
  <dcterms:modified xsi:type="dcterms:W3CDTF">2022-11-02T03:57:00Z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AsAtDate">
    <vt:lpwstr>03 Nov 2022</vt:lpwstr>
  </property>
  <property fmtid="{D5CDD505-2E9C-101B-9397-08002B2CF9AE}" pid="8" name="Suffix">
    <vt:lpwstr>03-l0-00</vt:lpwstr>
  </property>
  <property fmtid="{D5CDD505-2E9C-101B-9397-08002B2CF9AE}" pid="9" name="CommencementDate">
    <vt:lpwstr>20221103</vt:lpwstr>
  </property>
</Properties>
</file>