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Emergency Management Act 2005</w:t>
      </w:r>
    </w:p>
    <w:p>
      <w:pPr>
        <w:pStyle w:val="NameofActRegPage1"/>
        <w:spacing w:before="1800" w:after="4200"/>
        <w:outlineLvl w:val="0"/>
      </w:pPr>
      <w:r>
        <w:rPr>
          <w:noProof/>
        </w:rPr>
        <w:t>Emergency Management Regulations 2006</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Emergency Management Regulations 2006</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_Toc118111229 \h </w:instrText>
      </w:r>
      <w:r>
        <w:fldChar w:fldCharType="separate"/>
      </w:r>
      <w:r>
        <w:t>1</w:t>
      </w:r>
      <w:r>
        <w:fldChar w:fldCharType="end"/>
      </w:r>
    </w:p>
    <w:p>
      <w:pPr>
        <w:pStyle w:val="TOC8"/>
        <w:rPr>
          <w:rFonts w:asciiTheme="minorHAnsi" w:eastAsiaTheme="minorEastAsia" w:hAnsiTheme="minorHAnsi" w:cstheme="minorBidi"/>
          <w:szCs w:val="22"/>
        </w:rPr>
      </w:pPr>
      <w:r>
        <w:t>1A.</w:t>
      </w:r>
      <w:r>
        <w:tab/>
        <w:t>Terms used</w:t>
      </w:r>
      <w:r>
        <w:tab/>
      </w:r>
      <w:r>
        <w:fldChar w:fldCharType="begin"/>
      </w:r>
      <w:r>
        <w:instrText xml:space="preserve"> PAGEREF _Toc118111230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Emergency Management Committee</w:t>
      </w:r>
    </w:p>
    <w:p>
      <w:pPr>
        <w:pStyle w:val="TOC8"/>
        <w:rPr>
          <w:rFonts w:asciiTheme="minorHAnsi" w:eastAsiaTheme="minorEastAsia" w:hAnsiTheme="minorHAnsi" w:cstheme="minorBidi"/>
          <w:szCs w:val="22"/>
        </w:rPr>
      </w:pPr>
      <w:r>
        <w:t>2.</w:t>
      </w:r>
      <w:r>
        <w:tab/>
        <w:t>Appointment by Minister of members of SEMC (Act s. 13(2))</w:t>
      </w:r>
      <w:r>
        <w:tab/>
      </w:r>
      <w:r>
        <w:fldChar w:fldCharType="begin"/>
      </w:r>
      <w:r>
        <w:instrText xml:space="preserve"> PAGEREF _Toc118111232 \h </w:instrText>
      </w:r>
      <w:r>
        <w:fldChar w:fldCharType="separate"/>
      </w:r>
      <w:r>
        <w:t>2</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_Toc118111233 \h </w:instrText>
      </w:r>
      <w:r>
        <w:fldChar w:fldCharType="separate"/>
      </w:r>
      <w:r>
        <w:t>2</w:t>
      </w:r>
      <w:r>
        <w:fldChar w:fldCharType="end"/>
      </w:r>
    </w:p>
    <w:p>
      <w:pPr>
        <w:pStyle w:val="TOC8"/>
        <w:rPr>
          <w:rFonts w:asciiTheme="minorHAnsi" w:eastAsiaTheme="minorEastAsia" w:hAnsiTheme="minorHAnsi" w:cstheme="minorBidi"/>
          <w:szCs w:val="22"/>
        </w:rPr>
      </w:pPr>
      <w:r>
        <w:t>4.</w:t>
      </w:r>
      <w:r>
        <w:tab/>
        <w:t>Vacancies</w:t>
      </w:r>
      <w:r>
        <w:tab/>
      </w:r>
      <w:r>
        <w:fldChar w:fldCharType="begin"/>
      </w:r>
      <w:r>
        <w:instrText xml:space="preserve"> PAGEREF _Toc118111234 \h </w:instrText>
      </w:r>
      <w:r>
        <w:fldChar w:fldCharType="separate"/>
      </w:r>
      <w:r>
        <w:t>2</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_Toc118111235 \h </w:instrText>
      </w:r>
      <w:r>
        <w:fldChar w:fldCharType="separate"/>
      </w:r>
      <w:r>
        <w:t>3</w:t>
      </w:r>
      <w:r>
        <w:fldChar w:fldCharType="end"/>
      </w:r>
    </w:p>
    <w:p>
      <w:pPr>
        <w:pStyle w:val="TOC8"/>
        <w:rPr>
          <w:rFonts w:asciiTheme="minorHAnsi" w:eastAsiaTheme="minorEastAsia" w:hAnsiTheme="minorHAnsi" w:cstheme="minorBidi"/>
          <w:szCs w:val="22"/>
        </w:rPr>
      </w:pPr>
      <w:r>
        <w:t>6.</w:t>
      </w:r>
      <w:r>
        <w:tab/>
        <w:t>Chairman unable to act</w:t>
      </w:r>
      <w:r>
        <w:tab/>
      </w:r>
      <w:r>
        <w:fldChar w:fldCharType="begin"/>
      </w:r>
      <w:r>
        <w:instrText xml:space="preserve"> PAGEREF _Toc118111236 \h </w:instrText>
      </w:r>
      <w:r>
        <w:fldChar w:fldCharType="separate"/>
      </w:r>
      <w:r>
        <w:t>3</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_Toc118111237 \h </w:instrText>
      </w:r>
      <w:r>
        <w:fldChar w:fldCharType="separate"/>
      </w:r>
      <w:r>
        <w:t>3</w:t>
      </w:r>
      <w:r>
        <w:fldChar w:fldCharType="end"/>
      </w:r>
    </w:p>
    <w:p>
      <w:pPr>
        <w:pStyle w:val="TOC8"/>
        <w:rPr>
          <w:rFonts w:asciiTheme="minorHAnsi" w:eastAsiaTheme="minorEastAsia" w:hAnsiTheme="minorHAnsi" w:cstheme="minorBidi"/>
          <w:szCs w:val="22"/>
        </w:rPr>
      </w:pPr>
      <w:r>
        <w:t>8.</w:t>
      </w:r>
      <w:r>
        <w:tab/>
        <w:t>Saving for acts etc. of deputies</w:t>
      </w:r>
      <w:r>
        <w:tab/>
      </w:r>
      <w:r>
        <w:fldChar w:fldCharType="begin"/>
      </w:r>
      <w:r>
        <w:instrText xml:space="preserve"> PAGEREF _Toc118111238 \h </w:instrText>
      </w:r>
      <w:r>
        <w:fldChar w:fldCharType="separate"/>
      </w:r>
      <w:r>
        <w:t>4</w:t>
      </w:r>
      <w:r>
        <w:fldChar w:fldCharType="end"/>
      </w:r>
    </w:p>
    <w:p>
      <w:pPr>
        <w:pStyle w:val="TOC8"/>
        <w:rPr>
          <w:rFonts w:asciiTheme="minorHAnsi" w:eastAsiaTheme="minorEastAsia" w:hAnsiTheme="minorHAnsi" w:cstheme="minorBidi"/>
          <w:szCs w:val="22"/>
        </w:rPr>
      </w:pPr>
      <w:r>
        <w:t>9.</w:t>
      </w:r>
      <w:r>
        <w:tab/>
        <w:t>Calling meetings</w:t>
      </w:r>
      <w:r>
        <w:tab/>
      </w:r>
      <w:r>
        <w:fldChar w:fldCharType="begin"/>
      </w:r>
      <w:r>
        <w:instrText xml:space="preserve"> PAGEREF _Toc118111239 \h </w:instrText>
      </w:r>
      <w:r>
        <w:fldChar w:fldCharType="separate"/>
      </w:r>
      <w:r>
        <w:t>4</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_Toc118111240 \h </w:instrText>
      </w:r>
      <w:r>
        <w:fldChar w:fldCharType="separate"/>
      </w:r>
      <w:r>
        <w:t>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_Toc118111241 \h </w:instrText>
      </w:r>
      <w:r>
        <w:fldChar w:fldCharType="separate"/>
      </w:r>
      <w:r>
        <w:t>4</w:t>
      </w:r>
      <w:r>
        <w:fldChar w:fldCharType="end"/>
      </w:r>
    </w:p>
    <w:p>
      <w:pPr>
        <w:pStyle w:val="TOC8"/>
        <w:rPr>
          <w:rFonts w:asciiTheme="minorHAnsi" w:eastAsiaTheme="minorEastAsia" w:hAnsiTheme="minorHAnsi" w:cstheme="minorBidi"/>
          <w:szCs w:val="22"/>
        </w:rPr>
      </w:pPr>
      <w:r>
        <w:t>12.</w:t>
      </w:r>
      <w:r>
        <w:tab/>
        <w:t>Holding meetings by telephone etc.</w:t>
      </w:r>
      <w:r>
        <w:tab/>
      </w:r>
      <w:r>
        <w:fldChar w:fldCharType="begin"/>
      </w:r>
      <w:r>
        <w:instrText xml:space="preserve"> PAGEREF _Toc118111242 \h </w:instrText>
      </w:r>
      <w:r>
        <w:fldChar w:fldCharType="separate"/>
      </w:r>
      <w:r>
        <w:t>4</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_Toc118111243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Hazard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_Toc118111245 \h </w:instrText>
      </w:r>
      <w:r>
        <w:fldChar w:fldCharType="separate"/>
      </w:r>
      <w:r>
        <w:t>6</w:t>
      </w:r>
      <w:r>
        <w:fldChar w:fldCharType="end"/>
      </w:r>
    </w:p>
    <w:p>
      <w:pPr>
        <w:pStyle w:val="TOC8"/>
        <w:rPr>
          <w:rFonts w:asciiTheme="minorHAnsi" w:eastAsiaTheme="minorEastAsia" w:hAnsiTheme="minorHAnsi" w:cstheme="minorBidi"/>
          <w:szCs w:val="22"/>
        </w:rPr>
      </w:pPr>
      <w:r>
        <w:t>14A.</w:t>
      </w:r>
      <w:r>
        <w:tab/>
        <w:t>Hostile acts</w:t>
      </w:r>
      <w:r>
        <w:tab/>
      </w:r>
      <w:r>
        <w:fldChar w:fldCharType="begin"/>
      </w:r>
      <w:r>
        <w:instrText xml:space="preserve"> PAGEREF _Toc118111246 \h </w:instrText>
      </w:r>
      <w:r>
        <w:fldChar w:fldCharType="separate"/>
      </w:r>
      <w:r>
        <w:t>7</w:t>
      </w:r>
      <w:r>
        <w:fldChar w:fldCharType="end"/>
      </w:r>
    </w:p>
    <w:p>
      <w:pPr>
        <w:pStyle w:val="TOC8"/>
        <w:rPr>
          <w:rFonts w:asciiTheme="minorHAnsi" w:eastAsiaTheme="minorEastAsia" w:hAnsiTheme="minorHAnsi" w:cstheme="minorBidi"/>
          <w:szCs w:val="22"/>
        </w:rPr>
      </w:pPr>
      <w:r>
        <w:t>15.</w:t>
      </w:r>
      <w:r>
        <w:tab/>
        <w:t>Events, situations and conditions prescribed as hazards</w:t>
      </w:r>
      <w:r>
        <w:tab/>
      </w:r>
      <w:r>
        <w:fldChar w:fldCharType="begin"/>
      </w:r>
      <w:r>
        <w:instrText xml:space="preserve"> PAGEREF _Toc118111247 \h </w:instrText>
      </w:r>
      <w:r>
        <w:fldChar w:fldCharType="separate"/>
      </w:r>
      <w:r>
        <w:t>9</w:t>
      </w:r>
      <w:r>
        <w:fldChar w:fldCharType="end"/>
      </w:r>
    </w:p>
    <w:p>
      <w:pPr>
        <w:pStyle w:val="TOC8"/>
        <w:rPr>
          <w:rFonts w:asciiTheme="minorHAnsi" w:eastAsiaTheme="minorEastAsia" w:hAnsiTheme="minorHAnsi" w:cstheme="minorBidi"/>
          <w:szCs w:val="22"/>
        </w:rPr>
      </w:pPr>
      <w:r>
        <w:t>16.</w:t>
      </w:r>
      <w:r>
        <w:tab/>
        <w:t>Hazard management agency — Commissioner of Police</w:t>
      </w:r>
      <w:r>
        <w:tab/>
      </w:r>
      <w:r>
        <w:fldChar w:fldCharType="begin"/>
      </w:r>
      <w:r>
        <w:instrText xml:space="preserve"> PAGEREF _Toc118111248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Hazard management agency — FES Commissioner</w:t>
      </w:r>
      <w:r>
        <w:tab/>
      </w:r>
      <w:r>
        <w:fldChar w:fldCharType="begin"/>
      </w:r>
      <w:r>
        <w:instrText xml:space="preserve"> PAGEREF _Toc118111249 \h </w:instrText>
      </w:r>
      <w:r>
        <w:fldChar w:fldCharType="separate"/>
      </w:r>
      <w:r>
        <w:t>11</w:t>
      </w:r>
      <w:r>
        <w:fldChar w:fldCharType="end"/>
      </w:r>
    </w:p>
    <w:p>
      <w:pPr>
        <w:pStyle w:val="TOC8"/>
        <w:rPr>
          <w:rFonts w:asciiTheme="minorHAnsi" w:eastAsiaTheme="minorEastAsia" w:hAnsiTheme="minorHAnsi" w:cstheme="minorBidi"/>
          <w:szCs w:val="22"/>
        </w:rPr>
      </w:pPr>
      <w:r>
        <w:t>19.</w:t>
      </w:r>
      <w:r>
        <w:tab/>
        <w:t>Hazard management agency — Agriculture Director General</w:t>
      </w:r>
      <w:r>
        <w:tab/>
      </w:r>
      <w:r>
        <w:fldChar w:fldCharType="begin"/>
      </w:r>
      <w:r>
        <w:instrText xml:space="preserve"> PAGEREF _Toc118111250 \h </w:instrText>
      </w:r>
      <w:r>
        <w:fldChar w:fldCharType="separate"/>
      </w:r>
      <w:r>
        <w:t>12</w:t>
      </w:r>
      <w:r>
        <w:fldChar w:fldCharType="end"/>
      </w:r>
    </w:p>
    <w:p>
      <w:pPr>
        <w:pStyle w:val="TOC8"/>
        <w:rPr>
          <w:rFonts w:asciiTheme="minorHAnsi" w:eastAsiaTheme="minorEastAsia" w:hAnsiTheme="minorHAnsi" w:cstheme="minorBidi"/>
          <w:szCs w:val="22"/>
        </w:rPr>
      </w:pPr>
      <w:r>
        <w:t>20.</w:t>
      </w:r>
      <w:r>
        <w:tab/>
        <w:t>Hazard management agency — Public Transport Authority</w:t>
      </w:r>
      <w:r>
        <w:tab/>
      </w:r>
      <w:r>
        <w:fldChar w:fldCharType="begin"/>
      </w:r>
      <w:r>
        <w:instrText xml:space="preserve"> PAGEREF _Toc118111251 \h </w:instrText>
      </w:r>
      <w:r>
        <w:fldChar w:fldCharType="separate"/>
      </w:r>
      <w:r>
        <w:t>12</w:t>
      </w:r>
      <w:r>
        <w:fldChar w:fldCharType="end"/>
      </w:r>
    </w:p>
    <w:p>
      <w:pPr>
        <w:pStyle w:val="TOC8"/>
        <w:rPr>
          <w:rFonts w:asciiTheme="minorHAnsi" w:eastAsiaTheme="minorEastAsia" w:hAnsiTheme="minorHAnsi" w:cstheme="minorBidi"/>
          <w:szCs w:val="22"/>
        </w:rPr>
      </w:pPr>
      <w:r>
        <w:t>21.</w:t>
      </w:r>
      <w:r>
        <w:tab/>
        <w:t>Hazard management agency — ARC Infrastructure Pty Ltd</w:t>
      </w:r>
      <w:r>
        <w:tab/>
      </w:r>
      <w:r>
        <w:fldChar w:fldCharType="begin"/>
      </w:r>
      <w:r>
        <w:instrText xml:space="preserve"> PAGEREF _Toc118111252 \h </w:instrText>
      </w:r>
      <w:r>
        <w:fldChar w:fldCharType="separate"/>
      </w:r>
      <w:r>
        <w:t>13</w:t>
      </w:r>
      <w:r>
        <w:fldChar w:fldCharType="end"/>
      </w:r>
    </w:p>
    <w:p>
      <w:pPr>
        <w:pStyle w:val="TOC8"/>
        <w:rPr>
          <w:rFonts w:asciiTheme="minorHAnsi" w:eastAsiaTheme="minorEastAsia" w:hAnsiTheme="minorHAnsi" w:cstheme="minorBidi"/>
          <w:szCs w:val="22"/>
        </w:rPr>
      </w:pPr>
      <w:r>
        <w:t>22.</w:t>
      </w:r>
      <w:r>
        <w:tab/>
        <w:t>Hazard management agency — chief executive officer of Health Department</w:t>
      </w:r>
      <w:r>
        <w:tab/>
      </w:r>
      <w:r>
        <w:fldChar w:fldCharType="begin"/>
      </w:r>
      <w:r>
        <w:instrText xml:space="preserve"> PAGEREF _Toc118111253 \h </w:instrText>
      </w:r>
      <w:r>
        <w:fldChar w:fldCharType="separate"/>
      </w:r>
      <w:r>
        <w:t>13</w:t>
      </w:r>
      <w:r>
        <w:fldChar w:fldCharType="end"/>
      </w:r>
    </w:p>
    <w:p>
      <w:pPr>
        <w:pStyle w:val="TOC8"/>
        <w:rPr>
          <w:rFonts w:asciiTheme="minorHAnsi" w:eastAsiaTheme="minorEastAsia" w:hAnsiTheme="minorHAnsi" w:cstheme="minorBidi"/>
          <w:szCs w:val="22"/>
        </w:rPr>
      </w:pPr>
      <w:r>
        <w:t>23A.</w:t>
      </w:r>
      <w:r>
        <w:tab/>
        <w:t>Hazard management agency — chief executive officer of Transport Department</w:t>
      </w:r>
      <w:r>
        <w:tab/>
      </w:r>
      <w:r>
        <w:fldChar w:fldCharType="begin"/>
      </w:r>
      <w:r>
        <w:instrText xml:space="preserve"> PAGEREF _Toc118111254 \h </w:instrText>
      </w:r>
      <w:r>
        <w:fldChar w:fldCharType="separate"/>
      </w:r>
      <w:r>
        <w:t>14</w:t>
      </w:r>
      <w:r>
        <w:fldChar w:fldCharType="end"/>
      </w:r>
    </w:p>
    <w:p>
      <w:pPr>
        <w:pStyle w:val="TOC8"/>
        <w:rPr>
          <w:rFonts w:asciiTheme="minorHAnsi" w:eastAsiaTheme="minorEastAsia" w:hAnsiTheme="minorHAnsi" w:cstheme="minorBidi"/>
          <w:szCs w:val="22"/>
        </w:rPr>
      </w:pPr>
      <w:r>
        <w:t>23B.</w:t>
      </w:r>
      <w:r>
        <w:tab/>
        <w:t>Hazard management agency — Coordinator of Energy</w:t>
      </w:r>
      <w:r>
        <w:tab/>
      </w:r>
      <w:r>
        <w:fldChar w:fldCharType="begin"/>
      </w:r>
      <w:r>
        <w:instrText xml:space="preserve"> PAGEREF _Toc118111255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23.</w:t>
      </w:r>
      <w:r>
        <w:tab/>
        <w:t>Prescribed relevant information (Act s. 72 and 77P)</w:t>
      </w:r>
      <w:r>
        <w:tab/>
      </w:r>
      <w:r>
        <w:fldChar w:fldCharType="begin"/>
      </w:r>
      <w:r>
        <w:instrText xml:space="preserve"> PAGEREF _Toc118111257 \h </w:instrText>
      </w:r>
      <w:r>
        <w:fldChar w:fldCharType="separate"/>
      </w:r>
      <w:r>
        <w:t>16</w:t>
      </w:r>
      <w:r>
        <w:fldChar w:fldCharType="end"/>
      </w:r>
    </w:p>
    <w:p>
      <w:pPr>
        <w:pStyle w:val="TOC8"/>
        <w:rPr>
          <w:rFonts w:asciiTheme="minorHAnsi" w:eastAsiaTheme="minorEastAsia" w:hAnsiTheme="minorHAnsi" w:cstheme="minorBidi"/>
          <w:szCs w:val="22"/>
        </w:rPr>
      </w:pPr>
      <w:r>
        <w:t>24.</w:t>
      </w:r>
      <w:r>
        <w:tab/>
        <w:t>Disclosure of relevant information (Act s. 72 and 77P)</w:t>
      </w:r>
      <w:r>
        <w:tab/>
      </w:r>
      <w:r>
        <w:fldChar w:fldCharType="begin"/>
      </w:r>
      <w:r>
        <w:instrText xml:space="preserve"> PAGEREF _Toc118111258 \h </w:instrText>
      </w:r>
      <w:r>
        <w:fldChar w:fldCharType="separate"/>
      </w:r>
      <w:r>
        <w:t>16</w:t>
      </w:r>
      <w:r>
        <w:fldChar w:fldCharType="end"/>
      </w:r>
    </w:p>
    <w:p>
      <w:pPr>
        <w:pStyle w:val="TOC8"/>
        <w:rPr>
          <w:rFonts w:asciiTheme="minorHAnsi" w:eastAsiaTheme="minorEastAsia" w:hAnsiTheme="minorHAnsi" w:cstheme="minorBidi"/>
          <w:szCs w:val="22"/>
        </w:rPr>
      </w:pPr>
      <w:r>
        <w:t>25.</w:t>
      </w:r>
      <w:r>
        <w:tab/>
        <w:t>Storing disclosed relevant information (Act s. 72 and 77P)</w:t>
      </w:r>
      <w:r>
        <w:tab/>
      </w:r>
      <w:r>
        <w:fldChar w:fldCharType="begin"/>
      </w:r>
      <w:r>
        <w:instrText xml:space="preserve"> PAGEREF _Toc118111259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Combat agencies and support organisations</w:t>
      </w:r>
    </w:p>
    <w:p>
      <w:pPr>
        <w:pStyle w:val="TOC8"/>
        <w:rPr>
          <w:rFonts w:asciiTheme="minorHAnsi" w:eastAsiaTheme="minorEastAsia" w:hAnsiTheme="minorHAnsi" w:cstheme="minorBidi"/>
          <w:szCs w:val="22"/>
        </w:rPr>
      </w:pPr>
      <w:r>
        <w:t>26.</w:t>
      </w:r>
      <w:r>
        <w:tab/>
        <w:t>Combat agency — Health Department</w:t>
      </w:r>
      <w:r>
        <w:tab/>
      </w:r>
      <w:r>
        <w:fldChar w:fldCharType="begin"/>
      </w:r>
      <w:r>
        <w:instrText xml:space="preserve"> PAGEREF _Toc118111261 \h </w:instrText>
      </w:r>
      <w:r>
        <w:fldChar w:fldCharType="separate"/>
      </w:r>
      <w:r>
        <w:t>18</w:t>
      </w:r>
      <w:r>
        <w:fldChar w:fldCharType="end"/>
      </w:r>
    </w:p>
    <w:p>
      <w:pPr>
        <w:pStyle w:val="TOC8"/>
        <w:rPr>
          <w:rFonts w:asciiTheme="minorHAnsi" w:eastAsiaTheme="minorEastAsia" w:hAnsiTheme="minorHAnsi" w:cstheme="minorBidi"/>
          <w:szCs w:val="22"/>
        </w:rPr>
      </w:pPr>
      <w:r>
        <w:t>27.</w:t>
      </w:r>
      <w:r>
        <w:tab/>
        <w:t>Combat agency — St John Ambulance Australia (Western Australia) Incorporated</w:t>
      </w:r>
      <w:r>
        <w:tab/>
      </w:r>
      <w:r>
        <w:fldChar w:fldCharType="begin"/>
      </w:r>
      <w:r>
        <w:instrText xml:space="preserve"> PAGEREF _Toc118111262 \h </w:instrText>
      </w:r>
      <w:r>
        <w:fldChar w:fldCharType="separate"/>
      </w:r>
      <w:r>
        <w:t>18</w:t>
      </w:r>
      <w:r>
        <w:fldChar w:fldCharType="end"/>
      </w:r>
    </w:p>
    <w:p>
      <w:pPr>
        <w:pStyle w:val="TOC8"/>
        <w:rPr>
          <w:rFonts w:asciiTheme="minorHAnsi" w:eastAsiaTheme="minorEastAsia" w:hAnsiTheme="minorHAnsi" w:cstheme="minorBidi"/>
          <w:szCs w:val="22"/>
        </w:rPr>
      </w:pPr>
      <w:r>
        <w:t>28.</w:t>
      </w:r>
      <w:r>
        <w:tab/>
        <w:t>Combat agency — Police Force of Western Australia</w:t>
      </w:r>
      <w:r>
        <w:tab/>
      </w:r>
      <w:r>
        <w:fldChar w:fldCharType="begin"/>
      </w:r>
      <w:r>
        <w:instrText xml:space="preserve"> PAGEREF _Toc118111263 \h </w:instrText>
      </w:r>
      <w:r>
        <w:fldChar w:fldCharType="separate"/>
      </w:r>
      <w:r>
        <w:t>18</w:t>
      </w:r>
      <w:r>
        <w:fldChar w:fldCharType="end"/>
      </w:r>
    </w:p>
    <w:p>
      <w:pPr>
        <w:pStyle w:val="TOC8"/>
        <w:rPr>
          <w:rFonts w:asciiTheme="minorHAnsi" w:eastAsiaTheme="minorEastAsia" w:hAnsiTheme="minorHAnsi" w:cstheme="minorBidi"/>
          <w:szCs w:val="22"/>
        </w:rPr>
      </w:pPr>
      <w:r>
        <w:t>29.</w:t>
      </w:r>
      <w:r>
        <w:tab/>
        <w:t>Combat agency — Police Service</w:t>
      </w:r>
      <w:r>
        <w:tab/>
      </w:r>
      <w:r>
        <w:fldChar w:fldCharType="begin"/>
      </w:r>
      <w:r>
        <w:instrText xml:space="preserve"> PAGEREF _Toc118111264 \h </w:instrText>
      </w:r>
      <w:r>
        <w:fldChar w:fldCharType="separate"/>
      </w:r>
      <w:r>
        <w:t>18</w:t>
      </w:r>
      <w:r>
        <w:fldChar w:fldCharType="end"/>
      </w:r>
    </w:p>
    <w:p>
      <w:pPr>
        <w:pStyle w:val="TOC8"/>
        <w:rPr>
          <w:rFonts w:asciiTheme="minorHAnsi" w:eastAsiaTheme="minorEastAsia" w:hAnsiTheme="minorHAnsi" w:cstheme="minorBidi"/>
          <w:szCs w:val="22"/>
        </w:rPr>
      </w:pPr>
      <w:r>
        <w:t>30.</w:t>
      </w:r>
      <w:r>
        <w:tab/>
        <w:t>Combat agency — Environment Department</w:t>
      </w:r>
      <w:r>
        <w:tab/>
      </w:r>
      <w:r>
        <w:fldChar w:fldCharType="begin"/>
      </w:r>
      <w:r>
        <w:instrText xml:space="preserve"> PAGEREF _Toc118111265 \h </w:instrText>
      </w:r>
      <w:r>
        <w:fldChar w:fldCharType="separate"/>
      </w:r>
      <w:r>
        <w:t>18</w:t>
      </w:r>
      <w:r>
        <w:fldChar w:fldCharType="end"/>
      </w:r>
    </w:p>
    <w:p>
      <w:pPr>
        <w:pStyle w:val="TOC8"/>
        <w:rPr>
          <w:rFonts w:asciiTheme="minorHAnsi" w:eastAsiaTheme="minorEastAsia" w:hAnsiTheme="minorHAnsi" w:cstheme="minorBidi"/>
          <w:szCs w:val="22"/>
        </w:rPr>
      </w:pPr>
      <w:r>
        <w:t>30A.</w:t>
      </w:r>
      <w:r>
        <w:tab/>
        <w:t>Combat agency — FES Department</w:t>
      </w:r>
      <w:r>
        <w:tab/>
      </w:r>
      <w:r>
        <w:fldChar w:fldCharType="begin"/>
      </w:r>
      <w:r>
        <w:instrText xml:space="preserve"> PAGEREF _Toc118111266 \h </w:instrText>
      </w:r>
      <w:r>
        <w:fldChar w:fldCharType="separate"/>
      </w:r>
      <w:r>
        <w:t>19</w:t>
      </w:r>
      <w:r>
        <w:fldChar w:fldCharType="end"/>
      </w:r>
    </w:p>
    <w:p>
      <w:pPr>
        <w:pStyle w:val="TOC8"/>
        <w:rPr>
          <w:rFonts w:asciiTheme="minorHAnsi" w:eastAsiaTheme="minorEastAsia" w:hAnsiTheme="minorHAnsi" w:cstheme="minorBidi"/>
          <w:szCs w:val="22"/>
        </w:rPr>
      </w:pPr>
      <w:r>
        <w:t>31.</w:t>
      </w:r>
      <w:r>
        <w:tab/>
        <w:t>Combat agency — local government</w:t>
      </w:r>
      <w:r>
        <w:tab/>
      </w:r>
      <w:r>
        <w:fldChar w:fldCharType="begin"/>
      </w:r>
      <w:r>
        <w:instrText xml:space="preserve"> PAGEREF _Toc118111267 \h </w:instrText>
      </w:r>
      <w:r>
        <w:fldChar w:fldCharType="separate"/>
      </w:r>
      <w:r>
        <w:t>19</w:t>
      </w:r>
      <w:r>
        <w:fldChar w:fldCharType="end"/>
      </w:r>
    </w:p>
    <w:p>
      <w:pPr>
        <w:pStyle w:val="TOC8"/>
        <w:rPr>
          <w:rFonts w:asciiTheme="minorHAnsi" w:eastAsiaTheme="minorEastAsia" w:hAnsiTheme="minorHAnsi" w:cstheme="minorBidi"/>
          <w:szCs w:val="22"/>
        </w:rPr>
      </w:pPr>
      <w:r>
        <w:t>32.</w:t>
      </w:r>
      <w:r>
        <w:tab/>
        <w:t>Support organisation — Communities Department</w:t>
      </w:r>
      <w:r>
        <w:tab/>
      </w:r>
      <w:r>
        <w:fldChar w:fldCharType="begin"/>
      </w:r>
      <w:r>
        <w:instrText xml:space="preserve"> PAGEREF _Toc118111268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Infringement notices</w:t>
      </w:r>
    </w:p>
    <w:p>
      <w:pPr>
        <w:pStyle w:val="TOC8"/>
        <w:rPr>
          <w:rFonts w:asciiTheme="minorHAnsi" w:eastAsiaTheme="minorEastAsia" w:hAnsiTheme="minorHAnsi" w:cstheme="minorBidi"/>
          <w:szCs w:val="22"/>
        </w:rPr>
      </w:pPr>
      <w:r>
        <w:t>33.</w:t>
      </w:r>
      <w:r>
        <w:tab/>
        <w:t>Prescribed offence and modified penalty</w:t>
      </w:r>
      <w:r>
        <w:tab/>
      </w:r>
      <w:r>
        <w:fldChar w:fldCharType="begin"/>
      </w:r>
      <w:r>
        <w:instrText xml:space="preserve"> PAGEREF _Toc118111270 \h </w:instrText>
      </w:r>
      <w:r>
        <w:fldChar w:fldCharType="separate"/>
      </w:r>
      <w:r>
        <w:t>20</w:t>
      </w:r>
      <w:r>
        <w:fldChar w:fldCharType="end"/>
      </w:r>
    </w:p>
    <w:p>
      <w:pPr>
        <w:pStyle w:val="TOC8"/>
        <w:rPr>
          <w:rFonts w:asciiTheme="minorHAnsi" w:eastAsiaTheme="minorEastAsia" w:hAnsiTheme="minorHAnsi" w:cstheme="minorBidi"/>
          <w:szCs w:val="22"/>
        </w:rPr>
      </w:pPr>
      <w:r>
        <w:t>34.</w:t>
      </w:r>
      <w:r>
        <w:tab/>
        <w:t>Approved officers and authorised officers</w:t>
      </w:r>
      <w:r>
        <w:tab/>
      </w:r>
      <w:r>
        <w:fldChar w:fldCharType="begin"/>
      </w:r>
      <w:r>
        <w:instrText xml:space="preserve"> PAGEREF _Toc118111271 \h </w:instrText>
      </w:r>
      <w:r>
        <w:fldChar w:fldCharType="separate"/>
      </w:r>
      <w:r>
        <w:t>20</w:t>
      </w:r>
      <w:r>
        <w:fldChar w:fldCharType="end"/>
      </w:r>
    </w:p>
    <w:p>
      <w:pPr>
        <w:pStyle w:val="TOC8"/>
        <w:rPr>
          <w:rFonts w:asciiTheme="minorHAnsi" w:eastAsiaTheme="minorEastAsia" w:hAnsiTheme="minorHAnsi" w:cstheme="minorBidi"/>
          <w:szCs w:val="22"/>
        </w:rPr>
      </w:pPr>
      <w:r>
        <w:t>35.</w:t>
      </w:r>
      <w:r>
        <w:tab/>
        <w:t>Forms</w:t>
      </w:r>
      <w:r>
        <w:tab/>
      </w:r>
      <w:r>
        <w:fldChar w:fldCharType="begin"/>
      </w:r>
      <w:r>
        <w:instrText xml:space="preserve"> PAGEREF _Toc118111272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_Toc118111275 \h </w:instrText>
      </w:r>
      <w:r>
        <w:fldChar w:fldCharType="separate"/>
      </w:r>
      <w:r>
        <w:t>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_Toc118111276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Emergency Management Act 2005</w:t>
      </w:r>
    </w:p>
    <w:p>
      <w:pPr>
        <w:pStyle w:val="NameofActReg"/>
      </w:pPr>
      <w:r>
        <w:t>Emergency Management Regulations 2006</w:t>
      </w:r>
    </w:p>
    <w:p>
      <w:pPr>
        <w:pStyle w:val="Heading2"/>
        <w:pageBreakBefore w:val="0"/>
        <w:spacing w:before="480"/>
        <w:rPr>
          <w:rStyle w:val="CharPartText"/>
        </w:rPr>
      </w:pPr>
      <w:bookmarkStart w:id="3" w:name="_Toc118105456"/>
      <w:bookmarkStart w:id="4" w:name="_Toc118106273"/>
      <w:bookmarkStart w:id="5" w:name="_Toc118111228"/>
      <w:r>
        <w:rPr>
          <w:rStyle w:val="CharPartNo"/>
        </w:rPr>
        <w:t>Part 1</w:t>
      </w:r>
      <w:r>
        <w:t> — </w:t>
      </w:r>
      <w:r>
        <w:rPr>
          <w:rStyle w:val="CharPartText"/>
        </w:rPr>
        <w:t>Preliminary</w:t>
      </w:r>
      <w:bookmarkEnd w:id="3"/>
      <w:bookmarkEnd w:id="4"/>
      <w:bookmarkEnd w:id="5"/>
    </w:p>
    <w:p>
      <w:pPr>
        <w:pStyle w:val="Footnoteheading"/>
      </w:pPr>
      <w:r>
        <w:tab/>
        <w:t>[Heading inserted: Gazette 12 Jan 2007 p. 50.]</w:t>
      </w:r>
    </w:p>
    <w:p>
      <w:pPr>
        <w:pStyle w:val="Heading5"/>
      </w:pPr>
      <w:bookmarkStart w:id="6" w:name="_Toc118111229"/>
      <w:r>
        <w:rPr>
          <w:rStyle w:val="CharSectno"/>
        </w:rPr>
        <w:t>1</w:t>
      </w:r>
      <w:r>
        <w:t>.</w:t>
      </w:r>
      <w:r>
        <w:tab/>
        <w:t>Citation</w:t>
      </w:r>
      <w:bookmarkEnd w:id="6"/>
    </w:p>
    <w:p>
      <w:pPr>
        <w:pStyle w:val="Subsection"/>
        <w:ind w:right="282"/>
      </w:pPr>
      <w:r>
        <w:tab/>
      </w:r>
      <w:r>
        <w:tab/>
      </w:r>
      <w:bookmarkStart w:id="7" w:name="Start_Cursor"/>
      <w:bookmarkEnd w:id="7"/>
      <w:r>
        <w:t xml:space="preserve">These regulations are the </w:t>
      </w:r>
      <w:r>
        <w:rPr>
          <w:i/>
        </w:rPr>
        <w:t>Emergency Management Regulations 2006</w:t>
      </w:r>
      <w:r>
        <w:t>.</w:t>
      </w:r>
    </w:p>
    <w:p>
      <w:pPr>
        <w:pStyle w:val="Heading5"/>
      </w:pPr>
      <w:bookmarkStart w:id="8" w:name="_Toc118111230"/>
      <w:r>
        <w:rPr>
          <w:rStyle w:val="CharSectno"/>
        </w:rPr>
        <w:t>1A</w:t>
      </w:r>
      <w:r>
        <w:t>.</w:t>
      </w:r>
      <w:r>
        <w:tab/>
        <w:t>Terms used</w:t>
      </w:r>
      <w:bookmarkEnd w:id="8"/>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9" w:name="_Toc118105459"/>
      <w:bookmarkStart w:id="10" w:name="_Toc118106276"/>
      <w:bookmarkStart w:id="11" w:name="_Toc118111231"/>
      <w:r>
        <w:rPr>
          <w:rStyle w:val="CharPartNo"/>
        </w:rPr>
        <w:lastRenderedPageBreak/>
        <w:t>Part 2</w:t>
      </w:r>
      <w:r>
        <w:t> — </w:t>
      </w:r>
      <w:r>
        <w:rPr>
          <w:rStyle w:val="CharPartText"/>
        </w:rPr>
        <w:t>The State Emergency Management Committee</w:t>
      </w:r>
      <w:bookmarkEnd w:id="9"/>
      <w:bookmarkEnd w:id="10"/>
      <w:bookmarkEnd w:id="11"/>
    </w:p>
    <w:p>
      <w:pPr>
        <w:pStyle w:val="Footnoteheading"/>
      </w:pPr>
      <w:r>
        <w:tab/>
        <w:t>[Heading inserted: Gazette 12 Jan 2007 p. 50.]</w:t>
      </w:r>
    </w:p>
    <w:p>
      <w:pPr>
        <w:pStyle w:val="Heading5"/>
      </w:pPr>
      <w:bookmarkStart w:id="12" w:name="_Toc118111232"/>
      <w:r>
        <w:rPr>
          <w:rStyle w:val="CharSectno"/>
        </w:rPr>
        <w:t>2</w:t>
      </w:r>
      <w:r>
        <w:t>.</w:t>
      </w:r>
      <w:r>
        <w:tab/>
        <w:t>Appointment by Minister of members of SEMC (Act s. 13(2))</w:t>
      </w:r>
      <w:bookmarkEnd w:id="12"/>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13" w:name="_Toc118111233"/>
      <w:r>
        <w:rPr>
          <w:rStyle w:val="CharSectno"/>
        </w:rPr>
        <w:t>3</w:t>
      </w:r>
      <w:r>
        <w:t>.</w:t>
      </w:r>
      <w:r>
        <w:tab/>
        <w:t>Term of office</w:t>
      </w:r>
      <w:bookmarkEnd w:id="13"/>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14" w:name="_Toc118111234"/>
      <w:r>
        <w:rPr>
          <w:rStyle w:val="CharSectno"/>
        </w:rPr>
        <w:t>4</w:t>
      </w:r>
      <w:r>
        <w:t>.</w:t>
      </w:r>
      <w:r>
        <w:tab/>
        <w:t>Vacancies</w:t>
      </w:r>
      <w:bookmarkEnd w:id="14"/>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lastRenderedPageBreak/>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15" w:name="_Toc118111235"/>
      <w:r>
        <w:rPr>
          <w:rStyle w:val="CharSectno"/>
        </w:rPr>
        <w:t>5</w:t>
      </w:r>
      <w:r>
        <w:t>.</w:t>
      </w:r>
      <w:r>
        <w:tab/>
        <w:t>Leave of absence</w:t>
      </w:r>
      <w:bookmarkEnd w:id="15"/>
    </w:p>
    <w:p>
      <w:pPr>
        <w:pStyle w:val="Subsection"/>
      </w:pPr>
      <w:r>
        <w:tab/>
      </w:r>
      <w:r>
        <w:tab/>
        <w:t>The SEMC may grant leave of absence to a member on any terms and conditions it thinks fit.</w:t>
      </w:r>
    </w:p>
    <w:p>
      <w:pPr>
        <w:pStyle w:val="Heading5"/>
      </w:pPr>
      <w:bookmarkStart w:id="16" w:name="_Toc118111236"/>
      <w:r>
        <w:rPr>
          <w:rStyle w:val="CharSectno"/>
        </w:rPr>
        <w:t>6</w:t>
      </w:r>
      <w:r>
        <w:t>.</w:t>
      </w:r>
      <w:r>
        <w:tab/>
        <w:t>Chairman unable to act</w:t>
      </w:r>
      <w:bookmarkEnd w:id="16"/>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17" w:name="_Toc118111237"/>
      <w:r>
        <w:rPr>
          <w:rStyle w:val="CharSectno"/>
        </w:rPr>
        <w:t>7</w:t>
      </w:r>
      <w:r>
        <w:t>.</w:t>
      </w:r>
      <w:r>
        <w:tab/>
        <w:t>Deputy members</w:t>
      </w:r>
      <w:bookmarkEnd w:id="17"/>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lastRenderedPageBreak/>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18" w:name="_Toc118111238"/>
      <w:r>
        <w:rPr>
          <w:rStyle w:val="CharSectno"/>
        </w:rPr>
        <w:t>8</w:t>
      </w:r>
      <w:r>
        <w:t>.</w:t>
      </w:r>
      <w:r>
        <w:tab/>
        <w:t>Saving for acts etc. of deputies</w:t>
      </w:r>
      <w:bookmarkEnd w:id="18"/>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19" w:name="_Toc118111239"/>
      <w:r>
        <w:rPr>
          <w:rStyle w:val="CharSectno"/>
        </w:rPr>
        <w:t>9</w:t>
      </w:r>
      <w:r>
        <w:t>.</w:t>
      </w:r>
      <w:r>
        <w:tab/>
        <w:t>Calling meetings</w:t>
      </w:r>
      <w:bookmarkEnd w:id="19"/>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20" w:name="_Toc118111240"/>
      <w:r>
        <w:rPr>
          <w:rStyle w:val="CharSectno"/>
        </w:rPr>
        <w:t>10</w:t>
      </w:r>
      <w:r>
        <w:t>.</w:t>
      </w:r>
      <w:r>
        <w:tab/>
        <w:t>Quorum</w:t>
      </w:r>
      <w:bookmarkEnd w:id="20"/>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21" w:name="_Toc118111241"/>
      <w:r>
        <w:rPr>
          <w:rStyle w:val="CharSectno"/>
        </w:rPr>
        <w:t>11</w:t>
      </w:r>
      <w:r>
        <w:t>.</w:t>
      </w:r>
      <w:r>
        <w:tab/>
        <w:t>Minutes</w:t>
      </w:r>
      <w:bookmarkEnd w:id="21"/>
    </w:p>
    <w:p>
      <w:pPr>
        <w:pStyle w:val="Subsection"/>
      </w:pPr>
      <w:r>
        <w:tab/>
      </w:r>
      <w:r>
        <w:tab/>
        <w:t>The SEMC must cause accurate minutes to be kept of the proceedings at its meetings and of each resolution passed by the SEMC.</w:t>
      </w:r>
    </w:p>
    <w:p>
      <w:pPr>
        <w:pStyle w:val="Heading5"/>
      </w:pPr>
      <w:bookmarkStart w:id="22" w:name="_Toc118111242"/>
      <w:r>
        <w:rPr>
          <w:rStyle w:val="CharSectno"/>
        </w:rPr>
        <w:t>12</w:t>
      </w:r>
      <w:r>
        <w:t>.</w:t>
      </w:r>
      <w:r>
        <w:tab/>
        <w:t>Holding meetings by telephone etc.</w:t>
      </w:r>
      <w:bookmarkEnd w:id="22"/>
    </w:p>
    <w:p>
      <w:pPr>
        <w:pStyle w:val="Subsection"/>
      </w:pPr>
      <w:r>
        <w:tab/>
      </w:r>
      <w:r>
        <w:tab/>
        <w:t xml:space="preserve">The presence of a member at a meeting of the SEMC need not be by attendance in person but may be by that person and each </w:t>
      </w:r>
      <w:r>
        <w:lastRenderedPageBreak/>
        <w:t>other person at the meeting being simultaneously in contact by telephone, or other means of instantaneous communication.</w:t>
      </w:r>
    </w:p>
    <w:p>
      <w:pPr>
        <w:pStyle w:val="Heading5"/>
      </w:pPr>
      <w:bookmarkStart w:id="23" w:name="_Toc118111243"/>
      <w:r>
        <w:rPr>
          <w:rStyle w:val="CharSectno"/>
        </w:rPr>
        <w:t>13</w:t>
      </w:r>
      <w:r>
        <w:t>.</w:t>
      </w:r>
      <w:r>
        <w:tab/>
        <w:t>Resolution without meeting</w:t>
      </w:r>
      <w:bookmarkEnd w:id="23"/>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24" w:name="_Toc118105472"/>
      <w:bookmarkStart w:id="25" w:name="_Toc118106289"/>
      <w:bookmarkStart w:id="26" w:name="_Toc118111244"/>
      <w:r>
        <w:rPr>
          <w:rStyle w:val="CharPartNo"/>
        </w:rPr>
        <w:lastRenderedPageBreak/>
        <w:t>Part 3</w:t>
      </w:r>
      <w:r>
        <w:t> — </w:t>
      </w:r>
      <w:r>
        <w:rPr>
          <w:rStyle w:val="CharPartText"/>
        </w:rPr>
        <w:t>Hazard management</w:t>
      </w:r>
      <w:bookmarkEnd w:id="24"/>
      <w:bookmarkEnd w:id="25"/>
      <w:bookmarkEnd w:id="26"/>
    </w:p>
    <w:p>
      <w:pPr>
        <w:pStyle w:val="Footnoteheading"/>
      </w:pPr>
      <w:r>
        <w:tab/>
        <w:t>[Heading inserted: Gazette 12 Jan 2007 p. 50.]</w:t>
      </w:r>
    </w:p>
    <w:p>
      <w:pPr>
        <w:pStyle w:val="Heading5"/>
      </w:pPr>
      <w:bookmarkStart w:id="27" w:name="_Toc118111245"/>
      <w:r>
        <w:rPr>
          <w:rStyle w:val="CharSectno"/>
        </w:rPr>
        <w:t>14</w:t>
      </w:r>
      <w:r>
        <w:t>.</w:t>
      </w:r>
      <w:r>
        <w:tab/>
        <w:t>Terms used</w:t>
      </w:r>
      <w:bookmarkEnd w:id="27"/>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w:t>
      </w:r>
    </w:p>
    <w:p>
      <w:pPr>
        <w:pStyle w:val="Heading5"/>
      </w:pPr>
      <w:bookmarkStart w:id="28" w:name="_Toc118111246"/>
      <w:r>
        <w:rPr>
          <w:rStyle w:val="CharSectno"/>
        </w:rPr>
        <w:lastRenderedPageBreak/>
        <w:t>14A</w:t>
      </w:r>
      <w:r>
        <w:t>.</w:t>
      </w:r>
      <w:r>
        <w:tab/>
        <w:t>Hostile acts</w:t>
      </w:r>
      <w:bookmarkEnd w:id="28"/>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lastRenderedPageBreak/>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29" w:name="_Toc118111247"/>
      <w:r>
        <w:rPr>
          <w:rStyle w:val="CharSectno"/>
        </w:rPr>
        <w:lastRenderedPageBreak/>
        <w:t>15</w:t>
      </w:r>
      <w:r>
        <w:t>.</w:t>
      </w:r>
      <w:r>
        <w:tab/>
        <w:t>Events, situations and conditions prescribed as hazards</w:t>
      </w:r>
      <w:bookmarkEnd w:id="29"/>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lastRenderedPageBreak/>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30" w:name="_Toc118111248"/>
      <w:r>
        <w:rPr>
          <w:rStyle w:val="CharSectno"/>
        </w:rPr>
        <w:t>16</w:t>
      </w:r>
      <w:r>
        <w:t>.</w:t>
      </w:r>
      <w:r>
        <w:tab/>
        <w:t>Hazard management agency — Commissioner of Police</w:t>
      </w:r>
      <w:bookmarkEnd w:id="30"/>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lastRenderedPageBreak/>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31" w:name="_Toc118111249"/>
      <w:r>
        <w:rPr>
          <w:rStyle w:val="CharSectno"/>
        </w:rPr>
        <w:t>17</w:t>
      </w:r>
      <w:r>
        <w:t>.</w:t>
      </w:r>
      <w:r>
        <w:tab/>
        <w:t>Hazard management agency — FES Commissioner</w:t>
      </w:r>
      <w:bookmarkEnd w:id="31"/>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lastRenderedPageBreak/>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32" w:name="_Toc118111250"/>
      <w:r>
        <w:rPr>
          <w:rStyle w:val="CharSectno"/>
        </w:rPr>
        <w:t>19</w:t>
      </w:r>
      <w:r>
        <w:t>.</w:t>
      </w:r>
      <w:r>
        <w:tab/>
        <w:t>Hazard management agency — Agriculture Director General</w:t>
      </w:r>
      <w:bookmarkEnd w:id="32"/>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33" w:name="_Toc118111251"/>
      <w:r>
        <w:rPr>
          <w:rStyle w:val="CharSectno"/>
        </w:rPr>
        <w:t>20</w:t>
      </w:r>
      <w:r>
        <w:t>.</w:t>
      </w:r>
      <w:r>
        <w:tab/>
        <w:t>Hazard management agency — Public Transport Authority</w:t>
      </w:r>
      <w:bookmarkEnd w:id="33"/>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 xml:space="preserve">for that area of the State comprising any parcel of land other than corridor land on which railway infrastructure </w:t>
      </w:r>
      <w:r>
        <w:lastRenderedPageBreak/>
        <w:t>controlled, operated, maintained or managed by the Authority is situated.</w:t>
      </w:r>
    </w:p>
    <w:p>
      <w:pPr>
        <w:pStyle w:val="Footnotesection"/>
      </w:pPr>
      <w:r>
        <w:tab/>
        <w:t>[Regulation 20 inserted: Gazette 13 Jan 2009 p. 56</w:t>
      </w:r>
      <w:r>
        <w:noBreakHyphen/>
        <w:t>7.]</w:t>
      </w:r>
    </w:p>
    <w:p>
      <w:pPr>
        <w:pStyle w:val="Heading5"/>
      </w:pPr>
      <w:bookmarkStart w:id="34" w:name="_Toc118111252"/>
      <w:r>
        <w:rPr>
          <w:rStyle w:val="CharSectno"/>
        </w:rPr>
        <w:t>21</w:t>
      </w:r>
      <w:r>
        <w:t>.</w:t>
      </w:r>
      <w:r>
        <w:tab/>
        <w:t>Hazard management agency — ARC Infrastructure Pty Ltd</w:t>
      </w:r>
      <w:bookmarkEnd w:id="34"/>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35" w:name="_Toc118111253"/>
      <w:r>
        <w:rPr>
          <w:rStyle w:val="CharSectno"/>
        </w:rPr>
        <w:t>22</w:t>
      </w:r>
      <w:r>
        <w:t>.</w:t>
      </w:r>
      <w:r>
        <w:tab/>
        <w:t>Hazard management agency — chief executive officer of Health Department</w:t>
      </w:r>
      <w:bookmarkEnd w:id="35"/>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36" w:name="_Toc118111254"/>
      <w:r>
        <w:rPr>
          <w:rStyle w:val="CharSectno"/>
        </w:rPr>
        <w:lastRenderedPageBreak/>
        <w:t>23A</w:t>
      </w:r>
      <w:r>
        <w:t>.</w:t>
      </w:r>
      <w:r>
        <w:tab/>
        <w:t>Hazard management agency — chief executive officer of Transport Department</w:t>
      </w:r>
      <w:bookmarkEnd w:id="36"/>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37" w:name="_Toc118111255"/>
      <w:r>
        <w:rPr>
          <w:rStyle w:val="CharSectno"/>
        </w:rPr>
        <w:t>23B</w:t>
      </w:r>
      <w:r>
        <w:t>.</w:t>
      </w:r>
      <w:r>
        <w:tab/>
        <w:t>Hazard management agency — Coordinator of Energy</w:t>
      </w:r>
      <w:bookmarkEnd w:id="37"/>
    </w:p>
    <w:p>
      <w:pPr>
        <w:pStyle w:val="Subsection"/>
      </w:pPr>
      <w:r>
        <w:tab/>
      </w:r>
      <w:r>
        <w:tab/>
        <w:t xml:space="preserve">The Coordinator as defined in the </w:t>
      </w:r>
      <w:r>
        <w:rPr>
          <w:i/>
        </w:rPr>
        <w:t xml:space="preserve">Energy Coordination Act 1994 </w:t>
      </w:r>
      <w:r>
        <w:t xml:space="preserve">section 3(1) is the hazard management agency for </w:t>
      </w:r>
      <w:r>
        <w:lastRenderedPageBreak/>
        <w:t>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38" w:name="_Toc118105484"/>
      <w:bookmarkStart w:id="39" w:name="_Toc118106301"/>
      <w:bookmarkStart w:id="40" w:name="_Toc118111256"/>
      <w:r>
        <w:rPr>
          <w:rStyle w:val="CharPartNo"/>
        </w:rPr>
        <w:lastRenderedPageBreak/>
        <w:t>Part 4</w:t>
      </w:r>
      <w:r>
        <w:t> — </w:t>
      </w:r>
      <w:r>
        <w:rPr>
          <w:rStyle w:val="CharPartText"/>
        </w:rPr>
        <w:t>Exchange of information</w:t>
      </w:r>
      <w:bookmarkEnd w:id="38"/>
      <w:bookmarkEnd w:id="39"/>
      <w:bookmarkEnd w:id="40"/>
    </w:p>
    <w:p>
      <w:pPr>
        <w:pStyle w:val="Footnoteheading"/>
      </w:pPr>
      <w:r>
        <w:tab/>
        <w:t>[Heading inserted: Gazette 19 Feb 2010 p. 661.]</w:t>
      </w:r>
    </w:p>
    <w:p>
      <w:pPr>
        <w:pStyle w:val="Heading5"/>
      </w:pPr>
      <w:bookmarkStart w:id="41" w:name="_Toc118111257"/>
      <w:r>
        <w:rPr>
          <w:rStyle w:val="CharSectno"/>
        </w:rPr>
        <w:t>23</w:t>
      </w:r>
      <w:r>
        <w:t>.</w:t>
      </w:r>
      <w:r>
        <w:tab/>
        <w:t>Prescribed relevant information (Act s. 72 and 77P)</w:t>
      </w:r>
      <w:bookmarkEnd w:id="41"/>
    </w:p>
    <w:p>
      <w:pPr>
        <w:pStyle w:val="Subsection"/>
        <w:keepNext/>
      </w:pPr>
      <w:r>
        <w:tab/>
      </w:r>
      <w:r>
        <w:tab/>
        <w:t xml:space="preserve">For the purpose of the definition of </w:t>
      </w:r>
      <w:r>
        <w:rPr>
          <w:b/>
          <w:bCs/>
          <w:i/>
          <w:iCs/>
        </w:rPr>
        <w:t>relevant information</w:t>
      </w:r>
      <w:r>
        <w:t xml:space="preserve"> in section 72(1) of the Act and the definition of </w:t>
      </w:r>
      <w:r>
        <w:rPr>
          <w:b/>
          <w:i/>
        </w:rPr>
        <w:t>relevant information</w:t>
      </w:r>
      <w:r>
        <w:t xml:space="preserve"> in section 77P(1)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keepNext/>
      </w:pPr>
      <w:r>
        <w:tab/>
        <w:t>(c)</w:t>
      </w:r>
      <w:r>
        <w:tab/>
        <w:t>information relating to a person’s finances or insurance.</w:t>
      </w:r>
    </w:p>
    <w:p>
      <w:pPr>
        <w:pStyle w:val="Footnotesection"/>
      </w:pPr>
      <w:r>
        <w:tab/>
        <w:t>[Regulation 23 inserted: Gazette 19 Feb 2010 p. 661</w:t>
      </w:r>
      <w:r>
        <w:noBreakHyphen/>
        <w:t>2; amended: SL 2022/176 r. 4.]</w:t>
      </w:r>
    </w:p>
    <w:p>
      <w:pPr>
        <w:pStyle w:val="Heading5"/>
      </w:pPr>
      <w:bookmarkStart w:id="42" w:name="_Toc118111258"/>
      <w:r>
        <w:rPr>
          <w:rStyle w:val="CharSectno"/>
        </w:rPr>
        <w:t>24</w:t>
      </w:r>
      <w:r>
        <w:t>.</w:t>
      </w:r>
      <w:r>
        <w:tab/>
        <w:t>Disclosure of relevant information (Act s. 72 and 77P)</w:t>
      </w:r>
      <w:bookmarkEnd w:id="42"/>
    </w:p>
    <w:p>
      <w:pPr>
        <w:pStyle w:val="Subsection"/>
      </w:pPr>
      <w:r>
        <w:tab/>
        <w:t>(1)</w:t>
      </w:r>
      <w:r>
        <w:tab/>
        <w:t>For the purposes of section 72(2)(a)(ii) of the Act, during an emergency situation or state of emergency, for the purposes of emergency management a hazard management officer or an authorised officer may disclose relevant information to a person or entity engaged by an emergency management agency to provide welfare services (as defined in section 72(1) of the Act).</w:t>
      </w:r>
    </w:p>
    <w:p>
      <w:pPr>
        <w:pStyle w:val="Subsection"/>
      </w:pPr>
      <w:r>
        <w:tab/>
        <w:t>(1A)</w:t>
      </w:r>
      <w:r>
        <w:tab/>
        <w:t>For the purposes of section 77P(2)(a)(ii) of the Act, an authorised COVID</w:t>
      </w:r>
      <w:r>
        <w:noBreakHyphen/>
        <w:t>19 officer may, for the purposes of COVID</w:t>
      </w:r>
      <w:r>
        <w:noBreakHyphen/>
        <w:t>19 management while a COVID</w:t>
      </w:r>
      <w:r>
        <w:noBreakHyphen/>
        <w:t>19 declaration is in force, disclose relevant information to a person or entity engaged by an emergency management agency to provide welfare services (as defined in section 77P(1) of the Act).</w:t>
      </w:r>
    </w:p>
    <w:p>
      <w:pPr>
        <w:pStyle w:val="Subsection"/>
        <w:keepNext/>
      </w:pPr>
      <w:r>
        <w:tab/>
        <w:t>(2)</w:t>
      </w:r>
      <w:r>
        <w:tab/>
        <w:t xml:space="preserve">An agency to which relevant information is disclosed under section 72(2)(a)(i) or 77P(2)(a)(i) of the Act must not further </w:t>
      </w:r>
      <w:r>
        <w:lastRenderedPageBreak/>
        <w:t xml:space="preserve">disclose that information unless it is reasonably necessary to do so for a purpose related to — </w:t>
      </w:r>
    </w:p>
    <w:p>
      <w:pPr>
        <w:pStyle w:val="Indenta"/>
      </w:pPr>
      <w:r>
        <w:tab/>
        <w:t>(a)</w:t>
      </w:r>
      <w:r>
        <w:tab/>
        <w:t>in the case of information disclosed under section 72(2)(a)(i) of the Act — emergency management; or</w:t>
      </w:r>
    </w:p>
    <w:p>
      <w:pPr>
        <w:pStyle w:val="Indenta"/>
        <w:keepNext/>
      </w:pPr>
      <w:r>
        <w:tab/>
        <w:t>(b)</w:t>
      </w:r>
      <w:r>
        <w:tab/>
        <w:t>in the case of information disclosed under section 77P(2)(a)(i) of the Act — COVID</w:t>
      </w:r>
      <w:r>
        <w:noBreakHyphen/>
        <w:t>19 management (as defined in section 77B of the Act).</w:t>
      </w:r>
    </w:p>
    <w:p>
      <w:pPr>
        <w:pStyle w:val="Penstart"/>
      </w:pPr>
      <w:r>
        <w:tab/>
        <w:t>Penalty for this subregulation: a fine of $1 000.</w:t>
      </w:r>
    </w:p>
    <w:p>
      <w:pPr>
        <w:pStyle w:val="Subsection"/>
        <w:keepNext/>
      </w:pPr>
      <w:r>
        <w:tab/>
        <w:t>(3)</w:t>
      </w:r>
      <w:r>
        <w:tab/>
        <w:t xml:space="preserve">A person or entity to which relevant information is disclosed under section 72(2)(a)(ii) or 77P(2)(a)(ii) of the Act must not further disclose that information unless it is reasonably necessary to do so for a purpose related to — </w:t>
      </w:r>
    </w:p>
    <w:p>
      <w:pPr>
        <w:pStyle w:val="Indenta"/>
      </w:pPr>
      <w:r>
        <w:tab/>
        <w:t>(a)</w:t>
      </w:r>
      <w:r>
        <w:tab/>
        <w:t>in the case of information disclosed under section 72(2)(a)(ii) of the Act — emergency management; or</w:t>
      </w:r>
    </w:p>
    <w:p>
      <w:pPr>
        <w:pStyle w:val="Indenta"/>
        <w:keepNext/>
      </w:pPr>
      <w:r>
        <w:tab/>
        <w:t>(b)</w:t>
      </w:r>
      <w:r>
        <w:tab/>
        <w:t>in the case of information disclosed under section 77P(2)(a)(ii) of the Act — COVID</w:t>
      </w:r>
      <w:r>
        <w:noBreakHyphen/>
        <w:t>19 management (as defined in section 77B of the Act).</w:t>
      </w:r>
    </w:p>
    <w:p>
      <w:pPr>
        <w:pStyle w:val="Penstart"/>
      </w:pPr>
      <w:r>
        <w:tab/>
        <w:t>Penalty for this subregulation: a fine of $1 000.</w:t>
      </w:r>
    </w:p>
    <w:p>
      <w:pPr>
        <w:pStyle w:val="Footnotesection"/>
      </w:pPr>
      <w:r>
        <w:tab/>
        <w:t>[Regulation 24 inserted: Gazette 19 Feb 2010 p. 662; amended: SL 2022/176 r. 5.]</w:t>
      </w:r>
    </w:p>
    <w:p>
      <w:pPr>
        <w:pStyle w:val="Heading5"/>
      </w:pPr>
      <w:bookmarkStart w:id="43" w:name="_Toc118111259"/>
      <w:r>
        <w:rPr>
          <w:rStyle w:val="CharSectno"/>
        </w:rPr>
        <w:t>25</w:t>
      </w:r>
      <w:r>
        <w:t>.</w:t>
      </w:r>
      <w:r>
        <w:tab/>
        <w:t>Storing disclosed relevant information (Act s. 72 and 77P)</w:t>
      </w:r>
      <w:bookmarkEnd w:id="43"/>
    </w:p>
    <w:p>
      <w:pPr>
        <w:pStyle w:val="Subsection"/>
        <w:keepNext/>
      </w:pPr>
      <w:r>
        <w:tab/>
      </w:r>
      <w:r>
        <w:tab/>
        <w:t>An agency, person or entity to which relevant information is disclosed under section 72(2)(a) or 77P(2)(a) of the Act must ensure that that information is kept in a secure manner so far as it is reasonably practicable to do so.</w:t>
      </w:r>
    </w:p>
    <w:p>
      <w:pPr>
        <w:pStyle w:val="Penstart"/>
        <w:keepNext/>
      </w:pPr>
      <w:r>
        <w:tab/>
        <w:t>Penalty: a fine of $1 000.</w:t>
      </w:r>
    </w:p>
    <w:p>
      <w:pPr>
        <w:pStyle w:val="Footnotesection"/>
      </w:pPr>
      <w:r>
        <w:tab/>
        <w:t>[Regulation 25 inserted: Gazette 19 Feb 2010 p. 662; amended: SL 2022/176 r. 6.]</w:t>
      </w:r>
    </w:p>
    <w:p>
      <w:pPr>
        <w:pStyle w:val="Heading2"/>
      </w:pPr>
      <w:bookmarkStart w:id="44" w:name="_Toc118105488"/>
      <w:bookmarkStart w:id="45" w:name="_Toc118106305"/>
      <w:bookmarkStart w:id="46" w:name="_Toc118111260"/>
      <w:r>
        <w:rPr>
          <w:rStyle w:val="CharPartNo"/>
        </w:rPr>
        <w:lastRenderedPageBreak/>
        <w:t>Part 5</w:t>
      </w:r>
      <w:r>
        <w:t> — </w:t>
      </w:r>
      <w:r>
        <w:rPr>
          <w:rStyle w:val="CharPartText"/>
        </w:rPr>
        <w:t>Combat agencies and support organisations</w:t>
      </w:r>
      <w:bookmarkEnd w:id="44"/>
      <w:bookmarkEnd w:id="45"/>
      <w:bookmarkEnd w:id="46"/>
    </w:p>
    <w:p>
      <w:pPr>
        <w:pStyle w:val="Footnoteheading"/>
        <w:spacing w:before="100"/>
      </w:pPr>
      <w:r>
        <w:tab/>
        <w:t>[Heading inserted: Gazette 19 Jul 2011 p. 2985.]</w:t>
      </w:r>
    </w:p>
    <w:p>
      <w:pPr>
        <w:pStyle w:val="Heading5"/>
        <w:spacing w:before="200"/>
      </w:pPr>
      <w:bookmarkStart w:id="47" w:name="_Toc118111261"/>
      <w:r>
        <w:rPr>
          <w:rStyle w:val="CharSectno"/>
        </w:rPr>
        <w:t>26</w:t>
      </w:r>
      <w:r>
        <w:t>.</w:t>
      </w:r>
      <w:r>
        <w:tab/>
        <w:t>Combat agency — Health Department</w:t>
      </w:r>
      <w:bookmarkEnd w:id="47"/>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48" w:name="_Toc118111262"/>
      <w:r>
        <w:rPr>
          <w:rStyle w:val="CharSectno"/>
        </w:rPr>
        <w:t>27</w:t>
      </w:r>
      <w:r>
        <w:t>.</w:t>
      </w:r>
      <w:r>
        <w:tab/>
        <w:t>Combat agency — St John Ambulance Australia (Western Australia) Incorporated</w:t>
      </w:r>
      <w:bookmarkEnd w:id="48"/>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49" w:name="_Toc118111263"/>
      <w:r>
        <w:rPr>
          <w:rStyle w:val="CharSectno"/>
        </w:rPr>
        <w:t>28</w:t>
      </w:r>
      <w:r>
        <w:t>.</w:t>
      </w:r>
      <w:r>
        <w:tab/>
        <w:t>Combat agency — Police Force of Western Australia</w:t>
      </w:r>
      <w:bookmarkEnd w:id="49"/>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50" w:name="_Toc118111264"/>
      <w:r>
        <w:rPr>
          <w:rStyle w:val="CharSectno"/>
        </w:rPr>
        <w:t>29</w:t>
      </w:r>
      <w:r>
        <w:t>.</w:t>
      </w:r>
      <w:r>
        <w:tab/>
        <w:t>Combat agency — Police Service</w:t>
      </w:r>
      <w:bookmarkEnd w:id="50"/>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51" w:name="_Toc118111265"/>
      <w:r>
        <w:rPr>
          <w:rStyle w:val="CharSectno"/>
        </w:rPr>
        <w:t>30</w:t>
      </w:r>
      <w:r>
        <w:t>.</w:t>
      </w:r>
      <w:r>
        <w:tab/>
        <w:t>Combat agency — Environment Department</w:t>
      </w:r>
      <w:bookmarkEnd w:id="51"/>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52" w:name="_Toc118111266"/>
      <w:r>
        <w:rPr>
          <w:rStyle w:val="CharSectno"/>
        </w:rPr>
        <w:lastRenderedPageBreak/>
        <w:t>30A</w:t>
      </w:r>
      <w:r>
        <w:t>.</w:t>
      </w:r>
      <w:r>
        <w:tab/>
        <w:t>Combat agency — FES Department</w:t>
      </w:r>
      <w:bookmarkEnd w:id="52"/>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53" w:name="_Toc118111267"/>
      <w:r>
        <w:rPr>
          <w:rStyle w:val="CharSectno"/>
        </w:rPr>
        <w:t>31</w:t>
      </w:r>
      <w:r>
        <w:t>.</w:t>
      </w:r>
      <w:r>
        <w:tab/>
        <w:t>Combat agency — local government</w:t>
      </w:r>
      <w:bookmarkEnd w:id="53"/>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54" w:name="_Toc118111268"/>
      <w:r>
        <w:rPr>
          <w:rStyle w:val="CharSectno"/>
        </w:rPr>
        <w:t>32</w:t>
      </w:r>
      <w:r>
        <w:t>.</w:t>
      </w:r>
      <w:r>
        <w:tab/>
        <w:t>Support organisation — Communities Department</w:t>
      </w:r>
      <w:bookmarkEnd w:id="54"/>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55" w:name="_Toc118105497"/>
      <w:bookmarkStart w:id="56" w:name="_Toc118106314"/>
      <w:bookmarkStart w:id="57" w:name="_Toc118111269"/>
      <w:r>
        <w:rPr>
          <w:rStyle w:val="CharPartNo"/>
        </w:rPr>
        <w:lastRenderedPageBreak/>
        <w:t>Part 6</w:t>
      </w:r>
      <w:r>
        <w:rPr>
          <w:rStyle w:val="CharDivNo"/>
        </w:rPr>
        <w:t> </w:t>
      </w:r>
      <w:r>
        <w:t>—</w:t>
      </w:r>
      <w:r>
        <w:rPr>
          <w:rStyle w:val="CharDivText"/>
        </w:rPr>
        <w:t> </w:t>
      </w:r>
      <w:r>
        <w:rPr>
          <w:rStyle w:val="CharPartText"/>
        </w:rPr>
        <w:t>Infringement notices</w:t>
      </w:r>
      <w:bookmarkEnd w:id="55"/>
      <w:bookmarkEnd w:id="56"/>
      <w:bookmarkEnd w:id="57"/>
    </w:p>
    <w:p>
      <w:pPr>
        <w:pStyle w:val="Footnoteheading"/>
      </w:pPr>
      <w:r>
        <w:tab/>
        <w:t>[Heading inserted: SL 2020/31 r. 4.]</w:t>
      </w:r>
    </w:p>
    <w:p>
      <w:pPr>
        <w:pStyle w:val="Heading5"/>
      </w:pPr>
      <w:bookmarkStart w:id="58" w:name="_Toc118111270"/>
      <w:r>
        <w:rPr>
          <w:rStyle w:val="CharSectno"/>
        </w:rPr>
        <w:t>33</w:t>
      </w:r>
      <w:r>
        <w:t>.</w:t>
      </w:r>
      <w:r>
        <w:tab/>
        <w:t>Prescribed offence and modified penalty</w:t>
      </w:r>
      <w:bookmarkEnd w:id="58"/>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59" w:name="_Toc118111271"/>
      <w:r>
        <w:rPr>
          <w:rStyle w:val="CharSectno"/>
        </w:rPr>
        <w:t>34</w:t>
      </w:r>
      <w:r>
        <w:t>.</w:t>
      </w:r>
      <w:r>
        <w:tab/>
        <w:t>Approved officers and authorised officers</w:t>
      </w:r>
      <w:bookmarkEnd w:id="59"/>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60" w:name="_Toc118111272"/>
      <w:r>
        <w:rPr>
          <w:rStyle w:val="CharSectno"/>
        </w:rPr>
        <w:lastRenderedPageBreak/>
        <w:t>35</w:t>
      </w:r>
      <w:r>
        <w:t>.</w:t>
      </w:r>
      <w:r>
        <w:tab/>
        <w:t>Forms</w:t>
      </w:r>
      <w:bookmarkEnd w:id="60"/>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1" w:name="_Toc118105501"/>
      <w:bookmarkStart w:id="62" w:name="_Toc118106318"/>
      <w:bookmarkStart w:id="63" w:name="_Toc118111273"/>
      <w:r>
        <w:rPr>
          <w:rStyle w:val="CharSchNo"/>
        </w:rPr>
        <w:lastRenderedPageBreak/>
        <w:t>Schedule 1</w:t>
      </w:r>
      <w:r>
        <w:rPr>
          <w:rStyle w:val="CharSDivNo"/>
        </w:rPr>
        <w:t> </w:t>
      </w:r>
      <w:r>
        <w:t>—</w:t>
      </w:r>
      <w:r>
        <w:rPr>
          <w:rStyle w:val="CharSDivText"/>
        </w:rPr>
        <w:t> </w:t>
      </w:r>
      <w:r>
        <w:rPr>
          <w:rStyle w:val="CharSchText"/>
        </w:rPr>
        <w:t>Forms</w:t>
      </w:r>
      <w:bookmarkEnd w:id="61"/>
      <w:bookmarkEnd w:id="62"/>
      <w:bookmarkEnd w:id="63"/>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cantSplit/>
          <w:trHeight w:val="282"/>
        </w:trPr>
        <w:tc>
          <w:tcPr>
            <w:tcW w:w="7089" w:type="dxa"/>
            <w:gridSpan w:val="11"/>
            <w:tcBorders>
              <w:top w:val="nil"/>
              <w:left w:val="nil"/>
              <w:bottom w:val="nil"/>
              <w:right w:val="nil"/>
            </w:tcBorders>
          </w:tcPr>
          <w:p>
            <w:pPr>
              <w:pStyle w:val="yTableNAm"/>
              <w:keepLines/>
              <w:spacing w:before="60"/>
              <w:rPr>
                <w:sz w:val="14"/>
                <w:szCs w:val="14"/>
                <w:highlight w:val="yellow"/>
              </w:rPr>
            </w:pPr>
            <w:r>
              <w:rPr>
                <w:szCs w:val="22"/>
              </w:rPr>
              <w:lastRenderedPageBreak/>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Under that Act, some or all of the following actions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lastRenderedPageBreak/>
        <w:tab/>
        <w:t>[Form 1 inserted: SL 2020/31 r. 5; amended: SL 2020/165 r. 4.]</w:t>
      </w:r>
    </w:p>
    <w:p>
      <w:pPr>
        <w:pStyle w:val="yMiscellaneousBody"/>
        <w:keepNext/>
        <w:spacing w:before="240" w:after="120"/>
        <w:ind w:left="142"/>
        <w:rPr>
          <w:b/>
        </w:rPr>
      </w:pPr>
      <w:r>
        <w:rPr>
          <w:b/>
        </w:rPr>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45" w:type="dxa"/>
            <w:gridSpan w:val="5"/>
            <w:tcBorders>
              <w:bottom w:val="nil"/>
            </w:tcBorders>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w:t>
            </w:r>
            <w:r>
              <w:tab/>
              <w:t>Your refund is enclosed.</w:t>
            </w:r>
          </w:p>
          <w:p>
            <w:pPr>
              <w:pStyle w:val="yTableNAm"/>
              <w:keepNext/>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5" w:name="_Toc118105502"/>
      <w:bookmarkStart w:id="66" w:name="_Toc118106319"/>
      <w:bookmarkStart w:id="67" w:name="_Toc118111274"/>
      <w:r>
        <w:lastRenderedPageBreak/>
        <w:t>Notes</w:t>
      </w:r>
      <w:bookmarkEnd w:id="65"/>
      <w:bookmarkEnd w:id="66"/>
      <w:bookmarkEnd w:id="67"/>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8" w:name="_Toc118111275"/>
      <w:r>
        <w:t>Compilation table</w:t>
      </w:r>
      <w:bookmarkEnd w:id="6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lastRenderedPageBreak/>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(No. 2) 2020</w:t>
            </w:r>
          </w:p>
        </w:tc>
        <w:tc>
          <w:tcPr>
            <w:tcW w:w="1276" w:type="dxa"/>
            <w:tcBorders>
              <w:top w:val="nil"/>
              <w:bottom w:val="nil"/>
            </w:tcBorders>
            <w:shd w:val="clear" w:color="auto" w:fill="auto"/>
          </w:tcPr>
          <w:p>
            <w:pPr>
              <w:pStyle w:val="nTable"/>
              <w:spacing w:after="40"/>
            </w:pPr>
            <w:r>
              <w:t>SL 2020/31 3 Apr 2020</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trPr>
          <w:cantSplit/>
        </w:trPr>
        <w:tc>
          <w:tcPr>
            <w:tcW w:w="3119" w:type="dxa"/>
            <w:tcBorders>
              <w:top w:val="nil"/>
              <w:bottom w:val="nil"/>
              <w:right w:val="nil"/>
            </w:tcBorders>
            <w:shd w:val="clear" w:color="auto" w:fill="auto"/>
          </w:tcPr>
          <w:p>
            <w:pPr>
              <w:pStyle w:val="nTable"/>
              <w:spacing w:after="40"/>
              <w:rPr>
                <w:i/>
              </w:rPr>
            </w:pPr>
            <w:r>
              <w:rPr>
                <w:i/>
              </w:rPr>
              <w:t>Emergency Management Amendment Regulations (No. 3) 2020</w:t>
            </w:r>
          </w:p>
        </w:tc>
        <w:tc>
          <w:tcPr>
            <w:tcW w:w="1276" w:type="dxa"/>
            <w:tcBorders>
              <w:top w:val="nil"/>
              <w:left w:val="nil"/>
              <w:bottom w:val="nil"/>
              <w:right w:val="nil"/>
            </w:tcBorders>
            <w:shd w:val="clear" w:color="auto" w:fill="auto"/>
          </w:tcPr>
          <w:p>
            <w:pPr>
              <w:pStyle w:val="nTable"/>
              <w:spacing w:after="40"/>
            </w:pPr>
            <w:r>
              <w:t>SL 2020/165 25 Sep 2020</w:t>
            </w:r>
          </w:p>
        </w:tc>
        <w:tc>
          <w:tcPr>
            <w:tcW w:w="2693" w:type="dxa"/>
            <w:tcBorders>
              <w:top w:val="nil"/>
              <w:left w:val="nil"/>
              <w:bottom w:val="nil"/>
            </w:tcBorders>
            <w:shd w:val="clear" w:color="auto" w:fill="auto"/>
          </w:tcPr>
          <w:p>
            <w:pPr>
              <w:pStyle w:val="nTable"/>
              <w:spacing w:after="40"/>
              <w:rPr>
                <w:snapToGrid w:val="0"/>
              </w:rPr>
            </w:pPr>
            <w:r>
              <w:rPr>
                <w:snapToGrid w:val="0"/>
              </w:rPr>
              <w:t>r. 1 and 2: 25 Sep 2020 (see r. 2(a));</w:t>
            </w:r>
            <w:r>
              <w:rPr>
                <w:snapToGrid w:val="0"/>
              </w:rPr>
              <w:br/>
              <w:t>Regulations other than r. 1 and 2: 29 Sep 2020 (see r. 2(b) and SL 2020/159 cl. 2(a))</w:t>
            </w:r>
          </w:p>
        </w:tc>
      </w:tr>
      <w:tr>
        <w:trPr>
          <w:cantSplit/>
        </w:trPr>
        <w:tc>
          <w:tcPr>
            <w:tcW w:w="3119" w:type="dxa"/>
            <w:tcBorders>
              <w:top w:val="nil"/>
              <w:bottom w:val="single" w:sz="8" w:space="0" w:color="auto"/>
              <w:right w:val="nil"/>
            </w:tcBorders>
            <w:shd w:val="clear" w:color="auto" w:fill="auto"/>
          </w:tcPr>
          <w:p>
            <w:pPr>
              <w:pStyle w:val="nTable"/>
              <w:spacing w:after="40"/>
            </w:pPr>
            <w:r>
              <w:rPr>
                <w:i/>
              </w:rPr>
              <w:lastRenderedPageBreak/>
              <w:t>Emergency Management Amendment Regulations (No. 2) 2022</w:t>
            </w:r>
            <w:r>
              <w:t xml:space="preserve"> (other than Pt. 3)</w:t>
            </w:r>
          </w:p>
        </w:tc>
        <w:tc>
          <w:tcPr>
            <w:tcW w:w="1276" w:type="dxa"/>
            <w:tcBorders>
              <w:top w:val="nil"/>
              <w:left w:val="nil"/>
              <w:bottom w:val="single" w:sz="8" w:space="0" w:color="auto"/>
              <w:right w:val="nil"/>
            </w:tcBorders>
            <w:shd w:val="clear" w:color="auto" w:fill="auto"/>
          </w:tcPr>
          <w:p>
            <w:pPr>
              <w:pStyle w:val="nTable"/>
              <w:spacing w:after="40"/>
            </w:pPr>
            <w:r>
              <w:t>SL 2022/176 2 Nov 2022</w:t>
            </w:r>
          </w:p>
        </w:tc>
        <w:tc>
          <w:tcPr>
            <w:tcW w:w="2693" w:type="dxa"/>
            <w:tcBorders>
              <w:top w:val="nil"/>
              <w:left w:val="nil"/>
              <w:bottom w:val="single" w:sz="8" w:space="0" w:color="auto"/>
            </w:tcBorders>
            <w:shd w:val="clear" w:color="auto" w:fill="auto"/>
          </w:tcPr>
          <w:p>
            <w:pPr>
              <w:pStyle w:val="nTable"/>
              <w:spacing w:after="40"/>
              <w:rPr>
                <w:snapToGrid w:val="0"/>
              </w:rPr>
            </w:pPr>
            <w:r>
              <w:rPr>
                <w:snapToGrid w:val="0"/>
              </w:rPr>
              <w:t>Pt. 1: 2 Nov 2022 (see r. 2(a));</w:t>
            </w:r>
            <w:r>
              <w:rPr>
                <w:snapToGrid w:val="0"/>
              </w:rPr>
              <w:br/>
              <w:t>Pt. 2: 3 Nov 2022 (see r. 2(b)) and SL 2022/175 cl. 2)</w:t>
            </w:r>
          </w:p>
        </w:tc>
      </w:tr>
    </w:tbl>
    <w:p>
      <w:pPr>
        <w:pStyle w:val="nHeading3"/>
      </w:pPr>
      <w:bookmarkStart w:id="69" w:name="_Toc118111276"/>
      <w:r>
        <w:t>Uncommenced provisions table</w:t>
      </w:r>
      <w:bookmarkEnd w:id="6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Emergency Management Amendment Regulations (No. 2) 2022</w:t>
            </w:r>
            <w:r>
              <w:t xml:space="preserve"> Pt. 3</w:t>
            </w:r>
          </w:p>
        </w:tc>
        <w:tc>
          <w:tcPr>
            <w:tcW w:w="1276" w:type="dxa"/>
          </w:tcPr>
          <w:p>
            <w:pPr>
              <w:pStyle w:val="nTable"/>
              <w:spacing w:after="40"/>
            </w:pPr>
            <w:r>
              <w:t>SL 2022/176 2 Nov 2022</w:t>
            </w:r>
          </w:p>
        </w:tc>
        <w:tc>
          <w:tcPr>
            <w:tcW w:w="2693" w:type="dxa"/>
          </w:tcPr>
          <w:p>
            <w:pPr>
              <w:pStyle w:val="nTable"/>
              <w:spacing w:after="40"/>
            </w:pPr>
            <w:r>
              <w:t>3 Nov 2024 (see r. 2(c)</w:t>
            </w:r>
            <w:r>
              <w:rPr>
                <w:snapToGrid w:val="0"/>
              </w:rPr>
              <w:t xml:space="preserve"> and SL 2022/175 cl. 2)</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71" w:name="_Toc118105504"/>
      <w:bookmarkStart w:id="72" w:name="_Toc118106322"/>
      <w:bookmarkStart w:id="73" w:name="_Toc118111277"/>
      <w:r>
        <w:rPr>
          <w:sz w:val="28"/>
        </w:rPr>
        <w:lastRenderedPageBreak/>
        <w:t>Defined terms</w:t>
      </w:r>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Director General</w:t>
      </w:r>
      <w:r>
        <w:tab/>
        <w:t>19(1)</w:t>
      </w:r>
    </w:p>
    <w:p>
      <w:pPr>
        <w:pStyle w:val="DefinedTerms"/>
      </w:pPr>
      <w:r>
        <w:t>Communities Department</w:t>
      </w:r>
      <w:r>
        <w:tab/>
        <w:t>1A</w:t>
      </w:r>
    </w:p>
    <w:p>
      <w:pPr>
        <w:pStyle w:val="DefinedTerms"/>
      </w:pPr>
      <w:r>
        <w:t>corridor land</w:t>
      </w:r>
      <w:r>
        <w:tab/>
        <w:t>14</w:t>
      </w:r>
    </w:p>
    <w:p>
      <w:pPr>
        <w:pStyle w:val="DefinedTerms"/>
      </w:pPr>
      <w:r>
        <w:t>Environment Department</w:t>
      </w:r>
      <w:r>
        <w:tab/>
        <w:t>1A</w:t>
      </w:r>
    </w:p>
    <w:p>
      <w:pPr>
        <w:pStyle w:val="DefinedTerms"/>
      </w:pPr>
      <w:r>
        <w:t>explosive substance</w:t>
      </w:r>
      <w:r>
        <w:tab/>
        <w:t>14</w:t>
      </w:r>
    </w:p>
    <w:p>
      <w:pPr>
        <w:pStyle w:val="DefinedTerms"/>
      </w:pPr>
      <w:r>
        <w:t>FES Commissioner</w:t>
      </w:r>
      <w:r>
        <w:tab/>
        <w:t>17(1)</w:t>
      </w:r>
    </w:p>
    <w:p>
      <w:pPr>
        <w:pStyle w:val="DefinedTerms"/>
      </w:pPr>
      <w:r>
        <w:t>FES Department</w:t>
      </w:r>
      <w:r>
        <w:tab/>
        <w:t>1A</w:t>
      </w:r>
    </w:p>
    <w:p>
      <w:pPr>
        <w:pStyle w:val="DefinedTerms"/>
      </w:pPr>
      <w:r>
        <w:t>firearm</w:t>
      </w:r>
      <w:r>
        <w:tab/>
        <w:t>14</w:t>
      </w:r>
    </w:p>
    <w:p>
      <w:pPr>
        <w:pStyle w:val="DefinedTerms"/>
      </w:pPr>
      <w:r>
        <w:t>Health Department</w:t>
      </w:r>
      <w:r>
        <w:tab/>
        <w:t>1A</w:t>
      </w:r>
    </w:p>
    <w:p>
      <w:pPr>
        <w:pStyle w:val="DefinedTerms"/>
      </w:pPr>
      <w:r>
        <w:t>hostile act</w:t>
      </w:r>
      <w:r>
        <w:tab/>
        <w:t>14, 14A(1)</w:t>
      </w:r>
    </w:p>
    <w:p>
      <w:pPr>
        <w:pStyle w:val="DefinedTerms"/>
      </w:pPr>
      <w:r>
        <w:t>Public Transport Authority</w:t>
      </w:r>
      <w:r>
        <w:tab/>
        <w:t>20(1)</w:t>
      </w:r>
    </w:p>
    <w:p>
      <w:pPr>
        <w:pStyle w:val="DefinedTerms"/>
      </w:pPr>
      <w:r>
        <w:t>railway infrastructure</w:t>
      </w:r>
      <w:r>
        <w:tab/>
        <w:t>14</w:t>
      </w:r>
    </w:p>
    <w:p>
      <w:pPr>
        <w:pStyle w:val="DefinedTerms"/>
      </w:pPr>
      <w:r>
        <w:t>State waters</w:t>
      </w:r>
      <w:r>
        <w:tab/>
        <w:t>14</w:t>
      </w:r>
    </w:p>
    <w:p>
      <w:pPr>
        <w:pStyle w:val="DefinedTerms"/>
      </w:pPr>
      <w:r>
        <w:t>Transport Department</w:t>
      </w:r>
      <w:r>
        <w:tab/>
        <w:t>1A</w:t>
      </w:r>
    </w:p>
    <w:p>
      <w:pPr>
        <w:pStyle w:val="DefinedTerms"/>
      </w:pPr>
      <w:r>
        <w:t>vessel</w:t>
      </w:r>
      <w:r>
        <w:tab/>
        <w:t>14</w:t>
      </w:r>
    </w:p>
    <w:p>
      <w:pPr>
        <w:pStyle w:val="DefinedTerms"/>
      </w:pPr>
      <w:r>
        <w:t>weapon</w:t>
      </w:r>
      <w:r>
        <w:tab/>
        <w:t>14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31104305"/>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 w:name="WAFER_20221031104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4305_GUID" w:val="1fa12c91-302e-4d78-a5b9-7559d17a62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EE90D-6F53-4294-99E0-E14712CF7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5992</Words>
  <Characters>29425</Characters>
  <Application>Microsoft Office Word</Application>
  <DocSecurity>0</DocSecurity>
  <Lines>1050</Lines>
  <Paragraphs>621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2006 - 03-e0-00</dc:title>
  <dc:subject/>
  <dc:creator/>
  <cp:keywords/>
  <dc:description/>
  <cp:lastModifiedBy>Master Repository Process</cp:lastModifiedBy>
  <cp:revision>4</cp:revision>
  <cp:lastPrinted>2014-03-14T05:00:00Z</cp:lastPrinted>
  <dcterms:created xsi:type="dcterms:W3CDTF">2022-11-02T04:21:00Z</dcterms:created>
  <dcterms:modified xsi:type="dcterms:W3CDTF">2022-11-02T04:21:00Z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AsAtDate">
    <vt:lpwstr>03 Nov 2022</vt:lpwstr>
  </property>
  <property fmtid="{D5CDD505-2E9C-101B-9397-08002B2CF9AE}" pid="8" name="Suffix">
    <vt:lpwstr>03-e0-00</vt:lpwstr>
  </property>
  <property fmtid="{D5CDD505-2E9C-101B-9397-08002B2CF9AE}" pid="9" name="CommencementDate">
    <vt:lpwstr>20221103</vt:lpwstr>
  </property>
</Properties>
</file>