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_Toc117857484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_Toc117857485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_Toc117857486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_Toc117857487 \h </w:instrText>
      </w:r>
      <w:r>
        <w:fldChar w:fldCharType="separate"/>
      </w:r>
      <w:r>
        <w:t>5</w:t>
      </w:r>
      <w:r>
        <w:fldChar w:fldCharType="end"/>
      </w:r>
    </w:p>
    <w:p>
      <w:pPr>
        <w:pStyle w:val="TOC8"/>
        <w:rPr>
          <w:rFonts w:asciiTheme="minorHAnsi" w:eastAsiaTheme="minorEastAsia" w:hAnsiTheme="minorHAnsi" w:cstheme="minorBidi"/>
          <w:szCs w:val="22"/>
        </w:rPr>
      </w:pPr>
      <w:r>
        <w:t>5.</w:t>
      </w:r>
      <w:r>
        <w:tab/>
        <w:t>Relationship of this Act to other written laws</w:t>
      </w:r>
      <w:r>
        <w:tab/>
      </w:r>
      <w:r>
        <w:fldChar w:fldCharType="begin"/>
      </w:r>
      <w:r>
        <w:instrText xml:space="preserve"> PAGEREF _Toc117857488 \h </w:instrText>
      </w:r>
      <w:r>
        <w:fldChar w:fldCharType="separate"/>
      </w:r>
      <w:r>
        <w:t>5</w:t>
      </w:r>
      <w:r>
        <w:fldChar w:fldCharType="end"/>
      </w:r>
    </w:p>
    <w:p>
      <w:pPr>
        <w:pStyle w:val="TOC8"/>
        <w:rPr>
          <w:rFonts w:asciiTheme="minorHAnsi" w:eastAsiaTheme="minorEastAsia" w:hAnsiTheme="minorHAnsi" w:cstheme="minorBidi"/>
          <w:szCs w:val="22"/>
        </w:rPr>
      </w:pPr>
      <w:r>
        <w:t>6.</w:t>
      </w:r>
      <w:r>
        <w:tab/>
        <w:t>Protection of entry registration information</w:t>
      </w:r>
      <w:r>
        <w:tab/>
      </w:r>
      <w:r>
        <w:fldChar w:fldCharType="begin"/>
      </w:r>
      <w:r>
        <w:instrText xml:space="preserve"> PAGEREF _Toc117857489 \h </w:instrText>
      </w:r>
      <w:r>
        <w:fldChar w:fldCharType="separate"/>
      </w:r>
      <w:r>
        <w:t>6</w:t>
      </w:r>
      <w:r>
        <w:fldChar w:fldCharType="end"/>
      </w:r>
    </w:p>
    <w:p>
      <w:pPr>
        <w:pStyle w:val="TOC8"/>
        <w:rPr>
          <w:rFonts w:asciiTheme="minorHAnsi" w:eastAsiaTheme="minorEastAsia" w:hAnsiTheme="minorHAnsi" w:cstheme="minorBidi"/>
          <w:szCs w:val="22"/>
        </w:rPr>
      </w:pPr>
      <w:r>
        <w:t>7.</w:t>
      </w:r>
      <w:r>
        <w:tab/>
        <w:t>Storage of entry registration records</w:t>
      </w:r>
      <w:r>
        <w:tab/>
      </w:r>
      <w:r>
        <w:fldChar w:fldCharType="begin"/>
      </w:r>
      <w:r>
        <w:instrText xml:space="preserve"> PAGEREF _Toc117857490 \h </w:instrText>
      </w:r>
      <w:r>
        <w:fldChar w:fldCharType="separate"/>
      </w:r>
      <w:r>
        <w:t>7</w:t>
      </w:r>
      <w:r>
        <w:fldChar w:fldCharType="end"/>
      </w:r>
    </w:p>
    <w:p>
      <w:pPr>
        <w:pStyle w:val="TOC8"/>
        <w:rPr>
          <w:rFonts w:asciiTheme="minorHAnsi" w:eastAsiaTheme="minorEastAsia" w:hAnsiTheme="minorHAnsi" w:cstheme="minorBidi"/>
          <w:szCs w:val="22"/>
        </w:rPr>
      </w:pPr>
      <w:r>
        <w:t>8.</w:t>
      </w:r>
      <w:r>
        <w:tab/>
        <w:t>Destruction of entry registration records</w:t>
      </w:r>
      <w:r>
        <w:tab/>
      </w:r>
      <w:r>
        <w:fldChar w:fldCharType="begin"/>
      </w:r>
      <w:r>
        <w:instrText xml:space="preserve"> PAGEREF _Toc117857491 \h </w:instrText>
      </w:r>
      <w:r>
        <w:fldChar w:fldCharType="separate"/>
      </w:r>
      <w:r>
        <w:t>7</w:t>
      </w:r>
      <w:r>
        <w:fldChar w:fldCharType="end"/>
      </w:r>
    </w:p>
    <w:p>
      <w:pPr>
        <w:pStyle w:val="TOC8"/>
        <w:rPr>
          <w:rFonts w:asciiTheme="minorHAnsi" w:eastAsiaTheme="minorEastAsia" w:hAnsiTheme="minorHAnsi" w:cstheme="minorBidi"/>
          <w:szCs w:val="22"/>
        </w:rPr>
      </w:pPr>
      <w:r>
        <w:t>9.</w:t>
      </w:r>
      <w:r>
        <w:tab/>
        <w:t>Liability of officers of body corporate for offence by body corporate</w:t>
      </w:r>
      <w:r>
        <w:tab/>
      </w:r>
      <w:r>
        <w:fldChar w:fldCharType="begin"/>
      </w:r>
      <w:r>
        <w:instrText xml:space="preserve"> PAGEREF _Toc117857492 \h </w:instrText>
      </w:r>
      <w:r>
        <w:fldChar w:fldCharType="separate"/>
      </w:r>
      <w:r>
        <w:t>9</w:t>
      </w:r>
      <w:r>
        <w:fldChar w:fldCharType="end"/>
      </w:r>
    </w:p>
    <w:p>
      <w:pPr>
        <w:pStyle w:val="TOC8"/>
        <w:rPr>
          <w:rFonts w:asciiTheme="minorHAnsi" w:eastAsiaTheme="minorEastAsia" w:hAnsiTheme="minorHAnsi" w:cstheme="minorBidi"/>
          <w:szCs w:val="22"/>
        </w:rPr>
      </w:pPr>
      <w:r>
        <w:t>10.</w:t>
      </w:r>
      <w:r>
        <w:tab/>
        <w:t>Publication of approvals</w:t>
      </w:r>
      <w:r>
        <w:tab/>
      </w:r>
      <w:r>
        <w:fldChar w:fldCharType="begin"/>
      </w:r>
      <w:r>
        <w:instrText xml:space="preserve"> PAGEREF _Toc117857493 \h </w:instrText>
      </w:r>
      <w:r>
        <w:fldChar w:fldCharType="separate"/>
      </w:r>
      <w:r>
        <w:t>10</w:t>
      </w:r>
      <w:r>
        <w:fldChar w:fldCharType="end"/>
      </w:r>
    </w:p>
    <w:p>
      <w:pPr>
        <w:pStyle w:val="TOC8"/>
        <w:rPr>
          <w:rFonts w:asciiTheme="minorHAnsi" w:eastAsiaTheme="minorEastAsia" w:hAnsiTheme="minorHAnsi" w:cstheme="minorBidi"/>
          <w:szCs w:val="22"/>
        </w:rPr>
      </w:pPr>
      <w:r>
        <w:t>11.</w:t>
      </w:r>
      <w:r>
        <w:tab/>
        <w:t>Transitional provisions</w:t>
      </w:r>
      <w:r>
        <w:tab/>
      </w:r>
      <w:r>
        <w:fldChar w:fldCharType="begin"/>
      </w:r>
      <w:r>
        <w:instrText xml:space="preserve"> PAGEREF _Toc117857494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_Toc117857495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_Toc117857497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Protection of Information (Entry Registration Information Relating to COVID</w:t>
      </w:r>
      <w:r>
        <w:noBreakHyphen/>
        <w:t>19 and Other Infectious Diseases) Act 2021</w:t>
      </w:r>
    </w:p>
    <w:p>
      <w:pPr>
        <w:pStyle w:val="LongTitle"/>
      </w:pPr>
      <w:bookmarkStart w:id="3" w:name="BillCited"/>
      <w:bookmarkEnd w:id="3"/>
      <w:r>
        <w:t>An Act to protect the confidentiality of certain information obtained for the purposes of contact tracing relating to COVID-19 and other infectious diseases.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7857484"/>
      <w:r>
        <w:rPr>
          <w:rStyle w:val="CharSectno"/>
        </w:rPr>
        <w:lastRenderedPageBreak/>
        <w:t>1</w:t>
      </w:r>
      <w:r>
        <w:t>.</w:t>
      </w:r>
      <w:r>
        <w:tab/>
        <w:t>Short title</w:t>
      </w:r>
      <w:bookmarkEnd w:id="4"/>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5" w:name="_Toc11785748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7857486"/>
      <w:r>
        <w:rPr>
          <w:rStyle w:val="CharSectno"/>
        </w:rPr>
        <w:t>3</w:t>
      </w:r>
      <w:r>
        <w:rPr>
          <w:snapToGrid w:val="0"/>
        </w:rPr>
        <w:t>.</w:t>
      </w:r>
      <w:r>
        <w:rPr>
          <w:snapToGrid w:val="0"/>
        </w:rPr>
        <w:tab/>
        <w:t>Terms used</w:t>
      </w:r>
      <w:bookmarkEnd w:id="6"/>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keepNext/>
        <w:keepLines w:val="0"/>
      </w:pPr>
      <w:r>
        <w:lastRenderedPageBreak/>
        <w:tab/>
        <w:t>(ii)</w:t>
      </w:r>
      <w:r>
        <w:tab/>
        <w:t>may have been in contact, directly or indirectly, with, or in the proximity of, an individual who may be, or may have been, a source of infection;</w:t>
      </w:r>
    </w:p>
    <w:p>
      <w:pPr>
        <w:pStyle w:val="Defpara"/>
      </w:pPr>
      <w:r>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w:t>
      </w:r>
      <w:r>
        <w:lastRenderedPageBreak/>
        <w:t xml:space="preserve">of an emergency relating to a plague or epidemic (as referred to in paragraph (d) of the definition of </w:t>
      </w:r>
      <w:r>
        <w:rPr>
          <w:b/>
          <w:i/>
        </w:rPr>
        <w:t>hazard</w:t>
      </w:r>
      <w:r>
        <w:t xml:space="preserve"> in section 3 of that Act); or</w:t>
      </w:r>
    </w:p>
    <w:p>
      <w:pPr>
        <w:pStyle w:val="Defpara"/>
      </w:pPr>
      <w:r>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 or</w:t>
      </w:r>
    </w:p>
    <w:p>
      <w:pPr>
        <w:pStyle w:val="Defpara"/>
      </w:pPr>
      <w:r>
        <w:tab/>
        <w:t>(d)</w:t>
      </w:r>
      <w:r>
        <w:tab/>
        <w:t>if a COVID</w:t>
      </w:r>
      <w:r>
        <w:noBreakHyphen/>
        <w:t xml:space="preserve">19 declaration is made under the </w:t>
      </w:r>
      <w:r>
        <w:rPr>
          <w:i/>
        </w:rPr>
        <w:t>Emergency Management Act 2005</w:t>
      </w:r>
      <w:r>
        <w:t xml:space="preserve"> Part 6A (as that Part is in force before the coming into operation of the </w:t>
      </w:r>
      <w:r>
        <w:rPr>
          <w:i/>
        </w:rPr>
        <w:t>Emergency Management Amendment (Temporary COVID</w:t>
      </w:r>
      <w:r>
        <w:rPr>
          <w:i/>
        </w:rPr>
        <w:noBreakHyphen/>
        <w:t>19 Provisions) Act 2022</w:t>
      </w:r>
      <w:r>
        <w:t xml:space="preserve"> section 30) — the occurrence of COVID</w:t>
      </w:r>
      <w:r>
        <w:noBreakHyphen/>
        <w:t>19 in the area to which the declaration applies while the declaration is in force;</w:t>
      </w:r>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lastRenderedPageBreak/>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Footnotesection"/>
      </w:pPr>
      <w:r>
        <w:tab/>
        <w:t>[Section 3 amended: No. 33 of 2022 s. 17.]</w:t>
      </w:r>
    </w:p>
    <w:p>
      <w:pPr>
        <w:pStyle w:val="Heading5"/>
      </w:pPr>
      <w:bookmarkStart w:id="7" w:name="_Toc117857487"/>
      <w:r>
        <w:rPr>
          <w:rStyle w:val="CharSectno"/>
        </w:rPr>
        <w:t>4</w:t>
      </w:r>
      <w:r>
        <w:t>.</w:t>
      </w:r>
      <w:r>
        <w:tab/>
        <w:t>Act binds Crown</w:t>
      </w:r>
      <w:bookmarkEnd w:id="7"/>
    </w:p>
    <w:p>
      <w:pPr>
        <w:pStyle w:val="Subsection"/>
      </w:pPr>
      <w:r>
        <w:tab/>
      </w:r>
      <w:r>
        <w:tab/>
        <w:t>This Act binds the Crown in right of Western Australia and, so far as the legislative power of the Parliament permits, the Crown in all its other capacities.</w:t>
      </w:r>
    </w:p>
    <w:p>
      <w:pPr>
        <w:pStyle w:val="Heading5"/>
      </w:pPr>
      <w:bookmarkStart w:id="8" w:name="_Toc117857488"/>
      <w:r>
        <w:rPr>
          <w:rStyle w:val="CharSectno"/>
        </w:rPr>
        <w:t>5</w:t>
      </w:r>
      <w:r>
        <w:t>.</w:t>
      </w:r>
      <w:r>
        <w:tab/>
        <w:t>Relationship of this Act to other written laws</w:t>
      </w:r>
      <w:bookmarkEnd w:id="8"/>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keepLines/>
      </w:pPr>
      <w:r>
        <w:lastRenderedPageBreak/>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9" w:name="_Toc117857489"/>
      <w:r>
        <w:rPr>
          <w:rStyle w:val="CharSectno"/>
        </w:rPr>
        <w:t>6</w:t>
      </w:r>
      <w:r>
        <w:t>.</w:t>
      </w:r>
      <w:r>
        <w:tab/>
        <w:t>Protection of entry registration information</w:t>
      </w:r>
      <w:bookmarkEnd w:id="9"/>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keepNext/>
      </w:pPr>
      <w:r>
        <w:lastRenderedPageBreak/>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compliance with an obligation relating to the recording, use or disclosure of entry registration information 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10" w:name="_Toc117857490"/>
      <w:r>
        <w:rPr>
          <w:rStyle w:val="CharSectno"/>
        </w:rPr>
        <w:t>7</w:t>
      </w:r>
      <w:r>
        <w:t>.</w:t>
      </w:r>
      <w:r>
        <w:tab/>
        <w:t>Storage of entry registration records</w:t>
      </w:r>
      <w:bookmarkEnd w:id="10"/>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11" w:name="_Toc117857491"/>
      <w:r>
        <w:rPr>
          <w:rStyle w:val="CharSectno"/>
        </w:rPr>
        <w:t>8</w:t>
      </w:r>
      <w:r>
        <w:t>.</w:t>
      </w:r>
      <w:r>
        <w:tab/>
        <w:t>Destruction of entry registration records</w:t>
      </w:r>
      <w:bookmarkEnd w:id="11"/>
    </w:p>
    <w:p>
      <w:pPr>
        <w:pStyle w:val="Subsection"/>
      </w:pPr>
      <w:r>
        <w:tab/>
        <w:t>(1)</w:t>
      </w:r>
      <w:r>
        <w:tab/>
        <w:t xml:space="preserve">In this section — </w:t>
      </w:r>
    </w:p>
    <w:p>
      <w:pPr>
        <w:pStyle w:val="Defstart"/>
      </w:pPr>
      <w:r>
        <w:tab/>
      </w:r>
      <w:r>
        <w:rPr>
          <w:rStyle w:val="CharDefText"/>
        </w:rPr>
        <w:t>initial storage period</w:t>
      </w:r>
      <w:r>
        <w:t xml:space="preserve">, for an entry registration record, means the period of 28 days (or, if a different period is prescribed for the infectious disease emergency, that period) beginning on the day </w:t>
      </w:r>
      <w:r>
        <w:lastRenderedPageBreak/>
        <w:t>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lastRenderedPageBreak/>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12" w:name="_Toc117857492"/>
      <w:r>
        <w:rPr>
          <w:rStyle w:val="CharSectno"/>
        </w:rPr>
        <w:t>9</w:t>
      </w:r>
      <w:r>
        <w:t>.</w:t>
      </w:r>
      <w:r>
        <w:tab/>
        <w:t>Liability of officers of body corporate for offence by body corporate</w:t>
      </w:r>
      <w:bookmarkEnd w:id="12"/>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If a body corporate is guilty of an offence against section 6, 7 or 8,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lastRenderedPageBreak/>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3" w:name="_Toc117857493"/>
      <w:r>
        <w:rPr>
          <w:rStyle w:val="CharSectno"/>
        </w:rPr>
        <w:t>10</w:t>
      </w:r>
      <w:r>
        <w:t>.</w:t>
      </w:r>
      <w:r>
        <w:tab/>
      </w:r>
      <w:r>
        <w:rPr>
          <w:szCs w:val="24"/>
        </w:rPr>
        <w:t>Publication of a</w:t>
      </w:r>
      <w:r>
        <w:t>pprovals</w:t>
      </w:r>
      <w:bookmarkEnd w:id="13"/>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14" w:name="_Toc117857494"/>
      <w:r>
        <w:rPr>
          <w:rStyle w:val="CharSectno"/>
        </w:rPr>
        <w:t>11</w:t>
      </w:r>
      <w:r>
        <w:t>.</w:t>
      </w:r>
      <w:r>
        <w:tab/>
        <w:t>Transitional provisions</w:t>
      </w:r>
      <w:bookmarkEnd w:id="14"/>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15" w:name="_Toc117857495"/>
      <w:r>
        <w:rPr>
          <w:rStyle w:val="CharSectno"/>
        </w:rPr>
        <w:lastRenderedPageBreak/>
        <w:t>12</w:t>
      </w:r>
      <w:r>
        <w:t>.</w:t>
      </w:r>
      <w:r>
        <w:tab/>
        <w:t>Regulations</w:t>
      </w:r>
      <w:bookmarkEnd w:id="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6" w:name="_Toc117781633"/>
      <w:bookmarkStart w:id="17" w:name="_Toc117781999"/>
      <w:bookmarkStart w:id="18" w:name="_Toc117857496"/>
      <w:r>
        <w:lastRenderedPageBreak/>
        <w:t>Notes</w:t>
      </w:r>
      <w:bookmarkEnd w:id="16"/>
      <w:bookmarkEnd w:id="17"/>
      <w:bookmarkEnd w:id="18"/>
    </w:p>
    <w:p>
      <w:pPr>
        <w:pStyle w:val="nStatement"/>
      </w:pPr>
      <w:r>
        <w:t xml:space="preserve">This is a compilation of the </w:t>
      </w:r>
      <w:r>
        <w:rPr>
          <w:i/>
          <w:noProof/>
        </w:rPr>
        <w:t>Protection of Information (Entry Registration Information Relating to COVID-19 and Other Infectious Diseases) Act 2021</w:t>
      </w:r>
      <w:r>
        <w:t xml:space="preserve">. For provisions that have come into operation see the compilation table. </w:t>
      </w:r>
    </w:p>
    <w:p>
      <w:pPr>
        <w:pStyle w:val="nHeading3"/>
      </w:pPr>
      <w:bookmarkStart w:id="19" w:name="_Toc117857497"/>
      <w:r>
        <w:t>Compilation table</w:t>
      </w:r>
      <w:bookmarkEnd w:id="1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Protection of Information (Entry Registration Information Relating to COVID-19 and Other Infectious Diseases) Act 2021</w:t>
            </w:r>
          </w:p>
        </w:tc>
        <w:tc>
          <w:tcPr>
            <w:tcW w:w="1134" w:type="dxa"/>
            <w:tcBorders>
              <w:bottom w:val="nil"/>
            </w:tcBorders>
          </w:tcPr>
          <w:p>
            <w:pPr>
              <w:pStyle w:val="nTable"/>
              <w:spacing w:after="40"/>
            </w:pPr>
            <w:r>
              <w:t>3 of 2020</w:t>
            </w:r>
          </w:p>
        </w:tc>
        <w:tc>
          <w:tcPr>
            <w:tcW w:w="1134" w:type="dxa"/>
            <w:tcBorders>
              <w:bottom w:val="nil"/>
            </w:tcBorders>
          </w:tcPr>
          <w:p>
            <w:pPr>
              <w:pStyle w:val="nTable"/>
              <w:spacing w:after="40"/>
            </w:pPr>
            <w:r>
              <w:t>21 Jun 2021</w:t>
            </w:r>
          </w:p>
        </w:tc>
        <w:tc>
          <w:tcPr>
            <w:tcW w:w="2552" w:type="dxa"/>
            <w:tcBorders>
              <w:bottom w:val="nil"/>
            </w:tcBorders>
          </w:tcPr>
          <w:p>
            <w:pPr>
              <w:pStyle w:val="nTable"/>
              <w:spacing w:after="40"/>
            </w:pPr>
            <w:r>
              <w:t>s. 1 and 2: 21 Jun 2021 (see s. 2(a));</w:t>
            </w:r>
          </w:p>
          <w:p>
            <w:pPr>
              <w:pStyle w:val="nTable"/>
              <w:spacing w:after="40"/>
            </w:pPr>
            <w:r>
              <w:t>Act other than s. 1 and 2: 22 Jun 2021 (see s. 2(b))</w:t>
            </w:r>
          </w:p>
        </w:tc>
      </w:tr>
      <w:tr>
        <w:tc>
          <w:tcPr>
            <w:tcW w:w="2268" w:type="dxa"/>
            <w:tcBorders>
              <w:top w:val="nil"/>
            </w:tcBorders>
          </w:tcPr>
          <w:p>
            <w:pPr>
              <w:pStyle w:val="nTable"/>
              <w:spacing w:after="40"/>
              <w:rPr>
                <w:i/>
                <w:noProof/>
              </w:rPr>
            </w:pPr>
            <w:r>
              <w:rPr>
                <w:i/>
              </w:rPr>
              <w:t>Emergency Management Amendment (Temporary COVID</w:t>
            </w:r>
            <w:r>
              <w:rPr>
                <w:i/>
              </w:rPr>
              <w:noBreakHyphen/>
              <w:t>19 Provisions) Act 2022</w:t>
            </w:r>
            <w:r>
              <w:t xml:space="preserve"> Pt. 2 Div. 2 Subdiv. 4</w:t>
            </w:r>
          </w:p>
        </w:tc>
        <w:tc>
          <w:tcPr>
            <w:tcW w:w="1134" w:type="dxa"/>
            <w:tcBorders>
              <w:top w:val="nil"/>
            </w:tcBorders>
          </w:tcPr>
          <w:p>
            <w:pPr>
              <w:pStyle w:val="nTable"/>
              <w:spacing w:after="40"/>
            </w:pPr>
            <w:r>
              <w:t>33 of 2022</w:t>
            </w:r>
          </w:p>
        </w:tc>
        <w:tc>
          <w:tcPr>
            <w:tcW w:w="1134" w:type="dxa"/>
            <w:tcBorders>
              <w:top w:val="nil"/>
            </w:tcBorders>
          </w:tcPr>
          <w:p>
            <w:pPr>
              <w:pStyle w:val="nTable"/>
              <w:spacing w:after="40"/>
            </w:pPr>
            <w:r>
              <w:t>21 Oct 2022</w:t>
            </w:r>
          </w:p>
        </w:tc>
        <w:tc>
          <w:tcPr>
            <w:tcW w:w="2552" w:type="dxa"/>
            <w:tcBorders>
              <w:top w:val="nil"/>
            </w:tcBorders>
          </w:tcPr>
          <w:p>
            <w:pPr>
              <w:pStyle w:val="nTable"/>
              <w:spacing w:after="40"/>
            </w:pPr>
            <w:r>
              <w:t>3 Nov 2022 (see s. 2(b) and SL 2022/175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1" w:name="_Toc117781636"/>
      <w:bookmarkStart w:id="22" w:name="_Toc117782001"/>
      <w:bookmarkStart w:id="23" w:name="_Toc117857498"/>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w:t>
      </w:r>
    </w:p>
    <w:p>
      <w:pPr>
        <w:pStyle w:val="DefinedTerms"/>
      </w:pPr>
      <w:r>
        <w:t>Chief Health Officer</w:t>
      </w:r>
      <w:r>
        <w:tab/>
        <w:t>3</w:t>
      </w:r>
    </w:p>
    <w:p>
      <w:pPr>
        <w:pStyle w:val="DefinedTerms"/>
      </w:pPr>
      <w:r>
        <w:t>commencement day</w:t>
      </w:r>
      <w:r>
        <w:tab/>
        <w:t>3</w:t>
      </w:r>
    </w:p>
    <w:p>
      <w:pPr>
        <w:pStyle w:val="DefinedTerms"/>
      </w:pPr>
      <w:r>
        <w:t>contact tracing</w:t>
      </w:r>
      <w:r>
        <w:tab/>
        <w:t>3</w:t>
      </w:r>
    </w:p>
    <w:p>
      <w:pPr>
        <w:pStyle w:val="DefinedTerms"/>
      </w:pPr>
      <w:r>
        <w:t>Department’s website</w:t>
      </w:r>
      <w:r>
        <w:tab/>
        <w:t>3</w:t>
      </w:r>
    </w:p>
    <w:p>
      <w:pPr>
        <w:pStyle w:val="DefinedTerms"/>
      </w:pPr>
      <w:r>
        <w:t>entry registration information</w:t>
      </w:r>
      <w:r>
        <w:tab/>
        <w:t>3</w:t>
      </w:r>
    </w:p>
    <w:p>
      <w:pPr>
        <w:pStyle w:val="DefinedTerms"/>
      </w:pPr>
      <w:r>
        <w:t>entry registration record</w:t>
      </w:r>
      <w:r>
        <w:tab/>
        <w:t>3</w:t>
      </w:r>
    </w:p>
    <w:p>
      <w:pPr>
        <w:pStyle w:val="DefinedTerms"/>
      </w:pPr>
      <w:r>
        <w:t>extended period</w:t>
      </w:r>
      <w:r>
        <w:tab/>
        <w:t>8(3)</w:t>
      </w:r>
    </w:p>
    <w:p>
      <w:pPr>
        <w:pStyle w:val="DefinedTerms"/>
      </w:pPr>
      <w:r>
        <w:t>Health Department</w:t>
      </w:r>
      <w:r>
        <w:tab/>
        <w:t>3</w:t>
      </w:r>
    </w:p>
    <w:p>
      <w:pPr>
        <w:pStyle w:val="DefinedTerms"/>
      </w:pPr>
      <w:r>
        <w:t>infectious disease emergency</w:t>
      </w:r>
      <w:r>
        <w:tab/>
        <w:t>3</w:t>
      </w:r>
    </w:p>
    <w:p>
      <w:pPr>
        <w:pStyle w:val="DefinedTerms"/>
      </w:pPr>
      <w:r>
        <w:t>initial storage period</w:t>
      </w:r>
      <w:r>
        <w:tab/>
        <w:t>3, 8(1)</w:t>
      </w:r>
    </w:p>
    <w:p>
      <w:pPr>
        <w:pStyle w:val="DefinedTerms"/>
      </w:pPr>
      <w:r>
        <w:t>officer</w:t>
      </w:r>
      <w:r>
        <w:tab/>
        <w:t>9(1)</w:t>
      </w:r>
    </w:p>
    <w:p>
      <w:pPr>
        <w:pStyle w:val="DefinedTerms"/>
      </w:pPr>
      <w:r>
        <w:t>prescribed</w:t>
      </w:r>
      <w:r>
        <w:tab/>
        <w:t>3</w:t>
      </w:r>
    </w:p>
    <w:p>
      <w:pPr>
        <w:pStyle w:val="DefinedTerms"/>
      </w:pPr>
      <w:r>
        <w:t>records contractor</w:t>
      </w:r>
      <w:r>
        <w:tab/>
        <w:t>3</w:t>
      </w:r>
    </w:p>
    <w:p>
      <w:pPr>
        <w:pStyle w:val="DefinedTerms"/>
      </w:pPr>
      <w:r>
        <w:t>relevant information</w:t>
      </w:r>
      <w:r>
        <w:tab/>
        <w:t>3</w:t>
      </w:r>
    </w:p>
    <w:p>
      <w:pPr>
        <w:pStyle w:val="DefinedTerms"/>
      </w:pPr>
      <w:r>
        <w:t>responsible person</w:t>
      </w:r>
      <w:r>
        <w:tab/>
        <w:t>3</w:t>
      </w:r>
    </w:p>
    <w:p>
      <w:pPr>
        <w:pStyle w:val="DefinedTerms"/>
      </w:pPr>
      <w:r>
        <w:t>serious public health incident powers</w:t>
      </w:r>
      <w:r>
        <w:tab/>
        <w:t>3</w:t>
      </w:r>
    </w:p>
    <w:p>
      <w:pPr>
        <w:pStyle w:val="DefinedTerms"/>
      </w:pPr>
      <w:r>
        <w:t>statistical or summary information</w:t>
      </w:r>
      <w:r>
        <w:tab/>
        <w:t>3</w:t>
      </w:r>
    </w:p>
    <w:p>
      <w:pPr>
        <w:pStyle w:val="DefinedTerms"/>
      </w:pPr>
      <w:r>
        <w:t>use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71644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 w:name="WAFER_20221027164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4419_GUID" w:val="f8418725-d112-42da-acda-d37732a02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462EE-DB00-4363-B400-CBD5936D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2690</Words>
  <Characters>13747</Characters>
  <Application>Microsoft Office Word</Application>
  <DocSecurity>0</DocSecurity>
  <Lines>404</Lines>
  <Paragraphs>231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16206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2021 - 00-c0-00</dc:title>
  <dc:subject/>
  <dc:creator/>
  <cp:keywords/>
  <dc:description/>
  <cp:lastModifiedBy>Master Repository Process</cp:lastModifiedBy>
  <cp:revision>4</cp:revision>
  <cp:lastPrinted>2021-06-14T02:00:00Z</cp:lastPrinted>
  <dcterms:created xsi:type="dcterms:W3CDTF">2022-11-02T05:42:00Z</dcterms:created>
  <dcterms:modified xsi:type="dcterms:W3CDTF">2022-11-02T05:42:00Z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AsAtDate">
    <vt:lpwstr>03 Nov 2022</vt:lpwstr>
  </property>
  <property fmtid="{D5CDD505-2E9C-101B-9397-08002B2CF9AE}" pid="5" name="Suffix">
    <vt:lpwstr>00-c0-00</vt:lpwstr>
  </property>
  <property fmtid="{D5CDD505-2E9C-101B-9397-08002B2CF9AE}" pid="6" name="CommencementDate">
    <vt:lpwstr>20221103</vt:lpwstr>
  </property>
</Properties>
</file>