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Young Offenders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_Toc118453242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_Toc118453243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_Toc118453244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Young offenders reaching 18</w:t>
      </w:r>
      <w:r>
        <w:tab/>
      </w:r>
      <w:r>
        <w:fldChar w:fldCharType="begin"/>
      </w:r>
      <w:r>
        <w:instrText xml:space="preserve"> PAGEREF _Toc118453245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rPr>
        <w:t>Criminal Procedure Act 2004</w:t>
      </w:r>
      <w:r>
        <w:t xml:space="preserve"> </w:t>
      </w:r>
      <w:r>
        <w:rPr>
          <w:snapToGrid w:val="0"/>
        </w:rPr>
        <w:t>overridden</w:t>
      </w:r>
      <w:r>
        <w:tab/>
      </w:r>
      <w:r>
        <w:fldChar w:fldCharType="begin"/>
      </w:r>
      <w:r>
        <w:instrText xml:space="preserve"> PAGEREF _Toc118453246 \h </w:instrText>
      </w:r>
      <w:r>
        <w:fldChar w:fldCharType="separate"/>
      </w:r>
      <w:r>
        <w:t>8</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_Toc118453247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Objectives and principles</w:t>
      </w:r>
    </w:p>
    <w:p>
      <w:pPr>
        <w:pStyle w:val="TOC8"/>
        <w:rPr>
          <w:rFonts w:asciiTheme="minorHAnsi" w:eastAsiaTheme="minorEastAsia" w:hAnsiTheme="minorHAnsi" w:cstheme="minorBidi"/>
          <w:szCs w:val="22"/>
        </w:rPr>
      </w:pPr>
      <w:r>
        <w:t>6</w:t>
      </w:r>
      <w:r>
        <w:rPr>
          <w:snapToGrid w:val="0"/>
        </w:rPr>
        <w:t>.</w:t>
      </w:r>
      <w:r>
        <w:rPr>
          <w:snapToGrid w:val="0"/>
        </w:rPr>
        <w:tab/>
        <w:t>Objectives</w:t>
      </w:r>
      <w:r>
        <w:tab/>
      </w:r>
      <w:r>
        <w:fldChar w:fldCharType="begin"/>
      </w:r>
      <w:r>
        <w:instrText xml:space="preserve"> PAGEREF _Toc118453249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General principles of juvenile justice</w:t>
      </w:r>
      <w:r>
        <w:tab/>
      </w:r>
      <w:r>
        <w:fldChar w:fldCharType="begin"/>
      </w:r>
      <w:r>
        <w:instrText xml:space="preserve"> PAGEREF _Toc118453250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Responsible adults, role of</w:t>
      </w:r>
      <w:r>
        <w:tab/>
      </w:r>
      <w:r>
        <w:fldChar w:fldCharType="begin"/>
      </w:r>
      <w:r>
        <w:instrText xml:space="preserve"> PAGEREF _Toc118453251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w:t>
      </w:r>
      <w:r>
        <w:rPr>
          <w:snapToGrid w:val="0"/>
        </w:rPr>
        <w:t>.</w:t>
      </w:r>
      <w:r>
        <w:rPr>
          <w:snapToGrid w:val="0"/>
        </w:rPr>
        <w:tab/>
        <w:t>Chief executive officer, functions of</w:t>
      </w:r>
      <w:r>
        <w:tab/>
      </w:r>
      <w:r>
        <w:fldChar w:fldCharType="begin"/>
      </w:r>
      <w:r>
        <w:instrText xml:space="preserve"> PAGEREF _Toc118453254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Chief executive officer may delegate</w:t>
      </w:r>
      <w:r>
        <w:tab/>
      </w:r>
      <w:r>
        <w:fldChar w:fldCharType="begin"/>
      </w:r>
      <w:r>
        <w:instrText xml:space="preserve"> PAGEREF _Toc118453255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Other officers and employees</w:t>
      </w:r>
    </w:p>
    <w:p>
      <w:pPr>
        <w:pStyle w:val="TOC8"/>
        <w:rPr>
          <w:rFonts w:asciiTheme="minorHAnsi" w:eastAsiaTheme="minorEastAsia" w:hAnsiTheme="minorHAnsi" w:cstheme="minorBidi"/>
          <w:szCs w:val="22"/>
        </w:rPr>
      </w:pPr>
      <w:r>
        <w:t>11</w:t>
      </w:r>
      <w:r>
        <w:rPr>
          <w:snapToGrid w:val="0"/>
        </w:rPr>
        <w:t>.</w:t>
      </w:r>
      <w:r>
        <w:rPr>
          <w:snapToGrid w:val="0"/>
        </w:rPr>
        <w:tab/>
        <w:t>Officers and employees, appointment of</w:t>
      </w:r>
      <w:r>
        <w:tab/>
      </w:r>
      <w:r>
        <w:fldChar w:fldCharType="begin"/>
      </w:r>
      <w:r>
        <w:instrText xml:space="preserve"> PAGEREF _Toc118453257 \h </w:instrText>
      </w:r>
      <w:r>
        <w:fldChar w:fldCharType="separate"/>
      </w:r>
      <w:r>
        <w:t>14</w:t>
      </w:r>
      <w:r>
        <w:fldChar w:fldCharType="end"/>
      </w:r>
    </w:p>
    <w:p>
      <w:pPr>
        <w:pStyle w:val="TOC8"/>
        <w:rPr>
          <w:rFonts w:asciiTheme="minorHAnsi" w:eastAsiaTheme="minorEastAsia" w:hAnsiTheme="minorHAnsi" w:cstheme="minorBidi"/>
          <w:szCs w:val="22"/>
        </w:rPr>
      </w:pPr>
      <w:r>
        <w:t>11A.</w:t>
      </w:r>
      <w:r>
        <w:tab/>
        <w:t>Duties of all officers and employees</w:t>
      </w:r>
      <w:r>
        <w:tab/>
      </w:r>
      <w:r>
        <w:fldChar w:fldCharType="begin"/>
      </w:r>
      <w:r>
        <w:instrText xml:space="preserve"> PAGEREF _Toc118453258 \h </w:instrText>
      </w:r>
      <w:r>
        <w:fldChar w:fldCharType="separate"/>
      </w:r>
      <w:r>
        <w:t>16</w:t>
      </w:r>
      <w:r>
        <w:fldChar w:fldCharType="end"/>
      </w:r>
    </w:p>
    <w:p>
      <w:pPr>
        <w:pStyle w:val="TOC8"/>
        <w:rPr>
          <w:rFonts w:asciiTheme="minorHAnsi" w:eastAsiaTheme="minorEastAsia" w:hAnsiTheme="minorHAnsi" w:cstheme="minorBidi"/>
          <w:szCs w:val="22"/>
        </w:rPr>
      </w:pPr>
      <w:r>
        <w:t>11B.</w:t>
      </w:r>
      <w:r>
        <w:tab/>
        <w:t>Powers and duties of custodial officers</w:t>
      </w:r>
      <w:r>
        <w:tab/>
      </w:r>
      <w:r>
        <w:fldChar w:fldCharType="begin"/>
      </w:r>
      <w:r>
        <w:instrText xml:space="preserve"> PAGEREF _Toc118453259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Removal of custodial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11CA.</w:t>
      </w:r>
      <w:r>
        <w:tab/>
        <w:t>Terms used</w:t>
      </w:r>
      <w:r>
        <w:tab/>
      </w:r>
      <w:r>
        <w:fldChar w:fldCharType="begin"/>
      </w:r>
      <w:r>
        <w:instrText xml:space="preserve"> PAGEREF _Toc118453262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Removal of custodial officers</w:t>
      </w:r>
    </w:p>
    <w:p>
      <w:pPr>
        <w:pStyle w:val="TOC8"/>
        <w:rPr>
          <w:rFonts w:asciiTheme="minorHAnsi" w:eastAsiaTheme="minorEastAsia" w:hAnsiTheme="minorHAnsi" w:cstheme="minorBidi"/>
          <w:szCs w:val="22"/>
        </w:rPr>
      </w:pPr>
      <w:r>
        <w:t>11CB.</w:t>
      </w:r>
      <w:r>
        <w:tab/>
        <w:t>Application of Subdivision</w:t>
      </w:r>
      <w:r>
        <w:tab/>
      </w:r>
      <w:r>
        <w:fldChar w:fldCharType="begin"/>
      </w:r>
      <w:r>
        <w:instrText xml:space="preserve"> PAGEREF _Toc118453264 \h </w:instrText>
      </w:r>
      <w:r>
        <w:fldChar w:fldCharType="separate"/>
      </w:r>
      <w:r>
        <w:t>18</w:t>
      </w:r>
      <w:r>
        <w:fldChar w:fldCharType="end"/>
      </w:r>
    </w:p>
    <w:p>
      <w:pPr>
        <w:pStyle w:val="TOC8"/>
        <w:rPr>
          <w:rFonts w:asciiTheme="minorHAnsi" w:eastAsiaTheme="minorEastAsia" w:hAnsiTheme="minorHAnsi" w:cstheme="minorBidi"/>
          <w:szCs w:val="22"/>
        </w:rPr>
      </w:pPr>
      <w:r>
        <w:t>11CC.</w:t>
      </w:r>
      <w:r>
        <w:tab/>
        <w:t>Removal action</w:t>
      </w:r>
      <w:r>
        <w:tab/>
      </w:r>
      <w:r>
        <w:fldChar w:fldCharType="begin"/>
      </w:r>
      <w:r>
        <w:instrText xml:space="preserve"> PAGEREF _Toc118453265 \h </w:instrText>
      </w:r>
      <w:r>
        <w:fldChar w:fldCharType="separate"/>
      </w:r>
      <w:r>
        <w:t>19</w:t>
      </w:r>
      <w:r>
        <w:fldChar w:fldCharType="end"/>
      </w:r>
    </w:p>
    <w:p>
      <w:pPr>
        <w:pStyle w:val="TOC8"/>
        <w:rPr>
          <w:rFonts w:asciiTheme="minorHAnsi" w:eastAsiaTheme="minorEastAsia" w:hAnsiTheme="minorHAnsi" w:cstheme="minorBidi"/>
          <w:szCs w:val="22"/>
        </w:rPr>
      </w:pPr>
      <w:r>
        <w:t>11CD.</w:t>
      </w:r>
      <w:r>
        <w:tab/>
        <w:t>Notice of loss of confidence</w:t>
      </w:r>
      <w:r>
        <w:tab/>
      </w:r>
      <w:r>
        <w:fldChar w:fldCharType="begin"/>
      </w:r>
      <w:r>
        <w:instrText xml:space="preserve"> PAGEREF _Toc118453266 \h </w:instrText>
      </w:r>
      <w:r>
        <w:fldChar w:fldCharType="separate"/>
      </w:r>
      <w:r>
        <w:t>20</w:t>
      </w:r>
      <w:r>
        <w:fldChar w:fldCharType="end"/>
      </w:r>
    </w:p>
    <w:p>
      <w:pPr>
        <w:pStyle w:val="TOC8"/>
        <w:rPr>
          <w:rFonts w:asciiTheme="minorHAnsi" w:eastAsiaTheme="minorEastAsia" w:hAnsiTheme="minorHAnsi" w:cstheme="minorBidi"/>
          <w:szCs w:val="22"/>
        </w:rPr>
      </w:pPr>
      <w:r>
        <w:t>11CE.</w:t>
      </w:r>
      <w:r>
        <w:tab/>
        <w:t>Maintenance payment</w:t>
      </w:r>
      <w:r>
        <w:tab/>
      </w:r>
      <w:r>
        <w:fldChar w:fldCharType="begin"/>
      </w:r>
      <w:r>
        <w:instrText xml:space="preserve"> PAGEREF _Toc118453267 \h </w:instrText>
      </w:r>
      <w:r>
        <w:fldChar w:fldCharType="separate"/>
      </w:r>
      <w:r>
        <w:t>21</w:t>
      </w:r>
      <w:r>
        <w:fldChar w:fldCharType="end"/>
      </w:r>
    </w:p>
    <w:p>
      <w:pPr>
        <w:pStyle w:val="TOC8"/>
        <w:rPr>
          <w:rFonts w:asciiTheme="minorHAnsi" w:eastAsiaTheme="minorEastAsia" w:hAnsiTheme="minorHAnsi" w:cstheme="minorBidi"/>
          <w:szCs w:val="22"/>
        </w:rPr>
      </w:pPr>
      <w:r>
        <w:t>11CF.</w:t>
      </w:r>
      <w:r>
        <w:tab/>
        <w:t>Withdrawal of removal action and revocation of removal</w:t>
      </w:r>
      <w:r>
        <w:tab/>
      </w:r>
      <w:r>
        <w:fldChar w:fldCharType="begin"/>
      </w:r>
      <w:r>
        <w:instrText xml:space="preserve"> PAGEREF _Toc118453268 \h </w:instrText>
      </w:r>
      <w:r>
        <w:fldChar w:fldCharType="separate"/>
      </w:r>
      <w:r>
        <w:t>22</w:t>
      </w:r>
      <w:r>
        <w:fldChar w:fldCharType="end"/>
      </w:r>
    </w:p>
    <w:p>
      <w:pPr>
        <w:pStyle w:val="TOC8"/>
        <w:rPr>
          <w:rFonts w:asciiTheme="minorHAnsi" w:eastAsiaTheme="minorEastAsia" w:hAnsiTheme="minorHAnsi" w:cstheme="minorBidi"/>
          <w:szCs w:val="22"/>
        </w:rPr>
      </w:pPr>
      <w:r>
        <w:t>11CG.</w:t>
      </w:r>
      <w:r>
        <w:tab/>
        <w:t>Resignation of custodial officer who has been removed</w:t>
      </w:r>
      <w:r>
        <w:tab/>
      </w:r>
      <w:r>
        <w:fldChar w:fldCharType="begin"/>
      </w:r>
      <w:r>
        <w:instrText xml:space="preserve"> PAGEREF _Toc118453269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custodial officer</w:t>
      </w:r>
    </w:p>
    <w:p>
      <w:pPr>
        <w:pStyle w:val="TOC8"/>
        <w:rPr>
          <w:rFonts w:asciiTheme="minorHAnsi" w:eastAsiaTheme="minorEastAsia" w:hAnsiTheme="minorHAnsi" w:cstheme="minorBidi"/>
          <w:szCs w:val="22"/>
        </w:rPr>
      </w:pPr>
      <w:r>
        <w:t>11CH.</w:t>
      </w:r>
      <w:r>
        <w:tab/>
        <w:t>Appeal right</w:t>
      </w:r>
      <w:r>
        <w:tab/>
      </w:r>
      <w:r>
        <w:fldChar w:fldCharType="begin"/>
      </w:r>
      <w:r>
        <w:instrText xml:space="preserve"> PAGEREF _Toc118453271 \h </w:instrText>
      </w:r>
      <w:r>
        <w:fldChar w:fldCharType="separate"/>
      </w:r>
      <w:r>
        <w:t>23</w:t>
      </w:r>
      <w:r>
        <w:fldChar w:fldCharType="end"/>
      </w:r>
    </w:p>
    <w:p>
      <w:pPr>
        <w:pStyle w:val="TOC8"/>
        <w:rPr>
          <w:rFonts w:asciiTheme="minorHAnsi" w:eastAsiaTheme="minorEastAsia" w:hAnsiTheme="minorHAnsi" w:cstheme="minorBidi"/>
          <w:szCs w:val="22"/>
        </w:rPr>
      </w:pPr>
      <w:r>
        <w:t>11CI.</w:t>
      </w:r>
      <w:r>
        <w:tab/>
        <w:t>Proceedings on appeal</w:t>
      </w:r>
      <w:r>
        <w:tab/>
      </w:r>
      <w:r>
        <w:fldChar w:fldCharType="begin"/>
      </w:r>
      <w:r>
        <w:instrText xml:space="preserve"> PAGEREF _Toc118453272 \h </w:instrText>
      </w:r>
      <w:r>
        <w:fldChar w:fldCharType="separate"/>
      </w:r>
      <w:r>
        <w:t>24</w:t>
      </w:r>
      <w:r>
        <w:fldChar w:fldCharType="end"/>
      </w:r>
    </w:p>
    <w:p>
      <w:pPr>
        <w:pStyle w:val="TOC8"/>
        <w:rPr>
          <w:rFonts w:asciiTheme="minorHAnsi" w:eastAsiaTheme="minorEastAsia" w:hAnsiTheme="minorHAnsi" w:cstheme="minorBidi"/>
          <w:szCs w:val="22"/>
        </w:rPr>
      </w:pPr>
      <w:r>
        <w:t>11CJ.</w:t>
      </w:r>
      <w:r>
        <w:tab/>
        <w:t>Leave to tender new evidence on appeal</w:t>
      </w:r>
      <w:r>
        <w:tab/>
      </w:r>
      <w:r>
        <w:fldChar w:fldCharType="begin"/>
      </w:r>
      <w:r>
        <w:instrText xml:space="preserve"> PAGEREF _Toc118453273 \h </w:instrText>
      </w:r>
      <w:r>
        <w:fldChar w:fldCharType="separate"/>
      </w:r>
      <w:r>
        <w:t>25</w:t>
      </w:r>
      <w:r>
        <w:fldChar w:fldCharType="end"/>
      </w:r>
    </w:p>
    <w:p>
      <w:pPr>
        <w:pStyle w:val="TOC8"/>
        <w:rPr>
          <w:rFonts w:asciiTheme="minorHAnsi" w:eastAsiaTheme="minorEastAsia" w:hAnsiTheme="minorHAnsi" w:cstheme="minorBidi"/>
          <w:szCs w:val="22"/>
        </w:rPr>
      </w:pPr>
      <w:r>
        <w:t>11CK.</w:t>
      </w:r>
      <w:r>
        <w:tab/>
        <w:t>Opportunity to consider new evidence</w:t>
      </w:r>
      <w:r>
        <w:tab/>
      </w:r>
      <w:r>
        <w:fldChar w:fldCharType="begin"/>
      </w:r>
      <w:r>
        <w:instrText xml:space="preserve"> PAGEREF _Toc118453274 \h </w:instrText>
      </w:r>
      <w:r>
        <w:fldChar w:fldCharType="separate"/>
      </w:r>
      <w:r>
        <w:t>26</w:t>
      </w:r>
      <w:r>
        <w:fldChar w:fldCharType="end"/>
      </w:r>
    </w:p>
    <w:p>
      <w:pPr>
        <w:pStyle w:val="TOC8"/>
        <w:rPr>
          <w:rFonts w:asciiTheme="minorHAnsi" w:eastAsiaTheme="minorEastAsia" w:hAnsiTheme="minorHAnsi" w:cstheme="minorBidi"/>
          <w:szCs w:val="22"/>
        </w:rPr>
      </w:pPr>
      <w:r>
        <w:t>11CL.</w:t>
      </w:r>
      <w:r>
        <w:tab/>
        <w:t>Revocation of removal after consideration of new evidence</w:t>
      </w:r>
      <w:r>
        <w:tab/>
      </w:r>
      <w:r>
        <w:fldChar w:fldCharType="begin"/>
      </w:r>
      <w:r>
        <w:instrText xml:space="preserve"> PAGEREF _Toc118453275 \h </w:instrText>
      </w:r>
      <w:r>
        <w:fldChar w:fldCharType="separate"/>
      </w:r>
      <w:r>
        <w:t>26</w:t>
      </w:r>
      <w:r>
        <w:fldChar w:fldCharType="end"/>
      </w:r>
    </w:p>
    <w:p>
      <w:pPr>
        <w:pStyle w:val="TOC8"/>
        <w:rPr>
          <w:rFonts w:asciiTheme="minorHAnsi" w:eastAsiaTheme="minorEastAsia" w:hAnsiTheme="minorHAnsi" w:cstheme="minorBidi"/>
          <w:szCs w:val="22"/>
        </w:rPr>
      </w:pPr>
      <w:r>
        <w:t>11CM.</w:t>
      </w:r>
      <w:r>
        <w:tab/>
        <w:t xml:space="preserve">Application of </w:t>
      </w:r>
      <w:r>
        <w:rPr>
          <w:i/>
        </w:rPr>
        <w:t>Industrial Relations Act 1979</w:t>
      </w:r>
      <w:r>
        <w:t xml:space="preserve"> to appeals</w:t>
      </w:r>
      <w:r>
        <w:tab/>
      </w:r>
      <w:r>
        <w:fldChar w:fldCharType="begin"/>
      </w:r>
      <w:r>
        <w:instrText xml:space="preserve"> PAGEREF _Toc118453276 \h </w:instrText>
      </w:r>
      <w:r>
        <w:fldChar w:fldCharType="separate"/>
      </w:r>
      <w:r>
        <w:t>27</w:t>
      </w:r>
      <w:r>
        <w:fldChar w:fldCharType="end"/>
      </w:r>
    </w:p>
    <w:p>
      <w:pPr>
        <w:pStyle w:val="TOC8"/>
        <w:rPr>
          <w:rFonts w:asciiTheme="minorHAnsi" w:eastAsiaTheme="minorEastAsia" w:hAnsiTheme="minorHAnsi" w:cstheme="minorBidi"/>
          <w:szCs w:val="22"/>
        </w:rPr>
      </w:pPr>
      <w:r>
        <w:t>11CN.</w:t>
      </w:r>
      <w:r>
        <w:tab/>
        <w:t>Adjournment of appeal if appellant charged with offence</w:t>
      </w:r>
      <w:r>
        <w:tab/>
      </w:r>
      <w:r>
        <w:fldChar w:fldCharType="begin"/>
      </w:r>
      <w:r>
        <w:instrText xml:space="preserve"> PAGEREF _Toc118453277 \h </w:instrText>
      </w:r>
      <w:r>
        <w:fldChar w:fldCharType="separate"/>
      </w:r>
      <w:r>
        <w:t>30</w:t>
      </w:r>
      <w:r>
        <w:fldChar w:fldCharType="end"/>
      </w:r>
    </w:p>
    <w:p>
      <w:pPr>
        <w:pStyle w:val="TOC8"/>
        <w:rPr>
          <w:rFonts w:asciiTheme="minorHAnsi" w:eastAsiaTheme="minorEastAsia" w:hAnsiTheme="minorHAnsi" w:cstheme="minorBidi"/>
          <w:szCs w:val="22"/>
        </w:rPr>
      </w:pPr>
      <w:r>
        <w:t>11CO.</w:t>
      </w:r>
      <w:r>
        <w:tab/>
        <w:t>Resumption of appeal before end of adjournment</w:t>
      </w:r>
      <w:r>
        <w:tab/>
      </w:r>
      <w:r>
        <w:fldChar w:fldCharType="begin"/>
      </w:r>
      <w:r>
        <w:instrText xml:space="preserve"> PAGEREF _Toc118453278 \h </w:instrText>
      </w:r>
      <w:r>
        <w:fldChar w:fldCharType="separate"/>
      </w:r>
      <w:r>
        <w:t>31</w:t>
      </w:r>
      <w:r>
        <w:fldChar w:fldCharType="end"/>
      </w:r>
    </w:p>
    <w:p>
      <w:pPr>
        <w:pStyle w:val="TOC8"/>
        <w:rPr>
          <w:rFonts w:asciiTheme="minorHAnsi" w:eastAsiaTheme="minorEastAsia" w:hAnsiTheme="minorHAnsi" w:cstheme="minorBidi"/>
          <w:szCs w:val="22"/>
        </w:rPr>
      </w:pPr>
      <w:r>
        <w:t>11CP.</w:t>
      </w:r>
      <w:r>
        <w:tab/>
        <w:t>Decision by WAIRC</w:t>
      </w:r>
      <w:r>
        <w:tab/>
      </w:r>
      <w:r>
        <w:fldChar w:fldCharType="begin"/>
      </w:r>
      <w:r>
        <w:instrText xml:space="preserve"> PAGEREF _Toc118453279 \h </w:instrText>
      </w:r>
      <w:r>
        <w:fldChar w:fldCharType="separate"/>
      </w:r>
      <w:r>
        <w:t>31</w:t>
      </w:r>
      <w:r>
        <w:fldChar w:fldCharType="end"/>
      </w:r>
    </w:p>
    <w:p>
      <w:pPr>
        <w:pStyle w:val="TOC8"/>
        <w:rPr>
          <w:rFonts w:asciiTheme="minorHAnsi" w:eastAsiaTheme="minorEastAsia" w:hAnsiTheme="minorHAnsi" w:cstheme="minorBidi"/>
          <w:szCs w:val="22"/>
        </w:rPr>
      </w:pPr>
      <w:r>
        <w:t>11CQ.</w:t>
      </w:r>
      <w:r>
        <w:tab/>
        <w:t>Determining amount of compensation</w:t>
      </w:r>
      <w:r>
        <w:tab/>
      </w:r>
      <w:r>
        <w:fldChar w:fldCharType="begin"/>
      </w:r>
      <w:r>
        <w:instrText xml:space="preserve"> PAGEREF _Toc118453280 \h </w:instrText>
      </w:r>
      <w:r>
        <w:fldChar w:fldCharType="separate"/>
      </w:r>
      <w:r>
        <w:t>32</w:t>
      </w:r>
      <w:r>
        <w:fldChar w:fldCharType="end"/>
      </w:r>
    </w:p>
    <w:p>
      <w:pPr>
        <w:pStyle w:val="TOC8"/>
        <w:rPr>
          <w:rFonts w:asciiTheme="minorHAnsi" w:eastAsiaTheme="minorEastAsia" w:hAnsiTheme="minorHAnsi" w:cstheme="minorBidi"/>
          <w:szCs w:val="22"/>
        </w:rPr>
      </w:pPr>
      <w:r>
        <w:t>11CR.</w:t>
      </w:r>
      <w:r>
        <w:tab/>
        <w:t>Restriction on publication</w:t>
      </w:r>
      <w:r>
        <w:tab/>
      </w:r>
      <w:r>
        <w:fldChar w:fldCharType="begin"/>
      </w:r>
      <w:r>
        <w:instrText xml:space="preserve"> PAGEREF _Toc118453281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11CS.</w:t>
      </w:r>
      <w:r>
        <w:tab/>
        <w:t>Effect of charge for, or conviction or acquittal of, offence</w:t>
      </w:r>
      <w:r>
        <w:tab/>
      </w:r>
      <w:r>
        <w:fldChar w:fldCharType="begin"/>
      </w:r>
      <w:r>
        <w:instrText xml:space="preserve"> PAGEREF _Toc118453283 \h </w:instrText>
      </w:r>
      <w:r>
        <w:fldChar w:fldCharType="separate"/>
      </w:r>
      <w:r>
        <w:t>33</w:t>
      </w:r>
      <w:r>
        <w:fldChar w:fldCharType="end"/>
      </w:r>
    </w:p>
    <w:p>
      <w:pPr>
        <w:pStyle w:val="TOC8"/>
        <w:rPr>
          <w:rFonts w:asciiTheme="minorHAnsi" w:eastAsiaTheme="minorEastAsia" w:hAnsiTheme="minorHAnsi" w:cstheme="minorBidi"/>
          <w:szCs w:val="22"/>
        </w:rPr>
      </w:pPr>
      <w:r>
        <w:t>11CT.</w:t>
      </w:r>
      <w:r>
        <w:tab/>
        <w:t>Failure to comply with procedure</w:t>
      </w:r>
      <w:r>
        <w:tab/>
      </w:r>
      <w:r>
        <w:fldChar w:fldCharType="begin"/>
      </w:r>
      <w:r>
        <w:instrText xml:space="preserve"> PAGEREF _Toc118453284 \h </w:instrText>
      </w:r>
      <w:r>
        <w:fldChar w:fldCharType="separate"/>
      </w:r>
      <w:r>
        <w:t>33</w:t>
      </w:r>
      <w:r>
        <w:fldChar w:fldCharType="end"/>
      </w:r>
    </w:p>
    <w:p>
      <w:pPr>
        <w:pStyle w:val="TOC8"/>
        <w:rPr>
          <w:rFonts w:asciiTheme="minorHAnsi" w:eastAsiaTheme="minorEastAsia" w:hAnsiTheme="minorHAnsi" w:cstheme="minorBidi"/>
          <w:szCs w:val="22"/>
        </w:rPr>
      </w:pPr>
      <w:r>
        <w:t>11CU.</w:t>
      </w:r>
      <w:r>
        <w:tab/>
        <w:t>Transfer, standing down and leave of custodial officer</w:t>
      </w:r>
      <w:r>
        <w:tab/>
      </w:r>
      <w:r>
        <w:fldChar w:fldCharType="begin"/>
      </w:r>
      <w:r>
        <w:instrText xml:space="preserve"> PAGEREF _Toc118453285 \h </w:instrText>
      </w:r>
      <w:r>
        <w:fldChar w:fldCharType="separate"/>
      </w:r>
      <w:r>
        <w:t>33</w:t>
      </w:r>
      <w:r>
        <w:fldChar w:fldCharType="end"/>
      </w:r>
    </w:p>
    <w:p>
      <w:pPr>
        <w:pStyle w:val="TOC8"/>
        <w:rPr>
          <w:rFonts w:asciiTheme="minorHAnsi" w:eastAsiaTheme="minorEastAsia" w:hAnsiTheme="minorHAnsi" w:cstheme="minorBidi"/>
          <w:szCs w:val="22"/>
        </w:rPr>
      </w:pPr>
      <w:r>
        <w:t>11CV.</w:t>
      </w:r>
      <w:r>
        <w:tab/>
        <w:t>Review of Division</w:t>
      </w:r>
      <w:r>
        <w:tab/>
      </w:r>
      <w:r>
        <w:fldChar w:fldCharType="begin"/>
      </w:r>
      <w:r>
        <w:instrText xml:space="preserve"> PAGEREF _Toc118453286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Management, control, security and wellbeing of young offenders</w:t>
      </w:r>
    </w:p>
    <w:p>
      <w:pPr>
        <w:pStyle w:val="TOC8"/>
        <w:rPr>
          <w:rFonts w:asciiTheme="minorHAnsi" w:eastAsiaTheme="minorEastAsia" w:hAnsiTheme="minorHAnsi" w:cstheme="minorBidi"/>
          <w:szCs w:val="22"/>
        </w:rPr>
      </w:pPr>
      <w:r>
        <w:t>11C.</w:t>
      </w:r>
      <w:r>
        <w:tab/>
        <w:t>Use of force</w:t>
      </w:r>
      <w:r>
        <w:tab/>
      </w:r>
      <w:r>
        <w:fldChar w:fldCharType="begin"/>
      </w:r>
      <w:r>
        <w:instrText xml:space="preserve"> PAGEREF _Toc118453288 \h </w:instrText>
      </w:r>
      <w:r>
        <w:fldChar w:fldCharType="separate"/>
      </w:r>
      <w:r>
        <w:t>35</w:t>
      </w:r>
      <w:r>
        <w:fldChar w:fldCharType="end"/>
      </w:r>
    </w:p>
    <w:p>
      <w:pPr>
        <w:pStyle w:val="TOC8"/>
        <w:rPr>
          <w:rFonts w:asciiTheme="minorHAnsi" w:eastAsiaTheme="minorEastAsia" w:hAnsiTheme="minorHAnsi" w:cstheme="minorBidi"/>
          <w:szCs w:val="22"/>
        </w:rPr>
      </w:pPr>
      <w:r>
        <w:t>11D.</w:t>
      </w:r>
      <w:r>
        <w:tab/>
        <w:t>Use of restraints</w:t>
      </w:r>
      <w:r>
        <w:tab/>
      </w:r>
      <w:r>
        <w:fldChar w:fldCharType="begin"/>
      </w:r>
      <w:r>
        <w:instrText xml:space="preserve"> PAGEREF _Toc118453289 \h </w:instrText>
      </w:r>
      <w:r>
        <w:fldChar w:fldCharType="separate"/>
      </w:r>
      <w:r>
        <w:t>35</w:t>
      </w:r>
      <w:r>
        <w:fldChar w:fldCharType="end"/>
      </w:r>
    </w:p>
    <w:p>
      <w:pPr>
        <w:pStyle w:val="TOC8"/>
        <w:rPr>
          <w:rFonts w:asciiTheme="minorHAnsi" w:eastAsiaTheme="minorEastAsia" w:hAnsiTheme="minorHAnsi" w:cstheme="minorBidi"/>
          <w:szCs w:val="22"/>
        </w:rPr>
      </w:pPr>
      <w:r>
        <w:t>11E.</w:t>
      </w:r>
      <w:r>
        <w:tab/>
        <w:t>Assistance by prison officers</w:t>
      </w:r>
      <w:r>
        <w:tab/>
      </w:r>
      <w:r>
        <w:fldChar w:fldCharType="begin"/>
      </w:r>
      <w:r>
        <w:instrText xml:space="preserve"> PAGEREF _Toc118453290 \h </w:instrText>
      </w:r>
      <w:r>
        <w:fldChar w:fldCharType="separate"/>
      </w:r>
      <w:r>
        <w:t>36</w:t>
      </w:r>
      <w:r>
        <w:fldChar w:fldCharType="end"/>
      </w:r>
    </w:p>
    <w:p>
      <w:pPr>
        <w:pStyle w:val="TOC8"/>
        <w:rPr>
          <w:rFonts w:asciiTheme="minorHAnsi" w:eastAsiaTheme="minorEastAsia" w:hAnsiTheme="minorHAnsi" w:cstheme="minorBidi"/>
          <w:szCs w:val="22"/>
        </w:rPr>
      </w:pPr>
      <w:r>
        <w:t>11F.</w:t>
      </w:r>
      <w:r>
        <w:tab/>
        <w:t>Assistance by police officers</w:t>
      </w:r>
      <w:r>
        <w:tab/>
      </w:r>
      <w:r>
        <w:fldChar w:fldCharType="begin"/>
      </w:r>
      <w:r>
        <w:instrText xml:space="preserve"> PAGEREF _Toc118453291 \h </w:instrText>
      </w:r>
      <w:r>
        <w:fldChar w:fldCharType="separate"/>
      </w:r>
      <w:r>
        <w:t>37</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Departmental and subsidised facilities, establishment of</w:t>
      </w:r>
      <w:r>
        <w:tab/>
      </w:r>
      <w:r>
        <w:fldChar w:fldCharType="begin"/>
      </w:r>
      <w:r>
        <w:instrText xml:space="preserve"> PAGEREF _Toc118453292 \h </w:instrText>
      </w:r>
      <w:r>
        <w:fldChar w:fldCharType="separate"/>
      </w:r>
      <w:r>
        <w:t>37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Detention centres, establishing</w:t>
      </w:r>
      <w:r>
        <w:tab/>
      </w:r>
      <w:r>
        <w:fldChar w:fldCharType="begin"/>
      </w:r>
      <w:r>
        <w:instrText xml:space="preserve"> PAGEREF _Toc118453293 \h </w:instrText>
      </w:r>
      <w:r>
        <w:fldChar w:fldCharType="separate"/>
      </w:r>
      <w:r>
        <w:t>38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Records of young offenders, duty to keep</w:t>
      </w:r>
      <w:r>
        <w:tab/>
      </w:r>
      <w:r>
        <w:fldChar w:fldCharType="begin"/>
      </w:r>
      <w:r>
        <w:instrText xml:space="preserve"> PAGEREF _Toc118453294 \h </w:instrText>
      </w:r>
      <w:r>
        <w:fldChar w:fldCharType="separate"/>
      </w:r>
      <w:r>
        <w:t>38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Records of young offenders, access to</w:t>
      </w:r>
      <w:r>
        <w:tab/>
      </w:r>
      <w:r>
        <w:fldChar w:fldCharType="begin"/>
      </w:r>
      <w:r>
        <w:instrText xml:space="preserve"> PAGEREF _Toc118453295 \h </w:instrText>
      </w:r>
      <w:r>
        <w:fldChar w:fldCharType="separate"/>
      </w:r>
      <w:r>
        <w:t>39</w:t>
      </w:r>
      <w:r>
        <w:fldChar w:fldCharType="end"/>
      </w:r>
    </w:p>
    <w:p>
      <w:pPr>
        <w:pStyle w:val="TOC8"/>
        <w:rPr>
          <w:rFonts w:asciiTheme="minorHAnsi" w:eastAsiaTheme="minorEastAsia" w:hAnsiTheme="minorHAnsi" w:cstheme="minorBidi"/>
          <w:szCs w:val="22"/>
        </w:rPr>
      </w:pPr>
      <w:r>
        <w:t>15A.</w:t>
      </w:r>
      <w:r>
        <w:tab/>
        <w:t>Disclosure of personal information relating to young offenders</w:t>
      </w:r>
      <w:r>
        <w:tab/>
      </w:r>
      <w:r>
        <w:fldChar w:fldCharType="begin"/>
      </w:r>
      <w:r>
        <w:instrText xml:space="preserve"> PAGEREF _Toc118453296 \h </w:instrText>
      </w:r>
      <w:r>
        <w:fldChar w:fldCharType="separate"/>
      </w:r>
      <w:r>
        <w:t>40</w:t>
      </w:r>
      <w:r>
        <w:fldChar w:fldCharType="end"/>
      </w:r>
    </w:p>
    <w:p>
      <w:pPr>
        <w:pStyle w:val="TOC8"/>
        <w:rPr>
          <w:rFonts w:asciiTheme="minorHAnsi" w:eastAsiaTheme="minorEastAsia" w:hAnsiTheme="minorHAnsi" w:cstheme="minorBidi"/>
          <w:szCs w:val="22"/>
        </w:rPr>
      </w:pPr>
      <w:r>
        <w:t>16.</w:t>
      </w:r>
      <w:r>
        <w:tab/>
        <w:t>Exchange of information</w:t>
      </w:r>
      <w:r>
        <w:tab/>
      </w:r>
      <w:r>
        <w:fldChar w:fldCharType="begin"/>
      </w:r>
      <w:r>
        <w:instrText xml:space="preserve"> PAGEREF _Toc118453297 \h </w:instrText>
      </w:r>
      <w:r>
        <w:fldChar w:fldCharType="separate"/>
      </w:r>
      <w:r>
        <w:t>43</w:t>
      </w:r>
      <w:r>
        <w:fldChar w:fldCharType="end"/>
      </w:r>
    </w:p>
    <w:p>
      <w:pPr>
        <w:pStyle w:val="TOC8"/>
        <w:rPr>
          <w:rFonts w:asciiTheme="minorHAnsi" w:eastAsiaTheme="minorEastAsia" w:hAnsiTheme="minorHAnsi" w:cstheme="minorBidi"/>
          <w:szCs w:val="22"/>
        </w:rPr>
      </w:pPr>
      <w:r>
        <w:t>16A.</w:t>
      </w:r>
      <w:r>
        <w:tab/>
        <w:t>Disclosure authorised</w:t>
      </w:r>
      <w:r>
        <w:tab/>
      </w:r>
      <w:r>
        <w:fldChar w:fldCharType="begin"/>
      </w:r>
      <w:r>
        <w:instrText xml:space="preserve"> PAGEREF _Toc118453298 \h </w:instrText>
      </w:r>
      <w:r>
        <w:fldChar w:fldCharType="separate"/>
      </w:r>
      <w:r>
        <w:t>44</w:t>
      </w:r>
      <w:r>
        <w:fldChar w:fldCharType="end"/>
      </w:r>
    </w:p>
    <w:p>
      <w:pPr>
        <w:pStyle w:val="TOC8"/>
        <w:rPr>
          <w:rFonts w:asciiTheme="minorHAnsi" w:eastAsiaTheme="minorEastAsia" w:hAnsiTheme="minorHAnsi" w:cstheme="minorBidi"/>
          <w:szCs w:val="22"/>
        </w:rPr>
      </w:pPr>
      <w:r>
        <w:t>16B.</w:t>
      </w:r>
      <w:r>
        <w:tab/>
        <w:t>Protection of Commissioner of Police reports that may be withdrawn</w:t>
      </w:r>
      <w:r>
        <w:tab/>
      </w:r>
      <w:r>
        <w:fldChar w:fldCharType="begin"/>
      </w:r>
      <w:r>
        <w:instrText xml:space="preserve"> PAGEREF _Toc118453299 \h </w:instrText>
      </w:r>
      <w:r>
        <w:fldChar w:fldCharType="separate"/>
      </w:r>
      <w:r>
        <w:t>45</w:t>
      </w:r>
      <w:r>
        <w:fldChar w:fldCharType="end"/>
      </w:r>
    </w:p>
    <w:p>
      <w:pPr>
        <w:pStyle w:val="TOC8"/>
        <w:rPr>
          <w:rFonts w:asciiTheme="minorHAnsi" w:eastAsiaTheme="minorEastAsia" w:hAnsiTheme="minorHAnsi" w:cstheme="minorBidi"/>
          <w:szCs w:val="22"/>
        </w:rPr>
      </w:pPr>
      <w:r>
        <w:t>16C.</w:t>
      </w:r>
      <w:r>
        <w:tab/>
        <w:t>Protection of Commissioner of Police reports containing terrorist intelligence information</w:t>
      </w:r>
      <w:r>
        <w:tab/>
      </w:r>
      <w:r>
        <w:fldChar w:fldCharType="begin"/>
      </w:r>
      <w:r>
        <w:instrText xml:space="preserve"> PAGEREF _Toc118453300 \h </w:instrText>
      </w:r>
      <w:r>
        <w:fldChar w:fldCharType="separate"/>
      </w:r>
      <w:r>
        <w:t>45</w:t>
      </w:r>
      <w:r>
        <w:fldChar w:fldCharType="end"/>
      </w:r>
    </w:p>
    <w:p>
      <w:pPr>
        <w:pStyle w:val="TOC8"/>
        <w:rPr>
          <w:rFonts w:asciiTheme="minorHAnsi" w:eastAsiaTheme="minorEastAsia" w:hAnsiTheme="minorHAnsi" w:cstheme="minorBidi"/>
          <w:szCs w:val="22"/>
        </w:rPr>
      </w:pPr>
      <w:r>
        <w:t>16D.</w:t>
      </w:r>
      <w:r>
        <w:tab/>
        <w:t>Protection of terrorist intelligence information in legal proceedings</w:t>
      </w:r>
      <w:r>
        <w:tab/>
      </w:r>
      <w:r>
        <w:fldChar w:fldCharType="begin"/>
      </w:r>
      <w:r>
        <w:instrText xml:space="preserve"> PAGEREF _Toc118453301 \h </w:instrText>
      </w:r>
      <w:r>
        <w:fldChar w:fldCharType="separate"/>
      </w:r>
      <w:r>
        <w:t>46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Confidentiality</w:t>
      </w:r>
      <w:r>
        <w:tab/>
      </w:r>
      <w:r>
        <w:fldChar w:fldCharType="begin"/>
      </w:r>
      <w:r>
        <w:instrText xml:space="preserve"> PAGEREF _Toc118453302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5 — Arrangements with councils of Aboriginal communities</w:t>
      </w:r>
    </w:p>
    <w:p>
      <w:pPr>
        <w:pStyle w:val="TOC8"/>
        <w:rPr>
          <w:rFonts w:asciiTheme="minorHAnsi" w:eastAsiaTheme="minorEastAsia" w:hAnsiTheme="minorHAnsi" w:cstheme="minorBidi"/>
          <w:szCs w:val="22"/>
        </w:rPr>
      </w:pPr>
      <w:r>
        <w:t>17A.</w:t>
      </w:r>
      <w:r>
        <w:tab/>
        <w:t>Terms used</w:t>
      </w:r>
      <w:r>
        <w:tab/>
      </w:r>
      <w:r>
        <w:fldChar w:fldCharType="begin"/>
      </w:r>
      <w:r>
        <w:instrText xml:space="preserve"> PAGEREF _Toc118453304 \h </w:instrText>
      </w:r>
      <w:r>
        <w:fldChar w:fldCharType="separate"/>
      </w:r>
      <w:r>
        <w:t>48</w:t>
      </w:r>
      <w:r>
        <w:fldChar w:fldCharType="end"/>
      </w:r>
    </w:p>
    <w:p>
      <w:pPr>
        <w:pStyle w:val="TOC8"/>
        <w:rPr>
          <w:rFonts w:asciiTheme="minorHAnsi" w:eastAsiaTheme="minorEastAsia" w:hAnsiTheme="minorHAnsi" w:cstheme="minorBidi"/>
          <w:szCs w:val="22"/>
        </w:rPr>
      </w:pPr>
      <w:r>
        <w:t>17B.</w:t>
      </w:r>
      <w:r>
        <w:tab/>
        <w:t>Community supervision agreement</w:t>
      </w:r>
      <w:r>
        <w:tab/>
      </w:r>
      <w:r>
        <w:fldChar w:fldCharType="begin"/>
      </w:r>
      <w:r>
        <w:instrText xml:space="preserve"> PAGEREF _Toc118453305 \h </w:instrText>
      </w:r>
      <w:r>
        <w:fldChar w:fldCharType="separate"/>
      </w:r>
      <w:r>
        <w:t>49</w:t>
      </w:r>
      <w:r>
        <w:fldChar w:fldCharType="end"/>
      </w:r>
    </w:p>
    <w:p>
      <w:pPr>
        <w:pStyle w:val="TOC8"/>
        <w:rPr>
          <w:rFonts w:asciiTheme="minorHAnsi" w:eastAsiaTheme="minorEastAsia" w:hAnsiTheme="minorHAnsi" w:cstheme="minorBidi"/>
          <w:szCs w:val="22"/>
        </w:rPr>
      </w:pPr>
      <w:r>
        <w:t>17C.</w:t>
      </w:r>
      <w:r>
        <w:tab/>
        <w:t>Appointment of monitor</w:t>
      </w:r>
      <w:r>
        <w:tab/>
      </w:r>
      <w:r>
        <w:fldChar w:fldCharType="begin"/>
      </w:r>
      <w:r>
        <w:instrText xml:space="preserve"> PAGEREF _Toc118453306 \h </w:instrText>
      </w:r>
      <w:r>
        <w:fldChar w:fldCharType="separate"/>
      </w:r>
      <w:r>
        <w:t>49</w:t>
      </w:r>
      <w:r>
        <w:fldChar w:fldCharType="end"/>
      </w:r>
    </w:p>
    <w:p>
      <w:pPr>
        <w:pStyle w:val="TOC8"/>
        <w:rPr>
          <w:rFonts w:asciiTheme="minorHAnsi" w:eastAsiaTheme="minorEastAsia" w:hAnsiTheme="minorHAnsi" w:cstheme="minorBidi"/>
          <w:szCs w:val="22"/>
        </w:rPr>
      </w:pPr>
      <w:r>
        <w:t>17D.</w:t>
      </w:r>
      <w:r>
        <w:tab/>
        <w:t>Compensation for injury</w:t>
      </w:r>
      <w:r>
        <w:tab/>
      </w:r>
      <w:r>
        <w:fldChar w:fldCharType="begin"/>
      </w:r>
      <w:r>
        <w:instrText xml:space="preserve"> PAGEREF _Toc118453307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4 — Young persons in custody before being dealt with for an offence</w:t>
      </w:r>
    </w:p>
    <w:p>
      <w:pPr>
        <w:pStyle w:val="TOC8"/>
        <w:rPr>
          <w:rFonts w:asciiTheme="minorHAnsi" w:eastAsiaTheme="minorEastAsia" w:hAnsiTheme="minorHAnsi" w:cstheme="minorBidi"/>
          <w:szCs w:val="22"/>
        </w:rPr>
      </w:pPr>
      <w:r>
        <w:t>19</w:t>
      </w:r>
      <w:r>
        <w:rPr>
          <w:snapToGrid w:val="0"/>
        </w:rPr>
        <w:t>.</w:t>
      </w:r>
      <w:r>
        <w:rPr>
          <w:snapToGrid w:val="0"/>
        </w:rPr>
        <w:tab/>
        <w:t>Detention of young offenders apprehended by police</w:t>
      </w:r>
      <w:r>
        <w:tab/>
      </w:r>
      <w:r>
        <w:fldChar w:fldCharType="begin"/>
      </w:r>
      <w:r>
        <w:instrText xml:space="preserve"> PAGEREF _Toc118453309 \h </w:instrText>
      </w:r>
      <w:r>
        <w:fldChar w:fldCharType="separate"/>
      </w:r>
      <w:r>
        <w:t>51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Responsible adult to be notified</w:t>
      </w:r>
      <w:r>
        <w:tab/>
      </w:r>
      <w:r>
        <w:fldChar w:fldCharType="begin"/>
      </w:r>
      <w:r>
        <w:instrText xml:space="preserve"> PAGEREF _Toc118453310 \h </w:instrText>
      </w:r>
      <w:r>
        <w:fldChar w:fldCharType="separate"/>
      </w:r>
      <w:r>
        <w:t>51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Young person in custody awaiting trial</w:t>
      </w:r>
      <w:r>
        <w:tab/>
      </w:r>
      <w:r>
        <w:fldChar w:fldCharType="begin"/>
      </w:r>
      <w:r>
        <w:instrText xml:space="preserve"> PAGEREF _Toc118453311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5 — Dealing with young offenders without taking court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Cautioning</w:t>
      </w:r>
    </w:p>
    <w:p>
      <w:pPr>
        <w:pStyle w:val="TOC8"/>
        <w:rPr>
          <w:rFonts w:asciiTheme="minorHAnsi" w:eastAsiaTheme="minorEastAsia" w:hAnsiTheme="minorHAnsi" w:cstheme="minorBidi"/>
          <w:szCs w:val="22"/>
        </w:rPr>
      </w:pPr>
      <w:r>
        <w:t>22A</w:t>
      </w:r>
      <w:r>
        <w:rPr>
          <w:snapToGrid w:val="0"/>
        </w:rPr>
        <w:t>.</w:t>
      </w:r>
      <w:r>
        <w:rPr>
          <w:snapToGrid w:val="0"/>
        </w:rPr>
        <w:tab/>
        <w:t>Purpose of this Division</w:t>
      </w:r>
      <w:r>
        <w:tab/>
      </w:r>
      <w:r>
        <w:fldChar w:fldCharType="begin"/>
      </w:r>
      <w:r>
        <w:instrText xml:space="preserve"> PAGEREF _Toc118453314 \h </w:instrText>
      </w:r>
      <w:r>
        <w:fldChar w:fldCharType="separate"/>
      </w:r>
      <w:r>
        <w:t>54</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Police officer to consider alternatives to court proceedings</w:t>
      </w:r>
      <w:r>
        <w:tab/>
      </w:r>
      <w:r>
        <w:fldChar w:fldCharType="begin"/>
      </w:r>
      <w:r>
        <w:instrText xml:space="preserve"> PAGEREF _Toc118453315 \h </w:instrText>
      </w:r>
      <w:r>
        <w:fldChar w:fldCharType="separate"/>
      </w:r>
      <w:r>
        <w:t>54</w:t>
      </w:r>
      <w:r>
        <w:fldChar w:fldCharType="end"/>
      </w:r>
    </w:p>
    <w:p>
      <w:pPr>
        <w:pStyle w:val="TOC8"/>
        <w:rPr>
          <w:rFonts w:asciiTheme="minorHAnsi" w:eastAsiaTheme="minorEastAsia" w:hAnsiTheme="minorHAnsi" w:cstheme="minorBidi"/>
          <w:szCs w:val="22"/>
        </w:rPr>
      </w:pPr>
      <w:r>
        <w:lastRenderedPageBreak/>
        <w:t>22</w:t>
      </w:r>
      <w:r>
        <w:rPr>
          <w:snapToGrid w:val="0"/>
        </w:rPr>
        <w:t>.</w:t>
      </w:r>
      <w:r>
        <w:rPr>
          <w:snapToGrid w:val="0"/>
        </w:rPr>
        <w:tab/>
        <w:t>Cautions may be given except for Sch. 1 or 2 offences</w:t>
      </w:r>
      <w:r>
        <w:tab/>
      </w:r>
      <w:r>
        <w:fldChar w:fldCharType="begin"/>
      </w:r>
      <w:r>
        <w:instrText xml:space="preserve"> PAGEREF _Toc118453316 \h </w:instrText>
      </w:r>
      <w:r>
        <w:fldChar w:fldCharType="separate"/>
      </w:r>
      <w:r>
        <w:t>54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Cautioning to be preferred in certain cases</w:t>
      </w:r>
      <w:r>
        <w:tab/>
      </w:r>
      <w:r>
        <w:fldChar w:fldCharType="begin"/>
      </w:r>
      <w:r>
        <w:instrText xml:space="preserve"> PAGEREF _Toc118453317 \h </w:instrText>
      </w:r>
      <w:r>
        <w:fldChar w:fldCharType="separate"/>
      </w:r>
      <w:r>
        <w:t>55</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Caution certificate to be given</w:t>
      </w:r>
      <w:r>
        <w:tab/>
      </w:r>
      <w:r>
        <w:fldChar w:fldCharType="begin"/>
      </w:r>
      <w:r>
        <w:instrText xml:space="preserve"> PAGEREF _Toc118453318 \h </w:instrText>
      </w:r>
      <w:r>
        <w:fldChar w:fldCharType="separate"/>
      </w:r>
      <w:r>
        <w:t>55</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Police officer may retain a thing relating to an offence</w:t>
      </w:r>
      <w:r>
        <w:tab/>
      </w:r>
      <w:r>
        <w:fldChar w:fldCharType="begin"/>
      </w:r>
      <w:r>
        <w:instrText xml:space="preserve"> PAGEREF _Toc118453319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Referral to juvenile justice team</w:t>
      </w:r>
    </w:p>
    <w:p>
      <w:pPr>
        <w:pStyle w:val="TOC8"/>
        <w:rPr>
          <w:rFonts w:asciiTheme="minorHAnsi" w:eastAsiaTheme="minorEastAsia" w:hAnsiTheme="minorHAnsi" w:cstheme="minorBidi"/>
          <w:szCs w:val="22"/>
        </w:rPr>
      </w:pPr>
      <w:r>
        <w:t>24</w:t>
      </w:r>
      <w:r>
        <w:rPr>
          <w:snapToGrid w:val="0"/>
        </w:rPr>
        <w:t>.</w:t>
      </w:r>
      <w:r>
        <w:rPr>
          <w:snapToGrid w:val="0"/>
        </w:rPr>
        <w:tab/>
        <w:t>Principles</w:t>
      </w:r>
      <w:r>
        <w:tab/>
      </w:r>
      <w:r>
        <w:fldChar w:fldCharType="begin"/>
      </w:r>
      <w:r>
        <w:instrText xml:space="preserve"> PAGEREF _Toc118453321 \h </w:instrText>
      </w:r>
      <w:r>
        <w:fldChar w:fldCharType="separate"/>
      </w:r>
      <w:r>
        <w:t>56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Only certain matters may be referred to teams</w:t>
      </w:r>
      <w:r>
        <w:tab/>
      </w:r>
      <w:r>
        <w:fldChar w:fldCharType="begin"/>
      </w:r>
      <w:r>
        <w:instrText xml:space="preserve"> PAGEREF _Toc118453322 \h </w:instrText>
      </w:r>
      <w:r>
        <w:fldChar w:fldCharType="separate"/>
      </w:r>
      <w:r>
        <w:t>57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Release of young person under arrest</w:t>
      </w:r>
      <w:r>
        <w:tab/>
      </w:r>
      <w:r>
        <w:fldChar w:fldCharType="begin"/>
      </w:r>
      <w:r>
        <w:instrText xml:space="preserve"> PAGEREF _Toc118453323 \h </w:instrText>
      </w:r>
      <w:r>
        <w:fldChar w:fldCharType="separate"/>
      </w:r>
      <w:r>
        <w:t>58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Referral to team by prosecutor</w:t>
      </w:r>
      <w:r>
        <w:tab/>
      </w:r>
      <w:r>
        <w:fldChar w:fldCharType="begin"/>
      </w:r>
      <w:r>
        <w:instrText xml:space="preserve"> PAGEREF _Toc118453324 \h </w:instrText>
      </w:r>
      <w:r>
        <w:fldChar w:fldCharType="separate"/>
      </w:r>
      <w:r>
        <w:t>58</w:t>
      </w:r>
      <w:r>
        <w:fldChar w:fldCharType="end"/>
      </w:r>
    </w:p>
    <w:p>
      <w:pPr>
        <w:pStyle w:val="TOC8"/>
        <w:rPr>
          <w:rFonts w:asciiTheme="minorHAnsi" w:eastAsiaTheme="minorEastAsia" w:hAnsiTheme="minorHAnsi" w:cstheme="minorBidi"/>
          <w:szCs w:val="22"/>
        </w:rPr>
      </w:pPr>
      <w:r>
        <w:t>28.</w:t>
      </w:r>
      <w:r>
        <w:tab/>
      </w:r>
      <w:r>
        <w:rPr>
          <w:snapToGrid w:val="0"/>
        </w:rPr>
        <w:t>Referral to team by court</w:t>
      </w:r>
      <w:r>
        <w:tab/>
      </w:r>
      <w:r>
        <w:fldChar w:fldCharType="begin"/>
      </w:r>
      <w:r>
        <w:instrText xml:space="preserve"> PAGEREF _Toc118453325 \h </w:instrText>
      </w:r>
      <w:r>
        <w:fldChar w:fldCharType="separate"/>
      </w:r>
      <w:r>
        <w:t>59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First offenders usually should be referred to team</w:t>
      </w:r>
      <w:r>
        <w:tab/>
      </w:r>
      <w:r>
        <w:fldChar w:fldCharType="begin"/>
      </w:r>
      <w:r>
        <w:instrText xml:space="preserve"> PAGEREF _Toc118453326 \h </w:instrText>
      </w:r>
      <w:r>
        <w:fldChar w:fldCharType="separate"/>
      </w:r>
      <w:r>
        <w:t>59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Role of responsible adult</w:t>
      </w:r>
      <w:r>
        <w:tab/>
      </w:r>
      <w:r>
        <w:fldChar w:fldCharType="begin"/>
      </w:r>
      <w:r>
        <w:instrText xml:space="preserve"> PAGEREF _Toc118453327 \h </w:instrText>
      </w:r>
      <w:r>
        <w:fldChar w:fldCharType="separate"/>
      </w:r>
      <w:r>
        <w:t>60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Role of victim</w:t>
      </w:r>
      <w:r>
        <w:tab/>
      </w:r>
      <w:r>
        <w:fldChar w:fldCharType="begin"/>
      </w:r>
      <w:r>
        <w:instrText xml:space="preserve"> PAGEREF _Toc118453328 \h </w:instrText>
      </w:r>
      <w:r>
        <w:fldChar w:fldCharType="separate"/>
      </w:r>
      <w:r>
        <w:t>61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of juvenile justice team</w:t>
      </w:r>
      <w:r>
        <w:tab/>
      </w:r>
      <w:r>
        <w:fldChar w:fldCharType="begin"/>
      </w:r>
      <w:r>
        <w:instrText xml:space="preserve"> PAGEREF _Toc118453329 \h </w:instrText>
      </w:r>
      <w:r>
        <w:fldChar w:fldCharType="separate"/>
      </w:r>
      <w:r>
        <w:t>61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Effect on liability to be dealt with by court</w:t>
      </w:r>
      <w:r>
        <w:tab/>
      </w:r>
      <w:r>
        <w:fldChar w:fldCharType="begin"/>
      </w:r>
      <w:r>
        <w:instrText xml:space="preserve"> PAGEREF _Toc118453330 \h </w:instrText>
      </w:r>
      <w:r>
        <w:fldChar w:fldCharType="separate"/>
      </w:r>
      <w:r>
        <w:t>63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Civil liability not affected</w:t>
      </w:r>
      <w:r>
        <w:tab/>
      </w:r>
      <w:r>
        <w:fldChar w:fldCharType="begin"/>
      </w:r>
      <w:r>
        <w:instrText xml:space="preserve"> PAGEREF _Toc118453331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Juvenile justice teams</w:t>
      </w:r>
    </w:p>
    <w:p>
      <w:pPr>
        <w:pStyle w:val="TOC8"/>
        <w:rPr>
          <w:rFonts w:asciiTheme="minorHAnsi" w:eastAsiaTheme="minorEastAsia" w:hAnsiTheme="minorHAnsi" w:cstheme="minorBidi"/>
          <w:szCs w:val="22"/>
        </w:rPr>
      </w:pPr>
      <w:r>
        <w:t>35</w:t>
      </w:r>
      <w:r>
        <w:rPr>
          <w:snapToGrid w:val="0"/>
        </w:rPr>
        <w:t>.</w:t>
      </w:r>
      <w:r>
        <w:rPr>
          <w:snapToGrid w:val="0"/>
        </w:rPr>
        <w:tab/>
        <w:t>Terms used</w:t>
      </w:r>
      <w:r>
        <w:tab/>
      </w:r>
      <w:r>
        <w:fldChar w:fldCharType="begin"/>
      </w:r>
      <w:r>
        <w:instrText xml:space="preserve"> PAGEREF _Toc118453333 \h </w:instrText>
      </w:r>
      <w:r>
        <w:fldChar w:fldCharType="separate"/>
      </w:r>
      <w:r>
        <w:t>64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Juvenile Justice Team Coordinator, appointment of</w:t>
      </w:r>
      <w:r>
        <w:tab/>
      </w:r>
      <w:r>
        <w:fldChar w:fldCharType="begin"/>
      </w:r>
      <w:r>
        <w:instrText xml:space="preserve"> PAGEREF _Toc118453334 \h </w:instrText>
      </w:r>
      <w:r>
        <w:fldChar w:fldCharType="separate"/>
      </w:r>
      <w:r>
        <w:t>64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Establishing juvenile justice teams</w:t>
      </w:r>
      <w:r>
        <w:tab/>
      </w:r>
      <w:r>
        <w:fldChar w:fldCharType="begin"/>
      </w:r>
      <w:r>
        <w:instrText xml:space="preserve"> PAGEREF _Toc118453335 \h </w:instrText>
      </w:r>
      <w:r>
        <w:fldChar w:fldCharType="separate"/>
      </w:r>
      <w:r>
        <w:t>64</w:t>
      </w:r>
      <w:r>
        <w:fldChar w:fldCharType="end"/>
      </w:r>
    </w:p>
    <w:p>
      <w:pPr>
        <w:pStyle w:val="TOC8"/>
        <w:rPr>
          <w:rFonts w:asciiTheme="minorHAnsi" w:eastAsiaTheme="minorEastAsia" w:hAnsiTheme="minorHAnsi" w:cstheme="minorBidi"/>
          <w:szCs w:val="22"/>
        </w:rPr>
      </w:pPr>
      <w:r>
        <w:t>37A.</w:t>
      </w:r>
      <w:r>
        <w:tab/>
        <w:t>No representation by lawyer or agent</w:t>
      </w:r>
      <w:r>
        <w:tab/>
      </w:r>
      <w:r>
        <w:fldChar w:fldCharType="begin"/>
      </w:r>
      <w:r>
        <w:instrText xml:space="preserve"> PAGEREF _Toc118453336 \h </w:instrText>
      </w:r>
      <w:r>
        <w:fldChar w:fldCharType="separate"/>
      </w:r>
      <w:r>
        <w:t>65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Decisions to be unanimous</w:t>
      </w:r>
      <w:r>
        <w:tab/>
      </w:r>
      <w:r>
        <w:fldChar w:fldCharType="begin"/>
      </w:r>
      <w:r>
        <w:instrText xml:space="preserve"> PAGEREF _Toc118453337 \h </w:instrText>
      </w:r>
      <w:r>
        <w:fldChar w:fldCharType="separate"/>
      </w:r>
      <w:r>
        <w:t>66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w:t>
      </w:r>
      <w:r>
        <w:tab/>
      </w:r>
      <w:r>
        <w:fldChar w:fldCharType="begin"/>
      </w:r>
      <w:r>
        <w:instrText xml:space="preserve"> PAGEREF _Toc118453338 \h </w:instrText>
      </w:r>
      <w:r>
        <w:fldChar w:fldCharType="separate"/>
      </w:r>
      <w:r>
        <w:t>66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No report of proceedings to be published</w:t>
      </w:r>
      <w:r>
        <w:tab/>
      </w:r>
      <w:r>
        <w:fldChar w:fldCharType="begin"/>
      </w:r>
      <w:r>
        <w:instrText xml:space="preserve"> PAGEREF _Toc118453339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6 — Court proceedings</w:t>
      </w:r>
    </w:p>
    <w:p>
      <w:pPr>
        <w:pStyle w:val="TOC8"/>
        <w:rPr>
          <w:rFonts w:asciiTheme="minorHAnsi" w:eastAsiaTheme="minorEastAsia" w:hAnsiTheme="minorHAnsi" w:cstheme="minorBidi"/>
          <w:szCs w:val="22"/>
        </w:rPr>
      </w:pPr>
      <w:r>
        <w:t>41</w:t>
      </w:r>
      <w:r>
        <w:rPr>
          <w:snapToGrid w:val="0"/>
        </w:rPr>
        <w:t>.</w:t>
      </w:r>
      <w:r>
        <w:rPr>
          <w:snapToGrid w:val="0"/>
        </w:rPr>
        <w:tab/>
        <w:t>Preliminary considerations for police before prosecuting</w:t>
      </w:r>
      <w:r>
        <w:tab/>
      </w:r>
      <w:r>
        <w:fldChar w:fldCharType="begin"/>
      </w:r>
      <w:r>
        <w:instrText xml:space="preserve"> PAGEREF _Toc118453341 \h </w:instrText>
      </w:r>
      <w:r>
        <w:fldChar w:fldCharType="separate"/>
      </w:r>
      <w:r>
        <w:t>67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Notice to attend court usually preferable to summons</w:t>
      </w:r>
      <w:r>
        <w:tab/>
      </w:r>
      <w:r>
        <w:fldChar w:fldCharType="begin"/>
      </w:r>
      <w:r>
        <w:instrText xml:space="preserve"> PAGEREF _Toc118453342 \h </w:instrText>
      </w:r>
      <w:r>
        <w:fldChar w:fldCharType="separate"/>
      </w:r>
      <w:r>
        <w:t>67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Notices to attend court, general provisions about</w:t>
      </w:r>
      <w:r>
        <w:tab/>
      </w:r>
      <w:r>
        <w:fldChar w:fldCharType="begin"/>
      </w:r>
      <w:r>
        <w:instrText xml:space="preserve"> PAGEREF _Toc118453343 \h </w:instrText>
      </w:r>
      <w:r>
        <w:fldChar w:fldCharType="separate"/>
      </w:r>
      <w:r>
        <w:t>68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Proceedings to be explained to young persons</w:t>
      </w:r>
      <w:r>
        <w:tab/>
      </w:r>
      <w:r>
        <w:fldChar w:fldCharType="begin"/>
      </w:r>
      <w:r>
        <w:instrText xml:space="preserve"> PAGEREF _Toc118453344 \h </w:instrText>
      </w:r>
      <w:r>
        <w:fldChar w:fldCharType="separate"/>
      </w:r>
      <w:r>
        <w:t>70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Responsible adult may be required to attend court</w:t>
      </w:r>
      <w:r>
        <w:tab/>
      </w:r>
      <w:r>
        <w:fldChar w:fldCharType="begin"/>
      </w:r>
      <w:r>
        <w:instrText xml:space="preserve"> PAGEREF _Toc118453345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Sentencing and related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46</w:t>
      </w:r>
      <w:r>
        <w:rPr>
          <w:snapToGrid w:val="0"/>
        </w:rPr>
        <w:t>.</w:t>
      </w:r>
      <w:r>
        <w:rPr>
          <w:snapToGrid w:val="0"/>
        </w:rPr>
        <w:tab/>
        <w:t>Principles and considerations to be applied to young offenders</w:t>
      </w:r>
      <w:r>
        <w:tab/>
      </w:r>
      <w:r>
        <w:fldChar w:fldCharType="begin"/>
      </w:r>
      <w:r>
        <w:instrText xml:space="preserve"> PAGEREF _Toc118453348 \h </w:instrText>
      </w:r>
      <w:r>
        <w:fldChar w:fldCharType="separate"/>
      </w:r>
      <w:r>
        <w:t>72</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 xml:space="preserve">Application of </w:t>
      </w:r>
      <w:r>
        <w:rPr>
          <w:i/>
          <w:snapToGrid w:val="0"/>
        </w:rPr>
        <w:t>Sentencing Act 1995</w:t>
      </w:r>
      <w:r>
        <w:tab/>
      </w:r>
      <w:r>
        <w:fldChar w:fldCharType="begin"/>
      </w:r>
      <w:r>
        <w:instrText xml:space="preserve"> PAGEREF _Toc118453349 \h </w:instrText>
      </w:r>
      <w:r>
        <w:fldChar w:fldCharType="separate"/>
      </w:r>
      <w:r>
        <w:t>73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Court may request information</w:t>
      </w:r>
      <w:r>
        <w:tab/>
      </w:r>
      <w:r>
        <w:fldChar w:fldCharType="begin"/>
      </w:r>
      <w:r>
        <w:instrText xml:space="preserve"> PAGEREF _Toc118453350 \h </w:instrText>
      </w:r>
      <w:r>
        <w:fldChar w:fldCharType="separate"/>
      </w:r>
      <w:r>
        <w:t>74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Certain reports required</w:t>
      </w:r>
      <w:r>
        <w:tab/>
      </w:r>
      <w:r>
        <w:fldChar w:fldCharType="begin"/>
      </w:r>
      <w:r>
        <w:instrText xml:space="preserve"> PAGEREF _Toc118453351 \h </w:instrText>
      </w:r>
      <w:r>
        <w:fldChar w:fldCharType="separate"/>
      </w:r>
      <w:r>
        <w:t>74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Remand for observation</w:t>
      </w:r>
      <w:r>
        <w:tab/>
      </w:r>
      <w:r>
        <w:fldChar w:fldCharType="begin"/>
      </w:r>
      <w:r>
        <w:instrText xml:space="preserve"> PAGEREF _Toc118453352 \h </w:instrText>
      </w:r>
      <w:r>
        <w:fldChar w:fldCharType="separate"/>
      </w:r>
      <w:r>
        <w:t>75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Offender aged under 17 at time of sentence, options</w:t>
      </w:r>
      <w:r>
        <w:tab/>
      </w:r>
      <w:r>
        <w:fldChar w:fldCharType="begin"/>
      </w:r>
      <w:r>
        <w:instrText xml:space="preserve"> PAGEREF _Toc118453353 \h </w:instrText>
      </w:r>
      <w:r>
        <w:fldChar w:fldCharType="separate"/>
      </w:r>
      <w:r>
        <w:t>75</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Offender aged 17 or over but under 18 at time of sentence, options</w:t>
      </w:r>
      <w:r>
        <w:tab/>
      </w:r>
      <w:r>
        <w:fldChar w:fldCharType="begin"/>
      </w:r>
      <w:r>
        <w:instrText xml:space="preserve"> PAGEREF _Toc118453354 \h </w:instrText>
      </w:r>
      <w:r>
        <w:fldChar w:fldCharType="separate"/>
      </w:r>
      <w:r>
        <w:t>75</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Offender aged 18 or over at time of sentence, options</w:t>
      </w:r>
      <w:r>
        <w:tab/>
      </w:r>
      <w:r>
        <w:fldChar w:fldCharType="begin"/>
      </w:r>
      <w:r>
        <w:instrText xml:space="preserve"> PAGEREF _Toc118453355 \h </w:instrText>
      </w:r>
      <w:r>
        <w:fldChar w:fldCharType="separate"/>
      </w:r>
      <w:r>
        <w:t>76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be present for certain orders</w:t>
      </w:r>
      <w:r>
        <w:tab/>
      </w:r>
      <w:r>
        <w:fldChar w:fldCharType="begin"/>
      </w:r>
      <w:r>
        <w:instrText xml:space="preserve"> PAGEREF _Toc118453356 \h </w:instrText>
      </w:r>
      <w:r>
        <w:fldChar w:fldCharType="separate"/>
      </w:r>
      <w:r>
        <w:t>77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Order requiring consent to be explained</w:t>
      </w:r>
      <w:r>
        <w:tab/>
      </w:r>
      <w:r>
        <w:fldChar w:fldCharType="begin"/>
      </w:r>
      <w:r>
        <w:instrText xml:space="preserve"> PAGEREF _Toc118453357 \h </w:instrText>
      </w:r>
      <w:r>
        <w:fldChar w:fldCharType="separate"/>
      </w:r>
      <w:r>
        <w:t>77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Body samples may be required to be provided</w:t>
      </w:r>
      <w:r>
        <w:tab/>
      </w:r>
      <w:r>
        <w:fldChar w:fldCharType="begin"/>
      </w:r>
      <w:r>
        <w:instrText xml:space="preserve"> PAGEREF _Toc118453358 \h </w:instrText>
      </w:r>
      <w:r>
        <w:fldChar w:fldCharType="separate"/>
      </w:r>
      <w:r>
        <w:t>78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Conviction, when to be recorded</w:t>
      </w:r>
      <w:r>
        <w:tab/>
      </w:r>
      <w:r>
        <w:fldChar w:fldCharType="begin"/>
      </w:r>
      <w:r>
        <w:instrText xml:space="preserve"> PAGEREF _Toc118453359 \h </w:instrText>
      </w:r>
      <w:r>
        <w:fldChar w:fldCharType="separate"/>
      </w:r>
      <w:r>
        <w:t>78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Compensation and restitution, orders for</w:t>
      </w:r>
      <w:r>
        <w:tab/>
      </w:r>
      <w:r>
        <w:fldChar w:fldCharType="begin"/>
      </w:r>
      <w:r>
        <w:instrText xml:space="preserve"> PAGEREF _Toc118453360 \h </w:instrText>
      </w:r>
      <w:r>
        <w:fldChar w:fldCharType="separate"/>
      </w:r>
      <w:r>
        <w:t>79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Costs may be ordered to be paid</w:t>
      </w:r>
      <w:r>
        <w:tab/>
      </w:r>
      <w:r>
        <w:fldChar w:fldCharType="begin"/>
      </w:r>
      <w:r>
        <w:instrText xml:space="preserve"> PAGEREF _Toc118453361 \h </w:instrText>
      </w:r>
      <w:r>
        <w:fldChar w:fldCharType="separate"/>
      </w:r>
      <w:r>
        <w:t>80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Responsible adult may be made liable for fine etc.</w:t>
      </w:r>
      <w:r>
        <w:tab/>
      </w:r>
      <w:r>
        <w:fldChar w:fldCharType="begin"/>
      </w:r>
      <w:r>
        <w:instrText xml:space="preserve"> PAGEREF _Toc118453362 \h </w:instrText>
      </w:r>
      <w:r>
        <w:fldChar w:fldCharType="separate"/>
      </w:r>
      <w:r>
        <w:t>80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Court orders to be provided in writing</w:t>
      </w:r>
      <w:r>
        <w:tab/>
      </w:r>
      <w:r>
        <w:fldChar w:fldCharType="begin"/>
      </w:r>
      <w:r>
        <w:instrText xml:space="preserve"> PAGEREF _Toc118453363 \h </w:instrText>
      </w:r>
      <w:r>
        <w:fldChar w:fldCharType="separate"/>
      </w:r>
      <w:r>
        <w:t>81</w:t>
      </w:r>
      <w:r>
        <w:fldChar w:fldCharType="end"/>
      </w:r>
    </w:p>
    <w:p>
      <w:pPr>
        <w:pStyle w:val="TOC8"/>
        <w:rPr>
          <w:rFonts w:asciiTheme="minorHAnsi" w:eastAsiaTheme="minorEastAsia" w:hAnsiTheme="minorHAnsi" w:cstheme="minorBidi"/>
          <w:szCs w:val="22"/>
        </w:rPr>
      </w:pPr>
      <w:r>
        <w:t>60.</w:t>
      </w:r>
      <w:r>
        <w:tab/>
        <w:t>Orders etc. under this Part are sentences</w:t>
      </w:r>
      <w:r>
        <w:tab/>
      </w:r>
      <w:r>
        <w:fldChar w:fldCharType="begin"/>
      </w:r>
      <w:r>
        <w:instrText xml:space="preserve"> PAGEREF _Toc118453364 \h </w:instrText>
      </w:r>
      <w:r>
        <w:fldChar w:fldCharType="separate"/>
      </w:r>
      <w:r>
        <w:t>82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Workers’ compensation for compulsory work</w:t>
      </w:r>
      <w:r>
        <w:tab/>
      </w:r>
      <w:r>
        <w:fldChar w:fldCharType="begin"/>
      </w:r>
      <w:r>
        <w:instrText xml:space="preserve"> PAGEREF _Toc118453365 \h </w:instrText>
      </w:r>
      <w:r>
        <w:fldChar w:fldCharType="separate"/>
      </w:r>
      <w:r>
        <w:t>83</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_Toc118453366 \h </w:instrText>
      </w:r>
      <w:r>
        <w:fldChar w:fldCharType="separate"/>
      </w:r>
      <w:r>
        <w:t>83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Enforcing payment by young person who has reached 18</w:t>
      </w:r>
      <w:r>
        <w:tab/>
      </w:r>
      <w:r>
        <w:fldChar w:fldCharType="begin"/>
      </w:r>
      <w:r>
        <w:instrText xml:space="preserve"> PAGEREF _Toc118453367 \h </w:instrText>
      </w:r>
      <w:r>
        <w:fldChar w:fldCharType="separate"/>
      </w:r>
      <w:r>
        <w:t>83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Enforcing payment by young person who has not reached 18</w:t>
      </w:r>
      <w:r>
        <w:tab/>
      </w:r>
      <w:r>
        <w:fldChar w:fldCharType="begin"/>
      </w:r>
      <w:r>
        <w:instrText xml:space="preserve"> PAGEREF _Toc118453368 \h </w:instrText>
      </w:r>
      <w:r>
        <w:fldChar w:fldCharType="separate"/>
      </w:r>
      <w:r>
        <w:t>84</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Court’s powers to deal with defaulter</w:t>
      </w:r>
      <w:r>
        <w:tab/>
      </w:r>
      <w:r>
        <w:fldChar w:fldCharType="begin"/>
      </w:r>
      <w:r>
        <w:instrText xml:space="preserve"> PAGEREF _Toc118453369 \h </w:instrText>
      </w:r>
      <w:r>
        <w:fldChar w:fldCharType="separate"/>
      </w:r>
      <w:r>
        <w:t>86</w:t>
      </w:r>
      <w:r>
        <w:fldChar w:fldCharType="end"/>
      </w:r>
    </w:p>
    <w:p>
      <w:pPr>
        <w:pStyle w:val="TOC8"/>
        <w:rPr>
          <w:rFonts w:asciiTheme="minorHAnsi" w:eastAsiaTheme="minorEastAsia" w:hAnsiTheme="minorHAnsi" w:cstheme="minorBidi"/>
          <w:szCs w:val="22"/>
        </w:rPr>
      </w:pPr>
      <w:r>
        <w:t>65B</w:t>
      </w:r>
      <w:r>
        <w:rPr>
          <w:snapToGrid w:val="0"/>
        </w:rPr>
        <w:t>.</w:t>
      </w:r>
      <w:r>
        <w:rPr>
          <w:snapToGrid w:val="0"/>
        </w:rPr>
        <w:tab/>
        <w:t>Community work order</w:t>
      </w:r>
      <w:r>
        <w:tab/>
      </w:r>
      <w:r>
        <w:fldChar w:fldCharType="begin"/>
      </w:r>
      <w:r>
        <w:instrText xml:space="preserve"> PAGEREF _Toc118453370 \h </w:instrText>
      </w:r>
      <w:r>
        <w:fldChar w:fldCharType="separate"/>
      </w:r>
      <w:r>
        <w:t>87</w:t>
      </w:r>
      <w:r>
        <w:fldChar w:fldCharType="end"/>
      </w:r>
    </w:p>
    <w:p>
      <w:pPr>
        <w:pStyle w:val="TOC8"/>
        <w:rPr>
          <w:rFonts w:asciiTheme="minorHAnsi" w:eastAsiaTheme="minorEastAsia" w:hAnsiTheme="minorHAnsi" w:cstheme="minorBidi"/>
          <w:szCs w:val="22"/>
        </w:rPr>
      </w:pPr>
      <w:r>
        <w:t>65C</w:t>
      </w:r>
      <w:r>
        <w:rPr>
          <w:snapToGrid w:val="0"/>
        </w:rPr>
        <w:t>.</w:t>
      </w:r>
      <w:r>
        <w:rPr>
          <w:snapToGrid w:val="0"/>
        </w:rPr>
        <w:tab/>
        <w:t>Detention order</w:t>
      </w:r>
      <w:r>
        <w:tab/>
      </w:r>
      <w:r>
        <w:fldChar w:fldCharType="begin"/>
      </w:r>
      <w:r>
        <w:instrText xml:space="preserve"> PAGEREF _Toc118453371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No punishment and no conditions</w:t>
      </w:r>
    </w:p>
    <w:p>
      <w:pPr>
        <w:pStyle w:val="TOC8"/>
        <w:rPr>
          <w:rFonts w:asciiTheme="minorHAnsi" w:eastAsiaTheme="minorEastAsia" w:hAnsiTheme="minorHAnsi" w:cstheme="minorBidi"/>
          <w:szCs w:val="22"/>
        </w:rPr>
      </w:pPr>
      <w:r>
        <w:t>66</w:t>
      </w:r>
      <w:r>
        <w:rPr>
          <w:snapToGrid w:val="0"/>
        </w:rPr>
        <w:t>.</w:t>
      </w:r>
      <w:r>
        <w:rPr>
          <w:snapToGrid w:val="0"/>
        </w:rPr>
        <w:tab/>
        <w:t>Court may refrain from punishing in some cases</w:t>
      </w:r>
      <w:r>
        <w:tab/>
      </w:r>
      <w:r>
        <w:fldChar w:fldCharType="begin"/>
      </w:r>
      <w:r>
        <w:instrText xml:space="preserve"> PAGEREF _Toc118453373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No punishment but conditions</w:t>
      </w:r>
    </w:p>
    <w:p>
      <w:pPr>
        <w:pStyle w:val="TOC8"/>
        <w:rPr>
          <w:rFonts w:asciiTheme="minorHAnsi" w:eastAsiaTheme="minorEastAsia" w:hAnsiTheme="minorHAnsi" w:cstheme="minorBidi"/>
          <w:szCs w:val="22"/>
        </w:rPr>
      </w:pPr>
      <w:r>
        <w:t>67</w:t>
      </w:r>
      <w:r>
        <w:rPr>
          <w:snapToGrid w:val="0"/>
        </w:rPr>
        <w:t>.</w:t>
      </w:r>
      <w:r>
        <w:rPr>
          <w:snapToGrid w:val="0"/>
        </w:rPr>
        <w:tab/>
        <w:t>Undertakings and informal punishment</w:t>
      </w:r>
      <w:r>
        <w:tab/>
      </w:r>
      <w:r>
        <w:fldChar w:fldCharType="begin"/>
      </w:r>
      <w:r>
        <w:instrText xml:space="preserve"> PAGEREF _Toc118453375 \h </w:instrText>
      </w:r>
      <w:r>
        <w:fldChar w:fldCharType="separate"/>
      </w:r>
      <w:r>
        <w:t>88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Adjournment</w:t>
      </w:r>
      <w:r>
        <w:tab/>
      </w:r>
      <w:r>
        <w:fldChar w:fldCharType="begin"/>
      </w:r>
      <w:r>
        <w:instrText xml:space="preserve"> PAGEREF _Toc118453376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w:t>
      </w:r>
      <w:r>
        <w:rPr>
          <w:snapToGrid w:val="0"/>
        </w:rPr>
        <w:t> — </w:t>
      </w:r>
      <w:r>
        <w:t>No punishment but security or recognisance</w:t>
      </w:r>
    </w:p>
    <w:p>
      <w:pPr>
        <w:pStyle w:val="TOC8"/>
        <w:rPr>
          <w:rFonts w:asciiTheme="minorHAnsi" w:eastAsiaTheme="minorEastAsia" w:hAnsiTheme="minorHAnsi" w:cstheme="minorBidi"/>
          <w:szCs w:val="22"/>
        </w:rPr>
      </w:pPr>
      <w:r>
        <w:t>69</w:t>
      </w:r>
      <w:r>
        <w:rPr>
          <w:snapToGrid w:val="0"/>
        </w:rPr>
        <w:t>.</w:t>
      </w:r>
      <w:r>
        <w:rPr>
          <w:snapToGrid w:val="0"/>
        </w:rPr>
        <w:tab/>
        <w:t>Recognisance by offender to be of good behaviour etc.</w:t>
      </w:r>
      <w:r>
        <w:tab/>
      </w:r>
      <w:r>
        <w:fldChar w:fldCharType="begin"/>
      </w:r>
      <w:r>
        <w:instrText xml:space="preserve"> PAGEREF _Toc118453378 \h </w:instrText>
      </w:r>
      <w:r>
        <w:fldChar w:fldCharType="separate"/>
      </w:r>
      <w:r>
        <w:t>89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Responsible adult may give security for offender’s good behaviour etc.</w:t>
      </w:r>
      <w:r>
        <w:tab/>
      </w:r>
      <w:r>
        <w:fldChar w:fldCharType="begin"/>
      </w:r>
      <w:r>
        <w:instrText xml:space="preserve"> PAGEREF _Toc118453379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Fine</w:t>
      </w:r>
    </w:p>
    <w:p>
      <w:pPr>
        <w:pStyle w:val="TOC8"/>
        <w:rPr>
          <w:rFonts w:asciiTheme="minorHAnsi" w:eastAsiaTheme="minorEastAsia" w:hAnsiTheme="minorHAnsi" w:cstheme="minorBidi"/>
          <w:szCs w:val="22"/>
        </w:rPr>
      </w:pPr>
      <w:r>
        <w:t>71</w:t>
      </w:r>
      <w:r>
        <w:rPr>
          <w:snapToGrid w:val="0"/>
        </w:rPr>
        <w:t>.</w:t>
      </w:r>
      <w:r>
        <w:rPr>
          <w:snapToGrid w:val="0"/>
        </w:rPr>
        <w:tab/>
        <w:t>Fine instead of imprisonment</w:t>
      </w:r>
      <w:r>
        <w:tab/>
      </w:r>
      <w:r>
        <w:fldChar w:fldCharType="begin"/>
      </w:r>
      <w:r>
        <w:instrText xml:space="preserve"> PAGEREF _Toc118453381 \h </w:instrText>
      </w:r>
      <w:r>
        <w:fldChar w:fldCharType="separate"/>
      </w:r>
      <w:r>
        <w:t>89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Offender must be able to pay</w:t>
      </w:r>
      <w:r>
        <w:tab/>
      </w:r>
      <w:r>
        <w:fldChar w:fldCharType="begin"/>
      </w:r>
      <w:r>
        <w:instrText xml:space="preserve"> PAGEREF _Toc118453382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Youth community based order</w:t>
      </w:r>
    </w:p>
    <w:p>
      <w:pPr>
        <w:pStyle w:val="TOC8"/>
        <w:rPr>
          <w:rFonts w:asciiTheme="minorHAnsi" w:eastAsiaTheme="minorEastAsia" w:hAnsiTheme="minorHAnsi" w:cstheme="minorBidi"/>
          <w:szCs w:val="22"/>
        </w:rPr>
      </w:pPr>
      <w:r>
        <w:t>73</w:t>
      </w:r>
      <w:r>
        <w:rPr>
          <w:snapToGrid w:val="0"/>
        </w:rPr>
        <w:t>.</w:t>
      </w:r>
      <w:r>
        <w:rPr>
          <w:snapToGrid w:val="0"/>
        </w:rPr>
        <w:tab/>
        <w:t>Youth community based order, nature of</w:t>
      </w:r>
      <w:r>
        <w:tab/>
      </w:r>
      <w:r>
        <w:fldChar w:fldCharType="begin"/>
      </w:r>
      <w:r>
        <w:instrText xml:space="preserve"> PAGEREF _Toc118453384 \h </w:instrText>
      </w:r>
      <w:r>
        <w:fldChar w:fldCharType="separate"/>
      </w:r>
      <w:r>
        <w:t>90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Offender must be suitable and consent</w:t>
      </w:r>
      <w:r>
        <w:tab/>
      </w:r>
      <w:r>
        <w:fldChar w:fldCharType="begin"/>
      </w:r>
      <w:r>
        <w:instrText xml:space="preserve"> PAGEREF _Toc118453385 \h </w:instrText>
      </w:r>
      <w:r>
        <w:fldChar w:fldCharType="separate"/>
      </w:r>
      <w:r>
        <w:t>90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Proposed agenda required for suitable person</w:t>
      </w:r>
      <w:r>
        <w:tab/>
      </w:r>
      <w:r>
        <w:fldChar w:fldCharType="begin"/>
      </w:r>
      <w:r>
        <w:instrText xml:space="preserve"> PAGEREF _Toc118453386 \h </w:instrText>
      </w:r>
      <w:r>
        <w:fldChar w:fldCharType="separate"/>
      </w:r>
      <w:r>
        <w:t>90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Duration of order</w:t>
      </w:r>
      <w:r>
        <w:tab/>
      </w:r>
      <w:r>
        <w:fldChar w:fldCharType="begin"/>
      </w:r>
      <w:r>
        <w:instrText xml:space="preserve"> PAGEREF _Toc118453387 \h </w:instrText>
      </w:r>
      <w:r>
        <w:fldChar w:fldCharType="separate"/>
      </w:r>
      <w:r>
        <w:t>90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Supervising officer</w:t>
      </w:r>
      <w:r>
        <w:tab/>
      </w:r>
      <w:r>
        <w:fldChar w:fldCharType="begin"/>
      </w:r>
      <w:r>
        <w:instrText xml:space="preserve"> PAGEREF _Toc118453388 \h </w:instrText>
      </w:r>
      <w:r>
        <w:fldChar w:fldCharType="separate"/>
      </w:r>
      <w:r>
        <w:t>91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Conditions implied in order</w:t>
      </w:r>
      <w:r>
        <w:tab/>
      </w:r>
      <w:r>
        <w:fldChar w:fldCharType="begin"/>
      </w:r>
      <w:r>
        <w:instrText xml:space="preserve"> PAGEREF _Toc118453389 \h </w:instrText>
      </w:r>
      <w:r>
        <w:fldChar w:fldCharType="separate"/>
      </w:r>
      <w:r>
        <w:t>91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Obligations under order may be suspended</w:t>
      </w:r>
      <w:r>
        <w:tab/>
      </w:r>
      <w:r>
        <w:fldChar w:fldCharType="begin"/>
      </w:r>
      <w:r>
        <w:instrText xml:space="preserve"> PAGEREF _Toc118453390 \h </w:instrText>
      </w:r>
      <w:r>
        <w:fldChar w:fldCharType="separate"/>
      </w:r>
      <w:r>
        <w:t>91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Amendment of order, extent of power</w:t>
      </w:r>
      <w:r>
        <w:tab/>
      </w:r>
      <w:r>
        <w:fldChar w:fldCharType="begin"/>
      </w:r>
      <w:r>
        <w:instrText xml:space="preserve"> PAGEREF _Toc118453391 \h </w:instrText>
      </w:r>
      <w:r>
        <w:fldChar w:fldCharType="separate"/>
      </w:r>
      <w:r>
        <w:t>92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Amendment of order</w:t>
      </w:r>
      <w:r>
        <w:tab/>
      </w:r>
      <w:r>
        <w:fldChar w:fldCharType="begin"/>
      </w:r>
      <w:r>
        <w:instrText xml:space="preserve"> PAGEREF _Toc118453392 \h </w:instrText>
      </w:r>
      <w:r>
        <w:fldChar w:fldCharType="separate"/>
      </w:r>
      <w:r>
        <w:t>92</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Breach of order, CEO may require offender to attend court</w:t>
      </w:r>
      <w:r>
        <w:tab/>
      </w:r>
      <w:r>
        <w:fldChar w:fldCharType="begin"/>
      </w:r>
      <w:r>
        <w:instrText xml:space="preserve"> PAGEREF _Toc118453393 \h </w:instrText>
      </w:r>
      <w:r>
        <w:fldChar w:fldCharType="separate"/>
      </w:r>
      <w:r>
        <w:t>92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Breach of order, powers to deal with</w:t>
      </w:r>
      <w:r>
        <w:tab/>
      </w:r>
      <w:r>
        <w:fldChar w:fldCharType="begin"/>
      </w:r>
      <w:r>
        <w:instrText xml:space="preserve"> PAGEREF _Toc118453394 \h </w:instrText>
      </w:r>
      <w:r>
        <w:fldChar w:fldCharType="separate"/>
      </w:r>
      <w:r>
        <w:t>93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Breach of order by re</w:t>
      </w:r>
      <w:r>
        <w:rPr>
          <w:snapToGrid w:val="0"/>
        </w:rPr>
        <w:noBreakHyphen/>
        <w:t>offending, new order may be made</w:t>
      </w:r>
      <w:r>
        <w:tab/>
      </w:r>
      <w:r>
        <w:fldChar w:fldCharType="begin"/>
      </w:r>
      <w:r>
        <w:instrText xml:space="preserve"> PAGEREF _Toc118453395 \h </w:instrText>
      </w:r>
      <w:r>
        <w:fldChar w:fldCharType="separate"/>
      </w:r>
      <w:r>
        <w:t>94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Discharge or fulfillment of order, effect of</w:t>
      </w:r>
      <w:r>
        <w:tab/>
      </w:r>
      <w:r>
        <w:fldChar w:fldCharType="begin"/>
      </w:r>
      <w:r>
        <w:instrText xml:space="preserve"> PAGEREF _Toc118453396 \h </w:instrText>
      </w:r>
      <w:r>
        <w:fldChar w:fldCharType="separate"/>
      </w:r>
      <w:r>
        <w:t>94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Proof of identity in proceedings for breach of order</w:t>
      </w:r>
      <w:r>
        <w:tab/>
      </w:r>
      <w:r>
        <w:fldChar w:fldCharType="begin"/>
      </w:r>
      <w:r>
        <w:instrText xml:space="preserve"> PAGEREF _Toc118453397 \h </w:instrText>
      </w:r>
      <w:r>
        <w:fldChar w:fldCharType="separate"/>
      </w:r>
      <w:r>
        <w:t>94</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court applications</w:t>
      </w:r>
      <w:r>
        <w:tab/>
      </w:r>
      <w:r>
        <w:fldChar w:fldCharType="begin"/>
      </w:r>
      <w:r>
        <w:instrText xml:space="preserve"> PAGEREF _Toc118453398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1 — Attendance conditions</w:t>
      </w:r>
    </w:p>
    <w:p>
      <w:pPr>
        <w:pStyle w:val="TOC8"/>
        <w:rPr>
          <w:rFonts w:asciiTheme="minorHAnsi" w:eastAsiaTheme="minorEastAsia" w:hAnsiTheme="minorHAnsi" w:cstheme="minorBidi"/>
          <w:szCs w:val="22"/>
        </w:rPr>
      </w:pPr>
      <w:r>
        <w:t>88</w:t>
      </w:r>
      <w:r>
        <w:rPr>
          <w:snapToGrid w:val="0"/>
        </w:rPr>
        <w:t>.</w:t>
      </w:r>
      <w:r>
        <w:rPr>
          <w:snapToGrid w:val="0"/>
        </w:rPr>
        <w:tab/>
        <w:t>Requirement to attend courses</w:t>
      </w:r>
      <w:r>
        <w:tab/>
      </w:r>
      <w:r>
        <w:fldChar w:fldCharType="begin"/>
      </w:r>
      <w:r>
        <w:instrText xml:space="preserve"> PAGEREF _Toc118453400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Community work conditions</w:t>
      </w:r>
    </w:p>
    <w:p>
      <w:pPr>
        <w:pStyle w:val="TOC8"/>
        <w:rPr>
          <w:rFonts w:asciiTheme="minorHAnsi" w:eastAsiaTheme="minorEastAsia" w:hAnsiTheme="minorHAnsi" w:cstheme="minorBidi"/>
          <w:szCs w:val="22"/>
        </w:rPr>
      </w:pPr>
      <w:r>
        <w:t>89</w:t>
      </w:r>
      <w:r>
        <w:rPr>
          <w:snapToGrid w:val="0"/>
        </w:rPr>
        <w:t>.</w:t>
      </w:r>
      <w:r>
        <w:rPr>
          <w:snapToGrid w:val="0"/>
        </w:rPr>
        <w:tab/>
        <w:t>Requirement to perform unpaid work</w:t>
      </w:r>
      <w:r>
        <w:tab/>
      </w:r>
      <w:r>
        <w:fldChar w:fldCharType="begin"/>
      </w:r>
      <w:r>
        <w:instrText xml:space="preserve"> PAGEREF _Toc118453402 \h </w:instrText>
      </w:r>
      <w:r>
        <w:fldChar w:fldCharType="separate"/>
      </w:r>
      <w:r>
        <w:t>95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Conditions cannot be imposed on child under 12</w:t>
      </w:r>
      <w:r>
        <w:tab/>
      </w:r>
      <w:r>
        <w:fldChar w:fldCharType="begin"/>
      </w:r>
      <w:r>
        <w:instrText xml:space="preserve"> PAGEREF _Toc118453403 \h </w:instrText>
      </w:r>
      <w:r>
        <w:fldChar w:fldCharType="separate"/>
      </w:r>
      <w:r>
        <w:t>96</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Community work, minimum and maximum hours of</w:t>
      </w:r>
      <w:r>
        <w:tab/>
      </w:r>
      <w:r>
        <w:fldChar w:fldCharType="begin"/>
      </w:r>
      <w:r>
        <w:instrText xml:space="preserve"> PAGEREF _Toc118453404 \h </w:instrText>
      </w:r>
      <w:r>
        <w:fldChar w:fldCharType="separate"/>
      </w:r>
      <w:r>
        <w:t>96</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Offender to attend before Departmental officer</w:t>
      </w:r>
      <w:r>
        <w:tab/>
      </w:r>
      <w:r>
        <w:fldChar w:fldCharType="begin"/>
      </w:r>
      <w:r>
        <w:instrText xml:space="preserve"> PAGEREF _Toc118453405 \h </w:instrText>
      </w:r>
      <w:r>
        <w:fldChar w:fldCharType="separate"/>
      </w:r>
      <w:r>
        <w:t>96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Performing the work</w:t>
      </w:r>
      <w:r>
        <w:tab/>
      </w:r>
      <w:r>
        <w:fldChar w:fldCharType="begin"/>
      </w:r>
      <w:r>
        <w:instrText xml:space="preserve"> PAGEREF _Toc118453406 \h </w:instrText>
      </w:r>
      <w:r>
        <w:fldChar w:fldCharType="separate"/>
      </w:r>
      <w:r>
        <w:t>96</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 relating to community work conditions</w:t>
      </w:r>
      <w:r>
        <w:tab/>
      </w:r>
      <w:r>
        <w:fldChar w:fldCharType="begin"/>
      </w:r>
      <w:r>
        <w:instrText xml:space="preserve"> PAGEREF _Toc118453407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lastRenderedPageBreak/>
        <w:t>Subdivision 3 — Supervision conditions</w:t>
      </w:r>
    </w:p>
    <w:p>
      <w:pPr>
        <w:pStyle w:val="TOC8"/>
        <w:rPr>
          <w:rFonts w:asciiTheme="minorHAnsi" w:eastAsiaTheme="minorEastAsia" w:hAnsiTheme="minorHAnsi" w:cstheme="minorBidi"/>
          <w:szCs w:val="22"/>
        </w:rPr>
      </w:pPr>
      <w:r>
        <w:t>95</w:t>
      </w:r>
      <w:r>
        <w:rPr>
          <w:snapToGrid w:val="0"/>
        </w:rPr>
        <w:t>.</w:t>
      </w:r>
      <w:r>
        <w:rPr>
          <w:snapToGrid w:val="0"/>
        </w:rPr>
        <w:tab/>
        <w:t>Requirement to be supervised</w:t>
      </w:r>
      <w:r>
        <w:tab/>
      </w:r>
      <w:r>
        <w:fldChar w:fldCharType="begin"/>
      </w:r>
      <w:r>
        <w:instrText xml:space="preserve"> PAGEREF _Toc118453409 \h </w:instrText>
      </w:r>
      <w:r>
        <w:fldChar w:fldCharType="separate"/>
      </w:r>
      <w:r>
        <w:t>97</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supervision</w:t>
      </w:r>
      <w:r>
        <w:tab/>
      </w:r>
      <w:r>
        <w:fldChar w:fldCharType="begin"/>
      </w:r>
      <w:r>
        <w:instrText xml:space="preserve"> PAGEREF _Toc118453410 \h </w:instrText>
      </w:r>
      <w:r>
        <w:fldChar w:fldCharType="separate"/>
      </w:r>
      <w:r>
        <w:t>98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Changing duration of supervision</w:t>
      </w:r>
      <w:r>
        <w:tab/>
      </w:r>
      <w:r>
        <w:fldChar w:fldCharType="begin"/>
      </w:r>
      <w:r>
        <w:instrText xml:space="preserve"> PAGEREF _Toc118453411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Intensive youth supervision order</w:t>
      </w:r>
    </w:p>
    <w:p>
      <w:pPr>
        <w:pStyle w:val="TOC8"/>
        <w:rPr>
          <w:rFonts w:asciiTheme="minorHAnsi" w:eastAsiaTheme="minorEastAsia" w:hAnsiTheme="minorHAnsi" w:cstheme="minorBidi"/>
          <w:szCs w:val="22"/>
        </w:rPr>
      </w:pPr>
      <w:r>
        <w:t>98</w:t>
      </w:r>
      <w:r>
        <w:rPr>
          <w:snapToGrid w:val="0"/>
        </w:rPr>
        <w:t>.</w:t>
      </w:r>
      <w:r>
        <w:rPr>
          <w:snapToGrid w:val="0"/>
        </w:rPr>
        <w:tab/>
        <w:t>Intensive youth supervision order, nature of</w:t>
      </w:r>
      <w:r>
        <w:tab/>
      </w:r>
      <w:r>
        <w:fldChar w:fldCharType="begin"/>
      </w:r>
      <w:r>
        <w:instrText xml:space="preserve"> PAGEREF _Toc118453413 \h </w:instrText>
      </w:r>
      <w:r>
        <w:fldChar w:fldCharType="separate"/>
      </w:r>
      <w:r>
        <w:t>98</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Order may be made with or without custodial sentence</w:t>
      </w:r>
      <w:r>
        <w:tab/>
      </w:r>
      <w:r>
        <w:fldChar w:fldCharType="begin"/>
      </w:r>
      <w:r>
        <w:instrText xml:space="preserve"> PAGEREF _Toc118453414 \h </w:instrText>
      </w:r>
      <w:r>
        <w:fldChar w:fldCharType="separate"/>
      </w:r>
      <w:r>
        <w:t>99</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Order without custodial sentence</w:t>
      </w:r>
      <w:r>
        <w:tab/>
      </w:r>
      <w:r>
        <w:fldChar w:fldCharType="begin"/>
      </w:r>
      <w:r>
        <w:instrText xml:space="preserve"> PAGEREF _Toc118453415 \h </w:instrText>
      </w:r>
      <w:r>
        <w:fldChar w:fldCharType="separate"/>
      </w:r>
      <w:r>
        <w:t>99</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Order with custodial sentence (conditional release order)</w:t>
      </w:r>
      <w:r>
        <w:tab/>
      </w:r>
      <w:r>
        <w:fldChar w:fldCharType="begin"/>
      </w:r>
      <w:r>
        <w:instrText xml:space="preserve"> PAGEREF _Toc118453416 \h </w:instrText>
      </w:r>
      <w:r>
        <w:fldChar w:fldCharType="separate"/>
      </w:r>
      <w:r>
        <w:t>99</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Conditional release order to include agenda of conditions</w:t>
      </w:r>
      <w:r>
        <w:tab/>
      </w:r>
      <w:r>
        <w:fldChar w:fldCharType="begin"/>
      </w:r>
      <w:r>
        <w:instrText xml:space="preserve"> PAGEREF _Toc118453417 \h </w:instrText>
      </w:r>
      <w:r>
        <w:fldChar w:fldCharType="separate"/>
      </w:r>
      <w:r>
        <w:t>99</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Offender must be suitable and consent</w:t>
      </w:r>
      <w:r>
        <w:tab/>
      </w:r>
      <w:r>
        <w:fldChar w:fldCharType="begin"/>
      </w:r>
      <w:r>
        <w:instrText xml:space="preserve"> PAGEREF _Toc118453418 \h </w:instrText>
      </w:r>
      <w:r>
        <w:fldChar w:fldCharType="separate"/>
      </w:r>
      <w:r>
        <w:t>100</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Agenda proposal required for suitable person</w:t>
      </w:r>
      <w:r>
        <w:tab/>
      </w:r>
      <w:r>
        <w:fldChar w:fldCharType="begin"/>
      </w:r>
      <w:r>
        <w:instrText xml:space="preserve"> PAGEREF _Toc118453419 \h </w:instrText>
      </w:r>
      <w:r>
        <w:fldChar w:fldCharType="separate"/>
      </w:r>
      <w:r>
        <w:t>100</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Conditional release order, duration of</w:t>
      </w:r>
      <w:r>
        <w:tab/>
      </w:r>
      <w:r>
        <w:fldChar w:fldCharType="begin"/>
      </w:r>
      <w:r>
        <w:instrText xml:space="preserve"> PAGEREF _Toc118453420 \h </w:instrText>
      </w:r>
      <w:r>
        <w:fldChar w:fldCharType="separate"/>
      </w:r>
      <w:r>
        <w:t>100</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Conditional release order may relate to several sentences</w:t>
      </w:r>
      <w:r>
        <w:tab/>
      </w:r>
      <w:r>
        <w:fldChar w:fldCharType="begin"/>
      </w:r>
      <w:r>
        <w:instrText xml:space="preserve"> PAGEREF _Toc118453421 \h </w:instrText>
      </w:r>
      <w:r>
        <w:fldChar w:fldCharType="separate"/>
      </w:r>
      <w:r>
        <w:t>100</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Conditional release not to exceed 12 months</w:t>
      </w:r>
      <w:r>
        <w:tab/>
      </w:r>
      <w:r>
        <w:fldChar w:fldCharType="begin"/>
      </w:r>
      <w:r>
        <w:instrText xml:space="preserve"> PAGEREF _Toc118453422 \h </w:instrText>
      </w:r>
      <w:r>
        <w:fldChar w:fldCharType="separate"/>
      </w:r>
      <w:r>
        <w:t>101</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Supervising officer</w:t>
      </w:r>
      <w:r>
        <w:tab/>
      </w:r>
      <w:r>
        <w:fldChar w:fldCharType="begin"/>
      </w:r>
      <w:r>
        <w:instrText xml:space="preserve"> PAGEREF _Toc118453423 \h </w:instrText>
      </w:r>
      <w:r>
        <w:fldChar w:fldCharType="separate"/>
      </w:r>
      <w:r>
        <w:t>101</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Conditional release order, implied conditions of</w:t>
      </w:r>
      <w:r>
        <w:tab/>
      </w:r>
      <w:r>
        <w:fldChar w:fldCharType="begin"/>
      </w:r>
      <w:r>
        <w:instrText xml:space="preserve"> PAGEREF _Toc118453424 \h </w:instrText>
      </w:r>
      <w:r>
        <w:fldChar w:fldCharType="separate"/>
      </w:r>
      <w:r>
        <w:t>101</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Conditional release order: specified places</w:t>
      </w:r>
      <w:r>
        <w:tab/>
      </w:r>
      <w:r>
        <w:fldChar w:fldCharType="begin"/>
      </w:r>
      <w:r>
        <w:instrText xml:space="preserve"> PAGEREF _Toc118453425 \h </w:instrText>
      </w:r>
      <w:r>
        <w:fldChar w:fldCharType="separate"/>
      </w:r>
      <w:r>
        <w:t>101</w:t>
      </w:r>
      <w:r>
        <w:fldChar w:fldCharType="end"/>
      </w:r>
    </w:p>
    <w:p>
      <w:pPr>
        <w:pStyle w:val="TOC8"/>
        <w:rPr>
          <w:rFonts w:asciiTheme="minorHAnsi" w:eastAsiaTheme="minorEastAsia" w:hAnsiTheme="minorHAnsi" w:cstheme="minorBidi"/>
          <w:szCs w:val="22"/>
        </w:rPr>
      </w:pPr>
      <w:r>
        <w:t>109B</w:t>
      </w:r>
      <w:r>
        <w:rPr>
          <w:snapToGrid w:val="0"/>
        </w:rPr>
        <w:t>.</w:t>
      </w:r>
      <w:r>
        <w:rPr>
          <w:snapToGrid w:val="0"/>
        </w:rPr>
        <w:tab/>
        <w:t>Conditional release order: devices</w:t>
      </w:r>
      <w:r>
        <w:tab/>
      </w:r>
      <w:r>
        <w:fldChar w:fldCharType="begin"/>
      </w:r>
      <w:r>
        <w:instrText xml:space="preserve"> PAGEREF _Toc118453426 \h </w:instrText>
      </w:r>
      <w:r>
        <w:fldChar w:fldCharType="separate"/>
      </w:r>
      <w:r>
        <w:t>103</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under order may be suspended</w:t>
      </w:r>
      <w:r>
        <w:tab/>
      </w:r>
      <w:r>
        <w:fldChar w:fldCharType="begin"/>
      </w:r>
      <w:r>
        <w:instrText xml:space="preserve"> PAGEREF _Toc118453427 \h </w:instrText>
      </w:r>
      <w:r>
        <w:fldChar w:fldCharType="separate"/>
      </w:r>
      <w:r>
        <w:t>104</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Amendment of order, extent of power</w:t>
      </w:r>
      <w:r>
        <w:tab/>
      </w:r>
      <w:r>
        <w:fldChar w:fldCharType="begin"/>
      </w:r>
      <w:r>
        <w:instrText xml:space="preserve"> PAGEREF _Toc118453428 \h </w:instrText>
      </w:r>
      <w:r>
        <w:fldChar w:fldCharType="separate"/>
      </w:r>
      <w:r>
        <w:t>104</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Amendment or cancellation of order</w:t>
      </w:r>
      <w:r>
        <w:tab/>
      </w:r>
      <w:r>
        <w:fldChar w:fldCharType="begin"/>
      </w:r>
      <w:r>
        <w:instrText xml:space="preserve"> PAGEREF _Toc118453429 \h </w:instrText>
      </w:r>
      <w:r>
        <w:fldChar w:fldCharType="separate"/>
      </w:r>
      <w:r>
        <w:t>105</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Breach of order, CEO may require offender to attend court</w:t>
      </w:r>
      <w:r>
        <w:tab/>
      </w:r>
      <w:r>
        <w:fldChar w:fldCharType="begin"/>
      </w:r>
      <w:r>
        <w:instrText xml:space="preserve"> PAGEREF _Toc118453430 \h </w:instrText>
      </w:r>
      <w:r>
        <w:fldChar w:fldCharType="separate"/>
      </w:r>
      <w:r>
        <w:t>105</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Breach of order, powers to deal with</w:t>
      </w:r>
      <w:r>
        <w:tab/>
      </w:r>
      <w:r>
        <w:fldChar w:fldCharType="begin"/>
      </w:r>
      <w:r>
        <w:instrText xml:space="preserve"> PAGEREF _Toc118453431 \h </w:instrText>
      </w:r>
      <w:r>
        <w:fldChar w:fldCharType="separate"/>
      </w:r>
      <w:r>
        <w:t>105</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Conditional release order, effect of expiry of</w:t>
      </w:r>
      <w:r>
        <w:tab/>
      </w:r>
      <w:r>
        <w:fldChar w:fldCharType="begin"/>
      </w:r>
      <w:r>
        <w:instrText xml:space="preserve"> PAGEREF _Toc118453432 \h </w:instrText>
      </w:r>
      <w:r>
        <w:fldChar w:fldCharType="separate"/>
      </w:r>
      <w:r>
        <w:t>107</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Cancellation of conditional release order, effect of</w:t>
      </w:r>
      <w:r>
        <w:tab/>
      </w:r>
      <w:r>
        <w:fldChar w:fldCharType="begin"/>
      </w:r>
      <w:r>
        <w:instrText xml:space="preserve"> PAGEREF _Toc118453433 \h </w:instrText>
      </w:r>
      <w:r>
        <w:fldChar w:fldCharType="separate"/>
      </w:r>
      <w:r>
        <w:t>107</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Notice of court applications</w:t>
      </w:r>
      <w:r>
        <w:tab/>
      </w:r>
      <w:r>
        <w:fldChar w:fldCharType="begin"/>
      </w:r>
      <w:r>
        <w:instrText xml:space="preserve"> PAGEREF _Toc118453434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Custodial sentence</w:t>
      </w:r>
    </w:p>
    <w:p>
      <w:pPr>
        <w:pStyle w:val="TOC8"/>
        <w:rPr>
          <w:rFonts w:asciiTheme="minorHAnsi" w:eastAsiaTheme="minorEastAsia" w:hAnsiTheme="minorHAnsi" w:cstheme="minorBidi"/>
          <w:szCs w:val="22"/>
        </w:rPr>
      </w:pPr>
      <w:r>
        <w:t>118</w:t>
      </w:r>
      <w:r>
        <w:rPr>
          <w:snapToGrid w:val="0"/>
        </w:rPr>
        <w:t>.</w:t>
      </w:r>
      <w:r>
        <w:rPr>
          <w:snapToGrid w:val="0"/>
        </w:rPr>
        <w:tab/>
        <w:t>Offences punishable by imprisonment, options</w:t>
      </w:r>
      <w:r>
        <w:tab/>
      </w:r>
      <w:r>
        <w:fldChar w:fldCharType="begin"/>
      </w:r>
      <w:r>
        <w:instrText xml:space="preserve"> PAGEREF _Toc118453436 \h </w:instrText>
      </w:r>
      <w:r>
        <w:fldChar w:fldCharType="separate"/>
      </w:r>
      <w:r>
        <w:t>108</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Where sentence of imprisonment to be served</w:t>
      </w:r>
      <w:r>
        <w:tab/>
      </w:r>
      <w:r>
        <w:fldChar w:fldCharType="begin"/>
      </w:r>
      <w:r>
        <w:instrText xml:space="preserve"> PAGEREF _Toc118453437 \h </w:instrText>
      </w:r>
      <w:r>
        <w:fldChar w:fldCharType="separate"/>
      </w:r>
      <w:r>
        <w:t>109</w:t>
      </w:r>
      <w:r>
        <w:fldChar w:fldCharType="end"/>
      </w:r>
    </w:p>
    <w:p>
      <w:pPr>
        <w:pStyle w:val="TOC8"/>
        <w:rPr>
          <w:rFonts w:asciiTheme="minorHAnsi" w:eastAsiaTheme="minorEastAsia" w:hAnsiTheme="minorHAnsi" w:cstheme="minorBidi"/>
          <w:szCs w:val="22"/>
        </w:rPr>
      </w:pPr>
      <w:r>
        <w:t>119.</w:t>
      </w:r>
      <w:r>
        <w:tab/>
        <w:t>Taking time on remand into account</w:t>
      </w:r>
      <w:r>
        <w:tab/>
      </w:r>
      <w:r>
        <w:fldChar w:fldCharType="begin"/>
      </w:r>
      <w:r>
        <w:instrText xml:space="preserve"> PAGEREF _Toc118453438 \h </w:instrText>
      </w:r>
      <w:r>
        <w:fldChar w:fldCharType="separate"/>
      </w:r>
      <w:r>
        <w:t>110</w:t>
      </w:r>
      <w:r>
        <w:fldChar w:fldCharType="end"/>
      </w:r>
    </w:p>
    <w:p>
      <w:pPr>
        <w:pStyle w:val="TOC8"/>
        <w:rPr>
          <w:rFonts w:asciiTheme="minorHAnsi" w:eastAsiaTheme="minorEastAsia" w:hAnsiTheme="minorHAnsi" w:cstheme="minorBidi"/>
          <w:szCs w:val="22"/>
        </w:rPr>
      </w:pPr>
      <w:r>
        <w:t>119A.</w:t>
      </w:r>
      <w:r>
        <w:tab/>
        <w:t>Effect of not being in custody</w:t>
      </w:r>
      <w:r>
        <w:tab/>
      </w:r>
      <w:r>
        <w:fldChar w:fldCharType="begin"/>
      </w:r>
      <w:r>
        <w:instrText xml:space="preserve"> PAGEREF _Toc118453439 \h </w:instrText>
      </w:r>
      <w:r>
        <w:fldChar w:fldCharType="separate"/>
      </w:r>
      <w:r>
        <w:t>110</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Custodial sentence is sentence of last resort</w:t>
      </w:r>
      <w:r>
        <w:tab/>
      </w:r>
      <w:r>
        <w:fldChar w:fldCharType="begin"/>
      </w:r>
      <w:r>
        <w:instrText xml:space="preserve"> PAGEREF _Toc118453440 \h </w:instrText>
      </w:r>
      <w:r>
        <w:fldChar w:fldCharType="separate"/>
      </w:r>
      <w:r>
        <w:t>111</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Minimum period before release from detention</w:t>
      </w:r>
      <w:r>
        <w:tab/>
      </w:r>
      <w:r>
        <w:fldChar w:fldCharType="begin"/>
      </w:r>
      <w:r>
        <w:instrText xml:space="preserve"> PAGEREF _Toc118453441 \h </w:instrText>
      </w:r>
      <w:r>
        <w:fldChar w:fldCharType="separate"/>
      </w:r>
      <w:r>
        <w:t>111</w:t>
      </w:r>
      <w:r>
        <w:fldChar w:fldCharType="end"/>
      </w:r>
    </w:p>
    <w:p>
      <w:pPr>
        <w:pStyle w:val="TOC8"/>
        <w:rPr>
          <w:rFonts w:asciiTheme="minorHAnsi" w:eastAsiaTheme="minorEastAsia" w:hAnsiTheme="minorHAnsi" w:cstheme="minorBidi"/>
          <w:szCs w:val="22"/>
        </w:rPr>
      </w:pPr>
      <w:r>
        <w:lastRenderedPageBreak/>
        <w:t>122</w:t>
      </w:r>
      <w:r>
        <w:rPr>
          <w:snapToGrid w:val="0"/>
        </w:rPr>
        <w:t>.</w:t>
      </w:r>
      <w:r>
        <w:rPr>
          <w:snapToGrid w:val="0"/>
        </w:rPr>
        <w:tab/>
        <w:t>Aggregation of multiple sentences of detention</w:t>
      </w:r>
      <w:r>
        <w:tab/>
      </w:r>
      <w:r>
        <w:fldChar w:fldCharType="begin"/>
      </w:r>
      <w:r>
        <w:instrText xml:space="preserve"> PAGEREF _Toc118453442 \h </w:instrText>
      </w:r>
      <w:r>
        <w:fldChar w:fldCharType="separate"/>
      </w:r>
      <w:r>
        <w:t>112</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Cumulative sentences of detention, service of</w:t>
      </w:r>
      <w:r>
        <w:tab/>
      </w:r>
      <w:r>
        <w:fldChar w:fldCharType="begin"/>
      </w:r>
      <w:r>
        <w:instrText xml:space="preserve"> PAGEREF _Toc118453443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Dealing with young person who repeatedly commits serious offences</w:t>
      </w:r>
    </w:p>
    <w:p>
      <w:pPr>
        <w:pStyle w:val="TOC8"/>
        <w:rPr>
          <w:rFonts w:asciiTheme="minorHAnsi" w:eastAsiaTheme="minorEastAsia" w:hAnsiTheme="minorHAnsi" w:cstheme="minorBidi"/>
          <w:szCs w:val="22"/>
        </w:rPr>
      </w:pPr>
      <w:r>
        <w:t>124</w:t>
      </w:r>
      <w:r>
        <w:rPr>
          <w:snapToGrid w:val="0"/>
        </w:rPr>
        <w:t>.</w:t>
      </w:r>
      <w:r>
        <w:rPr>
          <w:snapToGrid w:val="0"/>
        </w:rPr>
        <w:tab/>
        <w:t>When this Division applies</w:t>
      </w:r>
      <w:r>
        <w:tab/>
      </w:r>
      <w:r>
        <w:fldChar w:fldCharType="begin"/>
      </w:r>
      <w:r>
        <w:instrText xml:space="preserve"> PAGEREF _Toc118453445 \h </w:instrText>
      </w:r>
      <w:r>
        <w:fldChar w:fldCharType="separate"/>
      </w:r>
      <w:r>
        <w:t>113</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Protection of the community paramount</w:t>
      </w:r>
      <w:r>
        <w:tab/>
      </w:r>
      <w:r>
        <w:fldChar w:fldCharType="begin"/>
      </w:r>
      <w:r>
        <w:instrText xml:space="preserve"> PAGEREF _Toc118453446 \h </w:instrText>
      </w:r>
      <w:r>
        <w:fldChar w:fldCharType="separate"/>
      </w:r>
      <w:r>
        <w:t>114</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Special order, making of</w:t>
      </w:r>
      <w:r>
        <w:tab/>
      </w:r>
      <w:r>
        <w:fldChar w:fldCharType="begin"/>
      </w:r>
      <w:r>
        <w:instrText xml:space="preserve"> PAGEREF _Toc118453447 \h </w:instrText>
      </w:r>
      <w:r>
        <w:fldChar w:fldCharType="separate"/>
      </w:r>
      <w:r>
        <w:t>114</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Special order, time of operation</w:t>
      </w:r>
      <w:r>
        <w:tab/>
      </w:r>
      <w:r>
        <w:fldChar w:fldCharType="begin"/>
      </w:r>
      <w:r>
        <w:instrText xml:space="preserve"> PAGEREF _Toc118453448 \h </w:instrText>
      </w:r>
      <w:r>
        <w:fldChar w:fldCharType="separate"/>
      </w:r>
      <w:r>
        <w:t>115</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Special order, effect of</w:t>
      </w:r>
      <w:r>
        <w:tab/>
      </w:r>
      <w:r>
        <w:fldChar w:fldCharType="begin"/>
      </w:r>
      <w:r>
        <w:instrText xml:space="preserve"> PAGEREF _Toc118453449 \h </w:instrText>
      </w:r>
      <w:r>
        <w:fldChar w:fldCharType="separate"/>
      </w:r>
      <w:r>
        <w:t>115</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Special order, application to discharge</w:t>
      </w:r>
      <w:r>
        <w:tab/>
      </w:r>
      <w:r>
        <w:fldChar w:fldCharType="begin"/>
      </w:r>
      <w:r>
        <w:instrText xml:space="preserve"> PAGEREF _Toc118453450 \h </w:instrText>
      </w:r>
      <w:r>
        <w:fldChar w:fldCharType="separate"/>
      </w:r>
      <w:r>
        <w:t>116</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Special order, effect of expiry of</w:t>
      </w:r>
      <w:r>
        <w:tab/>
      </w:r>
      <w:r>
        <w:fldChar w:fldCharType="begin"/>
      </w:r>
      <w:r>
        <w:instrText xml:space="preserve"> PAGEREF _Toc118453451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Part 8 — Supervised release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Definitions</w:t>
      </w:r>
    </w:p>
    <w:p>
      <w:pPr>
        <w:pStyle w:val="TOC8"/>
        <w:rPr>
          <w:rFonts w:asciiTheme="minorHAnsi" w:eastAsiaTheme="minorEastAsia" w:hAnsiTheme="minorHAnsi" w:cstheme="minorBidi"/>
          <w:szCs w:val="22"/>
        </w:rPr>
      </w:pPr>
      <w:r>
        <w:t>131</w:t>
      </w:r>
      <w:r>
        <w:rPr>
          <w:snapToGrid w:val="0"/>
        </w:rPr>
        <w:t>.</w:t>
      </w:r>
      <w:r>
        <w:rPr>
          <w:snapToGrid w:val="0"/>
        </w:rPr>
        <w:tab/>
        <w:t>Terms used</w:t>
      </w:r>
      <w:r>
        <w:tab/>
      </w:r>
      <w:r>
        <w:fldChar w:fldCharType="begin"/>
      </w:r>
      <w:r>
        <w:instrText xml:space="preserve"> PAGEREF _Toc118453454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order</w:t>
      </w:r>
    </w:p>
    <w:p>
      <w:pPr>
        <w:pStyle w:val="TOC8"/>
        <w:rPr>
          <w:rFonts w:asciiTheme="minorHAnsi" w:eastAsiaTheme="minorEastAsia" w:hAnsiTheme="minorHAnsi" w:cstheme="minorBidi"/>
          <w:szCs w:val="22"/>
        </w:rPr>
      </w:pPr>
      <w:r>
        <w:t>132</w:t>
      </w:r>
      <w:r>
        <w:rPr>
          <w:snapToGrid w:val="0"/>
        </w:rPr>
        <w:t>.</w:t>
      </w:r>
      <w:r>
        <w:rPr>
          <w:snapToGrid w:val="0"/>
        </w:rPr>
        <w:tab/>
        <w:t>Supervised release order, Board may make</w:t>
      </w:r>
      <w:r>
        <w:tab/>
      </w:r>
      <w:r>
        <w:fldChar w:fldCharType="begin"/>
      </w:r>
      <w:r>
        <w:instrText xml:space="preserve"> PAGEREF _Toc118453456 \h </w:instrText>
      </w:r>
      <w:r>
        <w:fldChar w:fldCharType="separate"/>
      </w:r>
      <w:r>
        <w:t>118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Supervised release order, when can be made</w:t>
      </w:r>
      <w:r>
        <w:tab/>
      </w:r>
      <w:r>
        <w:fldChar w:fldCharType="begin"/>
      </w:r>
      <w:r>
        <w:instrText xml:space="preserve"> PAGEREF _Toc118453457 \h </w:instrText>
      </w:r>
      <w:r>
        <w:fldChar w:fldCharType="separate"/>
      </w:r>
      <w:r>
        <w:t>119</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Duration of order</w:t>
      </w:r>
      <w:r>
        <w:tab/>
      </w:r>
      <w:r>
        <w:fldChar w:fldCharType="begin"/>
      </w:r>
      <w:r>
        <w:instrText xml:space="preserve"> PAGEREF _Toc118453458 \h </w:instrText>
      </w:r>
      <w:r>
        <w:fldChar w:fldCharType="separate"/>
      </w:r>
      <w:r>
        <w:t>120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Order may relate to more than one sentence</w:t>
      </w:r>
      <w:r>
        <w:tab/>
      </w:r>
      <w:r>
        <w:fldChar w:fldCharType="begin"/>
      </w:r>
      <w:r>
        <w:instrText xml:space="preserve"> PAGEREF _Toc118453459 \h </w:instrText>
      </w:r>
      <w:r>
        <w:fldChar w:fldCharType="separate"/>
      </w:r>
      <w:r>
        <w:t>120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Conditions implied in order</w:t>
      </w:r>
      <w:r>
        <w:tab/>
      </w:r>
      <w:r>
        <w:fldChar w:fldCharType="begin"/>
      </w:r>
      <w:r>
        <w:instrText xml:space="preserve"> PAGEREF _Toc118453460 \h </w:instrText>
      </w:r>
      <w:r>
        <w:fldChar w:fldCharType="separate"/>
      </w:r>
      <w:r>
        <w:t>120</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Express conditions: specified places</w:t>
      </w:r>
      <w:r>
        <w:tab/>
      </w:r>
      <w:r>
        <w:fldChar w:fldCharType="begin"/>
      </w:r>
      <w:r>
        <w:instrText xml:space="preserve"> PAGEREF _Toc118453461 \h </w:instrText>
      </w:r>
      <w:r>
        <w:fldChar w:fldCharType="separate"/>
      </w:r>
      <w:r>
        <w:t>121</w:t>
      </w:r>
      <w:r>
        <w:fldChar w:fldCharType="end"/>
      </w:r>
    </w:p>
    <w:p>
      <w:pPr>
        <w:pStyle w:val="TOC8"/>
        <w:rPr>
          <w:rFonts w:asciiTheme="minorHAnsi" w:eastAsiaTheme="minorEastAsia" w:hAnsiTheme="minorHAnsi" w:cstheme="minorBidi"/>
          <w:szCs w:val="22"/>
        </w:rPr>
      </w:pPr>
      <w:r>
        <w:t>136B.</w:t>
      </w:r>
      <w:r>
        <w:tab/>
        <w:t>Express conditions: devices</w:t>
      </w:r>
      <w:r>
        <w:tab/>
      </w:r>
      <w:r>
        <w:fldChar w:fldCharType="begin"/>
      </w:r>
      <w:r>
        <w:instrText xml:space="preserve"> PAGEREF _Toc118453462 \h </w:instrText>
      </w:r>
      <w:r>
        <w:fldChar w:fldCharType="separate"/>
      </w:r>
      <w:r>
        <w:t>122</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Effect of proposed order to be explained to offender</w:t>
      </w:r>
      <w:r>
        <w:tab/>
      </w:r>
      <w:r>
        <w:fldChar w:fldCharType="begin"/>
      </w:r>
      <w:r>
        <w:instrText xml:space="preserve"> PAGEREF _Toc118453463 \h </w:instrText>
      </w:r>
      <w:r>
        <w:fldChar w:fldCharType="separate"/>
      </w:r>
      <w:r>
        <w:t>123</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Order to be provided in writing</w:t>
      </w:r>
      <w:r>
        <w:tab/>
      </w:r>
      <w:r>
        <w:fldChar w:fldCharType="begin"/>
      </w:r>
      <w:r>
        <w:instrText xml:space="preserve"> PAGEREF _Toc118453464 \h </w:instrText>
      </w:r>
      <w:r>
        <w:fldChar w:fldCharType="separate"/>
      </w:r>
      <w:r>
        <w:t>124</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Supervising officer</w:t>
      </w:r>
      <w:r>
        <w:tab/>
      </w:r>
      <w:r>
        <w:fldChar w:fldCharType="begin"/>
      </w:r>
      <w:r>
        <w:instrText xml:space="preserve"> PAGEREF _Toc118453465 \h </w:instrText>
      </w:r>
      <w:r>
        <w:fldChar w:fldCharType="separate"/>
      </w:r>
      <w:r>
        <w:t>124</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Obligations under order may be suspended</w:t>
      </w:r>
      <w:r>
        <w:tab/>
      </w:r>
      <w:r>
        <w:fldChar w:fldCharType="begin"/>
      </w:r>
      <w:r>
        <w:instrText xml:space="preserve"> PAGEREF _Toc118453466 \h </w:instrText>
      </w:r>
      <w:r>
        <w:fldChar w:fldCharType="separate"/>
      </w:r>
      <w:r>
        <w:t>124</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Amendment of order, extent of power</w:t>
      </w:r>
      <w:r>
        <w:tab/>
      </w:r>
      <w:r>
        <w:fldChar w:fldCharType="begin"/>
      </w:r>
      <w:r>
        <w:instrText xml:space="preserve"> PAGEREF _Toc118453467 \h </w:instrText>
      </w:r>
      <w:r>
        <w:fldChar w:fldCharType="separate"/>
      </w:r>
      <w:r>
        <w:t>125</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Amendment or cancellation of order</w:t>
      </w:r>
      <w:r>
        <w:tab/>
      </w:r>
      <w:r>
        <w:fldChar w:fldCharType="begin"/>
      </w:r>
      <w:r>
        <w:instrText xml:space="preserve"> PAGEREF _Toc118453468 \h </w:instrText>
      </w:r>
      <w:r>
        <w:fldChar w:fldCharType="separate"/>
      </w:r>
      <w:r>
        <w:t>125</w:t>
      </w:r>
      <w:r>
        <w:fldChar w:fldCharType="end"/>
      </w:r>
    </w:p>
    <w:p>
      <w:pPr>
        <w:pStyle w:val="TOC8"/>
        <w:rPr>
          <w:rFonts w:asciiTheme="minorHAnsi" w:eastAsiaTheme="minorEastAsia" w:hAnsiTheme="minorHAnsi" w:cstheme="minorBidi"/>
          <w:szCs w:val="22"/>
        </w:rPr>
      </w:pPr>
      <w:r>
        <w:t>142A.</w:t>
      </w:r>
      <w:r>
        <w:tab/>
        <w:t>Cancellation automatic in case of offender with links to terrorism</w:t>
      </w:r>
      <w:r>
        <w:tab/>
      </w:r>
      <w:r>
        <w:fldChar w:fldCharType="begin"/>
      </w:r>
      <w:r>
        <w:instrText xml:space="preserve"> PAGEREF _Toc118453469 \h </w:instrText>
      </w:r>
      <w:r>
        <w:fldChar w:fldCharType="separate"/>
      </w:r>
      <w:r>
        <w:t>126</w:t>
      </w:r>
      <w:r>
        <w:fldChar w:fldCharType="end"/>
      </w:r>
    </w:p>
    <w:p>
      <w:pPr>
        <w:pStyle w:val="TOC8"/>
        <w:rPr>
          <w:rFonts w:asciiTheme="minorHAnsi" w:eastAsiaTheme="minorEastAsia" w:hAnsiTheme="minorHAnsi" w:cstheme="minorBidi"/>
          <w:szCs w:val="22"/>
        </w:rPr>
      </w:pPr>
      <w:r>
        <w:t>142B.</w:t>
      </w:r>
      <w:r>
        <w:tab/>
        <w:t>Supervised release order, when cancellation under s. 142A takes effect</w:t>
      </w:r>
      <w:r>
        <w:tab/>
      </w:r>
      <w:r>
        <w:fldChar w:fldCharType="begin"/>
      </w:r>
      <w:r>
        <w:instrText xml:space="preserve"> PAGEREF _Toc118453470 \h </w:instrText>
      </w:r>
      <w:r>
        <w:fldChar w:fldCharType="separate"/>
      </w:r>
      <w:r>
        <w:t>127</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Cancellation of certain obligations after 6 months’ release</w:t>
      </w:r>
      <w:r>
        <w:tab/>
      </w:r>
      <w:r>
        <w:fldChar w:fldCharType="begin"/>
      </w:r>
      <w:r>
        <w:instrText xml:space="preserve"> PAGEREF _Toc118453471 \h </w:instrText>
      </w:r>
      <w:r>
        <w:fldChar w:fldCharType="separate"/>
      </w:r>
      <w:r>
        <w:t>127</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Breach of order other than by re</w:t>
      </w:r>
      <w:r>
        <w:rPr>
          <w:snapToGrid w:val="0"/>
        </w:rPr>
        <w:noBreakHyphen/>
        <w:t>offending, report to CEO</w:t>
      </w:r>
      <w:r>
        <w:tab/>
      </w:r>
      <w:r>
        <w:fldChar w:fldCharType="begin"/>
      </w:r>
      <w:r>
        <w:instrText xml:space="preserve"> PAGEREF _Toc118453472 \h </w:instrText>
      </w:r>
      <w:r>
        <w:fldChar w:fldCharType="separate"/>
      </w:r>
      <w:r>
        <w:t>128</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Courts to notify Board and CEO of re</w:t>
      </w:r>
      <w:r>
        <w:rPr>
          <w:snapToGrid w:val="0"/>
        </w:rPr>
        <w:noBreakHyphen/>
        <w:t>offending</w:t>
      </w:r>
      <w:r>
        <w:tab/>
      </w:r>
      <w:r>
        <w:fldChar w:fldCharType="begin"/>
      </w:r>
      <w:r>
        <w:instrText xml:space="preserve"> PAGEREF _Toc118453473 \h </w:instrText>
      </w:r>
      <w:r>
        <w:fldChar w:fldCharType="separate"/>
      </w:r>
      <w:r>
        <w:t>128</w:t>
      </w:r>
      <w:r>
        <w:fldChar w:fldCharType="end"/>
      </w:r>
    </w:p>
    <w:p>
      <w:pPr>
        <w:pStyle w:val="TOC8"/>
        <w:rPr>
          <w:rFonts w:asciiTheme="minorHAnsi" w:eastAsiaTheme="minorEastAsia" w:hAnsiTheme="minorHAnsi" w:cstheme="minorBidi"/>
          <w:szCs w:val="22"/>
        </w:rPr>
      </w:pPr>
      <w:r>
        <w:lastRenderedPageBreak/>
        <w:t>146</w:t>
      </w:r>
      <w:r>
        <w:rPr>
          <w:snapToGrid w:val="0"/>
        </w:rPr>
        <w:t>.</w:t>
      </w:r>
      <w:r>
        <w:rPr>
          <w:snapToGrid w:val="0"/>
        </w:rPr>
        <w:tab/>
        <w:t>Report to be provided when referring matter to Board</w:t>
      </w:r>
      <w:r>
        <w:tab/>
      </w:r>
      <w:r>
        <w:fldChar w:fldCharType="begin"/>
      </w:r>
      <w:r>
        <w:instrText xml:space="preserve"> PAGEREF _Toc118453474 \h </w:instrText>
      </w:r>
      <w:r>
        <w:fldChar w:fldCharType="separate"/>
      </w:r>
      <w:r>
        <w:t>129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Breach of order, how Board may deal with</w:t>
      </w:r>
      <w:r>
        <w:tab/>
      </w:r>
      <w:r>
        <w:fldChar w:fldCharType="begin"/>
      </w:r>
      <w:r>
        <w:instrText xml:space="preserve"> PAGEREF _Toc118453475 \h </w:instrText>
      </w:r>
      <w:r>
        <w:fldChar w:fldCharType="separate"/>
      </w:r>
      <w:r>
        <w:t>129</w:t>
      </w:r>
      <w:r>
        <w:fldChar w:fldCharType="end"/>
      </w:r>
    </w:p>
    <w:p>
      <w:pPr>
        <w:pStyle w:val="TOC8"/>
        <w:rPr>
          <w:rFonts w:asciiTheme="minorHAnsi" w:eastAsiaTheme="minorEastAsia" w:hAnsiTheme="minorHAnsi" w:cstheme="minorBidi"/>
          <w:szCs w:val="22"/>
        </w:rPr>
      </w:pPr>
      <w:r>
        <w:t>147A.</w:t>
      </w:r>
      <w:r>
        <w:tab/>
      </w:r>
      <w:r>
        <w:rPr>
          <w:snapToGrid w:val="0"/>
        </w:rPr>
        <w:t>Offending while on supervised release order: automatic cancellation</w:t>
      </w:r>
      <w:r>
        <w:tab/>
      </w:r>
      <w:r>
        <w:fldChar w:fldCharType="begin"/>
      </w:r>
      <w:r>
        <w:instrText xml:space="preserve"> PAGEREF _Toc118453476 \h </w:instrText>
      </w:r>
      <w:r>
        <w:fldChar w:fldCharType="separate"/>
      </w:r>
      <w:r>
        <w:t>130</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Compliance with order, effect of</w:t>
      </w:r>
      <w:r>
        <w:tab/>
      </w:r>
      <w:r>
        <w:fldChar w:fldCharType="begin"/>
      </w:r>
      <w:r>
        <w:instrText xml:space="preserve"> PAGEREF _Toc118453477 \h </w:instrText>
      </w:r>
      <w:r>
        <w:fldChar w:fldCharType="separate"/>
      </w:r>
      <w:r>
        <w:t>130</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Suspension or cancellation of order, effect of</w:t>
      </w:r>
      <w:r>
        <w:tab/>
      </w:r>
      <w:r>
        <w:fldChar w:fldCharType="begin"/>
      </w:r>
      <w:r>
        <w:instrText xml:space="preserve"> PAGEREF _Toc118453478 \h </w:instrText>
      </w:r>
      <w:r>
        <w:fldChar w:fldCharType="separate"/>
      </w:r>
      <w:r>
        <w:t>130</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Cancellation of order after offender reaches 18</w:t>
      </w:r>
      <w:r>
        <w:tab/>
      </w:r>
      <w:r>
        <w:fldChar w:fldCharType="begin"/>
      </w:r>
      <w:r>
        <w:instrText xml:space="preserve"> PAGEREF _Toc118453479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2A — Offenders with links to terrorism or subject to Commissioner of Police reports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150A.</w:t>
      </w:r>
      <w:r>
        <w:tab/>
        <w:t>Release considerations</w:t>
      </w:r>
      <w:r>
        <w:tab/>
      </w:r>
      <w:r>
        <w:fldChar w:fldCharType="begin"/>
      </w:r>
      <w:r>
        <w:instrText xml:space="preserve"> PAGEREF _Toc118453482 \h </w:instrText>
      </w:r>
      <w:r>
        <w:fldChar w:fldCharType="separate"/>
      </w:r>
      <w:r>
        <w:t>132</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Supervised release orders in cases of offenders with links to terrorism</w:t>
      </w:r>
    </w:p>
    <w:p>
      <w:pPr>
        <w:pStyle w:val="TOC8"/>
        <w:rPr>
          <w:rFonts w:asciiTheme="minorHAnsi" w:eastAsiaTheme="minorEastAsia" w:hAnsiTheme="minorHAnsi" w:cstheme="minorBidi"/>
          <w:szCs w:val="22"/>
        </w:rPr>
      </w:pPr>
      <w:r>
        <w:t>150B.</w:t>
      </w:r>
      <w:r>
        <w:tab/>
        <w:t>References to Board</w:t>
      </w:r>
      <w:r>
        <w:tab/>
      </w:r>
      <w:r>
        <w:fldChar w:fldCharType="begin"/>
      </w:r>
      <w:r>
        <w:instrText xml:space="preserve"> PAGEREF _Toc118453484 \h </w:instrText>
      </w:r>
      <w:r>
        <w:fldChar w:fldCharType="separate"/>
      </w:r>
      <w:r>
        <w:t>133</w:t>
      </w:r>
      <w:r>
        <w:fldChar w:fldCharType="end"/>
      </w:r>
    </w:p>
    <w:p>
      <w:pPr>
        <w:pStyle w:val="TOC8"/>
        <w:rPr>
          <w:rFonts w:asciiTheme="minorHAnsi" w:eastAsiaTheme="minorEastAsia" w:hAnsiTheme="minorHAnsi" w:cstheme="minorBidi"/>
          <w:szCs w:val="22"/>
        </w:rPr>
      </w:pPr>
      <w:r>
        <w:t>150C.</w:t>
      </w:r>
      <w:r>
        <w:tab/>
        <w:t>Making supervised release orders</w:t>
      </w:r>
      <w:r>
        <w:tab/>
      </w:r>
      <w:r>
        <w:fldChar w:fldCharType="begin"/>
      </w:r>
      <w:r>
        <w:instrText xml:space="preserve"> PAGEREF _Toc118453485 \h </w:instrText>
      </w:r>
      <w:r>
        <w:fldChar w:fldCharType="separate"/>
      </w:r>
      <w:r>
        <w:t>133</w:t>
      </w:r>
      <w:r>
        <w:fldChar w:fldCharType="end"/>
      </w:r>
    </w:p>
    <w:p>
      <w:pPr>
        <w:pStyle w:val="TOC8"/>
        <w:rPr>
          <w:rFonts w:asciiTheme="minorHAnsi" w:eastAsiaTheme="minorEastAsia" w:hAnsiTheme="minorHAnsi" w:cstheme="minorBidi"/>
          <w:szCs w:val="22"/>
        </w:rPr>
      </w:pPr>
      <w:r>
        <w:t>150D.</w:t>
      </w:r>
      <w:r>
        <w:tab/>
        <w:t>Commissioner of Police reports</w:t>
      </w:r>
      <w:r>
        <w:tab/>
      </w:r>
      <w:r>
        <w:fldChar w:fldCharType="begin"/>
      </w:r>
      <w:r>
        <w:instrText xml:space="preserve"> PAGEREF _Toc118453486 \h </w:instrText>
      </w:r>
      <w:r>
        <w:fldChar w:fldCharType="separate"/>
      </w:r>
      <w:r>
        <w:t>134</w:t>
      </w:r>
      <w:r>
        <w:fldChar w:fldCharType="end"/>
      </w:r>
    </w:p>
    <w:p>
      <w:pPr>
        <w:pStyle w:val="TOC8"/>
        <w:rPr>
          <w:rFonts w:asciiTheme="minorHAnsi" w:eastAsiaTheme="minorEastAsia" w:hAnsiTheme="minorHAnsi" w:cstheme="minorBidi"/>
          <w:szCs w:val="22"/>
        </w:rPr>
      </w:pPr>
      <w:r>
        <w:t>150E.</w:t>
      </w:r>
      <w:r>
        <w:tab/>
        <w:t>Withdrawing Commissioner of Police reports</w:t>
      </w:r>
      <w:r>
        <w:tab/>
      </w:r>
      <w:r>
        <w:fldChar w:fldCharType="begin"/>
      </w:r>
      <w:r>
        <w:instrText xml:space="preserve"> PAGEREF _Toc118453487 \h </w:instrText>
      </w:r>
      <w:r>
        <w:fldChar w:fldCharType="separate"/>
      </w:r>
      <w:r>
        <w:t>135</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Supervised release orders for other offenders subject to Commissioner of Police reports</w:t>
      </w:r>
    </w:p>
    <w:p>
      <w:pPr>
        <w:pStyle w:val="TOC8"/>
        <w:rPr>
          <w:rFonts w:asciiTheme="minorHAnsi" w:eastAsiaTheme="minorEastAsia" w:hAnsiTheme="minorHAnsi" w:cstheme="minorBidi"/>
          <w:szCs w:val="22"/>
        </w:rPr>
      </w:pPr>
      <w:r>
        <w:t>150F.</w:t>
      </w:r>
      <w:r>
        <w:tab/>
        <w:t>Releasing offender subject to Commissioner of Police report under supervised release order</w:t>
      </w:r>
      <w:r>
        <w:tab/>
      </w:r>
      <w:r>
        <w:fldChar w:fldCharType="begin"/>
      </w:r>
      <w:r>
        <w:instrText xml:space="preserve"> PAGEREF _Toc118453489 \h </w:instrText>
      </w:r>
      <w:r>
        <w:fldChar w:fldCharType="separate"/>
      </w:r>
      <w:r>
        <w:t>136</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Review</w:t>
      </w:r>
    </w:p>
    <w:p>
      <w:pPr>
        <w:pStyle w:val="TOC8"/>
        <w:rPr>
          <w:rFonts w:asciiTheme="minorHAnsi" w:eastAsiaTheme="minorEastAsia" w:hAnsiTheme="minorHAnsi" w:cstheme="minorBidi"/>
          <w:szCs w:val="22"/>
        </w:rPr>
      </w:pPr>
      <w:r>
        <w:t>150G.</w:t>
      </w:r>
      <w:r>
        <w:tab/>
        <w:t>Review of Division</w:t>
      </w:r>
      <w:r>
        <w:tab/>
      </w:r>
      <w:r>
        <w:fldChar w:fldCharType="begin"/>
      </w:r>
      <w:r>
        <w:instrText xml:space="preserve"> PAGEREF _Toc118453491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Supervised Release Review Board</w:t>
      </w:r>
    </w:p>
    <w:p>
      <w:pPr>
        <w:pStyle w:val="TOC8"/>
        <w:rPr>
          <w:rFonts w:asciiTheme="minorHAnsi" w:eastAsiaTheme="minorEastAsia" w:hAnsiTheme="minorHAnsi" w:cstheme="minorBidi"/>
          <w:szCs w:val="22"/>
        </w:rPr>
      </w:pPr>
      <w:r>
        <w:t>151</w:t>
      </w:r>
      <w:r>
        <w:rPr>
          <w:snapToGrid w:val="0"/>
        </w:rPr>
        <w:t>.</w:t>
      </w:r>
      <w:r>
        <w:rPr>
          <w:snapToGrid w:val="0"/>
        </w:rPr>
        <w:tab/>
        <w:t>Board established</w:t>
      </w:r>
      <w:r>
        <w:tab/>
      </w:r>
      <w:r>
        <w:fldChar w:fldCharType="begin"/>
      </w:r>
      <w:r>
        <w:instrText xml:space="preserve"> PAGEREF _Toc118453493 \h </w:instrText>
      </w:r>
      <w:r>
        <w:fldChar w:fldCharType="separate"/>
      </w:r>
      <w:r>
        <w:t>137</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Board members</w:t>
      </w:r>
      <w:r>
        <w:tab/>
      </w:r>
      <w:r>
        <w:fldChar w:fldCharType="begin"/>
      </w:r>
      <w:r>
        <w:instrText xml:space="preserve"> PAGEREF _Toc118453494 \h </w:instrText>
      </w:r>
      <w:r>
        <w:fldChar w:fldCharType="separate"/>
      </w:r>
      <w:r>
        <w:t>138</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Term of office</w:t>
      </w:r>
      <w:r>
        <w:tab/>
      </w:r>
      <w:r>
        <w:fldChar w:fldCharType="begin"/>
      </w:r>
      <w:r>
        <w:instrText xml:space="preserve"> PAGEREF _Toc118453495 \h </w:instrText>
      </w:r>
      <w:r>
        <w:fldChar w:fldCharType="separate"/>
      </w:r>
      <w:r>
        <w:t>139</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Alternate members</w:t>
      </w:r>
      <w:r>
        <w:tab/>
      </w:r>
      <w:r>
        <w:fldChar w:fldCharType="begin"/>
      </w:r>
      <w:r>
        <w:instrText xml:space="preserve"> PAGEREF _Toc118453496 \h </w:instrText>
      </w:r>
      <w:r>
        <w:fldChar w:fldCharType="separate"/>
      </w:r>
      <w:r>
        <w:t>140</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Remuneration and allowances</w:t>
      </w:r>
      <w:r>
        <w:tab/>
      </w:r>
      <w:r>
        <w:fldChar w:fldCharType="begin"/>
      </w:r>
      <w:r>
        <w:instrText xml:space="preserve"> PAGEREF _Toc118453497 \h </w:instrText>
      </w:r>
      <w:r>
        <w:fldChar w:fldCharType="separate"/>
      </w:r>
      <w:r>
        <w:t>141</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Meetings</w:t>
      </w:r>
      <w:r>
        <w:tab/>
      </w:r>
      <w:r>
        <w:fldChar w:fldCharType="begin"/>
      </w:r>
      <w:r>
        <w:instrText xml:space="preserve"> PAGEREF _Toc118453498 \h </w:instrText>
      </w:r>
      <w:r>
        <w:fldChar w:fldCharType="separate"/>
      </w:r>
      <w:r>
        <w:t>141</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Quorum</w:t>
      </w:r>
      <w:r>
        <w:tab/>
      </w:r>
      <w:r>
        <w:fldChar w:fldCharType="begin"/>
      </w:r>
      <w:r>
        <w:instrText xml:space="preserve"> PAGEREF _Toc118453499 \h </w:instrText>
      </w:r>
      <w:r>
        <w:fldChar w:fldCharType="separate"/>
      </w:r>
      <w:r>
        <w:t>141</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Presiding at meetings</w:t>
      </w:r>
      <w:r>
        <w:tab/>
      </w:r>
      <w:r>
        <w:fldChar w:fldCharType="begin"/>
      </w:r>
      <w:r>
        <w:instrText xml:space="preserve"> PAGEREF _Toc118453500 \h </w:instrText>
      </w:r>
      <w:r>
        <w:fldChar w:fldCharType="separate"/>
      </w:r>
      <w:r>
        <w:t>142</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Board may request reports</w:t>
      </w:r>
      <w:r>
        <w:tab/>
      </w:r>
      <w:r>
        <w:fldChar w:fldCharType="begin"/>
      </w:r>
      <w:r>
        <w:instrText xml:space="preserve"> PAGEREF _Toc118453501 \h </w:instrText>
      </w:r>
      <w:r>
        <w:fldChar w:fldCharType="separate"/>
      </w:r>
      <w:r>
        <w:t>142</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Determination of questions</w:t>
      </w:r>
      <w:r>
        <w:tab/>
      </w:r>
      <w:r>
        <w:fldChar w:fldCharType="begin"/>
      </w:r>
      <w:r>
        <w:instrText xml:space="preserve"> PAGEREF _Toc118453502 \h </w:instrText>
      </w:r>
      <w:r>
        <w:fldChar w:fldCharType="separate"/>
      </w:r>
      <w:r>
        <w:t>142</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Procedure</w:t>
      </w:r>
      <w:r>
        <w:tab/>
      </w:r>
      <w:r>
        <w:fldChar w:fldCharType="begin"/>
      </w:r>
      <w:r>
        <w:instrText xml:space="preserve"> PAGEREF _Toc118453503 \h </w:instrText>
      </w:r>
      <w:r>
        <w:fldChar w:fldCharType="separate"/>
      </w:r>
      <w:r>
        <w:t>143</w:t>
      </w:r>
      <w:r>
        <w:fldChar w:fldCharType="end"/>
      </w:r>
    </w:p>
    <w:p>
      <w:pPr>
        <w:pStyle w:val="TOC8"/>
        <w:rPr>
          <w:rFonts w:asciiTheme="minorHAnsi" w:eastAsiaTheme="minorEastAsia" w:hAnsiTheme="minorHAnsi" w:cstheme="minorBidi"/>
          <w:szCs w:val="22"/>
        </w:rPr>
      </w:pPr>
      <w:r>
        <w:lastRenderedPageBreak/>
        <w:t>162</w:t>
      </w:r>
      <w:r>
        <w:rPr>
          <w:snapToGrid w:val="0"/>
        </w:rPr>
        <w:t>.</w:t>
      </w:r>
      <w:r>
        <w:rPr>
          <w:snapToGrid w:val="0"/>
        </w:rPr>
        <w:tab/>
        <w:t>Board may reconsider its decision</w:t>
      </w:r>
      <w:r>
        <w:tab/>
      </w:r>
      <w:r>
        <w:fldChar w:fldCharType="begin"/>
      </w:r>
      <w:r>
        <w:instrText xml:space="preserve"> PAGEREF _Toc118453504 \h </w:instrText>
      </w:r>
      <w:r>
        <w:fldChar w:fldCharType="separate"/>
      </w:r>
      <w:r>
        <w:t>143</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Rules of natural justice excluded</w:t>
      </w:r>
      <w:r>
        <w:tab/>
      </w:r>
      <w:r>
        <w:fldChar w:fldCharType="begin"/>
      </w:r>
      <w:r>
        <w:instrText xml:space="preserve"> PAGEREF _Toc118453505 \h </w:instrText>
      </w:r>
      <w:r>
        <w:fldChar w:fldCharType="separate"/>
      </w:r>
      <w:r>
        <w:t>143</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Judicial notice of Board’s documents</w:t>
      </w:r>
      <w:r>
        <w:tab/>
      </w:r>
      <w:r>
        <w:fldChar w:fldCharType="begin"/>
      </w:r>
      <w:r>
        <w:instrText xml:space="preserve"> PAGEREF _Toc118453506 \h </w:instrText>
      </w:r>
      <w:r>
        <w:fldChar w:fldCharType="separate"/>
      </w:r>
      <w:r>
        <w:t>143</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Annual report</w:t>
      </w:r>
      <w:r>
        <w:tab/>
      </w:r>
      <w:r>
        <w:fldChar w:fldCharType="begin"/>
      </w:r>
      <w:r>
        <w:instrText xml:space="preserve"> PAGEREF _Toc118453507 \h </w:instrText>
      </w:r>
      <w:r>
        <w:fldChar w:fldCharType="separate"/>
      </w:r>
      <w:r>
        <w:t>144</w:t>
      </w:r>
      <w:r>
        <w:fldChar w:fldCharType="end"/>
      </w:r>
    </w:p>
    <w:p>
      <w:pPr>
        <w:pStyle w:val="TOC8"/>
        <w:rPr>
          <w:rFonts w:asciiTheme="minorHAnsi" w:eastAsiaTheme="minorEastAsia" w:hAnsiTheme="minorHAnsi" w:cstheme="minorBidi"/>
          <w:szCs w:val="22"/>
        </w:rPr>
      </w:pPr>
      <w:r>
        <w:t>165A.</w:t>
      </w:r>
      <w:r>
        <w:tab/>
        <w:t>Information to be excluded from annual reports</w:t>
      </w:r>
      <w:r>
        <w:tab/>
      </w:r>
      <w:r>
        <w:fldChar w:fldCharType="begin"/>
      </w:r>
      <w:r>
        <w:instrText xml:space="preserve"> PAGEREF _Toc118453508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Part 9 — Detention centres</w:t>
      </w:r>
    </w:p>
    <w:p>
      <w:pPr>
        <w:pStyle w:val="TOC8"/>
        <w:rPr>
          <w:rFonts w:asciiTheme="minorHAnsi" w:eastAsiaTheme="minorEastAsia" w:hAnsiTheme="minorHAnsi" w:cstheme="minorBidi"/>
          <w:szCs w:val="22"/>
        </w:rPr>
      </w:pPr>
      <w:r>
        <w:t>166.</w:t>
      </w:r>
      <w:r>
        <w:tab/>
        <w:t>Appointment of visiting justices</w:t>
      </w:r>
      <w:r>
        <w:tab/>
      </w:r>
      <w:r>
        <w:fldChar w:fldCharType="begin"/>
      </w:r>
      <w:r>
        <w:instrText xml:space="preserve"> PAGEREF _Toc118453510 \h </w:instrText>
      </w:r>
      <w:r>
        <w:fldChar w:fldCharType="separate"/>
      </w:r>
      <w:r>
        <w:t>147</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Visiting justices, functions of</w:t>
      </w:r>
      <w:r>
        <w:tab/>
      </w:r>
      <w:r>
        <w:fldChar w:fldCharType="begin"/>
      </w:r>
      <w:r>
        <w:instrText xml:space="preserve"> PAGEREF _Toc118453511 \h </w:instrText>
      </w:r>
      <w:r>
        <w:fldChar w:fldCharType="separate"/>
      </w:r>
      <w:r>
        <w:t>147</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Right of certain persons to enter detention centre</w:t>
      </w:r>
      <w:r>
        <w:tab/>
      </w:r>
      <w:r>
        <w:fldChar w:fldCharType="begin"/>
      </w:r>
      <w:r>
        <w:instrText xml:space="preserve"> PAGEREF _Toc118453512 \h </w:instrText>
      </w:r>
      <w:r>
        <w:fldChar w:fldCharType="separate"/>
      </w:r>
      <w:r>
        <w:t>148</w:t>
      </w:r>
      <w:r>
        <w:fldChar w:fldCharType="end"/>
      </w:r>
    </w:p>
    <w:p>
      <w:pPr>
        <w:pStyle w:val="TOC8"/>
        <w:rPr>
          <w:rFonts w:asciiTheme="minorHAnsi" w:eastAsiaTheme="minorEastAsia" w:hAnsiTheme="minorHAnsi" w:cstheme="minorBidi"/>
          <w:szCs w:val="22"/>
        </w:rPr>
      </w:pPr>
      <w:r>
        <w:t>169A.</w:t>
      </w:r>
      <w:r>
        <w:tab/>
      </w:r>
      <w:r>
        <w:rPr>
          <w:snapToGrid w:val="0"/>
        </w:rPr>
        <w:t>Investigation of alleged incident at detention centre</w:t>
      </w:r>
      <w:r>
        <w:tab/>
      </w:r>
      <w:r>
        <w:fldChar w:fldCharType="begin"/>
      </w:r>
      <w:r>
        <w:instrText xml:space="preserve"> PAGEREF _Toc118453513 \h </w:instrText>
      </w:r>
      <w:r>
        <w:fldChar w:fldCharType="separate"/>
      </w:r>
      <w:r>
        <w:t>148</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Detention offences</w:t>
      </w:r>
      <w:r>
        <w:tab/>
      </w:r>
      <w:r>
        <w:fldChar w:fldCharType="begin"/>
      </w:r>
      <w:r>
        <w:instrText xml:space="preserve"> PAGEREF _Toc118453514 \h </w:instrText>
      </w:r>
      <w:r>
        <w:fldChar w:fldCharType="separate"/>
      </w:r>
      <w:r>
        <w:t>149</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Detention offence charge, procedure on</w:t>
      </w:r>
      <w:r>
        <w:tab/>
      </w:r>
      <w:r>
        <w:fldChar w:fldCharType="begin"/>
      </w:r>
      <w:r>
        <w:instrText xml:space="preserve"> PAGEREF _Toc118453515 \h </w:instrText>
      </w:r>
      <w:r>
        <w:fldChar w:fldCharType="separate"/>
      </w:r>
      <w:r>
        <w:t>150</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Visiting justice may deal with referred charges</w:t>
      </w:r>
      <w:r>
        <w:tab/>
      </w:r>
      <w:r>
        <w:fldChar w:fldCharType="begin"/>
      </w:r>
      <w:r>
        <w:instrText xml:space="preserve"> PAGEREF _Toc118453516 \h </w:instrText>
      </w:r>
      <w:r>
        <w:fldChar w:fldCharType="separate"/>
      </w:r>
      <w:r>
        <w:t>151</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Detention offences, dealing with</w:t>
      </w:r>
      <w:r>
        <w:tab/>
      </w:r>
      <w:r>
        <w:fldChar w:fldCharType="begin"/>
      </w:r>
      <w:r>
        <w:instrText xml:space="preserve"> PAGEREF _Toc118453517 \h </w:instrText>
      </w:r>
      <w:r>
        <w:fldChar w:fldCharType="separate"/>
      </w:r>
      <w:r>
        <w:t>151</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Detention offence charges, hearing of</w:t>
      </w:r>
      <w:r>
        <w:tab/>
      </w:r>
      <w:r>
        <w:fldChar w:fldCharType="begin"/>
      </w:r>
      <w:r>
        <w:instrText xml:space="preserve"> PAGEREF _Toc118453518 \h </w:instrText>
      </w:r>
      <w:r>
        <w:fldChar w:fldCharType="separate"/>
      </w:r>
      <w:r>
        <w:t>153</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Visiting justice may direct prosecution for detention offence</w:t>
      </w:r>
      <w:r>
        <w:tab/>
      </w:r>
      <w:r>
        <w:fldChar w:fldCharType="begin"/>
      </w:r>
      <w:r>
        <w:instrText xml:space="preserve"> PAGEREF _Toc118453519 \h </w:instrText>
      </w:r>
      <w:r>
        <w:fldChar w:fldCharType="separate"/>
      </w:r>
      <w:r>
        <w:t>153</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Early discharge from detention</w:t>
      </w:r>
      <w:r>
        <w:tab/>
      </w:r>
      <w:r>
        <w:fldChar w:fldCharType="begin"/>
      </w:r>
      <w:r>
        <w:instrText xml:space="preserve"> PAGEREF _Toc118453520 \h </w:instrText>
      </w:r>
      <w:r>
        <w:fldChar w:fldCharType="separate"/>
      </w:r>
      <w:r>
        <w:t>153</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Transfer of offender from detention centre to prison</w:t>
      </w:r>
      <w:r>
        <w:tab/>
      </w:r>
      <w:r>
        <w:fldChar w:fldCharType="begin"/>
      </w:r>
      <w:r>
        <w:instrText xml:space="preserve"> PAGEREF _Toc118453521 \h </w:instrText>
      </w:r>
      <w:r>
        <w:fldChar w:fldCharType="separate"/>
      </w:r>
      <w:r>
        <w:t>154</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Medical treatment, removal for</w:t>
      </w:r>
      <w:r>
        <w:tab/>
      </w:r>
      <w:r>
        <w:fldChar w:fldCharType="begin"/>
      </w:r>
      <w:r>
        <w:instrText xml:space="preserve"> PAGEREF _Toc118453522 \h </w:instrText>
      </w:r>
      <w:r>
        <w:fldChar w:fldCharType="separate"/>
      </w:r>
      <w:r>
        <w:t>155</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Death of detainee, coroner to investigate</w:t>
      </w:r>
      <w:r>
        <w:tab/>
      </w:r>
      <w:r>
        <w:fldChar w:fldCharType="begin"/>
      </w:r>
      <w:r>
        <w:instrText xml:space="preserve"> PAGEREF _Toc118453523 \h </w:instrText>
      </w:r>
      <w:r>
        <w:fldChar w:fldCharType="separate"/>
      </w:r>
      <w:r>
        <w:t>157</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Rules for detention centres, CEO may make</w:t>
      </w:r>
      <w:r>
        <w:tab/>
      </w:r>
      <w:r>
        <w:fldChar w:fldCharType="begin"/>
      </w:r>
      <w:r>
        <w:instrText xml:space="preserve"> PAGEREF _Toc118453524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182</w:t>
      </w:r>
      <w:r>
        <w:rPr>
          <w:snapToGrid w:val="0"/>
        </w:rPr>
        <w:t>.</w:t>
      </w:r>
      <w:r>
        <w:rPr>
          <w:snapToGrid w:val="0"/>
        </w:rPr>
        <w:tab/>
        <w:t>Protection from legal liability</w:t>
      </w:r>
      <w:r>
        <w:tab/>
      </w:r>
      <w:r>
        <w:fldChar w:fldCharType="begin"/>
      </w:r>
      <w:r>
        <w:instrText xml:space="preserve"> PAGEREF _Toc118453526 \h </w:instrText>
      </w:r>
      <w:r>
        <w:fldChar w:fldCharType="separate"/>
      </w:r>
      <w:r>
        <w:t>159</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Order to be defence to actions</w:t>
      </w:r>
      <w:r>
        <w:tab/>
      </w:r>
      <w:r>
        <w:fldChar w:fldCharType="begin"/>
      </w:r>
      <w:r>
        <w:instrText xml:space="preserve"> PAGEREF _Toc118453527 \h </w:instrText>
      </w:r>
      <w:r>
        <w:fldChar w:fldCharType="separate"/>
      </w:r>
      <w:r>
        <w:t>159</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CEO may give consent in relation to detainee</w:t>
      </w:r>
      <w:r>
        <w:tab/>
      </w:r>
      <w:r>
        <w:fldChar w:fldCharType="begin"/>
      </w:r>
      <w:r>
        <w:instrText xml:space="preserve"> PAGEREF _Toc118453528 \h </w:instrText>
      </w:r>
      <w:r>
        <w:fldChar w:fldCharType="separate"/>
      </w:r>
      <w:r>
        <w:t>160</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Minister may make certain payments</w:t>
      </w:r>
      <w:r>
        <w:tab/>
      </w:r>
      <w:r>
        <w:fldChar w:fldCharType="begin"/>
      </w:r>
      <w:r>
        <w:instrText xml:space="preserve"> PAGEREF _Toc118453529 \h </w:instrText>
      </w:r>
      <w:r>
        <w:fldChar w:fldCharType="separate"/>
      </w:r>
      <w:r>
        <w:t>160</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Officer of Department may conduct cases</w:t>
      </w:r>
      <w:r>
        <w:tab/>
      </w:r>
      <w:r>
        <w:fldChar w:fldCharType="begin"/>
      </w:r>
      <w:r>
        <w:instrText xml:space="preserve"> PAGEREF _Toc118453530 \h </w:instrText>
      </w:r>
      <w:r>
        <w:fldChar w:fldCharType="separate"/>
      </w:r>
      <w:r>
        <w:t>160</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Certificate of superintendent to be evidence</w:t>
      </w:r>
      <w:r>
        <w:tab/>
      </w:r>
      <w:r>
        <w:fldChar w:fldCharType="begin"/>
      </w:r>
      <w:r>
        <w:instrText xml:space="preserve"> PAGEREF _Toc118453531 \h </w:instrText>
      </w:r>
      <w:r>
        <w:fldChar w:fldCharType="separate"/>
      </w:r>
      <w:r>
        <w:t>160</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Person having charge of detainee has legal custody</w:t>
      </w:r>
      <w:r>
        <w:tab/>
      </w:r>
      <w:r>
        <w:fldChar w:fldCharType="begin"/>
      </w:r>
      <w:r>
        <w:instrText xml:space="preserve"> PAGEREF _Toc118453532 \h </w:instrText>
      </w:r>
      <w:r>
        <w:fldChar w:fldCharType="separate"/>
      </w:r>
      <w:r>
        <w:t>161</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Certain offenders to be regarded as not convicted</w:t>
      </w:r>
      <w:r>
        <w:tab/>
      </w:r>
      <w:r>
        <w:fldChar w:fldCharType="begin"/>
      </w:r>
      <w:r>
        <w:instrText xml:space="preserve"> PAGEREF _Toc118453533 \h </w:instrText>
      </w:r>
      <w:r>
        <w:fldChar w:fldCharType="separate"/>
      </w:r>
      <w:r>
        <w:t>162</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Disclosure of certain convictions</w:t>
      </w:r>
      <w:r>
        <w:tab/>
      </w:r>
      <w:r>
        <w:fldChar w:fldCharType="begin"/>
      </w:r>
      <w:r>
        <w:instrText xml:space="preserve"> PAGEREF _Toc118453534 \h </w:instrText>
      </w:r>
      <w:r>
        <w:fldChar w:fldCharType="separate"/>
      </w:r>
      <w:r>
        <w:t>164</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Unlawfully communicating with detainee</w:t>
      </w:r>
      <w:r>
        <w:tab/>
      </w:r>
      <w:r>
        <w:fldChar w:fldCharType="begin"/>
      </w:r>
      <w:r>
        <w:instrText xml:space="preserve"> PAGEREF _Toc118453535 \h </w:instrText>
      </w:r>
      <w:r>
        <w:fldChar w:fldCharType="separate"/>
      </w:r>
      <w:r>
        <w:t>164</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Unlawfully remaining in detention centre</w:t>
      </w:r>
      <w:r>
        <w:tab/>
      </w:r>
      <w:r>
        <w:fldChar w:fldCharType="begin"/>
      </w:r>
      <w:r>
        <w:instrText xml:space="preserve"> PAGEREF _Toc118453536 \h </w:instrText>
      </w:r>
      <w:r>
        <w:fldChar w:fldCharType="separate"/>
      </w:r>
      <w:r>
        <w:t>164</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Escape from custody</w:t>
      </w:r>
      <w:r>
        <w:tab/>
      </w:r>
      <w:r>
        <w:fldChar w:fldCharType="begin"/>
      </w:r>
      <w:r>
        <w:instrText xml:space="preserve"> PAGEREF _Toc118453537 \h </w:instrText>
      </w:r>
      <w:r>
        <w:fldChar w:fldCharType="separate"/>
      </w:r>
      <w:r>
        <w:t>165</w:t>
      </w:r>
      <w:r>
        <w:fldChar w:fldCharType="end"/>
      </w:r>
    </w:p>
    <w:p>
      <w:pPr>
        <w:pStyle w:val="TOC8"/>
        <w:rPr>
          <w:rFonts w:asciiTheme="minorHAnsi" w:eastAsiaTheme="minorEastAsia" w:hAnsiTheme="minorHAnsi" w:cstheme="minorBidi"/>
          <w:szCs w:val="22"/>
        </w:rPr>
      </w:pPr>
      <w:r>
        <w:t>193A.</w:t>
      </w:r>
      <w:r>
        <w:tab/>
        <w:t>Arrest warrant may be issued if warrant of commitment in force</w:t>
      </w:r>
      <w:r>
        <w:tab/>
      </w:r>
      <w:r>
        <w:fldChar w:fldCharType="begin"/>
      </w:r>
      <w:r>
        <w:instrText xml:space="preserve"> PAGEREF _Toc118453538 \h </w:instrText>
      </w:r>
      <w:r>
        <w:fldChar w:fldCharType="separate"/>
      </w:r>
      <w:r>
        <w:t>165</w:t>
      </w:r>
      <w:r>
        <w:fldChar w:fldCharType="end"/>
      </w:r>
    </w:p>
    <w:p>
      <w:pPr>
        <w:pStyle w:val="TOC8"/>
        <w:rPr>
          <w:rFonts w:asciiTheme="minorHAnsi" w:eastAsiaTheme="minorEastAsia" w:hAnsiTheme="minorHAnsi" w:cstheme="minorBidi"/>
          <w:szCs w:val="22"/>
        </w:rPr>
      </w:pPr>
      <w:r>
        <w:lastRenderedPageBreak/>
        <w:t>194</w:t>
      </w:r>
      <w:r>
        <w:rPr>
          <w:snapToGrid w:val="0"/>
        </w:rPr>
        <w:t>.</w:t>
      </w:r>
      <w:r>
        <w:rPr>
          <w:snapToGrid w:val="0"/>
        </w:rPr>
        <w:tab/>
        <w:t>Personating an officer</w:t>
      </w:r>
      <w:r>
        <w:tab/>
      </w:r>
      <w:r>
        <w:fldChar w:fldCharType="begin"/>
      </w:r>
      <w:r>
        <w:instrText xml:space="preserve"> PAGEREF _Toc118453539 \h </w:instrText>
      </w:r>
      <w:r>
        <w:fldChar w:fldCharType="separate"/>
      </w:r>
      <w:r>
        <w:t>165</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General penalty</w:t>
      </w:r>
      <w:r>
        <w:tab/>
      </w:r>
      <w:r>
        <w:fldChar w:fldCharType="begin"/>
      </w:r>
      <w:r>
        <w:instrText xml:space="preserve"> PAGEREF _Toc118453540 \h </w:instrText>
      </w:r>
      <w:r>
        <w:fldChar w:fldCharType="separate"/>
      </w:r>
      <w:r>
        <w:t>166</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Regulations</w:t>
      </w:r>
      <w:r>
        <w:tab/>
      </w:r>
      <w:r>
        <w:fldChar w:fldCharType="begin"/>
      </w:r>
      <w:r>
        <w:instrText xml:space="preserve"> PAGEREF _Toc118453541 \h </w:instrText>
      </w:r>
      <w:r>
        <w:fldChar w:fldCharType="separate"/>
      </w:r>
      <w:r>
        <w:t>166</w:t>
      </w:r>
      <w:r>
        <w:fldChar w:fldCharType="end"/>
      </w:r>
    </w:p>
    <w:p>
      <w:pPr>
        <w:pStyle w:val="TOC8"/>
        <w:rPr>
          <w:rFonts w:asciiTheme="minorHAnsi" w:eastAsiaTheme="minorEastAsia" w:hAnsiTheme="minorHAnsi" w:cstheme="minorBidi"/>
          <w:szCs w:val="22"/>
        </w:rPr>
      </w:pPr>
      <w:r>
        <w:t>197.</w:t>
      </w:r>
      <w:r>
        <w:tab/>
      </w:r>
      <w:r>
        <w:rPr>
          <w:snapToGrid w:val="0"/>
        </w:rPr>
        <w:t>Delegation of prescribed functions</w:t>
      </w:r>
      <w:r>
        <w:tab/>
      </w:r>
      <w:r>
        <w:fldChar w:fldCharType="begin"/>
      </w:r>
      <w:r>
        <w:instrText xml:space="preserve"> PAGEREF _Toc118453542 \h </w:instrText>
      </w:r>
      <w:r>
        <w:fldChar w:fldCharType="separate"/>
      </w:r>
      <w:r>
        <w:t>168</w:t>
      </w:r>
      <w:r>
        <w:fldChar w:fldCharType="end"/>
      </w:r>
    </w:p>
    <w:p>
      <w:pPr>
        <w:pStyle w:val="TOC8"/>
        <w:rPr>
          <w:rFonts w:asciiTheme="minorHAnsi" w:eastAsiaTheme="minorEastAsia" w:hAnsiTheme="minorHAnsi" w:cstheme="minorBidi"/>
          <w:szCs w:val="22"/>
        </w:rPr>
      </w:pPr>
      <w:r>
        <w:t>197A.</w:t>
      </w:r>
      <w:r>
        <w:tab/>
        <w:t>Delegation by Commissioner of Police</w:t>
      </w:r>
      <w:r>
        <w:tab/>
      </w:r>
      <w:r>
        <w:fldChar w:fldCharType="begin"/>
      </w:r>
      <w:r>
        <w:instrText xml:space="preserve"> PAGEREF _Toc118453543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Part 11 — Amendment of certain other Acts and transitional provisions</w:t>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Transitional provisions</w:t>
      </w:r>
    </w:p>
    <w:p>
      <w:pPr>
        <w:pStyle w:val="TOC8"/>
        <w:rPr>
          <w:rFonts w:asciiTheme="minorHAnsi" w:eastAsiaTheme="minorEastAsia" w:hAnsiTheme="minorHAnsi" w:cstheme="minorBidi"/>
          <w:szCs w:val="22"/>
        </w:rPr>
      </w:pPr>
      <w:r>
        <w:t>231</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_Toc118453546 \h </w:instrText>
      </w:r>
      <w:r>
        <w:fldChar w:fldCharType="separate"/>
      </w:r>
      <w:r>
        <w:t>169</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Orders for past matters</w:t>
      </w:r>
      <w:r>
        <w:tab/>
      </w:r>
      <w:r>
        <w:fldChar w:fldCharType="begin"/>
      </w:r>
      <w:r>
        <w:instrText xml:space="preserve"> PAGEREF _Toc118453547 \h </w:instrText>
      </w:r>
      <w:r>
        <w:fldChar w:fldCharType="separate"/>
      </w:r>
      <w:r>
        <w:t>169</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Orders under former provisions</w:t>
      </w:r>
      <w:r>
        <w:tab/>
      </w:r>
      <w:r>
        <w:fldChar w:fldCharType="begin"/>
      </w:r>
      <w:r>
        <w:instrText xml:space="preserve"> PAGEREF _Toc118453548 \h </w:instrText>
      </w:r>
      <w:r>
        <w:fldChar w:fldCharType="separate"/>
      </w:r>
      <w:r>
        <w:t>169</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 xml:space="preserve">Detention centres under </w:t>
      </w:r>
      <w:r>
        <w:rPr>
          <w:i/>
          <w:snapToGrid w:val="0"/>
        </w:rPr>
        <w:t>Child Welfare Act 1947</w:t>
      </w:r>
      <w:r>
        <w:tab/>
      </w:r>
      <w:r>
        <w:fldChar w:fldCharType="begin"/>
      </w:r>
      <w:r>
        <w:instrText xml:space="preserve"> PAGEREF _Toc118453549 \h </w:instrText>
      </w:r>
      <w:r>
        <w:fldChar w:fldCharType="separate"/>
      </w:r>
      <w:r>
        <w:t>170</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Proceedings pending before children’s panels</w:t>
      </w:r>
      <w:r>
        <w:tab/>
      </w:r>
      <w:r>
        <w:fldChar w:fldCharType="begin"/>
      </w:r>
      <w:r>
        <w:instrText xml:space="preserve"> PAGEREF _Toc118453550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237</w:t>
      </w:r>
      <w:r>
        <w:rPr>
          <w:snapToGrid w:val="0"/>
        </w:rPr>
        <w:t>.</w:t>
      </w:r>
      <w:r>
        <w:rPr>
          <w:snapToGrid w:val="0"/>
        </w:rPr>
        <w:tab/>
        <w:t>Review of Act</w:t>
      </w:r>
      <w:r>
        <w:tab/>
      </w:r>
      <w:r>
        <w:fldChar w:fldCharType="begin"/>
      </w:r>
      <w:r>
        <w:instrText xml:space="preserve"> PAGEREF _Toc118453552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Schedule 1 — Schedule 1 offences</w:t>
      </w:r>
    </w:p>
    <w:p>
      <w:pPr>
        <w:pStyle w:val="TOC2"/>
        <w:tabs>
          <w:tab w:val="right" w:leader="dot" w:pos="7077"/>
        </w:tabs>
        <w:rPr>
          <w:rFonts w:asciiTheme="minorHAnsi" w:eastAsiaTheme="minorEastAsia" w:hAnsiTheme="minorHAnsi" w:cstheme="minorBidi"/>
          <w:b w:val="0"/>
          <w:sz w:val="22"/>
          <w:szCs w:val="22"/>
        </w:rPr>
      </w:pPr>
      <w:r>
        <w:t>Schedule 2 — Schedule 2 offences</w:t>
      </w:r>
    </w:p>
    <w:p>
      <w:pPr>
        <w:pStyle w:val="TOC2"/>
        <w:tabs>
          <w:tab w:val="right" w:leader="dot" w:pos="7077"/>
        </w:tabs>
        <w:rPr>
          <w:rFonts w:asciiTheme="minorHAnsi" w:eastAsiaTheme="minorEastAsia" w:hAnsiTheme="minorHAnsi" w:cstheme="minorBidi"/>
          <w:b w:val="0"/>
          <w:sz w:val="22"/>
          <w:szCs w:val="22"/>
        </w:rPr>
      </w:pPr>
      <w:r>
        <w:t>Schedule 3 — Adaptations for community work in default of payment</w:t>
      </w:r>
    </w:p>
    <w:p>
      <w:pPr>
        <w:pStyle w:val="TOC8"/>
        <w:rPr>
          <w:rFonts w:asciiTheme="minorHAnsi" w:eastAsiaTheme="minorEastAsia" w:hAnsiTheme="minorHAnsi" w:cstheme="minorBidi"/>
          <w:szCs w:val="22"/>
        </w:rPr>
      </w:pPr>
      <w:r>
        <w:t>1.</w:t>
      </w:r>
      <w:r>
        <w:tab/>
        <w:t>References to offender</w:t>
      </w:r>
      <w:r>
        <w:tab/>
      </w:r>
      <w:r>
        <w:fldChar w:fldCharType="begin"/>
      </w:r>
      <w:r>
        <w:instrText xml:space="preserve"> PAGEREF _Toc118453556 \h </w:instrText>
      </w:r>
      <w:r>
        <w:fldChar w:fldCharType="separate"/>
      </w:r>
      <w:r>
        <w:t>180</w:t>
      </w:r>
      <w:r>
        <w:fldChar w:fldCharType="end"/>
      </w:r>
    </w:p>
    <w:p>
      <w:pPr>
        <w:pStyle w:val="TOC8"/>
        <w:rPr>
          <w:rFonts w:asciiTheme="minorHAnsi" w:eastAsiaTheme="minorEastAsia" w:hAnsiTheme="minorHAnsi" w:cstheme="minorBidi"/>
          <w:szCs w:val="22"/>
        </w:rPr>
      </w:pPr>
      <w:r>
        <w:t>2.</w:t>
      </w:r>
      <w:r>
        <w:tab/>
        <w:t>Conditions</w:t>
      </w:r>
      <w:r>
        <w:tab/>
      </w:r>
      <w:r>
        <w:fldChar w:fldCharType="begin"/>
      </w:r>
      <w:r>
        <w:instrText xml:space="preserve"> PAGEREF _Toc118453557 \h </w:instrText>
      </w:r>
      <w:r>
        <w:fldChar w:fldCharType="separate"/>
      </w:r>
      <w:r>
        <w:t>180</w:t>
      </w:r>
      <w:r>
        <w:fldChar w:fldCharType="end"/>
      </w:r>
    </w:p>
    <w:p>
      <w:pPr>
        <w:pStyle w:val="TOC8"/>
        <w:rPr>
          <w:rFonts w:asciiTheme="minorHAnsi" w:eastAsiaTheme="minorEastAsia" w:hAnsiTheme="minorHAnsi" w:cstheme="minorBidi"/>
          <w:szCs w:val="22"/>
        </w:rPr>
      </w:pPr>
      <w:r>
        <w:t>3.</w:t>
      </w:r>
      <w:r>
        <w:tab/>
        <w:t>Duration of order</w:t>
      </w:r>
      <w:r>
        <w:tab/>
      </w:r>
      <w:r>
        <w:fldChar w:fldCharType="begin"/>
      </w:r>
      <w:r>
        <w:instrText xml:space="preserve"> PAGEREF _Toc118453558 \h </w:instrText>
      </w:r>
      <w:r>
        <w:fldChar w:fldCharType="separate"/>
      </w:r>
      <w:r>
        <w:t>180</w:t>
      </w:r>
      <w:r>
        <w:fldChar w:fldCharType="end"/>
      </w:r>
    </w:p>
    <w:p>
      <w:pPr>
        <w:pStyle w:val="TOC8"/>
        <w:rPr>
          <w:rFonts w:asciiTheme="minorHAnsi" w:eastAsiaTheme="minorEastAsia" w:hAnsiTheme="minorHAnsi" w:cstheme="minorBidi"/>
          <w:szCs w:val="22"/>
        </w:rPr>
      </w:pPr>
      <w:r>
        <w:t>4.</w:t>
      </w:r>
      <w:r>
        <w:tab/>
        <w:t>Powers of court in dealing with breach</w:t>
      </w:r>
      <w:r>
        <w:tab/>
      </w:r>
      <w:r>
        <w:fldChar w:fldCharType="begin"/>
      </w:r>
      <w:r>
        <w:instrText xml:space="preserve"> PAGEREF _Toc118453559 \h </w:instrText>
      </w:r>
      <w:r>
        <w:fldChar w:fldCharType="separate"/>
      </w:r>
      <w:r>
        <w:t>180</w:t>
      </w:r>
      <w:r>
        <w:fldChar w:fldCharType="end"/>
      </w:r>
    </w:p>
    <w:p>
      <w:pPr>
        <w:pStyle w:val="TOC8"/>
        <w:rPr>
          <w:rFonts w:asciiTheme="minorHAnsi" w:eastAsiaTheme="minorEastAsia" w:hAnsiTheme="minorHAnsi" w:cstheme="minorBidi"/>
          <w:szCs w:val="22"/>
        </w:rPr>
      </w:pPr>
      <w:r>
        <w:t>5.</w:t>
      </w:r>
      <w:r>
        <w:tab/>
        <w:t>Effect of partially performing work ordered in default of payment</w:t>
      </w:r>
      <w:r>
        <w:tab/>
      </w:r>
      <w:r>
        <w:fldChar w:fldCharType="begin"/>
      </w:r>
      <w:r>
        <w:instrText xml:space="preserve"> PAGEREF _Toc118453560 \h </w:instrText>
      </w:r>
      <w:r>
        <w:fldChar w:fldCharType="separate"/>
      </w:r>
      <w:r>
        <w:t>180</w:t>
      </w:r>
      <w:r>
        <w:fldChar w:fldCharType="end"/>
      </w:r>
    </w:p>
    <w:p>
      <w:pPr>
        <w:pStyle w:val="TOC8"/>
        <w:rPr>
          <w:rFonts w:asciiTheme="minorHAnsi" w:eastAsiaTheme="minorEastAsia" w:hAnsiTheme="minorHAnsi" w:cstheme="minorBidi"/>
          <w:szCs w:val="22"/>
        </w:rPr>
      </w:pPr>
      <w:r>
        <w:t>6.</w:t>
      </w:r>
      <w:r>
        <w:tab/>
        <w:t>Proof of identity</w:t>
      </w:r>
      <w:r>
        <w:tab/>
      </w:r>
      <w:r>
        <w:fldChar w:fldCharType="begin"/>
      </w:r>
      <w:r>
        <w:instrText xml:space="preserve"> PAGEREF _Toc118453561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_Toc118453563 \h </w:instrText>
      </w:r>
      <w:r>
        <w:fldChar w:fldCharType="separate"/>
      </w:r>
      <w:r>
        <w:t>182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_Toc118453564 \h </w:instrText>
      </w:r>
      <w:r>
        <w:fldChar w:fldCharType="separate"/>
      </w:r>
      <w:r>
        <w:t>187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_Toc118453565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1</w:t>
      </w:r>
      <w:r>
        <w:rPr>
          <w:snapToGrid w:val="0"/>
        </w:rPr>
        <w:t xml:space="preserve">, and for related purposes. </w:t>
      </w:r>
    </w:p>
    <w:p>
      <w:pPr>
        <w:pStyle w:val="Heading2"/>
      </w:pPr>
      <w:bookmarkStart w:id="3" w:name="_Toc118361496"/>
      <w:bookmarkStart w:id="4" w:name="_Toc118366579"/>
      <w:bookmarkStart w:id="5" w:name="_Toc118453241"/>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118453242"/>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w:t>
      </w:r>
    </w:p>
    <w:p>
      <w:pPr>
        <w:pStyle w:val="Heading5"/>
        <w:rPr>
          <w:snapToGrid w:val="0"/>
        </w:rPr>
      </w:pPr>
      <w:bookmarkStart w:id="7" w:name="_Toc118453243"/>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8" w:name="_Toc118453244"/>
      <w:r>
        <w:rPr>
          <w:rStyle w:val="CharSectno"/>
        </w:rPr>
        <w:t>3</w:t>
      </w:r>
      <w:r>
        <w:rPr>
          <w:snapToGrid w:val="0"/>
        </w:rPr>
        <w:t>.</w:t>
      </w:r>
      <w:r>
        <w:rPr>
          <w:snapToGrid w:val="0"/>
        </w:rPr>
        <w:tab/>
        <w:t>Terms used</w:t>
      </w:r>
      <w:bookmarkEnd w:id="8"/>
    </w:p>
    <w:p>
      <w:pPr>
        <w:pStyle w:val="Subsection"/>
        <w:rPr>
          <w:snapToGrid w:val="0"/>
        </w:rPr>
      </w:pPr>
      <w:r>
        <w:rPr>
          <w:snapToGrid w:val="0"/>
        </w:rPr>
        <w:tab/>
      </w:r>
      <w:r>
        <w:t>(1)</w:t>
      </w:r>
      <w:r>
        <w:tab/>
        <w:t xml:space="preserve">In this Act, </w:t>
      </w:r>
      <w:r>
        <w:rPr>
          <w:snapToGrid w:val="0"/>
        </w:rPr>
        <w:t>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tab/>
      </w:r>
      <w:r>
        <w:rPr>
          <w:rStyle w:val="CharDefText"/>
        </w:rPr>
        <w:t>category 1 offender</w:t>
      </w:r>
      <w:r>
        <w:t xml:space="preserve"> </w:t>
      </w:r>
      <w:r>
        <w:rPr>
          <w:szCs w:val="24"/>
        </w:rPr>
        <w:t>means —</w:t>
      </w:r>
    </w:p>
    <w:p>
      <w:pPr>
        <w:pStyle w:val="Defpara"/>
      </w:pPr>
      <w:r>
        <w:tab/>
        <w:t>(a)</w:t>
      </w:r>
      <w:r>
        <w:tab/>
      </w:r>
      <w:r>
        <w:rPr>
          <w:szCs w:val="24"/>
        </w:rPr>
        <w:t xml:space="preserve">an offender who — </w:t>
      </w:r>
    </w:p>
    <w:p>
      <w:pPr>
        <w:pStyle w:val="Defsubpara"/>
      </w:pPr>
      <w:r>
        <w:rPr>
          <w:szCs w:val="24"/>
        </w:rPr>
        <w:tab/>
        <w:t>(i)</w:t>
      </w:r>
      <w:r>
        <w:rPr>
          <w:szCs w:val="24"/>
        </w:rPr>
        <w:tab/>
      </w:r>
      <w:r>
        <w:t>has been charged with, or convicted of, a terrorism offence; or</w:t>
      </w:r>
    </w:p>
    <w:p>
      <w:pPr>
        <w:pStyle w:val="Defsubpara"/>
      </w:pPr>
      <w:r>
        <w:tab/>
        <w:t>(ii)</w:t>
      </w:r>
      <w:r>
        <w:tab/>
        <w:t>is subject to an interim control order or a confirmed control order;</w:t>
      </w:r>
    </w:p>
    <w:p>
      <w:pPr>
        <w:pStyle w:val="Defpara"/>
      </w:pPr>
      <w:r>
        <w:tab/>
      </w:r>
      <w:r>
        <w:tab/>
        <w:t>or</w:t>
      </w:r>
    </w:p>
    <w:p>
      <w:pPr>
        <w:pStyle w:val="Defpara"/>
      </w:pPr>
      <w:r>
        <w:tab/>
        <w:t>(b)</w:t>
      </w:r>
      <w:r>
        <w:tab/>
      </w:r>
      <w:r>
        <w:rPr>
          <w:szCs w:val="24"/>
        </w:rPr>
        <w:t xml:space="preserve">an offender </w:t>
      </w:r>
      <w:r>
        <w:t>who has been subject to an interim control order or a confirmed control order at any time during —</w:t>
      </w:r>
    </w:p>
    <w:p>
      <w:pPr>
        <w:pStyle w:val="Defsubpara"/>
      </w:pPr>
      <w:r>
        <w:tab/>
        <w:t>(i)</w:t>
      </w:r>
      <w:r>
        <w:tab/>
        <w:t xml:space="preserve">the period of the offender’s sentence (the </w:t>
      </w:r>
      <w:r>
        <w:rPr>
          <w:rStyle w:val="CharDefText"/>
        </w:rPr>
        <w:t>current sentence</w:t>
      </w:r>
      <w:r>
        <w:t>); or</w:t>
      </w:r>
    </w:p>
    <w:p>
      <w:pPr>
        <w:pStyle w:val="Defsubpara"/>
        <w:keepNext/>
      </w:pPr>
      <w:r>
        <w:tab/>
        <w:t>(ii)</w:t>
      </w:r>
      <w:r>
        <w:tab/>
        <w:t xml:space="preserve">the period of 4 years ending on the day on which the offender’s current sentence begins or is taken to have begun; </w:t>
      </w:r>
    </w:p>
    <w:p>
      <w:pPr>
        <w:pStyle w:val="Defpara"/>
      </w:pPr>
      <w:r>
        <w:tab/>
      </w:r>
      <w:r>
        <w:tab/>
        <w:t>or</w:t>
      </w:r>
    </w:p>
    <w:p>
      <w:pPr>
        <w:pStyle w:val="Defpara"/>
      </w:pPr>
      <w:r>
        <w:lastRenderedPageBreak/>
        <w:tab/>
        <w:t>(c)</w:t>
      </w:r>
      <w:r>
        <w:tab/>
      </w:r>
      <w:r>
        <w:rPr>
          <w:szCs w:val="24"/>
        </w:rPr>
        <w:t xml:space="preserve">an </w:t>
      </w:r>
      <w:r>
        <w:t>offender</w:t>
      </w:r>
      <w:r>
        <w:rPr>
          <w:szCs w:val="24"/>
        </w:rPr>
        <w:t xml:space="preserve"> </w:t>
      </w:r>
      <w:r>
        <w:t xml:space="preserve">for whom an interim control order </w:t>
      </w:r>
      <w:r>
        <w:rPr>
          <w:szCs w:val="24"/>
        </w:rPr>
        <w:t xml:space="preserve">in respect of </w:t>
      </w:r>
      <w:r>
        <w:t xml:space="preserve">the offender is being sought under the </w:t>
      </w:r>
      <w:r>
        <w:rPr>
          <w:szCs w:val="24"/>
        </w:rPr>
        <w:t>Commonwealth Criminal Code section 104.3;</w:t>
      </w:r>
    </w:p>
    <w:p>
      <w:pPr>
        <w:pStyle w:val="Defstart"/>
      </w:pPr>
      <w:r>
        <w:tab/>
      </w:r>
      <w:r>
        <w:rPr>
          <w:rStyle w:val="CharDefText"/>
        </w:rPr>
        <w:t>category 2 offender</w:t>
      </w:r>
      <w:r>
        <w:t xml:space="preserve"> </w:t>
      </w:r>
      <w:r>
        <w:rPr>
          <w:szCs w:val="24"/>
        </w:rPr>
        <w:t xml:space="preserve">means an offender who </w:t>
      </w:r>
      <w:r>
        <w:t>has been charged with, or convicted of, an offence against the Commonwealth Criminal Code section 80.2C(1);</w:t>
      </w:r>
    </w:p>
    <w:p>
      <w:pPr>
        <w:pStyle w:val="Defstart"/>
      </w:pPr>
      <w:r>
        <w:tab/>
      </w:r>
      <w:r>
        <w:rPr>
          <w:rStyle w:val="CharDefText"/>
        </w:rPr>
        <w:t>chairperson</w:t>
      </w:r>
      <w:r>
        <w:t xml:space="preserve"> means the person appointed under section 152(1)(a);</w:t>
      </w:r>
    </w:p>
    <w:p>
      <w:pPr>
        <w:pStyle w:val="Defstart"/>
      </w:pPr>
      <w:r>
        <w:rPr>
          <w:b/>
        </w:rPr>
        <w:tab/>
      </w:r>
      <w:r>
        <w:rPr>
          <w:rStyle w:val="CharDefText"/>
        </w:rPr>
        <w:t>chief executive officer</w:t>
      </w:r>
      <w:r>
        <w:t xml:space="preserve"> means the chief executive officer of the Department;</w:t>
      </w:r>
    </w:p>
    <w:p>
      <w:pPr>
        <w:pStyle w:val="Defstart"/>
      </w:pPr>
      <w:r>
        <w:tab/>
      </w:r>
      <w:r>
        <w:rPr>
          <w:rStyle w:val="CharDefText"/>
        </w:rPr>
        <w:t>Commissioner of Police report</w:t>
      </w:r>
      <w:r>
        <w:t xml:space="preserve"> means a written report referred to in section 150D(1) or (4);</w:t>
      </w:r>
    </w:p>
    <w:p>
      <w:pPr>
        <w:pStyle w:val="Defstart"/>
        <w:rPr>
          <w:szCs w:val="24"/>
        </w:rPr>
      </w:pPr>
      <w:r>
        <w:tab/>
      </w:r>
      <w:r>
        <w:rPr>
          <w:rStyle w:val="CharDefText"/>
        </w:rPr>
        <w:t>Commonwealth Criminal Code</w:t>
      </w:r>
      <w:r>
        <w:t xml:space="preserve"> </w:t>
      </w:r>
      <w:r>
        <w:rPr>
          <w:szCs w:val="24"/>
        </w:rPr>
        <w:t xml:space="preserve">means the Criminal Code set out in the Schedule to the </w:t>
      </w:r>
      <w:r>
        <w:rPr>
          <w:i/>
          <w:szCs w:val="24"/>
        </w:rPr>
        <w:t>Criminal Code Act 1995</w:t>
      </w:r>
      <w:r>
        <w:rPr>
          <w:szCs w:val="24"/>
        </w:rPr>
        <w:t xml:space="preserve"> (Commonwealth);</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rPr>
          <w:szCs w:val="24"/>
        </w:rPr>
      </w:pPr>
      <w:r>
        <w:tab/>
      </w:r>
      <w:r>
        <w:rPr>
          <w:rStyle w:val="CharDefText"/>
        </w:rPr>
        <w:t>confirmed control order</w:t>
      </w:r>
      <w:r>
        <w:t xml:space="preserve"> </w:t>
      </w:r>
      <w:r>
        <w:rPr>
          <w:szCs w:val="24"/>
        </w:rPr>
        <w:t>has the meaning given in the Commonwealth Criminal Code section 100.1(1);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lastRenderedPageBreak/>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interim control order</w:t>
      </w:r>
      <w:r>
        <w:t xml:space="preserve"> </w:t>
      </w:r>
      <w:r>
        <w:rPr>
          <w:szCs w:val="24"/>
        </w:rPr>
        <w:t>has the meaning given in the Commonwealth Criminal Code section 100.1(1);</w:t>
      </w:r>
    </w:p>
    <w:p>
      <w:pPr>
        <w:pStyle w:val="Defstart"/>
      </w:pPr>
      <w:r>
        <w:lastRenderedPageBreak/>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rPr>
          <w:szCs w:val="24"/>
        </w:rPr>
      </w:pPr>
      <w:r>
        <w:tab/>
      </w:r>
      <w:r>
        <w:rPr>
          <w:rStyle w:val="CharDefText"/>
        </w:rPr>
        <w:t>offender with links to terrorism</w:t>
      </w:r>
      <w:r>
        <w:t xml:space="preserve"> </w:t>
      </w:r>
      <w:r>
        <w:rPr>
          <w:szCs w:val="24"/>
        </w:rPr>
        <w:t xml:space="preserve">means — </w:t>
      </w:r>
    </w:p>
    <w:p>
      <w:pPr>
        <w:pStyle w:val="Defpara"/>
      </w:pPr>
      <w:r>
        <w:rPr>
          <w:szCs w:val="24"/>
        </w:rPr>
        <w:tab/>
        <w:t>(a)</w:t>
      </w:r>
      <w:r>
        <w:rPr>
          <w:szCs w:val="24"/>
        </w:rPr>
        <w:tab/>
        <w:t>a category 1 offender; or</w:t>
      </w:r>
    </w:p>
    <w:p>
      <w:pPr>
        <w:pStyle w:val="Defpara"/>
      </w:pPr>
      <w:r>
        <w:tab/>
        <w:t>(b)</w:t>
      </w:r>
      <w:r>
        <w:tab/>
        <w:t>a category 2 offender who is subject to a Commissioner of Police report; or</w:t>
      </w:r>
    </w:p>
    <w:p>
      <w:pPr>
        <w:pStyle w:val="Defpara"/>
      </w:pPr>
      <w:r>
        <w:tab/>
        <w:t>(c)</w:t>
      </w:r>
      <w:r>
        <w:tab/>
        <w:t>an offender who —</w:t>
      </w:r>
    </w:p>
    <w:p>
      <w:pPr>
        <w:pStyle w:val="Defsubpara"/>
      </w:pPr>
      <w:r>
        <w:tab/>
        <w:t>(i)</w:t>
      </w:r>
      <w:r>
        <w:tab/>
        <w:t>is subject to a Commissioner of Police report; and</w:t>
      </w:r>
    </w:p>
    <w:p>
      <w:pPr>
        <w:pStyle w:val="Defsubpara"/>
      </w:pPr>
      <w:r>
        <w:tab/>
        <w:t>(ii)</w:t>
      </w:r>
      <w:r>
        <w:tab/>
        <w:t>the Supervised Release Review Board as constituted by the chairperson alone is satisfied, having regard to the report, has made statements or carried out activities that support, or advocate support for, terrorist acts;</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tab/>
        <w:t>(ii)</w:t>
      </w:r>
      <w:r>
        <w:tab/>
        <w:t xml:space="preserve">committed in the circumstances set out in column 2 of Schedule 1 opposite the reference; </w:t>
      </w:r>
    </w:p>
    <w:p>
      <w:pPr>
        <w:pStyle w:val="Defpara"/>
      </w:pPr>
      <w:r>
        <w:lastRenderedPageBreak/>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tab/>
      </w:r>
      <w:r>
        <w:rPr>
          <w:rStyle w:val="CharDefText"/>
        </w:rPr>
        <w:t>terrorism offence</w:t>
      </w:r>
      <w:r>
        <w:t xml:space="preserve"> </w:t>
      </w:r>
      <w:r>
        <w:rPr>
          <w:szCs w:val="24"/>
        </w:rPr>
        <w:t>means —</w:t>
      </w:r>
    </w:p>
    <w:p>
      <w:pPr>
        <w:pStyle w:val="Defpara"/>
      </w:pPr>
      <w:r>
        <w:tab/>
        <w:t>(a)</w:t>
      </w:r>
      <w:r>
        <w:tab/>
        <w:t>an offence against the Commonwealth Criminal Code Division 72 Subdivision A; or</w:t>
      </w:r>
    </w:p>
    <w:p>
      <w:pPr>
        <w:pStyle w:val="Defpara"/>
      </w:pPr>
      <w:r>
        <w:tab/>
        <w:t>(b)</w:t>
      </w:r>
      <w:r>
        <w:tab/>
        <w:t>an offence against the Commonwealth Criminal Code Division 80 Subdivision B; or</w:t>
      </w:r>
    </w:p>
    <w:p>
      <w:pPr>
        <w:pStyle w:val="Defpara"/>
      </w:pPr>
      <w:r>
        <w:tab/>
        <w:t>(c)</w:t>
      </w:r>
      <w:r>
        <w:tab/>
        <w:t>an offence against the Commonwealth Criminal Code Part 5.3, other than an offence against section 104.22, 104.27, 104.27A, 105.41 or 105.45; or</w:t>
      </w:r>
    </w:p>
    <w:p>
      <w:pPr>
        <w:pStyle w:val="Defpara"/>
      </w:pPr>
      <w:r>
        <w:tab/>
        <w:t>(d)</w:t>
      </w:r>
      <w:r>
        <w:tab/>
        <w:t>an offence against the Commonwealth Criminal Code Part 5.5; or</w:t>
      </w:r>
    </w:p>
    <w:p>
      <w:pPr>
        <w:pStyle w:val="Defpara"/>
      </w:pPr>
      <w:r>
        <w:lastRenderedPageBreak/>
        <w:tab/>
        <w:t>(e)</w:t>
      </w:r>
      <w:r>
        <w:tab/>
        <w:t xml:space="preserve">an offence against the following provisions of the </w:t>
      </w:r>
      <w:r>
        <w:rPr>
          <w:i/>
        </w:rPr>
        <w:t xml:space="preserve">Charter of the United Nations Act 1945 </w:t>
      </w:r>
      <w:r>
        <w:t>(Commonwealth) —</w:t>
      </w:r>
    </w:p>
    <w:p>
      <w:pPr>
        <w:pStyle w:val="Defsubpara"/>
      </w:pPr>
      <w:r>
        <w:tab/>
        <w:t>(i)</w:t>
      </w:r>
      <w:r>
        <w:tab/>
        <w:t xml:space="preserve">Part 4; </w:t>
      </w:r>
    </w:p>
    <w:p>
      <w:pPr>
        <w:pStyle w:val="Defsubpara"/>
      </w:pPr>
      <w:r>
        <w:tab/>
        <w:t>(ii)</w:t>
      </w:r>
      <w:r>
        <w:tab/>
        <w:t xml:space="preserve">Part 5, to the extent that it relates to the </w:t>
      </w:r>
      <w:r>
        <w:rPr>
          <w:i/>
        </w:rPr>
        <w:t>Charter of the United Nations (Sanctions—Al</w:t>
      </w:r>
      <w:r>
        <w:rPr>
          <w:i/>
        </w:rPr>
        <w:noBreakHyphen/>
        <w:t>Qaida) Regulations 2008</w:t>
      </w:r>
      <w:r>
        <w:t xml:space="preserve"> (Commonwealth);</w:t>
      </w:r>
    </w:p>
    <w:p>
      <w:pPr>
        <w:pStyle w:val="Defpara"/>
      </w:pPr>
      <w:r>
        <w:tab/>
      </w:r>
      <w:r>
        <w:tab/>
        <w:t>or</w:t>
      </w:r>
    </w:p>
    <w:p>
      <w:pPr>
        <w:pStyle w:val="Defpara"/>
      </w:pPr>
      <w:r>
        <w:tab/>
        <w:t>(f)</w:t>
      </w:r>
      <w:r>
        <w:tab/>
      </w:r>
      <w:r>
        <w:rPr>
          <w:szCs w:val="24"/>
        </w:rPr>
        <w:t xml:space="preserve">an offence against the </w:t>
      </w:r>
      <w:r>
        <w:rPr>
          <w:i/>
          <w:szCs w:val="24"/>
        </w:rPr>
        <w:t xml:space="preserve">Crimes (Foreign Incursions and Recruitment) Act 1978 </w:t>
      </w:r>
      <w:r>
        <w:rPr>
          <w:szCs w:val="24"/>
        </w:rPr>
        <w:t>(Commonwealth) (repealed); or</w:t>
      </w:r>
    </w:p>
    <w:p>
      <w:pPr>
        <w:pStyle w:val="Defpara"/>
        <w:rPr>
          <w:szCs w:val="24"/>
        </w:rPr>
      </w:pPr>
      <w:r>
        <w:tab/>
        <w:t>(g)</w:t>
      </w:r>
      <w:r>
        <w:tab/>
      </w:r>
      <w:r>
        <w:rPr>
          <w:szCs w:val="24"/>
        </w:rPr>
        <w:t xml:space="preserve">an offence against the </w:t>
      </w:r>
      <w:r>
        <w:rPr>
          <w:i/>
          <w:szCs w:val="24"/>
        </w:rPr>
        <w:t>Crimes (Internationally Protected Persons) Act 1976</w:t>
      </w:r>
      <w:r>
        <w:rPr>
          <w:szCs w:val="24"/>
        </w:rPr>
        <w:t xml:space="preserve"> (Commonwealth) section 8; or</w:t>
      </w:r>
    </w:p>
    <w:p>
      <w:pPr>
        <w:pStyle w:val="Defpara"/>
      </w:pPr>
      <w:r>
        <w:tab/>
        <w:t>(h)</w:t>
      </w:r>
      <w:r>
        <w:tab/>
      </w:r>
      <w:r>
        <w:rPr>
          <w:szCs w:val="24"/>
        </w:rPr>
        <w:t>an offence under a written law or a law of the Commonwealth, another State, a Territory or another country, that substantially corresponds to an offence referred to in paragraph (a), (b), (c), (d), (e) or (g); or</w:t>
      </w:r>
    </w:p>
    <w:p>
      <w:pPr>
        <w:pStyle w:val="Defpara"/>
        <w:rPr>
          <w:szCs w:val="24"/>
        </w:rPr>
      </w:pPr>
      <w:r>
        <w:tab/>
        <w:t>(i)</w:t>
      </w:r>
      <w:r>
        <w:tab/>
      </w:r>
      <w:r>
        <w:rPr>
          <w:szCs w:val="24"/>
        </w:rPr>
        <w:t>an offence of attempting, inciting or conspiring to commit an offence referred to in paragraph (a), (b), (c), (d), (e), (f), (g) or (h);</w:t>
      </w:r>
    </w:p>
    <w:p>
      <w:pPr>
        <w:pStyle w:val="Defstart"/>
      </w:pPr>
      <w:r>
        <w:tab/>
      </w:r>
      <w:r>
        <w:rPr>
          <w:rStyle w:val="CharDefText"/>
        </w:rPr>
        <w:t>terrorist act</w:t>
      </w:r>
      <w:r>
        <w:t xml:space="preserve"> </w:t>
      </w:r>
      <w:r>
        <w:rPr>
          <w:szCs w:val="24"/>
        </w:rPr>
        <w:t xml:space="preserve">has the meaning given in the </w:t>
      </w:r>
      <w:r>
        <w:rPr>
          <w:i/>
          <w:szCs w:val="24"/>
        </w:rPr>
        <w:t>Terrorism (Commonwealth Powers) Act 2002</w:t>
      </w:r>
      <w:r>
        <w:rPr>
          <w:szCs w:val="24"/>
        </w:rPr>
        <w:t xml:space="preserve"> section 3;</w:t>
      </w:r>
    </w:p>
    <w:p>
      <w:pPr>
        <w:pStyle w:val="Defstart"/>
      </w:pPr>
      <w:r>
        <w:tab/>
      </w:r>
      <w:r>
        <w:rPr>
          <w:rStyle w:val="CharDefText"/>
        </w:rPr>
        <w:t>terrorist intelligence information</w:t>
      </w:r>
      <w:r>
        <w:t xml:space="preserve"> means information relating to a prohibited act or suspected prohibited act, the disclosure of which could reasonably be expected to  — </w:t>
      </w:r>
    </w:p>
    <w:p>
      <w:pPr>
        <w:pStyle w:val="Defpara"/>
      </w:pPr>
      <w:r>
        <w:tab/>
        <w:t>(a)</w:t>
      </w:r>
      <w:r>
        <w:tab/>
        <w:t xml:space="preserve">prejudice national security; or </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lastRenderedPageBreak/>
        <w:tab/>
        <w:t>(f)</w:t>
      </w:r>
      <w:r>
        <w:tab/>
        <w:t>enable the discovery of the existence or identity of a confidential source of information relevant to law enforcement;</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Subsection"/>
      </w:pPr>
      <w:r>
        <w:tab/>
        <w:t>(2)</w:t>
      </w:r>
      <w:r>
        <w:tab/>
        <w:t xml:space="preserve">For the purposes of the definition of </w:t>
      </w:r>
      <w:r>
        <w:rPr>
          <w:b/>
          <w:i/>
        </w:rPr>
        <w:t>terrorist intelligence information</w:t>
      </w:r>
      <w:r>
        <w:t xml:space="preserve">, a </w:t>
      </w:r>
      <w:r>
        <w:rPr>
          <w:rStyle w:val="CharDefText"/>
        </w:rPr>
        <w:t>prohibited act</w:t>
      </w:r>
      <w:r>
        <w:t xml:space="preserve"> is — </w:t>
      </w:r>
    </w:p>
    <w:p>
      <w:pPr>
        <w:pStyle w:val="Indenta"/>
      </w:pPr>
      <w:r>
        <w:tab/>
        <w:t>(a)</w:t>
      </w:r>
      <w:r>
        <w:tab/>
        <w:t>a terrorism offence</w:t>
      </w:r>
      <w:r>
        <w:rPr>
          <w:szCs w:val="24"/>
        </w:rPr>
        <w:t>; or</w:t>
      </w:r>
    </w:p>
    <w:p>
      <w:pPr>
        <w:pStyle w:val="Indenta"/>
      </w:pPr>
      <w:r>
        <w:tab/>
        <w:t>(b)</w:t>
      </w:r>
      <w:r>
        <w:tab/>
        <w:t xml:space="preserve">an offence against the Commonwealth Criminal Code section 80.2C(1); or </w:t>
      </w:r>
    </w:p>
    <w:p>
      <w:pPr>
        <w:pStyle w:val="Indenta"/>
      </w:pPr>
      <w:r>
        <w:tab/>
        <w:t>(c)</w:t>
      </w:r>
      <w:r>
        <w:tab/>
        <w:t>a terrorist act (whether in this State or elsewhere).</w:t>
      </w:r>
    </w:p>
    <w:p>
      <w:pPr>
        <w:pStyle w:val="Footnotesection"/>
        <w:spacing w:before="80"/>
      </w:pPr>
      <w:r>
        <w:tab/>
        <w:t xml:space="preserve">[Section 3 amended: No. 47 of 1999 s. 40; </w:t>
      </w:r>
      <w:r>
        <w:rPr>
          <w:spacing w:val="-6"/>
        </w:rPr>
        <w:t>No. 34 of 2004 s. </w:t>
      </w:r>
      <w:r>
        <w:t>251; No. 58 of 2004 s. 4; No. 59 of 2004 s. 141; No. 29 of 2014 s. 11; No. 14 of 2022 s. 30.]</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9" w:name="_Toc118453245"/>
      <w:r>
        <w:rPr>
          <w:rStyle w:val="CharSectno"/>
        </w:rPr>
        <w:t>4</w:t>
      </w:r>
      <w:r>
        <w:rPr>
          <w:snapToGrid w:val="0"/>
        </w:rPr>
        <w:t>.</w:t>
      </w:r>
      <w:r>
        <w:rPr>
          <w:snapToGrid w:val="0"/>
        </w:rPr>
        <w:tab/>
        <w:t>Young offenders reaching 18</w:t>
      </w:r>
      <w:bookmarkEnd w:id="9"/>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10" w:name="_Toc118453246"/>
      <w:r>
        <w:rPr>
          <w:rStyle w:val="CharSectno"/>
        </w:rPr>
        <w:t>5</w:t>
      </w:r>
      <w:r>
        <w:rPr>
          <w:snapToGrid w:val="0"/>
        </w:rPr>
        <w:t>.</w:t>
      </w:r>
      <w:r>
        <w:rPr>
          <w:snapToGrid w:val="0"/>
        </w:rPr>
        <w:tab/>
      </w:r>
      <w:r>
        <w:rPr>
          <w:i/>
        </w:rPr>
        <w:t>Criminal Procedure Act 2004</w:t>
      </w:r>
      <w:r>
        <w:t xml:space="preserve"> </w:t>
      </w:r>
      <w:r>
        <w:rPr>
          <w:snapToGrid w:val="0"/>
        </w:rPr>
        <w:t>overridden</w:t>
      </w:r>
      <w:bookmarkEnd w:id="10"/>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No. 59 of 2004 s. 141; No. 84 of 2004 s. 77.]</w:t>
      </w:r>
    </w:p>
    <w:p>
      <w:pPr>
        <w:pStyle w:val="Heading5"/>
      </w:pPr>
      <w:bookmarkStart w:id="11" w:name="_Toc118453247"/>
      <w:r>
        <w:rPr>
          <w:rStyle w:val="CharSectno"/>
        </w:rPr>
        <w:lastRenderedPageBreak/>
        <w:t>6A</w:t>
      </w:r>
      <w:r>
        <w:t>.</w:t>
      </w:r>
      <w:r>
        <w:tab/>
      </w:r>
      <w:r>
        <w:rPr>
          <w:i/>
        </w:rPr>
        <w:t>Courts and Tribunals (Electronic Processes Facilitation) Act 2013</w:t>
      </w:r>
      <w:r>
        <w:t xml:space="preserve"> Part 2 applies</w:t>
      </w:r>
      <w:bookmarkEnd w:id="11"/>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137.]</w:t>
      </w:r>
    </w:p>
    <w:p>
      <w:pPr>
        <w:pStyle w:val="Heading2"/>
      </w:pPr>
      <w:bookmarkStart w:id="12" w:name="_Toc118361503"/>
      <w:bookmarkStart w:id="13" w:name="_Toc118366586"/>
      <w:bookmarkStart w:id="14" w:name="_Toc118453248"/>
      <w:r>
        <w:rPr>
          <w:rStyle w:val="CharPartNo"/>
        </w:rPr>
        <w:lastRenderedPageBreak/>
        <w:t>Part 2</w:t>
      </w:r>
      <w:r>
        <w:rPr>
          <w:rStyle w:val="CharDivNo"/>
        </w:rPr>
        <w:t> </w:t>
      </w:r>
      <w:r>
        <w:t>—</w:t>
      </w:r>
      <w:r>
        <w:rPr>
          <w:rStyle w:val="CharDivText"/>
        </w:rPr>
        <w:t> </w:t>
      </w:r>
      <w:r>
        <w:rPr>
          <w:rStyle w:val="CharPartText"/>
        </w:rPr>
        <w:t>Objectives and principles</w:t>
      </w:r>
      <w:bookmarkEnd w:id="12"/>
      <w:bookmarkEnd w:id="13"/>
      <w:bookmarkEnd w:id="14"/>
      <w:r>
        <w:rPr>
          <w:rStyle w:val="CharPartText"/>
        </w:rPr>
        <w:t xml:space="preserve"> </w:t>
      </w:r>
    </w:p>
    <w:p>
      <w:pPr>
        <w:pStyle w:val="Heading5"/>
        <w:rPr>
          <w:snapToGrid w:val="0"/>
        </w:rPr>
      </w:pPr>
      <w:bookmarkStart w:id="15" w:name="_Toc118453249"/>
      <w:r>
        <w:rPr>
          <w:rStyle w:val="CharSectno"/>
        </w:rPr>
        <w:t>6</w:t>
      </w:r>
      <w:r>
        <w:rPr>
          <w:snapToGrid w:val="0"/>
        </w:rPr>
        <w:t>.</w:t>
      </w:r>
      <w:r>
        <w:rPr>
          <w:snapToGrid w:val="0"/>
        </w:rPr>
        <w:tab/>
        <w:t>Objectives</w:t>
      </w:r>
      <w:bookmarkEnd w:id="15"/>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6" w:name="_Toc118453250"/>
      <w:r>
        <w:rPr>
          <w:rStyle w:val="CharSectno"/>
        </w:rPr>
        <w:t>7</w:t>
      </w:r>
      <w:r>
        <w:rPr>
          <w:snapToGrid w:val="0"/>
        </w:rPr>
        <w:t>.</w:t>
      </w:r>
      <w:r>
        <w:rPr>
          <w:snapToGrid w:val="0"/>
        </w:rPr>
        <w:tab/>
        <w:t>General principles of juvenile justice</w:t>
      </w:r>
      <w:bookmarkEnd w:id="16"/>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lastRenderedPageBreak/>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lastRenderedPageBreak/>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No. 82 of 1994 s. 20; No. 78 of 1995 s. 145; No. 29 of 1998 s. 20.] </w:t>
      </w:r>
    </w:p>
    <w:p>
      <w:pPr>
        <w:pStyle w:val="Heading5"/>
        <w:rPr>
          <w:snapToGrid w:val="0"/>
        </w:rPr>
      </w:pPr>
      <w:bookmarkStart w:id="17" w:name="_Toc118453251"/>
      <w:r>
        <w:rPr>
          <w:rStyle w:val="CharSectno"/>
        </w:rPr>
        <w:t>8</w:t>
      </w:r>
      <w:r>
        <w:rPr>
          <w:snapToGrid w:val="0"/>
        </w:rPr>
        <w:t>.</w:t>
      </w:r>
      <w:r>
        <w:rPr>
          <w:snapToGrid w:val="0"/>
        </w:rPr>
        <w:tab/>
        <w:t>Responsible adults, role of</w:t>
      </w:r>
      <w:bookmarkEnd w:id="17"/>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lastRenderedPageBreak/>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8" w:name="_Toc118361507"/>
      <w:bookmarkStart w:id="19" w:name="_Toc118366590"/>
      <w:bookmarkStart w:id="20" w:name="_Toc118453252"/>
      <w:r>
        <w:rPr>
          <w:rStyle w:val="CharPartNo"/>
        </w:rPr>
        <w:lastRenderedPageBreak/>
        <w:t>Part 3</w:t>
      </w:r>
      <w:r>
        <w:t> — </w:t>
      </w:r>
      <w:r>
        <w:rPr>
          <w:rStyle w:val="CharPartText"/>
        </w:rPr>
        <w:t>Administration</w:t>
      </w:r>
      <w:bookmarkEnd w:id="18"/>
      <w:bookmarkEnd w:id="19"/>
      <w:bookmarkEnd w:id="20"/>
      <w:r>
        <w:rPr>
          <w:rStyle w:val="CharPartText"/>
        </w:rPr>
        <w:t xml:space="preserve"> </w:t>
      </w:r>
    </w:p>
    <w:p>
      <w:pPr>
        <w:pStyle w:val="Heading3"/>
        <w:spacing w:before="260"/>
      </w:pPr>
      <w:bookmarkStart w:id="21" w:name="_Toc118361508"/>
      <w:bookmarkStart w:id="22" w:name="_Toc118366591"/>
      <w:bookmarkStart w:id="23" w:name="_Toc118453253"/>
      <w:r>
        <w:rPr>
          <w:rStyle w:val="CharDivNo"/>
        </w:rPr>
        <w:t>Division 1</w:t>
      </w:r>
      <w:r>
        <w:t> — </w:t>
      </w:r>
      <w:r>
        <w:rPr>
          <w:rStyle w:val="CharDivText"/>
        </w:rPr>
        <w:t>Chief executive officer</w:t>
      </w:r>
      <w:bookmarkEnd w:id="21"/>
      <w:bookmarkEnd w:id="22"/>
      <w:bookmarkEnd w:id="23"/>
    </w:p>
    <w:p>
      <w:pPr>
        <w:pStyle w:val="Footnoteheading"/>
        <w:tabs>
          <w:tab w:val="left" w:pos="851"/>
        </w:tabs>
      </w:pPr>
      <w:r>
        <w:tab/>
        <w:t>[Heading inserted: No. 29 of 2014 s. 12.]</w:t>
      </w:r>
    </w:p>
    <w:p>
      <w:pPr>
        <w:pStyle w:val="Heading5"/>
        <w:spacing w:before="240"/>
        <w:rPr>
          <w:snapToGrid w:val="0"/>
        </w:rPr>
      </w:pPr>
      <w:bookmarkStart w:id="24" w:name="_Toc118453254"/>
      <w:r>
        <w:rPr>
          <w:rStyle w:val="CharSectno"/>
        </w:rPr>
        <w:t>9</w:t>
      </w:r>
      <w:r>
        <w:rPr>
          <w:snapToGrid w:val="0"/>
        </w:rPr>
        <w:t>.</w:t>
      </w:r>
      <w:r>
        <w:rPr>
          <w:snapToGrid w:val="0"/>
        </w:rPr>
        <w:tab/>
        <w:t>Chief executive officer, functions of</w:t>
      </w:r>
      <w:bookmarkEnd w:id="24"/>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25" w:name="_Toc118453255"/>
      <w:r>
        <w:rPr>
          <w:rStyle w:val="CharSectno"/>
        </w:rPr>
        <w:t>10</w:t>
      </w:r>
      <w:r>
        <w:rPr>
          <w:snapToGrid w:val="0"/>
        </w:rPr>
        <w:t>.</w:t>
      </w:r>
      <w:r>
        <w:rPr>
          <w:snapToGrid w:val="0"/>
        </w:rPr>
        <w:tab/>
        <w:t>Chief executive officer may delegate</w:t>
      </w:r>
      <w:bookmarkEnd w:id="25"/>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26" w:name="_Toc118361511"/>
      <w:bookmarkStart w:id="27" w:name="_Toc118366594"/>
      <w:bookmarkStart w:id="28" w:name="_Toc118453256"/>
      <w:r>
        <w:rPr>
          <w:rStyle w:val="CharDivNo"/>
        </w:rPr>
        <w:t>Division 2</w:t>
      </w:r>
      <w:r>
        <w:t> — </w:t>
      </w:r>
      <w:r>
        <w:rPr>
          <w:rStyle w:val="CharDivText"/>
        </w:rPr>
        <w:t>Other officers and employees</w:t>
      </w:r>
      <w:bookmarkEnd w:id="26"/>
      <w:bookmarkEnd w:id="27"/>
      <w:bookmarkEnd w:id="28"/>
    </w:p>
    <w:p>
      <w:pPr>
        <w:pStyle w:val="Footnoteheading"/>
        <w:tabs>
          <w:tab w:val="left" w:pos="851"/>
        </w:tabs>
      </w:pPr>
      <w:r>
        <w:tab/>
        <w:t>[Heading inserted: No. 29 of 2014 s. 13.]</w:t>
      </w:r>
    </w:p>
    <w:p>
      <w:pPr>
        <w:pStyle w:val="Heading5"/>
        <w:spacing w:before="240"/>
        <w:rPr>
          <w:snapToGrid w:val="0"/>
        </w:rPr>
      </w:pPr>
      <w:bookmarkStart w:id="29" w:name="_Toc118453257"/>
      <w:r>
        <w:rPr>
          <w:rStyle w:val="CharSectno"/>
        </w:rPr>
        <w:t>11</w:t>
      </w:r>
      <w:r>
        <w:rPr>
          <w:snapToGrid w:val="0"/>
        </w:rPr>
        <w:t>.</w:t>
      </w:r>
      <w:r>
        <w:rPr>
          <w:snapToGrid w:val="0"/>
        </w:rPr>
        <w:tab/>
        <w:t>Officers and employees, appointment of</w:t>
      </w:r>
      <w:bookmarkEnd w:id="29"/>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lastRenderedPageBreak/>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30" w:name="_Toc118453258"/>
      <w:r>
        <w:rPr>
          <w:rStyle w:val="CharSectno"/>
        </w:rPr>
        <w:lastRenderedPageBreak/>
        <w:t>11A</w:t>
      </w:r>
      <w:r>
        <w:t>.</w:t>
      </w:r>
      <w:r>
        <w:tab/>
        <w:t>Duties of all officers and employees</w:t>
      </w:r>
      <w:bookmarkEnd w:id="30"/>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31" w:name="_Toc118453259"/>
      <w:r>
        <w:rPr>
          <w:rStyle w:val="CharSectno"/>
        </w:rPr>
        <w:t>11B</w:t>
      </w:r>
      <w:r>
        <w:t>.</w:t>
      </w:r>
      <w:r>
        <w:tab/>
        <w:t>Powers and duties of custodial officers</w:t>
      </w:r>
      <w:bookmarkEnd w:id="31"/>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 xml:space="preserve">may issue to a detainee such orders as are necessary for the purposes of this Act, including the security, good order, or management of a facility or detention centre, and may use such force as is prescribed under </w:t>
      </w:r>
      <w:r>
        <w:lastRenderedPageBreak/>
        <w:t>section 11C as is necessary to ensure that lawful orders given to a detainee are complied with.</w:t>
      </w:r>
    </w:p>
    <w:p>
      <w:pPr>
        <w:pStyle w:val="Footnotesection"/>
      </w:pPr>
      <w:r>
        <w:tab/>
        <w:t>[Section 11B inserted: No. 58 of 2004 s. 7; amended: No. 29 of 2014 s. 15.]</w:t>
      </w:r>
    </w:p>
    <w:p>
      <w:pPr>
        <w:pStyle w:val="Heading3"/>
      </w:pPr>
      <w:bookmarkStart w:id="32" w:name="_Toc118361515"/>
      <w:bookmarkStart w:id="33" w:name="_Toc118366598"/>
      <w:bookmarkStart w:id="34" w:name="_Toc118453260"/>
      <w:r>
        <w:rPr>
          <w:rStyle w:val="CharDivNo"/>
        </w:rPr>
        <w:t>Division 3</w:t>
      </w:r>
      <w:r>
        <w:t> — </w:t>
      </w:r>
      <w:r>
        <w:rPr>
          <w:rStyle w:val="CharDivText"/>
        </w:rPr>
        <w:t>Removal of custodial officers due to loss of confidence</w:t>
      </w:r>
      <w:bookmarkEnd w:id="32"/>
      <w:bookmarkEnd w:id="33"/>
      <w:bookmarkEnd w:id="34"/>
    </w:p>
    <w:p>
      <w:pPr>
        <w:pStyle w:val="Footnoteheading"/>
      </w:pPr>
      <w:r>
        <w:tab/>
        <w:t>[Heading inserted: No. 29 of 2014 s. 16.]</w:t>
      </w:r>
    </w:p>
    <w:p>
      <w:pPr>
        <w:pStyle w:val="Heading4"/>
      </w:pPr>
      <w:bookmarkStart w:id="35" w:name="_Toc118361516"/>
      <w:bookmarkStart w:id="36" w:name="_Toc118366599"/>
      <w:bookmarkStart w:id="37" w:name="_Toc118453261"/>
      <w:r>
        <w:t>Subdivision 1 — Preliminary</w:t>
      </w:r>
      <w:bookmarkEnd w:id="35"/>
      <w:bookmarkEnd w:id="36"/>
      <w:bookmarkEnd w:id="37"/>
    </w:p>
    <w:p>
      <w:pPr>
        <w:pStyle w:val="Footnoteheading"/>
      </w:pPr>
      <w:r>
        <w:tab/>
        <w:t>[Heading inserted: No. 29 of 2014 s. 16.]</w:t>
      </w:r>
    </w:p>
    <w:p>
      <w:pPr>
        <w:pStyle w:val="Heading5"/>
        <w:spacing w:before="180"/>
      </w:pPr>
      <w:bookmarkStart w:id="38" w:name="_Toc118453262"/>
      <w:r>
        <w:rPr>
          <w:rStyle w:val="CharSectno"/>
        </w:rPr>
        <w:t>11CA</w:t>
      </w:r>
      <w:r>
        <w:t>.</w:t>
      </w:r>
      <w:r>
        <w:tab/>
        <w:t>Terms used</w:t>
      </w:r>
      <w:bookmarkEnd w:id="38"/>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tab/>
        <w:t>(c)</w:t>
      </w:r>
      <w:r>
        <w:tab/>
        <w:t>a written submission made to the chief executive officer by the custodial officer under section 11CD(2);</w:t>
      </w:r>
    </w:p>
    <w:p>
      <w:pPr>
        <w:pStyle w:val="Defpara"/>
      </w:pPr>
      <w:r>
        <w:lastRenderedPageBreak/>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No. 29 of 2014 s. 16.]</w:t>
      </w:r>
    </w:p>
    <w:p>
      <w:pPr>
        <w:pStyle w:val="Heading4"/>
      </w:pPr>
      <w:bookmarkStart w:id="39" w:name="_Toc118361518"/>
      <w:bookmarkStart w:id="40" w:name="_Toc118366601"/>
      <w:bookmarkStart w:id="41" w:name="_Toc118453263"/>
      <w:r>
        <w:t>Subdivision 2 — Removal of custodial officers</w:t>
      </w:r>
      <w:bookmarkEnd w:id="39"/>
      <w:bookmarkEnd w:id="40"/>
      <w:bookmarkEnd w:id="41"/>
    </w:p>
    <w:p>
      <w:pPr>
        <w:pStyle w:val="Footnoteheading"/>
      </w:pPr>
      <w:r>
        <w:tab/>
        <w:t>[Heading inserted: No. 29 of 2014 s. 16.]</w:t>
      </w:r>
    </w:p>
    <w:p>
      <w:pPr>
        <w:pStyle w:val="Heading5"/>
      </w:pPr>
      <w:bookmarkStart w:id="42" w:name="_Toc118453264"/>
      <w:r>
        <w:rPr>
          <w:rStyle w:val="CharSectno"/>
        </w:rPr>
        <w:t>11CB</w:t>
      </w:r>
      <w:r>
        <w:t>.</w:t>
      </w:r>
      <w:r>
        <w:tab/>
        <w:t>Application of Subdivision</w:t>
      </w:r>
      <w:bookmarkEnd w:id="42"/>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No. 29 of 2014 s. 16.]</w:t>
      </w:r>
    </w:p>
    <w:p>
      <w:pPr>
        <w:pStyle w:val="Heading5"/>
      </w:pPr>
      <w:bookmarkStart w:id="43" w:name="_Toc118453265"/>
      <w:r>
        <w:rPr>
          <w:rStyle w:val="CharSectno"/>
        </w:rPr>
        <w:lastRenderedPageBreak/>
        <w:t>11CC</w:t>
      </w:r>
      <w:r>
        <w:t>.</w:t>
      </w:r>
      <w:r>
        <w:tab/>
        <w:t>Removal action</w:t>
      </w:r>
      <w:bookmarkEnd w:id="43"/>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The information, answer or document is not admissible in evidence against the custodial officer in any criminal proceedings except in proceedings for an offence under subsection (7).</w:t>
      </w:r>
    </w:p>
    <w:p>
      <w:pPr>
        <w:pStyle w:val="Subsection"/>
        <w:keepNext/>
      </w:pPr>
      <w:r>
        <w:lastRenderedPageBreak/>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No. 29 of 2014 s. 16.]</w:t>
      </w:r>
    </w:p>
    <w:p>
      <w:pPr>
        <w:pStyle w:val="Heading5"/>
      </w:pPr>
      <w:bookmarkStart w:id="44" w:name="_Toc118453266"/>
      <w:r>
        <w:rPr>
          <w:rStyle w:val="CharSectno"/>
        </w:rPr>
        <w:t>11CD</w:t>
      </w:r>
      <w:r>
        <w:t>.</w:t>
      </w:r>
      <w:r>
        <w:tab/>
        <w:t>Notice of loss of confidence</w:t>
      </w:r>
      <w:bookmarkEnd w:id="44"/>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lastRenderedPageBreak/>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No. 29 of 2014 s. 16.]</w:t>
      </w:r>
    </w:p>
    <w:p>
      <w:pPr>
        <w:pStyle w:val="Heading5"/>
      </w:pPr>
      <w:bookmarkStart w:id="45" w:name="_Toc118453267"/>
      <w:r>
        <w:rPr>
          <w:rStyle w:val="CharSectno"/>
        </w:rPr>
        <w:t>11CE</w:t>
      </w:r>
      <w:r>
        <w:t>.</w:t>
      </w:r>
      <w:r>
        <w:tab/>
        <w:t>Maintenance payment</w:t>
      </w:r>
      <w:bookmarkEnd w:id="45"/>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Subsection"/>
      </w:pPr>
      <w:r>
        <w:lastRenderedPageBreak/>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No. 29 of 2014 s. 16.]</w:t>
      </w:r>
    </w:p>
    <w:p>
      <w:pPr>
        <w:pStyle w:val="Heading5"/>
      </w:pPr>
      <w:bookmarkStart w:id="46" w:name="_Toc118453268"/>
      <w:r>
        <w:rPr>
          <w:rStyle w:val="CharSectno"/>
        </w:rPr>
        <w:t>11CF</w:t>
      </w:r>
      <w:r>
        <w:t>.</w:t>
      </w:r>
      <w:r>
        <w:tab/>
        <w:t>Withdrawal of removal action and revocation of removal</w:t>
      </w:r>
      <w:bookmarkEnd w:id="46"/>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No. 29 of 2014 s. 16.]</w:t>
      </w:r>
    </w:p>
    <w:p>
      <w:pPr>
        <w:pStyle w:val="Heading5"/>
      </w:pPr>
      <w:bookmarkStart w:id="47" w:name="_Toc118453269"/>
      <w:r>
        <w:rPr>
          <w:rStyle w:val="CharSectno"/>
        </w:rPr>
        <w:t>11CG</w:t>
      </w:r>
      <w:r>
        <w:t>.</w:t>
      </w:r>
      <w:r>
        <w:tab/>
        <w:t>Resignation of custodial officer who has been removed</w:t>
      </w:r>
      <w:bookmarkEnd w:id="47"/>
    </w:p>
    <w:p>
      <w:pPr>
        <w:pStyle w:val="Subsection"/>
      </w:pPr>
      <w:r>
        <w:tab/>
        <w:t>(1)</w:t>
      </w:r>
      <w:r>
        <w:tab/>
        <w:t>Even if a custodial officer is removed as a result of removal action, the custodial officer may resign at any time before the end of the maintenance period.</w:t>
      </w:r>
    </w:p>
    <w:p>
      <w:pPr>
        <w:pStyle w:val="Subsection"/>
      </w:pPr>
      <w:r>
        <w:tab/>
        <w:t>(2)</w:t>
      </w:r>
      <w:r>
        <w:tab/>
        <w:t>Subsection (1) does not apply if an appeal has been instituted against the removal.</w:t>
      </w:r>
    </w:p>
    <w:p>
      <w:pPr>
        <w:pStyle w:val="Subsection"/>
      </w:pPr>
      <w:r>
        <w:lastRenderedPageBreak/>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No. 29 of 2014 s. 16.]</w:t>
      </w:r>
    </w:p>
    <w:p>
      <w:pPr>
        <w:pStyle w:val="Heading4"/>
      </w:pPr>
      <w:bookmarkStart w:id="48" w:name="_Toc118361525"/>
      <w:bookmarkStart w:id="49" w:name="_Toc118366608"/>
      <w:bookmarkStart w:id="50" w:name="_Toc118453270"/>
      <w:r>
        <w:t>Subdivision 3 — Appeal against removal of custodial officer</w:t>
      </w:r>
      <w:bookmarkEnd w:id="48"/>
      <w:bookmarkEnd w:id="49"/>
      <w:bookmarkEnd w:id="50"/>
    </w:p>
    <w:p>
      <w:pPr>
        <w:pStyle w:val="Footnoteheading"/>
      </w:pPr>
      <w:r>
        <w:tab/>
        <w:t>[Heading inserted: No. 29 of 2014 s. 16.]</w:t>
      </w:r>
    </w:p>
    <w:p>
      <w:pPr>
        <w:pStyle w:val="Heading5"/>
      </w:pPr>
      <w:bookmarkStart w:id="51" w:name="_Toc118453271"/>
      <w:r>
        <w:rPr>
          <w:rStyle w:val="CharSectno"/>
        </w:rPr>
        <w:t>11CH</w:t>
      </w:r>
      <w:r>
        <w:t>.</w:t>
      </w:r>
      <w:r>
        <w:tab/>
        <w:t>Appeal right</w:t>
      </w:r>
      <w:bookmarkEnd w:id="51"/>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tab/>
        <w:t>(b)</w:t>
      </w:r>
      <w:r>
        <w:tab/>
        <w:t xml:space="preserve">the Senior Commissioner within the meaning of that term in the </w:t>
      </w:r>
      <w:r>
        <w:rPr>
          <w:i/>
        </w:rPr>
        <w:t>Industrial Relations Act 1979</w:t>
      </w:r>
      <w:r>
        <w:t>.</w:t>
      </w:r>
    </w:p>
    <w:p>
      <w:pPr>
        <w:pStyle w:val="Subsection"/>
      </w:pPr>
      <w:r>
        <w:lastRenderedPageBreak/>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No. 29 of 2014 s. 16.]</w:t>
      </w:r>
    </w:p>
    <w:p>
      <w:pPr>
        <w:pStyle w:val="Heading5"/>
      </w:pPr>
      <w:bookmarkStart w:id="52" w:name="_Toc118453272"/>
      <w:r>
        <w:rPr>
          <w:rStyle w:val="CharSectno"/>
        </w:rPr>
        <w:t>11CI</w:t>
      </w:r>
      <w:r>
        <w:t>.</w:t>
      </w:r>
      <w:r>
        <w:tab/>
        <w:t>Proceedings on appeal</w:t>
      </w:r>
      <w:bookmarkEnd w:id="52"/>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tab/>
        <w:t>(ii)</w:t>
      </w:r>
      <w:r>
        <w:tab/>
        <w:t>the special nature of the relationship between the chief executive officer and custodial officers.</w:t>
      </w:r>
    </w:p>
    <w:p>
      <w:pPr>
        <w:pStyle w:val="Footnotesection"/>
      </w:pPr>
      <w:r>
        <w:tab/>
        <w:t>[Section 11CI inserted: No. 29 of 2014 s. 16.]</w:t>
      </w:r>
    </w:p>
    <w:p>
      <w:pPr>
        <w:pStyle w:val="Heading5"/>
      </w:pPr>
      <w:bookmarkStart w:id="53" w:name="_Toc118453273"/>
      <w:r>
        <w:rPr>
          <w:rStyle w:val="CharSectno"/>
        </w:rPr>
        <w:lastRenderedPageBreak/>
        <w:t>11CJ</w:t>
      </w:r>
      <w:r>
        <w:t>.</w:t>
      </w:r>
      <w:r>
        <w:tab/>
        <w:t>Leave to tender new evidence on appeal</w:t>
      </w:r>
      <w:bookmarkEnd w:id="53"/>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No. 29 of 2014 s. 16.]</w:t>
      </w:r>
    </w:p>
    <w:p>
      <w:pPr>
        <w:pStyle w:val="Heading5"/>
        <w:keepNext w:val="0"/>
        <w:keepLines w:val="0"/>
        <w:pageBreakBefore/>
        <w:spacing w:before="0"/>
      </w:pPr>
      <w:bookmarkStart w:id="54" w:name="_Toc118453274"/>
      <w:r>
        <w:rPr>
          <w:rStyle w:val="CharSectno"/>
        </w:rPr>
        <w:lastRenderedPageBreak/>
        <w:t>11CK</w:t>
      </w:r>
      <w:r>
        <w:t>.</w:t>
      </w:r>
      <w:r>
        <w:tab/>
        <w:t>Opportunity to consider new evidence</w:t>
      </w:r>
      <w:bookmarkEnd w:id="54"/>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No. 29 of 2014 s. 16.]</w:t>
      </w:r>
    </w:p>
    <w:p>
      <w:pPr>
        <w:pStyle w:val="Heading5"/>
      </w:pPr>
      <w:bookmarkStart w:id="55" w:name="_Toc118453275"/>
      <w:r>
        <w:rPr>
          <w:rStyle w:val="CharSectno"/>
        </w:rPr>
        <w:t>11CL</w:t>
      </w:r>
      <w:r>
        <w:t>.</w:t>
      </w:r>
      <w:r>
        <w:tab/>
        <w:t>Revocation of removal after consideration of new evidence</w:t>
      </w:r>
      <w:bookmarkEnd w:id="55"/>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lastRenderedPageBreak/>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No. 29 of 2014 s. 16.]</w:t>
      </w:r>
    </w:p>
    <w:p>
      <w:pPr>
        <w:pStyle w:val="Heading5"/>
      </w:pPr>
      <w:bookmarkStart w:id="56" w:name="_Toc118453276"/>
      <w:r>
        <w:rPr>
          <w:rStyle w:val="CharSectno"/>
        </w:rPr>
        <w:t>11CM</w:t>
      </w:r>
      <w:r>
        <w:t>.</w:t>
      </w:r>
      <w:r>
        <w:tab/>
        <w:t xml:space="preserve">Application of </w:t>
      </w:r>
      <w:r>
        <w:rPr>
          <w:i/>
        </w:rPr>
        <w:t>Industrial Relations Act 1979</w:t>
      </w:r>
      <w:r>
        <w:t xml:space="preserve"> to appeals</w:t>
      </w:r>
      <w:bookmarkEnd w:id="56"/>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lastRenderedPageBreak/>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Young Offenders Act 1994</w:t>
            </w:r>
            <w:r>
              <w:t xml:space="preserve"> section 11CH, the Commission may recommend that the parties to the appeal”.</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lastRenderedPageBreak/>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lastRenderedPageBreak/>
              <w:t>s. 90</w:t>
            </w:r>
          </w:p>
        </w:tc>
        <w:tc>
          <w:tcPr>
            <w:tcW w:w="3685" w:type="dxa"/>
            <w:gridSpan w:val="2"/>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Young Offenders Act 1994 </w:t>
            </w:r>
            <w:r>
              <w:t>section 11CP”.</w:t>
            </w:r>
          </w:p>
        </w:tc>
      </w:tr>
    </w:tbl>
    <w:p>
      <w:pPr>
        <w:pStyle w:val="Footnotesection"/>
      </w:pPr>
      <w:r>
        <w:tab/>
        <w:t>[Section 11CM inserted: No. 29 of 2014 s. 16; amended: No. 39 of 2018 s. 72.]</w:t>
      </w:r>
    </w:p>
    <w:p>
      <w:pPr>
        <w:pStyle w:val="Heading5"/>
      </w:pPr>
      <w:bookmarkStart w:id="57" w:name="_Toc118453277"/>
      <w:r>
        <w:rPr>
          <w:rStyle w:val="CharSectno"/>
        </w:rPr>
        <w:t>11CN</w:t>
      </w:r>
      <w:r>
        <w:t>.</w:t>
      </w:r>
      <w:r>
        <w:tab/>
        <w:t>Adjournment of appeal if appellant charged with offence</w:t>
      </w:r>
      <w:bookmarkEnd w:id="57"/>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lastRenderedPageBreak/>
        <w:tab/>
        <w:t>(5)</w:t>
      </w:r>
      <w:r>
        <w:tab/>
        <w:t>Subsections (2) and (4) do not affect any other power of the WAIRC to grant an adjournment.</w:t>
      </w:r>
    </w:p>
    <w:p>
      <w:pPr>
        <w:pStyle w:val="Footnotesection"/>
      </w:pPr>
      <w:r>
        <w:tab/>
        <w:t>[Section 11CN inserted: No. 29 of 2014 s. 16.]</w:t>
      </w:r>
    </w:p>
    <w:p>
      <w:pPr>
        <w:pStyle w:val="Heading5"/>
        <w:spacing w:before="180"/>
      </w:pPr>
      <w:bookmarkStart w:id="58" w:name="_Toc118453278"/>
      <w:r>
        <w:rPr>
          <w:rStyle w:val="CharSectno"/>
        </w:rPr>
        <w:t>11CO</w:t>
      </w:r>
      <w:r>
        <w:t>.</w:t>
      </w:r>
      <w:r>
        <w:tab/>
        <w:t>Resumption of appeal before end of adjournment</w:t>
      </w:r>
      <w:bookmarkEnd w:id="58"/>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No. 29 of 2014 s. 16.]</w:t>
      </w:r>
    </w:p>
    <w:p>
      <w:pPr>
        <w:pStyle w:val="Heading5"/>
        <w:spacing w:before="180"/>
      </w:pPr>
      <w:bookmarkStart w:id="59" w:name="_Toc118453279"/>
      <w:r>
        <w:rPr>
          <w:rStyle w:val="CharSectno"/>
        </w:rPr>
        <w:t>11CP</w:t>
      </w:r>
      <w:r>
        <w:t>.</w:t>
      </w:r>
      <w:r>
        <w:tab/>
        <w:t>Decision by WAIRC</w:t>
      </w:r>
      <w:bookmarkEnd w:id="59"/>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pPr>
        <w:pStyle w:val="Subsection"/>
      </w:pPr>
      <w:r>
        <w:lastRenderedPageBreak/>
        <w:tab/>
        <w:t>(5)</w:t>
      </w:r>
      <w:r>
        <w:tab/>
        <w:t>An order under this section may require that it be complied with within a specified time.</w:t>
      </w:r>
    </w:p>
    <w:p>
      <w:pPr>
        <w:pStyle w:val="Footnotesection"/>
      </w:pPr>
      <w:r>
        <w:tab/>
        <w:t>[Section 11CP inserted: No. 29 of 2014 s. 16.]</w:t>
      </w:r>
    </w:p>
    <w:p>
      <w:pPr>
        <w:pStyle w:val="Heading5"/>
      </w:pPr>
      <w:bookmarkStart w:id="60" w:name="_Toc118453280"/>
      <w:r>
        <w:rPr>
          <w:rStyle w:val="CharSectno"/>
        </w:rPr>
        <w:t>11CQ</w:t>
      </w:r>
      <w:r>
        <w:t>.</w:t>
      </w:r>
      <w:r>
        <w:tab/>
        <w:t>Determining amount of compensation</w:t>
      </w:r>
      <w:bookmarkEnd w:id="60"/>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No. 29 of 2014 s. 16.]</w:t>
      </w:r>
    </w:p>
    <w:p>
      <w:pPr>
        <w:pStyle w:val="Heading5"/>
        <w:keepNext w:val="0"/>
        <w:keepLines w:val="0"/>
      </w:pPr>
      <w:bookmarkStart w:id="61" w:name="_Toc118453281"/>
      <w:r>
        <w:rPr>
          <w:rStyle w:val="CharSectno"/>
        </w:rPr>
        <w:t>11CR</w:t>
      </w:r>
      <w:r>
        <w:t>.</w:t>
      </w:r>
      <w:r>
        <w:tab/>
        <w:t>Restriction on publication</w:t>
      </w:r>
      <w:bookmarkEnd w:id="61"/>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lastRenderedPageBreak/>
        <w:tab/>
        <w:t>(2)</w:t>
      </w:r>
      <w:r>
        <w:tab/>
        <w:t>A person must not contravene a direction given under this section.</w:t>
      </w:r>
    </w:p>
    <w:p>
      <w:pPr>
        <w:pStyle w:val="Penstart"/>
      </w:pPr>
      <w:r>
        <w:tab/>
        <w:t>Penalty: a fine of $4 000 and imprisonment for 12 months.</w:t>
      </w:r>
    </w:p>
    <w:p>
      <w:pPr>
        <w:pStyle w:val="Footnotesection"/>
      </w:pPr>
      <w:r>
        <w:tab/>
        <w:t>[Section 11CR inserted: No. 29 of 2014 s. 16.]</w:t>
      </w:r>
    </w:p>
    <w:p>
      <w:pPr>
        <w:pStyle w:val="Heading4"/>
        <w:spacing w:before="200"/>
      </w:pPr>
      <w:bookmarkStart w:id="62" w:name="_Toc118361537"/>
      <w:bookmarkStart w:id="63" w:name="_Toc118366620"/>
      <w:bookmarkStart w:id="64" w:name="_Toc118453282"/>
      <w:r>
        <w:t>Subdivision 4 — General</w:t>
      </w:r>
      <w:bookmarkEnd w:id="62"/>
      <w:bookmarkEnd w:id="63"/>
      <w:bookmarkEnd w:id="64"/>
    </w:p>
    <w:p>
      <w:pPr>
        <w:pStyle w:val="Footnoteheading"/>
      </w:pPr>
      <w:r>
        <w:tab/>
        <w:t>[Heading inserted: No. 29 of 2014 s. 16.]</w:t>
      </w:r>
    </w:p>
    <w:p>
      <w:pPr>
        <w:pStyle w:val="Heading5"/>
        <w:spacing w:before="180"/>
      </w:pPr>
      <w:bookmarkStart w:id="65" w:name="_Toc118453283"/>
      <w:r>
        <w:rPr>
          <w:rStyle w:val="CharSectno"/>
        </w:rPr>
        <w:t>11CS</w:t>
      </w:r>
      <w:r>
        <w:t>.</w:t>
      </w:r>
      <w:r>
        <w:tab/>
        <w:t>Effect of charge for, or conviction or acquittal of, offence</w:t>
      </w:r>
      <w:bookmarkEnd w:id="65"/>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No. 29 of 2014 s. 16.]</w:t>
      </w:r>
    </w:p>
    <w:p>
      <w:pPr>
        <w:pStyle w:val="Heading5"/>
        <w:spacing w:before="180"/>
      </w:pPr>
      <w:bookmarkStart w:id="66" w:name="_Toc118453284"/>
      <w:r>
        <w:rPr>
          <w:rStyle w:val="CharSectno"/>
        </w:rPr>
        <w:t>11CT</w:t>
      </w:r>
      <w:r>
        <w:t>.</w:t>
      </w:r>
      <w:r>
        <w:tab/>
        <w:t>Failure to comply with procedure</w:t>
      </w:r>
      <w:bookmarkEnd w:id="66"/>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11CT inserted: No. 29 of 2014 s. 16.]</w:t>
      </w:r>
    </w:p>
    <w:p>
      <w:pPr>
        <w:pStyle w:val="Heading5"/>
        <w:spacing w:before="180"/>
      </w:pPr>
      <w:bookmarkStart w:id="67" w:name="_Toc118453285"/>
      <w:r>
        <w:rPr>
          <w:rStyle w:val="CharSectno"/>
        </w:rPr>
        <w:t>11CU</w:t>
      </w:r>
      <w:r>
        <w:t>.</w:t>
      </w:r>
      <w:r>
        <w:tab/>
        <w:t>Transfer, standing down and leave of custodial officer</w:t>
      </w:r>
      <w:bookmarkEnd w:id="67"/>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 xml:space="preserve">stand a custodial officer down from performing that custodial officer’s usual duties, with or without pay, </w:t>
      </w:r>
      <w:r>
        <w:lastRenderedPageBreak/>
        <w:t>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No. 29 of 2014 s. 16.]</w:t>
      </w:r>
    </w:p>
    <w:p>
      <w:pPr>
        <w:pStyle w:val="Heading5"/>
      </w:pPr>
      <w:bookmarkStart w:id="68" w:name="_Toc118453286"/>
      <w:r>
        <w:rPr>
          <w:rStyle w:val="CharSectno"/>
        </w:rPr>
        <w:t>11CV</w:t>
      </w:r>
      <w:r>
        <w:t>.</w:t>
      </w:r>
      <w:r>
        <w:tab/>
        <w:t>Review of Division</w:t>
      </w:r>
      <w:bookmarkEnd w:id="6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 xml:space="preserve">Without limiting subsection (2), in carrying out the review, the Minister must consult with and have regard to the views of the </w:t>
      </w:r>
      <w:r>
        <w:lastRenderedPageBreak/>
        <w:t>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No. 29 of 2014 s. 16.]</w:t>
      </w:r>
    </w:p>
    <w:p>
      <w:pPr>
        <w:pStyle w:val="Heading3"/>
      </w:pPr>
      <w:bookmarkStart w:id="69" w:name="_Toc118361542"/>
      <w:bookmarkStart w:id="70" w:name="_Toc118366625"/>
      <w:bookmarkStart w:id="71" w:name="_Toc118453287"/>
      <w:r>
        <w:rPr>
          <w:rStyle w:val="CharDivNo"/>
        </w:rPr>
        <w:t>Division 4</w:t>
      </w:r>
      <w:r>
        <w:t> — </w:t>
      </w:r>
      <w:r>
        <w:rPr>
          <w:rStyle w:val="CharDivText"/>
        </w:rPr>
        <w:t>Management, control, security and wellbeing of young offenders</w:t>
      </w:r>
      <w:bookmarkEnd w:id="69"/>
      <w:bookmarkEnd w:id="70"/>
      <w:bookmarkEnd w:id="71"/>
    </w:p>
    <w:p>
      <w:pPr>
        <w:pStyle w:val="Footnoteheading"/>
      </w:pPr>
      <w:r>
        <w:tab/>
        <w:t>[Heading inserted: No. 29 of 2014 s. 17.]</w:t>
      </w:r>
    </w:p>
    <w:p>
      <w:pPr>
        <w:pStyle w:val="Heading5"/>
      </w:pPr>
      <w:bookmarkStart w:id="72" w:name="_Toc118453288"/>
      <w:r>
        <w:rPr>
          <w:rStyle w:val="CharSectno"/>
        </w:rPr>
        <w:t>11C</w:t>
      </w:r>
      <w:r>
        <w:t>.</w:t>
      </w:r>
      <w:r>
        <w:tab/>
        <w:t>Use of force</w:t>
      </w:r>
      <w:bookmarkEnd w:id="72"/>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No. 58 of 2004 s. 7; amended: No. 29 of 2014 s. 18.]</w:t>
      </w:r>
    </w:p>
    <w:p>
      <w:pPr>
        <w:pStyle w:val="Heading5"/>
      </w:pPr>
      <w:bookmarkStart w:id="73" w:name="_Toc118453289"/>
      <w:r>
        <w:rPr>
          <w:rStyle w:val="CharSectno"/>
        </w:rPr>
        <w:t>11D</w:t>
      </w:r>
      <w:r>
        <w:t>.</w:t>
      </w:r>
      <w:r>
        <w:tab/>
        <w:t>Use of restraints</w:t>
      </w:r>
      <w:bookmarkEnd w:id="73"/>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 xml:space="preserve">to prevent the escape of a young offender during his or her movement to or from a facility or detention centre, </w:t>
      </w:r>
      <w:r>
        <w:lastRenderedPageBreak/>
        <w:t>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No. 58 of 2004 s. 7.]</w:t>
      </w:r>
    </w:p>
    <w:p>
      <w:pPr>
        <w:pStyle w:val="Heading5"/>
      </w:pPr>
      <w:bookmarkStart w:id="74" w:name="_Toc118453290"/>
      <w:r>
        <w:rPr>
          <w:rStyle w:val="CharSectno"/>
        </w:rPr>
        <w:t>11E</w:t>
      </w:r>
      <w:r>
        <w:t>.</w:t>
      </w:r>
      <w:r>
        <w:tab/>
        <w:t>Assistance by prison officers</w:t>
      </w:r>
      <w:bookmarkEnd w:id="74"/>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No. 58 of 2004 s. 7; amended: No. 29 of 2014 s. 19.]</w:t>
      </w:r>
    </w:p>
    <w:p>
      <w:pPr>
        <w:pStyle w:val="Heading5"/>
      </w:pPr>
      <w:bookmarkStart w:id="75" w:name="_Toc118453291"/>
      <w:r>
        <w:rPr>
          <w:rStyle w:val="CharSectno"/>
        </w:rPr>
        <w:lastRenderedPageBreak/>
        <w:t>11F</w:t>
      </w:r>
      <w:r>
        <w:t>.</w:t>
      </w:r>
      <w:r>
        <w:tab/>
        <w:t>Assistance by police officers</w:t>
      </w:r>
      <w:bookmarkEnd w:id="75"/>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No. 58 of 2004 s. 7; amended: No. 29 of 2014 s. 20.]</w:t>
      </w:r>
    </w:p>
    <w:p>
      <w:pPr>
        <w:pStyle w:val="Heading5"/>
        <w:rPr>
          <w:snapToGrid w:val="0"/>
        </w:rPr>
      </w:pPr>
      <w:bookmarkStart w:id="76" w:name="_Toc118453292"/>
      <w:r>
        <w:rPr>
          <w:rStyle w:val="CharSectno"/>
        </w:rPr>
        <w:t>12</w:t>
      </w:r>
      <w:r>
        <w:rPr>
          <w:snapToGrid w:val="0"/>
        </w:rPr>
        <w:t>.</w:t>
      </w:r>
      <w:r>
        <w:rPr>
          <w:snapToGrid w:val="0"/>
        </w:rPr>
        <w:tab/>
        <w:t>Departmental and subsidised facilities, establishment of</w:t>
      </w:r>
      <w:bookmarkEnd w:id="76"/>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 xml:space="preserve">The chief executive officer may, with the approval of the Minister, make rules for the management and control of </w:t>
      </w:r>
      <w:r>
        <w:rPr>
          <w:snapToGrid w:val="0"/>
        </w:rPr>
        <w:lastRenderedPageBreak/>
        <w:t>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No. 58 of 2004 s. 8; No. 65 of 2006 s. 75.]</w:t>
      </w:r>
    </w:p>
    <w:p>
      <w:pPr>
        <w:pStyle w:val="Heading5"/>
        <w:rPr>
          <w:snapToGrid w:val="0"/>
        </w:rPr>
      </w:pPr>
      <w:bookmarkStart w:id="77" w:name="_Toc118453293"/>
      <w:r>
        <w:rPr>
          <w:rStyle w:val="CharSectno"/>
        </w:rPr>
        <w:t>13</w:t>
      </w:r>
      <w:r>
        <w:rPr>
          <w:snapToGrid w:val="0"/>
        </w:rPr>
        <w:t>.</w:t>
      </w:r>
      <w:r>
        <w:rPr>
          <w:snapToGrid w:val="0"/>
        </w:rPr>
        <w:tab/>
        <w:t>Detention centres, establishing</w:t>
      </w:r>
      <w:bookmarkEnd w:id="77"/>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78" w:name="_Toc118453294"/>
      <w:r>
        <w:rPr>
          <w:rStyle w:val="CharSectno"/>
        </w:rPr>
        <w:t>14</w:t>
      </w:r>
      <w:r>
        <w:rPr>
          <w:snapToGrid w:val="0"/>
        </w:rPr>
        <w:t>.</w:t>
      </w:r>
      <w:r>
        <w:rPr>
          <w:snapToGrid w:val="0"/>
        </w:rPr>
        <w:tab/>
        <w:t>Records of young offenders, duty to keep</w:t>
      </w:r>
      <w:bookmarkEnd w:id="78"/>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lastRenderedPageBreak/>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79" w:name="_Toc118453295"/>
      <w:r>
        <w:rPr>
          <w:rStyle w:val="CharSectno"/>
        </w:rPr>
        <w:t>15</w:t>
      </w:r>
      <w:r>
        <w:rPr>
          <w:snapToGrid w:val="0"/>
        </w:rPr>
        <w:t>.</w:t>
      </w:r>
      <w:r>
        <w:rPr>
          <w:snapToGrid w:val="0"/>
        </w:rPr>
        <w:tab/>
        <w:t>Records of young offenders, access to</w:t>
      </w:r>
      <w:bookmarkEnd w:id="79"/>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lastRenderedPageBreak/>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No. 47 of 1999 s. 41.]</w:t>
      </w:r>
    </w:p>
    <w:p>
      <w:pPr>
        <w:pStyle w:val="Heading5"/>
      </w:pPr>
      <w:bookmarkStart w:id="80" w:name="_Toc118453296"/>
      <w:r>
        <w:rPr>
          <w:rStyle w:val="CharSectno"/>
        </w:rPr>
        <w:t>15A</w:t>
      </w:r>
      <w:r>
        <w:t>.</w:t>
      </w:r>
      <w:r>
        <w:tab/>
        <w:t>Disclosure of personal information relating to young offenders</w:t>
      </w:r>
      <w:bookmarkEnd w:id="80"/>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lastRenderedPageBreak/>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Ednotesubsection"/>
      </w:pPr>
      <w:r>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xml:space="preserve"> — the chief executive officer, a superintendent, an officer, a prison officer, a contract worker (as defined in section 15A of that Act), </w:t>
      </w:r>
      <w:r>
        <w:lastRenderedPageBreak/>
        <w:t>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lastRenderedPageBreak/>
        <w:tab/>
        <w:t>[Section 15A inserted: No. 58 of 2004 s. 9; amended: No. 84 of 2004 s. 82; No. 41 of 2006 s. 86; No. 65 of 2006 s. 76; No. 14 of 2008 s. 44; No. 23 of 2015 s. 22.]</w:t>
      </w:r>
    </w:p>
    <w:p>
      <w:pPr>
        <w:pStyle w:val="Heading5"/>
      </w:pPr>
      <w:bookmarkStart w:id="81" w:name="_Toc118453297"/>
      <w:r>
        <w:rPr>
          <w:rStyle w:val="CharSectno"/>
        </w:rPr>
        <w:t>16</w:t>
      </w:r>
      <w:r>
        <w:t>.</w:t>
      </w:r>
      <w:r>
        <w:tab/>
        <w:t>Exchange of information</w:t>
      </w:r>
      <w:bookmarkEnd w:id="81"/>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lastRenderedPageBreak/>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No. 65 of 2006 s. 77; amended: No. 26 of 2011 s. 8; No. 4 of 2015 s. 89.]</w:t>
      </w:r>
    </w:p>
    <w:p>
      <w:pPr>
        <w:pStyle w:val="Heading5"/>
      </w:pPr>
      <w:bookmarkStart w:id="82" w:name="_Toc118453298"/>
      <w:r>
        <w:rPr>
          <w:rStyle w:val="CharSectno"/>
        </w:rPr>
        <w:t>16A</w:t>
      </w:r>
      <w:r>
        <w:t>.</w:t>
      </w:r>
      <w:r>
        <w:tab/>
        <w:t>Disclosure authorised</w:t>
      </w:r>
      <w:bookmarkEnd w:id="82"/>
    </w:p>
    <w:p>
      <w:pPr>
        <w:pStyle w:val="Subsection"/>
      </w:pPr>
      <w:r>
        <w:tab/>
        <w:t>(1)</w:t>
      </w:r>
      <w:r>
        <w:tab/>
        <w:t>Information may be disclosed under section 15 or 16 despite any written law relating to confidentiality or secrecy.</w:t>
      </w:r>
    </w:p>
    <w:p>
      <w:pPr>
        <w:pStyle w:val="Subsection"/>
        <w:keepNext/>
      </w:pPr>
      <w:r>
        <w:lastRenderedPageBreak/>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No. 65 of 2006 s. 77.]</w:t>
      </w:r>
    </w:p>
    <w:p>
      <w:pPr>
        <w:pStyle w:val="Heading5"/>
      </w:pPr>
      <w:bookmarkStart w:id="83" w:name="_Toc103867566"/>
      <w:bookmarkStart w:id="84" w:name="_Toc118453299"/>
      <w:r>
        <w:rPr>
          <w:rStyle w:val="CharSectno"/>
        </w:rPr>
        <w:t>16B</w:t>
      </w:r>
      <w:r>
        <w:t>.</w:t>
      </w:r>
      <w:r>
        <w:tab/>
        <w:t>Protection of Commissioner of Police reports that may be withdrawn</w:t>
      </w:r>
      <w:bookmarkEnd w:id="83"/>
      <w:bookmarkEnd w:id="84"/>
    </w:p>
    <w:p>
      <w:pPr>
        <w:pStyle w:val="Subsection"/>
      </w:pPr>
      <w:r>
        <w:tab/>
        <w:t>(1)</w:t>
      </w:r>
      <w:r>
        <w:tab/>
        <w:t xml:space="preserve">In this section — </w:t>
      </w:r>
    </w:p>
    <w:p>
      <w:pPr>
        <w:pStyle w:val="Defstart"/>
      </w:pPr>
      <w:r>
        <w:tab/>
      </w:r>
      <w:r>
        <w:rPr>
          <w:rStyle w:val="CharDefText"/>
          <w:szCs w:val="24"/>
        </w:rPr>
        <w:t>Board</w:t>
      </w:r>
      <w:r>
        <w:t xml:space="preserve"> </w:t>
      </w:r>
      <w:r>
        <w:rPr>
          <w:szCs w:val="24"/>
        </w:rPr>
        <w:t>means the Supervised Release Review Board, established under s 151, as constituted by the chairperson alone.</w:t>
      </w:r>
    </w:p>
    <w:p>
      <w:pPr>
        <w:pStyle w:val="Subsection"/>
      </w:pPr>
      <w:r>
        <w:tab/>
        <w:t>(2)</w:t>
      </w:r>
      <w:r>
        <w:tab/>
        <w:t>This section applies if the Board must, under section 150E(2), give the Commissioner of Police an opportunity to withdraw a Commissioner of Police report.</w:t>
      </w:r>
    </w:p>
    <w:p>
      <w:pPr>
        <w:pStyle w:val="Subsection"/>
      </w:pPr>
      <w:r>
        <w:tab/>
        <w:t>(3)</w:t>
      </w:r>
      <w:r>
        <w:tab/>
        <w:t>Until the Commissioner of Police is given a reasonable opportunity to withdraw the report, the Board must take all reasonable steps to prohibit the publication of, or a reference to, the report.</w:t>
      </w:r>
    </w:p>
    <w:p>
      <w:pPr>
        <w:pStyle w:val="Footnotesection"/>
      </w:pPr>
      <w:bookmarkStart w:id="85" w:name="_Toc103867567"/>
      <w:r>
        <w:tab/>
        <w:t>[Section 16B inserted: No. 14 of 2022 s. 31.]</w:t>
      </w:r>
    </w:p>
    <w:p>
      <w:pPr>
        <w:pStyle w:val="Heading5"/>
      </w:pPr>
      <w:bookmarkStart w:id="86" w:name="_Toc118453300"/>
      <w:r>
        <w:rPr>
          <w:rStyle w:val="CharSectno"/>
        </w:rPr>
        <w:t>16C</w:t>
      </w:r>
      <w:r>
        <w:t>.</w:t>
      </w:r>
      <w:r>
        <w:tab/>
        <w:t>Protection of Commissioner of Police reports containing terrorist intelligence information</w:t>
      </w:r>
      <w:bookmarkEnd w:id="85"/>
      <w:bookmarkEnd w:id="86"/>
    </w:p>
    <w:p>
      <w:pPr>
        <w:pStyle w:val="Subsection"/>
      </w:pPr>
      <w:r>
        <w:tab/>
        <w:t>(1)</w:t>
      </w:r>
      <w:r>
        <w:tab/>
        <w:t xml:space="preserve">In this section — </w:t>
      </w:r>
    </w:p>
    <w:p>
      <w:pPr>
        <w:pStyle w:val="Defstart"/>
      </w:pPr>
      <w:r>
        <w:tab/>
      </w:r>
      <w:r>
        <w:rPr>
          <w:rStyle w:val="CharDefText"/>
          <w:szCs w:val="24"/>
        </w:rPr>
        <w:t>Board</w:t>
      </w:r>
      <w:r>
        <w:t xml:space="preserve"> </w:t>
      </w:r>
      <w:r>
        <w:rPr>
          <w:szCs w:val="24"/>
        </w:rPr>
        <w:t>means the Supervised Release Review Board, established under s 151, as constituted by the chairperson alone.</w:t>
      </w:r>
    </w:p>
    <w:p>
      <w:pPr>
        <w:pStyle w:val="Subsection"/>
      </w:pPr>
      <w:r>
        <w:lastRenderedPageBreak/>
        <w:tab/>
        <w:t>(2)</w:t>
      </w:r>
      <w:r>
        <w:tab/>
        <w:t>The Board must take all reasonable steps to maintain the confidentiality of a Commissioner of Police report that the Board is satisfied contains terrorist intelligence information, including —</w:t>
      </w:r>
    </w:p>
    <w:p>
      <w:pPr>
        <w:pStyle w:val="Indenta"/>
      </w:pPr>
      <w:r>
        <w:tab/>
        <w:t>(a)</w:t>
      </w:r>
      <w:r>
        <w:tab/>
        <w:t>receiving the report or hearing argument, or opinion, about the report in private and in the absence of any person other than a person to whose presence the Board consents; and</w:t>
      </w:r>
    </w:p>
    <w:p>
      <w:pPr>
        <w:pStyle w:val="Indenta"/>
      </w:pPr>
      <w:r>
        <w:tab/>
        <w:t>(b)</w:t>
      </w:r>
      <w:r>
        <w:tab/>
        <w:t>except as provided in paragraph (a), prohibiting the publication of, or a reference to, the report; and</w:t>
      </w:r>
    </w:p>
    <w:p>
      <w:pPr>
        <w:pStyle w:val="Indenta"/>
      </w:pPr>
      <w:r>
        <w:tab/>
        <w:t>(c)</w:t>
      </w:r>
      <w:r>
        <w:tab/>
        <w:t>withholding any or all of the reasons for a decision.</w:t>
      </w:r>
    </w:p>
    <w:p>
      <w:pPr>
        <w:pStyle w:val="Subsection"/>
      </w:pPr>
      <w:r>
        <w:tab/>
        <w:t>(3)</w:t>
      </w:r>
      <w:r>
        <w:tab/>
        <w:t xml:space="preserve">Despite subsection (2), the Board may give the report to — </w:t>
      </w:r>
    </w:p>
    <w:p>
      <w:pPr>
        <w:pStyle w:val="Indenta"/>
      </w:pPr>
      <w:r>
        <w:tab/>
        <w:t>(a)</w:t>
      </w:r>
      <w:r>
        <w:tab/>
        <w:t>the Attorney</w:t>
      </w:r>
      <w:r>
        <w:rPr>
          <w:szCs w:val="24"/>
        </w:rPr>
        <w:t xml:space="preserve"> General; or </w:t>
      </w:r>
    </w:p>
    <w:p>
      <w:pPr>
        <w:pStyle w:val="Indenta"/>
      </w:pPr>
      <w:r>
        <w:tab/>
        <w:t>(b)</w:t>
      </w:r>
      <w:r>
        <w:tab/>
        <w:t>a court; or</w:t>
      </w:r>
    </w:p>
    <w:p>
      <w:pPr>
        <w:pStyle w:val="Indenta"/>
      </w:pPr>
      <w:r>
        <w:tab/>
        <w:t>(c)</w:t>
      </w:r>
      <w:r>
        <w:tab/>
        <w:t>a person to whom the Board authorises disclosure.</w:t>
      </w:r>
    </w:p>
    <w:p>
      <w:pPr>
        <w:pStyle w:val="Subsection"/>
      </w:pPr>
      <w:r>
        <w:tab/>
        <w:t>(4)</w:t>
      </w:r>
      <w:r>
        <w:tab/>
        <w:t>Before giving a report under subsection (3)(b) or (c), the Board must, in writing, notify the Commissioner of Police of the Board’s intention to give the report.</w:t>
      </w:r>
    </w:p>
    <w:p>
      <w:pPr>
        <w:pStyle w:val="Footnotesection"/>
      </w:pPr>
      <w:bookmarkStart w:id="87" w:name="_Toc103867568"/>
      <w:r>
        <w:tab/>
        <w:t>[Section 16C inserted: No. 14 of 2022 s. 31.]</w:t>
      </w:r>
    </w:p>
    <w:p>
      <w:pPr>
        <w:pStyle w:val="Heading5"/>
      </w:pPr>
      <w:bookmarkStart w:id="88" w:name="_Toc118453301"/>
      <w:r>
        <w:rPr>
          <w:rStyle w:val="CharSectno"/>
        </w:rPr>
        <w:t>16D</w:t>
      </w:r>
      <w:r>
        <w:t>.</w:t>
      </w:r>
      <w:r>
        <w:tab/>
        <w:t>Protection of terrorist intelligence information in legal proceedings</w:t>
      </w:r>
      <w:bookmarkEnd w:id="87"/>
      <w:bookmarkEnd w:id="88"/>
    </w:p>
    <w:p>
      <w:pPr>
        <w:pStyle w:val="Subsection"/>
      </w:pPr>
      <w:r>
        <w:tab/>
        <w:t>(1)</w:t>
      </w:r>
      <w:r>
        <w:tab/>
        <w:t xml:space="preserve">In this section — </w:t>
      </w:r>
    </w:p>
    <w:p>
      <w:pPr>
        <w:pStyle w:val="Defstart"/>
      </w:pPr>
      <w:r>
        <w:tab/>
      </w:r>
      <w:r>
        <w:rPr>
          <w:rStyle w:val="CharDefText"/>
        </w:rPr>
        <w:t>court</w:t>
      </w:r>
      <w:r>
        <w:t xml:space="preserve"> includes any tribunal, authority or person having power to require the production of documents or the answering of questions;</w:t>
      </w:r>
    </w:p>
    <w:p>
      <w:pPr>
        <w:pStyle w:val="Defstart"/>
      </w:pPr>
      <w:r>
        <w:tab/>
      </w:r>
      <w:r>
        <w:rPr>
          <w:rStyle w:val="CharDefText"/>
        </w:rPr>
        <w:t>disclosure requirement</w:t>
      </w:r>
      <w:r>
        <w:t xml:space="preserve"> means a requirement under the </w:t>
      </w:r>
      <w:r>
        <w:rPr>
          <w:i/>
        </w:rPr>
        <w:t>Criminal Procedure Act 2004</w:t>
      </w:r>
      <w:r>
        <w:t xml:space="preserve"> section 35, 42, 61 or 95 to disclose any information.</w:t>
      </w:r>
    </w:p>
    <w:p>
      <w:pPr>
        <w:pStyle w:val="Subsection"/>
      </w:pPr>
      <w:r>
        <w:tab/>
        <w:t>(2)</w:t>
      </w:r>
      <w:r>
        <w:tab/>
      </w:r>
      <w:r>
        <w:rPr>
          <w:szCs w:val="24"/>
        </w:rPr>
        <w:t xml:space="preserve">In any legal proceedings relating to, or requiring the disclosure of, information included in a </w:t>
      </w:r>
      <w:r>
        <w:t xml:space="preserve">Commissioner of Police report that </w:t>
      </w:r>
      <w:r>
        <w:lastRenderedPageBreak/>
        <w:t>the court is satisfied is terrorist intelligence information</w:t>
      </w:r>
      <w:r>
        <w:rPr>
          <w:szCs w:val="24"/>
        </w:rPr>
        <w:t xml:space="preserve">, the court must — </w:t>
      </w:r>
    </w:p>
    <w:p>
      <w:pPr>
        <w:pStyle w:val="Indenta"/>
      </w:pPr>
      <w:r>
        <w:tab/>
        <w:t>(a)</w:t>
      </w:r>
      <w:r>
        <w:tab/>
        <w:t>dispense with the disclosure requirements in relation to the information if the court is satisfied that no miscarriage of justice will result; and</w:t>
      </w:r>
    </w:p>
    <w:p>
      <w:pPr>
        <w:pStyle w:val="Indenta"/>
      </w:pPr>
      <w:r>
        <w:tab/>
        <w:t>(b)</w:t>
      </w:r>
      <w:r>
        <w:tab/>
        <w:t>ensure that such parts of the proceeding relating to the disclosure of the information are held in private; and</w:t>
      </w:r>
    </w:p>
    <w:p>
      <w:pPr>
        <w:pStyle w:val="Indenta"/>
      </w:pPr>
      <w:r>
        <w:tab/>
        <w:t>(c)</w:t>
      </w:r>
      <w:r>
        <w:tab/>
        <w:t>make such orders as to the suppression of evidence given before the court that, in the court’s opinion, will ensure that the information is not disclosed; and</w:t>
      </w:r>
    </w:p>
    <w:p>
      <w:pPr>
        <w:pStyle w:val="Indenta"/>
      </w:pPr>
      <w:r>
        <w:tab/>
        <w:t>(d)</w:t>
      </w:r>
      <w:r>
        <w:tab/>
        <w:t>make orders prohibiting the publication of the information.</w:t>
      </w:r>
    </w:p>
    <w:p>
      <w:pPr>
        <w:pStyle w:val="Subsection"/>
      </w:pPr>
      <w:r>
        <w:tab/>
        <w:t>(3)</w:t>
      </w:r>
      <w:r>
        <w:tab/>
      </w:r>
      <w:r>
        <w:rPr>
          <w:szCs w:val="24"/>
        </w:rPr>
        <w:t>Without limiting the matters that the court may consider for the purpose of determining if the information is terrorist intelligence information, the court must, before it makes the determination, give the Commissioner of Police an opportunity to be heard by, or to make written submissions to, the court.</w:t>
      </w:r>
    </w:p>
    <w:p>
      <w:pPr>
        <w:pStyle w:val="Footnotesection"/>
      </w:pPr>
      <w:r>
        <w:tab/>
        <w:t>[Section 16D inserted: No. 14 of 2022 s. 31.]</w:t>
      </w:r>
    </w:p>
    <w:p>
      <w:pPr>
        <w:pStyle w:val="Heading5"/>
        <w:rPr>
          <w:snapToGrid w:val="0"/>
        </w:rPr>
      </w:pPr>
      <w:bookmarkStart w:id="89" w:name="_Toc118453302"/>
      <w:r>
        <w:rPr>
          <w:rStyle w:val="CharSectno"/>
        </w:rPr>
        <w:t>17</w:t>
      </w:r>
      <w:r>
        <w:rPr>
          <w:snapToGrid w:val="0"/>
        </w:rPr>
        <w:t>.</w:t>
      </w:r>
      <w:r>
        <w:rPr>
          <w:snapToGrid w:val="0"/>
        </w:rPr>
        <w:tab/>
        <w:t>Confidentiality</w:t>
      </w:r>
      <w:bookmarkEnd w:id="89"/>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lastRenderedPageBreak/>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No. 58 of 2004 s. 10.]</w:t>
      </w:r>
    </w:p>
    <w:p>
      <w:pPr>
        <w:pStyle w:val="Heading3"/>
        <w:keepNext w:val="0"/>
        <w:spacing w:before="180"/>
      </w:pPr>
      <w:bookmarkStart w:id="90" w:name="_Toc118361555"/>
      <w:bookmarkStart w:id="91" w:name="_Toc118366641"/>
      <w:bookmarkStart w:id="92" w:name="_Toc118453303"/>
      <w:r>
        <w:rPr>
          <w:rStyle w:val="CharDivNo"/>
        </w:rPr>
        <w:t>Division 5</w:t>
      </w:r>
      <w:r>
        <w:t> — </w:t>
      </w:r>
      <w:r>
        <w:rPr>
          <w:rStyle w:val="CharDivText"/>
        </w:rPr>
        <w:t>Arrangements with councils of Aboriginal communities</w:t>
      </w:r>
      <w:bookmarkEnd w:id="90"/>
      <w:bookmarkEnd w:id="91"/>
      <w:bookmarkEnd w:id="92"/>
    </w:p>
    <w:p>
      <w:pPr>
        <w:pStyle w:val="Footnotesection"/>
      </w:pPr>
      <w:r>
        <w:tab/>
        <w:t>[Division 5 heading, formerly Division 2 heading inserted: No. 29 of 2014 s. 21.]</w:t>
      </w:r>
    </w:p>
    <w:p>
      <w:pPr>
        <w:pStyle w:val="Heading5"/>
        <w:spacing w:before="180"/>
      </w:pPr>
      <w:bookmarkStart w:id="93" w:name="_Toc118453304"/>
      <w:r>
        <w:rPr>
          <w:rStyle w:val="CharSectno"/>
        </w:rPr>
        <w:t>17A</w:t>
      </w:r>
      <w:r>
        <w:t>.</w:t>
      </w:r>
      <w:r>
        <w:tab/>
        <w:t>Terms used</w:t>
      </w:r>
      <w:bookmarkEnd w:id="93"/>
    </w:p>
    <w:p>
      <w:pPr>
        <w:pStyle w:val="Subsection"/>
        <w:spacing w:before="100"/>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lastRenderedPageBreak/>
        <w:tab/>
        <w:t>(b)</w:t>
      </w:r>
      <w:r>
        <w:tab/>
        <w:t>ensuring that the young person is living in safe circumstances and is not at risk of harm;</w:t>
      </w:r>
    </w:p>
    <w:p>
      <w:pPr>
        <w:pStyle w:val="Defpara"/>
      </w:pPr>
      <w:r>
        <w:tab/>
        <w:t>(c)</w:t>
      </w:r>
      <w:r>
        <w:tab/>
        <w:t>assisting the young person with advice or support.</w:t>
      </w:r>
    </w:p>
    <w:p>
      <w:pPr>
        <w:pStyle w:val="Footnotesection"/>
      </w:pPr>
      <w:r>
        <w:tab/>
        <w:t>[Section 17A inserted: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94" w:name="_Toc118453305"/>
      <w:r>
        <w:rPr>
          <w:rStyle w:val="CharSectno"/>
        </w:rPr>
        <w:t>17B</w:t>
      </w:r>
      <w:r>
        <w:t>.</w:t>
      </w:r>
      <w:r>
        <w:tab/>
        <w:t>Community supervision agreement</w:t>
      </w:r>
      <w:bookmarkEnd w:id="94"/>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No. 58 of 2004 s. 11.]</w:t>
      </w:r>
    </w:p>
    <w:p>
      <w:pPr>
        <w:pStyle w:val="Heading5"/>
        <w:spacing w:before="180"/>
      </w:pPr>
      <w:bookmarkStart w:id="95" w:name="_Toc118453306"/>
      <w:r>
        <w:rPr>
          <w:rStyle w:val="CharSectno"/>
        </w:rPr>
        <w:t>17C</w:t>
      </w:r>
      <w:r>
        <w:t>.</w:t>
      </w:r>
      <w:r>
        <w:tab/>
        <w:t>Appointment of monitor</w:t>
      </w:r>
      <w:bookmarkEnd w:id="95"/>
    </w:p>
    <w:p>
      <w:pPr>
        <w:pStyle w:val="Subsection"/>
        <w:spacing w:before="140"/>
      </w:pPr>
      <w:r>
        <w:tab/>
        <w:t>(1)</w:t>
      </w:r>
      <w:r>
        <w:tab/>
      </w:r>
      <w:r>
        <w:rPr>
          <w:spacing w:val="-4"/>
        </w:rPr>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keepNext/>
        <w:spacing w:before="140"/>
      </w:pPr>
      <w:r>
        <w:lastRenderedPageBreak/>
        <w:tab/>
        <w:t>(4)</w:t>
      </w:r>
      <w:r>
        <w:tab/>
        <w:t>The chief executive officer may at any time cancel the appointment of a monitor.</w:t>
      </w:r>
    </w:p>
    <w:p>
      <w:pPr>
        <w:pStyle w:val="Footnotesection"/>
        <w:spacing w:before="100"/>
        <w:ind w:left="890" w:hanging="890"/>
      </w:pPr>
      <w:r>
        <w:tab/>
        <w:t>[Section 17C inserted: No. 58 of 2004 s. 11.]</w:t>
      </w:r>
    </w:p>
    <w:p>
      <w:pPr>
        <w:pStyle w:val="Heading5"/>
        <w:spacing w:before="180"/>
      </w:pPr>
      <w:bookmarkStart w:id="96" w:name="_Toc118453307"/>
      <w:r>
        <w:rPr>
          <w:rStyle w:val="CharSectno"/>
        </w:rPr>
        <w:t>17D</w:t>
      </w:r>
      <w:r>
        <w:t>.</w:t>
      </w:r>
      <w:r>
        <w:tab/>
        <w:t>Compensation for injury</w:t>
      </w:r>
      <w:bookmarkEnd w:id="96"/>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2</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No. 58 of 2004 s. 11.]</w:t>
      </w:r>
    </w:p>
    <w:p>
      <w:pPr>
        <w:pStyle w:val="Heading2"/>
      </w:pPr>
      <w:bookmarkStart w:id="97" w:name="_Toc118361560"/>
      <w:bookmarkStart w:id="98" w:name="_Toc118366646"/>
      <w:bookmarkStart w:id="99" w:name="_Toc118453308"/>
      <w:r>
        <w:rPr>
          <w:rStyle w:val="CharPartNo"/>
        </w:rPr>
        <w:lastRenderedPageBreak/>
        <w:t>Part 4</w:t>
      </w:r>
      <w:r>
        <w:rPr>
          <w:rStyle w:val="CharDivNo"/>
        </w:rPr>
        <w:t> </w:t>
      </w:r>
      <w:r>
        <w:t>—</w:t>
      </w:r>
      <w:r>
        <w:rPr>
          <w:rStyle w:val="CharDivText"/>
        </w:rPr>
        <w:t> </w:t>
      </w:r>
      <w:r>
        <w:rPr>
          <w:rStyle w:val="CharPartText"/>
        </w:rPr>
        <w:t>Young persons in custody before being dealt with for an offence</w:t>
      </w:r>
      <w:bookmarkEnd w:id="97"/>
      <w:bookmarkEnd w:id="98"/>
      <w:bookmarkEnd w:id="99"/>
      <w:r>
        <w:rPr>
          <w:rStyle w:val="CharPartText"/>
        </w:rPr>
        <w:t xml:space="preserve"> </w:t>
      </w:r>
    </w:p>
    <w:p>
      <w:pPr>
        <w:pStyle w:val="Ednotesection"/>
      </w:pPr>
      <w:r>
        <w:t>[</w:t>
      </w:r>
      <w:r>
        <w:rPr>
          <w:b/>
        </w:rPr>
        <w:t>18.</w:t>
      </w:r>
      <w:r>
        <w:tab/>
        <w:t xml:space="preserve">Deleted: No. 50 of 2000 s. 30.] </w:t>
      </w:r>
    </w:p>
    <w:p>
      <w:pPr>
        <w:pStyle w:val="Heading5"/>
        <w:rPr>
          <w:snapToGrid w:val="0"/>
        </w:rPr>
      </w:pPr>
      <w:bookmarkStart w:id="100" w:name="_Toc118453309"/>
      <w:r>
        <w:rPr>
          <w:rStyle w:val="CharSectno"/>
        </w:rPr>
        <w:t>19</w:t>
      </w:r>
      <w:r>
        <w:rPr>
          <w:snapToGrid w:val="0"/>
        </w:rPr>
        <w:t>.</w:t>
      </w:r>
      <w:r>
        <w:rPr>
          <w:snapToGrid w:val="0"/>
        </w:rPr>
        <w:tab/>
        <w:t>Detention of young offenders apprehended by police</w:t>
      </w:r>
      <w:bookmarkEnd w:id="100"/>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101" w:name="_Toc118453310"/>
      <w:r>
        <w:rPr>
          <w:rStyle w:val="CharSectno"/>
        </w:rPr>
        <w:t>20</w:t>
      </w:r>
      <w:r>
        <w:rPr>
          <w:snapToGrid w:val="0"/>
        </w:rPr>
        <w:t>.</w:t>
      </w:r>
      <w:r>
        <w:rPr>
          <w:snapToGrid w:val="0"/>
        </w:rPr>
        <w:tab/>
        <w:t>Responsible adult to be notified</w:t>
      </w:r>
      <w:bookmarkEnd w:id="101"/>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lastRenderedPageBreak/>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102" w:name="_Toc118453311"/>
      <w:r>
        <w:rPr>
          <w:rStyle w:val="CharSectno"/>
        </w:rPr>
        <w:t>21</w:t>
      </w:r>
      <w:r>
        <w:rPr>
          <w:snapToGrid w:val="0"/>
        </w:rPr>
        <w:t>.</w:t>
      </w:r>
      <w:r>
        <w:rPr>
          <w:snapToGrid w:val="0"/>
        </w:rPr>
        <w:tab/>
        <w:t>Young person in custody awaiting trial</w:t>
      </w:r>
      <w:bookmarkEnd w:id="102"/>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lastRenderedPageBreak/>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103" w:name="_Toc118361564"/>
      <w:bookmarkStart w:id="104" w:name="_Toc118366650"/>
      <w:bookmarkStart w:id="105" w:name="_Toc118453312"/>
      <w:r>
        <w:rPr>
          <w:rStyle w:val="CharPartNo"/>
        </w:rPr>
        <w:lastRenderedPageBreak/>
        <w:t>Part 5</w:t>
      </w:r>
      <w:r>
        <w:t> — </w:t>
      </w:r>
      <w:r>
        <w:rPr>
          <w:rStyle w:val="CharPartText"/>
        </w:rPr>
        <w:t>Dealing with young offenders without taking court proceedings</w:t>
      </w:r>
      <w:bookmarkEnd w:id="103"/>
      <w:bookmarkEnd w:id="104"/>
      <w:bookmarkEnd w:id="105"/>
      <w:r>
        <w:rPr>
          <w:rStyle w:val="CharPartText"/>
        </w:rPr>
        <w:t xml:space="preserve"> </w:t>
      </w:r>
    </w:p>
    <w:p>
      <w:pPr>
        <w:pStyle w:val="Heading3"/>
        <w:rPr>
          <w:snapToGrid w:val="0"/>
        </w:rPr>
      </w:pPr>
      <w:bookmarkStart w:id="106" w:name="_Toc118361565"/>
      <w:bookmarkStart w:id="107" w:name="_Toc118366651"/>
      <w:bookmarkStart w:id="108" w:name="_Toc118453313"/>
      <w:r>
        <w:rPr>
          <w:rStyle w:val="CharDivNo"/>
        </w:rPr>
        <w:t>Division 1</w:t>
      </w:r>
      <w:r>
        <w:rPr>
          <w:snapToGrid w:val="0"/>
        </w:rPr>
        <w:t> — </w:t>
      </w:r>
      <w:r>
        <w:rPr>
          <w:rStyle w:val="CharDivText"/>
        </w:rPr>
        <w:t>Cautioning</w:t>
      </w:r>
      <w:bookmarkEnd w:id="106"/>
      <w:bookmarkEnd w:id="107"/>
      <w:bookmarkEnd w:id="108"/>
      <w:r>
        <w:rPr>
          <w:rStyle w:val="CharDivText"/>
        </w:rPr>
        <w:t xml:space="preserve"> </w:t>
      </w:r>
    </w:p>
    <w:p>
      <w:pPr>
        <w:pStyle w:val="Heading5"/>
        <w:rPr>
          <w:snapToGrid w:val="0"/>
        </w:rPr>
      </w:pPr>
      <w:bookmarkStart w:id="109" w:name="_Toc118453314"/>
      <w:r>
        <w:rPr>
          <w:rStyle w:val="CharSectno"/>
        </w:rPr>
        <w:t>22A</w:t>
      </w:r>
      <w:r>
        <w:rPr>
          <w:snapToGrid w:val="0"/>
        </w:rPr>
        <w:t>.</w:t>
      </w:r>
      <w:r>
        <w:rPr>
          <w:snapToGrid w:val="0"/>
        </w:rPr>
        <w:tab/>
        <w:t>Purpose of this Division</w:t>
      </w:r>
      <w:bookmarkEnd w:id="109"/>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110" w:name="_Toc118453315"/>
      <w:r>
        <w:rPr>
          <w:rStyle w:val="CharSectno"/>
        </w:rPr>
        <w:t>22B</w:t>
      </w:r>
      <w:r>
        <w:rPr>
          <w:snapToGrid w:val="0"/>
        </w:rPr>
        <w:t>.</w:t>
      </w:r>
      <w:r>
        <w:rPr>
          <w:snapToGrid w:val="0"/>
        </w:rPr>
        <w:tab/>
        <w:t>Police officer to consider alternatives to court proceedings</w:t>
      </w:r>
      <w:bookmarkEnd w:id="110"/>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111" w:name="_Toc118453316"/>
      <w:r>
        <w:rPr>
          <w:rStyle w:val="CharSectno"/>
        </w:rPr>
        <w:t>22</w:t>
      </w:r>
      <w:r>
        <w:rPr>
          <w:snapToGrid w:val="0"/>
        </w:rPr>
        <w:t>.</w:t>
      </w:r>
      <w:r>
        <w:rPr>
          <w:snapToGrid w:val="0"/>
        </w:rPr>
        <w:tab/>
        <w:t>Cautions may be given except for Sch. 1 or 2 offences</w:t>
      </w:r>
      <w:bookmarkEnd w:id="111"/>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112" w:name="_Toc118453317"/>
      <w:r>
        <w:rPr>
          <w:rStyle w:val="CharSectno"/>
        </w:rPr>
        <w:lastRenderedPageBreak/>
        <w:t>23</w:t>
      </w:r>
      <w:r>
        <w:rPr>
          <w:snapToGrid w:val="0"/>
        </w:rPr>
        <w:t>.</w:t>
      </w:r>
      <w:r>
        <w:rPr>
          <w:snapToGrid w:val="0"/>
        </w:rPr>
        <w:tab/>
        <w:t>Cautioning to be preferred in certain cases</w:t>
      </w:r>
      <w:bookmarkEnd w:id="112"/>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113" w:name="_Toc118453318"/>
      <w:r>
        <w:rPr>
          <w:rStyle w:val="CharSectno"/>
        </w:rPr>
        <w:t>23A</w:t>
      </w:r>
      <w:r>
        <w:rPr>
          <w:snapToGrid w:val="0"/>
        </w:rPr>
        <w:t>.</w:t>
      </w:r>
      <w:r>
        <w:rPr>
          <w:snapToGrid w:val="0"/>
        </w:rPr>
        <w:tab/>
        <w:t>Caution certificate to be given</w:t>
      </w:r>
      <w:bookmarkEnd w:id="113"/>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No. 47 of 1998 s. 8.]</w:t>
      </w:r>
    </w:p>
    <w:p>
      <w:pPr>
        <w:pStyle w:val="Heading5"/>
        <w:rPr>
          <w:snapToGrid w:val="0"/>
        </w:rPr>
      </w:pPr>
      <w:bookmarkStart w:id="114" w:name="_Toc118453319"/>
      <w:r>
        <w:rPr>
          <w:rStyle w:val="CharSectno"/>
        </w:rPr>
        <w:lastRenderedPageBreak/>
        <w:t>23B</w:t>
      </w:r>
      <w:r>
        <w:rPr>
          <w:snapToGrid w:val="0"/>
        </w:rPr>
        <w:t>.</w:t>
      </w:r>
      <w:r>
        <w:rPr>
          <w:snapToGrid w:val="0"/>
        </w:rPr>
        <w:tab/>
        <w:t>Police officer may retain a thing relating to an offence</w:t>
      </w:r>
      <w:bookmarkEnd w:id="114"/>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No. 47 of 1998 s. 9.]</w:t>
      </w:r>
    </w:p>
    <w:p>
      <w:pPr>
        <w:pStyle w:val="Heading3"/>
        <w:rPr>
          <w:snapToGrid w:val="0"/>
        </w:rPr>
      </w:pPr>
      <w:bookmarkStart w:id="115" w:name="_Toc118361572"/>
      <w:bookmarkStart w:id="116" w:name="_Toc118366658"/>
      <w:bookmarkStart w:id="117" w:name="_Toc118453320"/>
      <w:r>
        <w:rPr>
          <w:rStyle w:val="CharDivNo"/>
        </w:rPr>
        <w:t>Division 2</w:t>
      </w:r>
      <w:r>
        <w:rPr>
          <w:snapToGrid w:val="0"/>
        </w:rPr>
        <w:t> — </w:t>
      </w:r>
      <w:r>
        <w:rPr>
          <w:rStyle w:val="CharDivText"/>
        </w:rPr>
        <w:t>Referral to juvenile justice team</w:t>
      </w:r>
      <w:bookmarkEnd w:id="115"/>
      <w:bookmarkEnd w:id="116"/>
      <w:bookmarkEnd w:id="117"/>
      <w:r>
        <w:rPr>
          <w:rStyle w:val="CharDivText"/>
        </w:rPr>
        <w:t xml:space="preserve"> </w:t>
      </w:r>
    </w:p>
    <w:p>
      <w:pPr>
        <w:pStyle w:val="Heading5"/>
        <w:rPr>
          <w:snapToGrid w:val="0"/>
        </w:rPr>
      </w:pPr>
      <w:bookmarkStart w:id="118" w:name="_Toc118453321"/>
      <w:r>
        <w:rPr>
          <w:rStyle w:val="CharSectno"/>
        </w:rPr>
        <w:t>24</w:t>
      </w:r>
      <w:r>
        <w:rPr>
          <w:snapToGrid w:val="0"/>
        </w:rPr>
        <w:t>.</w:t>
      </w:r>
      <w:r>
        <w:rPr>
          <w:snapToGrid w:val="0"/>
        </w:rPr>
        <w:tab/>
        <w:t>Principles</w:t>
      </w:r>
      <w:bookmarkEnd w:id="118"/>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lastRenderedPageBreak/>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119" w:name="_Toc118453322"/>
      <w:r>
        <w:rPr>
          <w:rStyle w:val="CharSectno"/>
        </w:rPr>
        <w:t>25</w:t>
      </w:r>
      <w:r>
        <w:rPr>
          <w:snapToGrid w:val="0"/>
        </w:rPr>
        <w:t>.</w:t>
      </w:r>
      <w:r>
        <w:rPr>
          <w:snapToGrid w:val="0"/>
        </w:rPr>
        <w:tab/>
        <w:t>Only certain matters may be referred to teams</w:t>
      </w:r>
      <w:bookmarkEnd w:id="119"/>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lastRenderedPageBreak/>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No. 58 of 2004 s. 12; No. 45 of 2010 s. 12.]</w:t>
      </w:r>
    </w:p>
    <w:p>
      <w:pPr>
        <w:pStyle w:val="Heading5"/>
        <w:rPr>
          <w:snapToGrid w:val="0"/>
        </w:rPr>
      </w:pPr>
      <w:bookmarkStart w:id="120" w:name="_Toc118453323"/>
      <w:r>
        <w:rPr>
          <w:rStyle w:val="CharSectno"/>
        </w:rPr>
        <w:t>26</w:t>
      </w:r>
      <w:r>
        <w:rPr>
          <w:snapToGrid w:val="0"/>
        </w:rPr>
        <w:t>.</w:t>
      </w:r>
      <w:r>
        <w:rPr>
          <w:snapToGrid w:val="0"/>
        </w:rPr>
        <w:tab/>
        <w:t>Release of young person under arrest</w:t>
      </w:r>
      <w:bookmarkEnd w:id="120"/>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121" w:name="_Toc118453324"/>
      <w:r>
        <w:rPr>
          <w:rStyle w:val="CharSectno"/>
        </w:rPr>
        <w:t>27</w:t>
      </w:r>
      <w:r>
        <w:rPr>
          <w:snapToGrid w:val="0"/>
        </w:rPr>
        <w:t>.</w:t>
      </w:r>
      <w:r>
        <w:rPr>
          <w:snapToGrid w:val="0"/>
        </w:rPr>
        <w:tab/>
        <w:t>Referral to team by prosecutor</w:t>
      </w:r>
      <w:bookmarkEnd w:id="121"/>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122" w:name="_Toc118453325"/>
      <w:r>
        <w:rPr>
          <w:rStyle w:val="CharSectno"/>
        </w:rPr>
        <w:lastRenderedPageBreak/>
        <w:t>28</w:t>
      </w:r>
      <w:r>
        <w:t>.</w:t>
      </w:r>
      <w:r>
        <w:tab/>
      </w:r>
      <w:r>
        <w:rPr>
          <w:snapToGrid w:val="0"/>
        </w:rPr>
        <w:t>Referral to team by court</w:t>
      </w:r>
      <w:bookmarkEnd w:id="122"/>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No. 58 of 2004 s. 13.]</w:t>
      </w:r>
    </w:p>
    <w:p>
      <w:pPr>
        <w:pStyle w:val="Heading5"/>
        <w:rPr>
          <w:snapToGrid w:val="0"/>
        </w:rPr>
      </w:pPr>
      <w:bookmarkStart w:id="123" w:name="_Toc118453326"/>
      <w:r>
        <w:rPr>
          <w:rStyle w:val="CharSectno"/>
        </w:rPr>
        <w:t>29</w:t>
      </w:r>
      <w:r>
        <w:rPr>
          <w:snapToGrid w:val="0"/>
        </w:rPr>
        <w:t>.</w:t>
      </w:r>
      <w:r>
        <w:rPr>
          <w:snapToGrid w:val="0"/>
        </w:rPr>
        <w:tab/>
        <w:t>First offenders usually should be referred to team</w:t>
      </w:r>
      <w:bookmarkEnd w:id="123"/>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lastRenderedPageBreak/>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No. 58 of 2004 s. 14; No. 45 of 2010 s. 13.]</w:t>
      </w:r>
    </w:p>
    <w:p>
      <w:pPr>
        <w:pStyle w:val="Heading5"/>
        <w:rPr>
          <w:snapToGrid w:val="0"/>
        </w:rPr>
      </w:pPr>
      <w:bookmarkStart w:id="124" w:name="_Toc118453327"/>
      <w:r>
        <w:rPr>
          <w:rStyle w:val="CharSectno"/>
        </w:rPr>
        <w:t>30</w:t>
      </w:r>
      <w:r>
        <w:rPr>
          <w:snapToGrid w:val="0"/>
        </w:rPr>
        <w:t>.</w:t>
      </w:r>
      <w:r>
        <w:rPr>
          <w:snapToGrid w:val="0"/>
        </w:rPr>
        <w:tab/>
        <w:t>Role of responsible adult</w:t>
      </w:r>
      <w:bookmarkEnd w:id="124"/>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lastRenderedPageBreak/>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125" w:name="_Toc118453328"/>
      <w:r>
        <w:rPr>
          <w:rStyle w:val="CharSectno"/>
        </w:rPr>
        <w:t>31</w:t>
      </w:r>
      <w:r>
        <w:rPr>
          <w:snapToGrid w:val="0"/>
        </w:rPr>
        <w:t>.</w:t>
      </w:r>
      <w:r>
        <w:rPr>
          <w:snapToGrid w:val="0"/>
        </w:rPr>
        <w:tab/>
        <w:t>Role of victim</w:t>
      </w:r>
      <w:bookmarkEnd w:id="125"/>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No. 58 of 2004 s. 15.]</w:t>
      </w:r>
    </w:p>
    <w:p>
      <w:pPr>
        <w:pStyle w:val="Heading5"/>
        <w:rPr>
          <w:snapToGrid w:val="0"/>
        </w:rPr>
      </w:pPr>
      <w:bookmarkStart w:id="126" w:name="_Toc118453329"/>
      <w:r>
        <w:rPr>
          <w:rStyle w:val="CharSectno"/>
        </w:rPr>
        <w:t>32</w:t>
      </w:r>
      <w:r>
        <w:rPr>
          <w:snapToGrid w:val="0"/>
        </w:rPr>
        <w:t>.</w:t>
      </w:r>
      <w:r>
        <w:rPr>
          <w:snapToGrid w:val="0"/>
        </w:rPr>
        <w:tab/>
        <w:t>Powers of juvenile justice team</w:t>
      </w:r>
      <w:bookmarkEnd w:id="126"/>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w:t>
      </w:r>
      <w:r>
        <w:rPr>
          <w:snapToGrid w:val="0"/>
        </w:rPr>
        <w:lastRenderedPageBreak/>
        <w:t xml:space="preserve">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lastRenderedPageBreak/>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No. 58 of 2004 s. 16.]</w:t>
      </w:r>
    </w:p>
    <w:p>
      <w:pPr>
        <w:pStyle w:val="Heading5"/>
        <w:rPr>
          <w:snapToGrid w:val="0"/>
        </w:rPr>
      </w:pPr>
      <w:bookmarkStart w:id="127" w:name="_Toc118453330"/>
      <w:r>
        <w:rPr>
          <w:rStyle w:val="CharSectno"/>
        </w:rPr>
        <w:t>33</w:t>
      </w:r>
      <w:r>
        <w:rPr>
          <w:snapToGrid w:val="0"/>
        </w:rPr>
        <w:t>.</w:t>
      </w:r>
      <w:r>
        <w:rPr>
          <w:snapToGrid w:val="0"/>
        </w:rPr>
        <w:tab/>
        <w:t>Effect on liability to be dealt with by court</w:t>
      </w:r>
      <w:bookmarkEnd w:id="127"/>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No. 84 of 2004 s. 80.]</w:t>
      </w:r>
    </w:p>
    <w:p>
      <w:pPr>
        <w:pStyle w:val="Heading5"/>
        <w:rPr>
          <w:snapToGrid w:val="0"/>
        </w:rPr>
      </w:pPr>
      <w:bookmarkStart w:id="128" w:name="_Toc118453331"/>
      <w:r>
        <w:rPr>
          <w:rStyle w:val="CharSectno"/>
        </w:rPr>
        <w:t>34</w:t>
      </w:r>
      <w:r>
        <w:rPr>
          <w:snapToGrid w:val="0"/>
        </w:rPr>
        <w:t>.</w:t>
      </w:r>
      <w:r>
        <w:rPr>
          <w:snapToGrid w:val="0"/>
        </w:rPr>
        <w:tab/>
        <w:t>Civil liability not affected</w:t>
      </w:r>
      <w:bookmarkEnd w:id="128"/>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129" w:name="_Toc118361584"/>
      <w:bookmarkStart w:id="130" w:name="_Toc118366670"/>
      <w:bookmarkStart w:id="131" w:name="_Toc118453332"/>
      <w:r>
        <w:rPr>
          <w:rStyle w:val="CharDivNo"/>
        </w:rPr>
        <w:lastRenderedPageBreak/>
        <w:t>Division 3</w:t>
      </w:r>
      <w:r>
        <w:rPr>
          <w:snapToGrid w:val="0"/>
        </w:rPr>
        <w:t> — </w:t>
      </w:r>
      <w:r>
        <w:rPr>
          <w:rStyle w:val="CharDivText"/>
        </w:rPr>
        <w:t>Juvenile justice teams</w:t>
      </w:r>
      <w:bookmarkEnd w:id="129"/>
      <w:bookmarkEnd w:id="130"/>
      <w:bookmarkEnd w:id="131"/>
      <w:r>
        <w:rPr>
          <w:rStyle w:val="CharDivText"/>
        </w:rPr>
        <w:t xml:space="preserve"> </w:t>
      </w:r>
    </w:p>
    <w:p>
      <w:pPr>
        <w:pStyle w:val="Heading5"/>
        <w:spacing w:before="180"/>
        <w:rPr>
          <w:snapToGrid w:val="0"/>
        </w:rPr>
      </w:pPr>
      <w:bookmarkStart w:id="132" w:name="_Toc118453333"/>
      <w:r>
        <w:rPr>
          <w:rStyle w:val="CharSectno"/>
        </w:rPr>
        <w:t>35</w:t>
      </w:r>
      <w:r>
        <w:rPr>
          <w:snapToGrid w:val="0"/>
        </w:rPr>
        <w:t>.</w:t>
      </w:r>
      <w:r>
        <w:rPr>
          <w:snapToGrid w:val="0"/>
        </w:rPr>
        <w:tab/>
        <w:t>Terms used</w:t>
      </w:r>
      <w:bookmarkEnd w:id="132"/>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No. 58 of 2004 s. 17.]</w:t>
      </w:r>
    </w:p>
    <w:p>
      <w:pPr>
        <w:pStyle w:val="Heading5"/>
        <w:spacing w:before="180"/>
        <w:rPr>
          <w:snapToGrid w:val="0"/>
        </w:rPr>
      </w:pPr>
      <w:bookmarkStart w:id="133" w:name="_Toc118453334"/>
      <w:r>
        <w:rPr>
          <w:rStyle w:val="CharSectno"/>
        </w:rPr>
        <w:t>36</w:t>
      </w:r>
      <w:r>
        <w:rPr>
          <w:snapToGrid w:val="0"/>
        </w:rPr>
        <w:t>.</w:t>
      </w:r>
      <w:r>
        <w:rPr>
          <w:snapToGrid w:val="0"/>
        </w:rPr>
        <w:tab/>
        <w:t>Juvenile Justice Team Coordinator, appointment of</w:t>
      </w:r>
      <w:bookmarkEnd w:id="133"/>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134" w:name="_Toc118453335"/>
      <w:r>
        <w:rPr>
          <w:rStyle w:val="CharSectno"/>
        </w:rPr>
        <w:t>37</w:t>
      </w:r>
      <w:r>
        <w:rPr>
          <w:snapToGrid w:val="0"/>
        </w:rPr>
        <w:t>.</w:t>
      </w:r>
      <w:r>
        <w:rPr>
          <w:snapToGrid w:val="0"/>
        </w:rPr>
        <w:tab/>
        <w:t>Establishing juvenile justice teams</w:t>
      </w:r>
      <w:bookmarkEnd w:id="134"/>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lastRenderedPageBreak/>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No. 36 of 1999 s. 247; No. 58 of 2004 s. 19.]</w:t>
      </w:r>
    </w:p>
    <w:p>
      <w:pPr>
        <w:pStyle w:val="Heading5"/>
      </w:pPr>
      <w:bookmarkStart w:id="135" w:name="_Toc118453336"/>
      <w:r>
        <w:rPr>
          <w:rStyle w:val="CharSectno"/>
        </w:rPr>
        <w:t>37A</w:t>
      </w:r>
      <w:r>
        <w:t>.</w:t>
      </w:r>
      <w:r>
        <w:tab/>
        <w:t>No representation by lawyer or agent</w:t>
      </w:r>
      <w:bookmarkEnd w:id="135"/>
    </w:p>
    <w:p>
      <w:pPr>
        <w:pStyle w:val="Ednotesubsection"/>
      </w:pPr>
      <w:r>
        <w:tab/>
        <w:t>[(1)</w:t>
      </w:r>
      <w:r>
        <w:tab/>
        <w:t>deleted]</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No. 58 of 2004 s. 20; amended: No. 21 of 2008 s. 714(2) and (3); No. 9 of 2022 s. 422.]</w:t>
      </w:r>
    </w:p>
    <w:p>
      <w:pPr>
        <w:pStyle w:val="Heading5"/>
        <w:keepNext w:val="0"/>
        <w:keepLines w:val="0"/>
        <w:pageBreakBefore/>
        <w:spacing w:before="0"/>
        <w:rPr>
          <w:snapToGrid w:val="0"/>
        </w:rPr>
      </w:pPr>
      <w:bookmarkStart w:id="136" w:name="_Toc118453337"/>
      <w:r>
        <w:rPr>
          <w:rStyle w:val="CharSectno"/>
        </w:rPr>
        <w:lastRenderedPageBreak/>
        <w:t>38</w:t>
      </w:r>
      <w:r>
        <w:rPr>
          <w:snapToGrid w:val="0"/>
        </w:rPr>
        <w:t>.</w:t>
      </w:r>
      <w:r>
        <w:rPr>
          <w:snapToGrid w:val="0"/>
        </w:rPr>
        <w:tab/>
        <w:t>Decisions to be unanimous</w:t>
      </w:r>
      <w:bookmarkEnd w:id="136"/>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137" w:name="_Toc118453338"/>
      <w:r>
        <w:rPr>
          <w:rStyle w:val="CharSectno"/>
        </w:rPr>
        <w:t>39</w:t>
      </w:r>
      <w:r>
        <w:rPr>
          <w:snapToGrid w:val="0"/>
        </w:rPr>
        <w:t>.</w:t>
      </w:r>
      <w:r>
        <w:rPr>
          <w:snapToGrid w:val="0"/>
        </w:rPr>
        <w:tab/>
        <w:t>Records to be kept</w:t>
      </w:r>
      <w:bookmarkEnd w:id="137"/>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138" w:name="_Toc118453339"/>
      <w:r>
        <w:rPr>
          <w:rStyle w:val="CharSectno"/>
        </w:rPr>
        <w:t>40</w:t>
      </w:r>
      <w:r>
        <w:rPr>
          <w:snapToGrid w:val="0"/>
        </w:rPr>
        <w:t>.</w:t>
      </w:r>
      <w:r>
        <w:rPr>
          <w:snapToGrid w:val="0"/>
        </w:rPr>
        <w:tab/>
        <w:t>No report of proceedings to be published</w:t>
      </w:r>
      <w:bookmarkEnd w:id="138"/>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139" w:name="_Toc118361592"/>
      <w:bookmarkStart w:id="140" w:name="_Toc118366678"/>
      <w:bookmarkStart w:id="141" w:name="_Toc118453340"/>
      <w:r>
        <w:rPr>
          <w:rStyle w:val="CharPartNo"/>
        </w:rPr>
        <w:lastRenderedPageBreak/>
        <w:t>Part 6</w:t>
      </w:r>
      <w:r>
        <w:rPr>
          <w:rStyle w:val="CharDivNo"/>
        </w:rPr>
        <w:t> </w:t>
      </w:r>
      <w:r>
        <w:t>—</w:t>
      </w:r>
      <w:r>
        <w:rPr>
          <w:rStyle w:val="CharDivText"/>
        </w:rPr>
        <w:t> </w:t>
      </w:r>
      <w:r>
        <w:rPr>
          <w:rStyle w:val="CharPartText"/>
        </w:rPr>
        <w:t>Court proceedings</w:t>
      </w:r>
      <w:bookmarkEnd w:id="139"/>
      <w:bookmarkEnd w:id="140"/>
      <w:bookmarkEnd w:id="141"/>
      <w:r>
        <w:rPr>
          <w:rStyle w:val="CharPartText"/>
        </w:rPr>
        <w:t xml:space="preserve"> </w:t>
      </w:r>
    </w:p>
    <w:p>
      <w:pPr>
        <w:pStyle w:val="Heading5"/>
        <w:rPr>
          <w:snapToGrid w:val="0"/>
        </w:rPr>
      </w:pPr>
      <w:bookmarkStart w:id="142" w:name="_Toc118453341"/>
      <w:r>
        <w:rPr>
          <w:rStyle w:val="CharSectno"/>
        </w:rPr>
        <w:t>41</w:t>
      </w:r>
      <w:r>
        <w:rPr>
          <w:snapToGrid w:val="0"/>
        </w:rPr>
        <w:t>.</w:t>
      </w:r>
      <w:r>
        <w:rPr>
          <w:snapToGrid w:val="0"/>
        </w:rPr>
        <w:tab/>
        <w:t>Preliminary considerations for police before prosecuting</w:t>
      </w:r>
      <w:bookmarkEnd w:id="142"/>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143" w:name="_Toc118453342"/>
      <w:r>
        <w:rPr>
          <w:rStyle w:val="CharSectno"/>
        </w:rPr>
        <w:t>42</w:t>
      </w:r>
      <w:r>
        <w:rPr>
          <w:snapToGrid w:val="0"/>
        </w:rPr>
        <w:t>.</w:t>
      </w:r>
      <w:r>
        <w:rPr>
          <w:snapToGrid w:val="0"/>
        </w:rPr>
        <w:tab/>
        <w:t>Notice to attend court usually preferable to summons</w:t>
      </w:r>
      <w:bookmarkEnd w:id="143"/>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lastRenderedPageBreak/>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No. 84 of 2004 s. 80.]</w:t>
      </w:r>
    </w:p>
    <w:p>
      <w:pPr>
        <w:pStyle w:val="Heading5"/>
        <w:rPr>
          <w:snapToGrid w:val="0"/>
        </w:rPr>
      </w:pPr>
      <w:bookmarkStart w:id="144" w:name="_Toc118453343"/>
      <w:r>
        <w:rPr>
          <w:rStyle w:val="CharSectno"/>
        </w:rPr>
        <w:t>43</w:t>
      </w:r>
      <w:r>
        <w:rPr>
          <w:snapToGrid w:val="0"/>
        </w:rPr>
        <w:t>.</w:t>
      </w:r>
      <w:r>
        <w:rPr>
          <w:snapToGrid w:val="0"/>
        </w:rPr>
        <w:tab/>
        <w:t>Notices to attend court, general provisions about</w:t>
      </w:r>
      <w:bookmarkEnd w:id="144"/>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lastRenderedPageBreak/>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lastRenderedPageBreak/>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145" w:name="_Toc118453344"/>
      <w:r>
        <w:rPr>
          <w:rStyle w:val="CharSectno"/>
        </w:rPr>
        <w:t>44</w:t>
      </w:r>
      <w:r>
        <w:rPr>
          <w:snapToGrid w:val="0"/>
        </w:rPr>
        <w:t>.</w:t>
      </w:r>
      <w:r>
        <w:rPr>
          <w:snapToGrid w:val="0"/>
        </w:rPr>
        <w:tab/>
        <w:t>Proceedings to be explained to young persons</w:t>
      </w:r>
      <w:bookmarkEnd w:id="145"/>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146" w:name="_Toc118453345"/>
      <w:r>
        <w:rPr>
          <w:rStyle w:val="CharSectno"/>
        </w:rPr>
        <w:lastRenderedPageBreak/>
        <w:t>45</w:t>
      </w:r>
      <w:r>
        <w:rPr>
          <w:snapToGrid w:val="0"/>
        </w:rPr>
        <w:t>.</w:t>
      </w:r>
      <w:r>
        <w:rPr>
          <w:snapToGrid w:val="0"/>
        </w:rPr>
        <w:tab/>
        <w:t>Responsible adult may be required to attend court</w:t>
      </w:r>
      <w:bookmarkEnd w:id="146"/>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147" w:name="_Toc118361598"/>
      <w:bookmarkStart w:id="148" w:name="_Toc118366684"/>
      <w:bookmarkStart w:id="149" w:name="_Toc118453346"/>
      <w:r>
        <w:rPr>
          <w:rStyle w:val="CharPartNo"/>
        </w:rPr>
        <w:lastRenderedPageBreak/>
        <w:t>Part 7</w:t>
      </w:r>
      <w:r>
        <w:t> — </w:t>
      </w:r>
      <w:r>
        <w:rPr>
          <w:rStyle w:val="CharPartText"/>
        </w:rPr>
        <w:t>Sentencing and related matters</w:t>
      </w:r>
      <w:bookmarkEnd w:id="147"/>
      <w:bookmarkEnd w:id="148"/>
      <w:bookmarkEnd w:id="149"/>
      <w:r>
        <w:rPr>
          <w:rStyle w:val="CharPartText"/>
        </w:rPr>
        <w:t xml:space="preserve"> </w:t>
      </w:r>
    </w:p>
    <w:p>
      <w:pPr>
        <w:pStyle w:val="Heading3"/>
        <w:rPr>
          <w:snapToGrid w:val="0"/>
        </w:rPr>
      </w:pPr>
      <w:bookmarkStart w:id="150" w:name="_Toc118361599"/>
      <w:bookmarkStart w:id="151" w:name="_Toc118366685"/>
      <w:bookmarkStart w:id="152" w:name="_Toc118453347"/>
      <w:r>
        <w:rPr>
          <w:rStyle w:val="CharDivNo"/>
        </w:rPr>
        <w:t>Division 1</w:t>
      </w:r>
      <w:r>
        <w:rPr>
          <w:snapToGrid w:val="0"/>
        </w:rPr>
        <w:t> — </w:t>
      </w:r>
      <w:r>
        <w:rPr>
          <w:rStyle w:val="CharDivText"/>
        </w:rPr>
        <w:t>General</w:t>
      </w:r>
      <w:bookmarkEnd w:id="150"/>
      <w:bookmarkEnd w:id="151"/>
      <w:bookmarkEnd w:id="152"/>
      <w:r>
        <w:rPr>
          <w:rStyle w:val="CharDivText"/>
        </w:rPr>
        <w:t xml:space="preserve"> </w:t>
      </w:r>
    </w:p>
    <w:p>
      <w:pPr>
        <w:pStyle w:val="Heading5"/>
        <w:spacing w:before="120"/>
        <w:rPr>
          <w:snapToGrid w:val="0"/>
        </w:rPr>
      </w:pPr>
      <w:bookmarkStart w:id="153" w:name="_Toc118453348"/>
      <w:r>
        <w:rPr>
          <w:rStyle w:val="CharSectno"/>
        </w:rPr>
        <w:t>46</w:t>
      </w:r>
      <w:r>
        <w:rPr>
          <w:snapToGrid w:val="0"/>
        </w:rPr>
        <w:t>.</w:t>
      </w:r>
      <w:r>
        <w:rPr>
          <w:snapToGrid w:val="0"/>
        </w:rPr>
        <w:tab/>
        <w:t>Principles and considerations to be applied to young offenders</w:t>
      </w:r>
      <w:bookmarkEnd w:id="153"/>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lastRenderedPageBreak/>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and sections 5 and 10 of the </w:t>
      </w:r>
      <w:r>
        <w:rPr>
          <w:i/>
          <w:snapToGrid w:val="0"/>
        </w:rPr>
        <w:t>Graffiti Vandalism Act 2016</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No. 78 of 1995 s. 145; No. 8 of 2012 s. 201; No. 23 of 2015 s. 23; No. 16 of 2016 s. 44.] </w:t>
      </w:r>
    </w:p>
    <w:p>
      <w:pPr>
        <w:pStyle w:val="Heading5"/>
        <w:rPr>
          <w:snapToGrid w:val="0"/>
        </w:rPr>
      </w:pPr>
      <w:bookmarkStart w:id="154" w:name="_Toc118453349"/>
      <w:r>
        <w:rPr>
          <w:rStyle w:val="CharSectno"/>
        </w:rPr>
        <w:t>46A</w:t>
      </w:r>
      <w:r>
        <w:rPr>
          <w:snapToGrid w:val="0"/>
        </w:rPr>
        <w:t>.</w:t>
      </w:r>
      <w:r>
        <w:rPr>
          <w:snapToGrid w:val="0"/>
        </w:rPr>
        <w:tab/>
        <w:t xml:space="preserve">Application of </w:t>
      </w:r>
      <w:r>
        <w:rPr>
          <w:i/>
          <w:snapToGrid w:val="0"/>
        </w:rPr>
        <w:t>Sentencing Act 1995</w:t>
      </w:r>
      <w:bookmarkEnd w:id="154"/>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lastRenderedPageBreak/>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No. 78 of 1995 s. 140.] </w:t>
      </w:r>
    </w:p>
    <w:p>
      <w:pPr>
        <w:pStyle w:val="Heading5"/>
        <w:rPr>
          <w:snapToGrid w:val="0"/>
        </w:rPr>
      </w:pPr>
      <w:bookmarkStart w:id="155" w:name="_Toc118453350"/>
      <w:r>
        <w:rPr>
          <w:rStyle w:val="CharSectno"/>
        </w:rPr>
        <w:t>47</w:t>
      </w:r>
      <w:r>
        <w:rPr>
          <w:snapToGrid w:val="0"/>
        </w:rPr>
        <w:t>.</w:t>
      </w:r>
      <w:r>
        <w:rPr>
          <w:snapToGrid w:val="0"/>
        </w:rPr>
        <w:tab/>
        <w:t>Court may request information</w:t>
      </w:r>
      <w:bookmarkEnd w:id="155"/>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56" w:name="_Toc118453351"/>
      <w:r>
        <w:rPr>
          <w:rStyle w:val="CharSectno"/>
        </w:rPr>
        <w:t>48</w:t>
      </w:r>
      <w:r>
        <w:rPr>
          <w:snapToGrid w:val="0"/>
        </w:rPr>
        <w:t>.</w:t>
      </w:r>
      <w:r>
        <w:rPr>
          <w:snapToGrid w:val="0"/>
        </w:rPr>
        <w:tab/>
        <w:t>Certain reports required</w:t>
      </w:r>
      <w:bookmarkEnd w:id="156"/>
      <w:r>
        <w:rPr>
          <w:snapToGrid w:val="0"/>
        </w:rPr>
        <w:t xml:space="preserve"> </w:t>
      </w:r>
    </w:p>
    <w:p>
      <w:pPr>
        <w:pStyle w:val="Subsection"/>
        <w:rPr>
          <w:snapToGrid w:val="0"/>
        </w:rPr>
      </w:pPr>
      <w:r>
        <w:rPr>
          <w:snapToGrid w:val="0"/>
        </w:rPr>
        <w:tab/>
        <w:t>(1)</w:t>
      </w:r>
      <w:r>
        <w:rPr>
          <w:snapToGrid w:val="0"/>
        </w:rPr>
        <w:tab/>
      </w:r>
      <w:r>
        <w:rPr>
          <w:snapToGrid w:val="0"/>
          <w:spacing w:val="-4"/>
        </w:rPr>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157" w:name="_Toc118453352"/>
      <w:r>
        <w:rPr>
          <w:rStyle w:val="CharSectno"/>
        </w:rPr>
        <w:lastRenderedPageBreak/>
        <w:t>49</w:t>
      </w:r>
      <w:r>
        <w:rPr>
          <w:snapToGrid w:val="0"/>
        </w:rPr>
        <w:t>.</w:t>
      </w:r>
      <w:r>
        <w:rPr>
          <w:snapToGrid w:val="0"/>
        </w:rPr>
        <w:tab/>
        <w:t>Remand for observation</w:t>
      </w:r>
      <w:bookmarkEnd w:id="157"/>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158" w:name="_Toc118453353"/>
      <w:r>
        <w:rPr>
          <w:rStyle w:val="CharSectno"/>
        </w:rPr>
        <w:t>50</w:t>
      </w:r>
      <w:r>
        <w:rPr>
          <w:snapToGrid w:val="0"/>
        </w:rPr>
        <w:t>.</w:t>
      </w:r>
      <w:r>
        <w:rPr>
          <w:snapToGrid w:val="0"/>
        </w:rPr>
        <w:tab/>
        <w:t>Offender aged under 17 at time of sentence, options</w:t>
      </w:r>
      <w:bookmarkEnd w:id="158"/>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No. 78 of 1995 s. 142.] </w:t>
      </w:r>
    </w:p>
    <w:p>
      <w:pPr>
        <w:pStyle w:val="Heading5"/>
        <w:spacing w:before="180"/>
        <w:rPr>
          <w:snapToGrid w:val="0"/>
        </w:rPr>
      </w:pPr>
      <w:bookmarkStart w:id="159" w:name="_Toc118453354"/>
      <w:r>
        <w:rPr>
          <w:rStyle w:val="CharSectno"/>
        </w:rPr>
        <w:t>50A</w:t>
      </w:r>
      <w:r>
        <w:rPr>
          <w:snapToGrid w:val="0"/>
        </w:rPr>
        <w:t>.</w:t>
      </w:r>
      <w:r>
        <w:rPr>
          <w:snapToGrid w:val="0"/>
        </w:rPr>
        <w:tab/>
        <w:t>Offender aged 17 or over but under 18 at time of sentence, options</w:t>
      </w:r>
      <w:bookmarkEnd w:id="159"/>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lastRenderedPageBreak/>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No. 78 of 1995 s. 142; amended: No. 50 of 2003 s. 29(3).] </w:t>
      </w:r>
    </w:p>
    <w:p>
      <w:pPr>
        <w:pStyle w:val="Heading5"/>
        <w:rPr>
          <w:snapToGrid w:val="0"/>
        </w:rPr>
      </w:pPr>
      <w:bookmarkStart w:id="160" w:name="_Toc118453355"/>
      <w:r>
        <w:rPr>
          <w:rStyle w:val="CharSectno"/>
        </w:rPr>
        <w:t>50B</w:t>
      </w:r>
      <w:r>
        <w:rPr>
          <w:snapToGrid w:val="0"/>
        </w:rPr>
        <w:t>.</w:t>
      </w:r>
      <w:r>
        <w:rPr>
          <w:snapToGrid w:val="0"/>
        </w:rPr>
        <w:tab/>
        <w:t>Offender aged 18 or over at time of sentence, options</w:t>
      </w:r>
      <w:bookmarkEnd w:id="160"/>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xml:space="preserve">, the court must make a spent conviction order under that Act if, </w:t>
      </w:r>
      <w:r>
        <w:rPr>
          <w:snapToGrid w:val="0"/>
        </w:rPr>
        <w:lastRenderedPageBreak/>
        <w:t>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No. 78 of 1995 s. 142; amended: No. 50 of 2003 s. 29(3).] </w:t>
      </w:r>
    </w:p>
    <w:p>
      <w:pPr>
        <w:pStyle w:val="Heading5"/>
        <w:rPr>
          <w:snapToGrid w:val="0"/>
        </w:rPr>
      </w:pPr>
      <w:bookmarkStart w:id="161" w:name="_Toc118453356"/>
      <w:r>
        <w:rPr>
          <w:rStyle w:val="CharSectno"/>
        </w:rPr>
        <w:t>51</w:t>
      </w:r>
      <w:r>
        <w:rPr>
          <w:snapToGrid w:val="0"/>
        </w:rPr>
        <w:t>.</w:t>
      </w:r>
      <w:r>
        <w:rPr>
          <w:snapToGrid w:val="0"/>
        </w:rPr>
        <w:tab/>
        <w:t>Responsible adult to be present for certain orders</w:t>
      </w:r>
      <w:bookmarkEnd w:id="161"/>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62" w:name="_Toc118453357"/>
      <w:r>
        <w:rPr>
          <w:rStyle w:val="CharSectno"/>
        </w:rPr>
        <w:t>52</w:t>
      </w:r>
      <w:r>
        <w:rPr>
          <w:snapToGrid w:val="0"/>
        </w:rPr>
        <w:t>.</w:t>
      </w:r>
      <w:r>
        <w:rPr>
          <w:snapToGrid w:val="0"/>
        </w:rPr>
        <w:tab/>
        <w:t>Order requiring consent to be explained</w:t>
      </w:r>
      <w:bookmarkEnd w:id="162"/>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 xml:space="preserve">If requested to do so, the person in respect of whom the order is made and any responsible adult who is present when the order is </w:t>
      </w:r>
      <w:r>
        <w:rPr>
          <w:snapToGrid w:val="0"/>
        </w:rPr>
        <w:lastRenderedPageBreak/>
        <w:t>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No. 78 of 1995 s. 145.] </w:t>
      </w:r>
    </w:p>
    <w:p>
      <w:pPr>
        <w:pStyle w:val="Heading5"/>
        <w:spacing w:before="240"/>
        <w:rPr>
          <w:snapToGrid w:val="0"/>
        </w:rPr>
      </w:pPr>
      <w:bookmarkStart w:id="163" w:name="_Toc118453358"/>
      <w:r>
        <w:rPr>
          <w:rStyle w:val="CharSectno"/>
        </w:rPr>
        <w:t>54</w:t>
      </w:r>
      <w:r>
        <w:rPr>
          <w:snapToGrid w:val="0"/>
        </w:rPr>
        <w:t>.</w:t>
      </w:r>
      <w:r>
        <w:rPr>
          <w:snapToGrid w:val="0"/>
        </w:rPr>
        <w:tab/>
        <w:t>Body samples may be required to be provided</w:t>
      </w:r>
      <w:bookmarkEnd w:id="163"/>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No. 58 of 2004 s. 21.]</w:t>
      </w:r>
    </w:p>
    <w:p>
      <w:pPr>
        <w:pStyle w:val="Heading5"/>
        <w:rPr>
          <w:snapToGrid w:val="0"/>
        </w:rPr>
      </w:pPr>
      <w:bookmarkStart w:id="164" w:name="_Toc118453359"/>
      <w:r>
        <w:rPr>
          <w:rStyle w:val="CharSectno"/>
        </w:rPr>
        <w:t>55</w:t>
      </w:r>
      <w:r>
        <w:rPr>
          <w:snapToGrid w:val="0"/>
        </w:rPr>
        <w:t>.</w:t>
      </w:r>
      <w:r>
        <w:rPr>
          <w:snapToGrid w:val="0"/>
        </w:rPr>
        <w:tab/>
        <w:t>Conviction, when to be recorded</w:t>
      </w:r>
      <w:bookmarkEnd w:id="164"/>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lastRenderedPageBreak/>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No. 84 of 2004 s. 74; No. 8 of 2012 s. 202.]</w:t>
      </w:r>
    </w:p>
    <w:p>
      <w:pPr>
        <w:pStyle w:val="Heading5"/>
        <w:spacing w:before="180"/>
        <w:rPr>
          <w:snapToGrid w:val="0"/>
        </w:rPr>
      </w:pPr>
      <w:bookmarkStart w:id="165" w:name="_Toc118453360"/>
      <w:r>
        <w:rPr>
          <w:rStyle w:val="CharSectno"/>
        </w:rPr>
        <w:t>56</w:t>
      </w:r>
      <w:r>
        <w:rPr>
          <w:snapToGrid w:val="0"/>
        </w:rPr>
        <w:t>.</w:t>
      </w:r>
      <w:r>
        <w:rPr>
          <w:snapToGrid w:val="0"/>
        </w:rPr>
        <w:tab/>
        <w:t>Compensation and restitution, orders for</w:t>
      </w:r>
      <w:bookmarkEnd w:id="165"/>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 xml:space="preserve">Where the court has made an order for the payment of any money under this section, the payment is to be made to the </w:t>
      </w:r>
      <w:r>
        <w:rPr>
          <w:snapToGrid w:val="0"/>
        </w:rPr>
        <w:lastRenderedPageBreak/>
        <w:t>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No. 59 of 2004 s. 141.]</w:t>
      </w:r>
    </w:p>
    <w:p>
      <w:pPr>
        <w:pStyle w:val="Heading5"/>
        <w:rPr>
          <w:snapToGrid w:val="0"/>
        </w:rPr>
      </w:pPr>
      <w:bookmarkStart w:id="166" w:name="_Toc118453361"/>
      <w:r>
        <w:rPr>
          <w:rStyle w:val="CharSectno"/>
        </w:rPr>
        <w:t>57</w:t>
      </w:r>
      <w:r>
        <w:rPr>
          <w:snapToGrid w:val="0"/>
        </w:rPr>
        <w:t>.</w:t>
      </w:r>
      <w:r>
        <w:rPr>
          <w:snapToGrid w:val="0"/>
        </w:rPr>
        <w:tab/>
        <w:t>Costs may be ordered to be paid</w:t>
      </w:r>
      <w:bookmarkEnd w:id="166"/>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67" w:name="_Toc118453362"/>
      <w:r>
        <w:rPr>
          <w:rStyle w:val="CharSectno"/>
        </w:rPr>
        <w:t>58</w:t>
      </w:r>
      <w:r>
        <w:rPr>
          <w:snapToGrid w:val="0"/>
        </w:rPr>
        <w:t>.</w:t>
      </w:r>
      <w:r>
        <w:rPr>
          <w:snapToGrid w:val="0"/>
        </w:rPr>
        <w:tab/>
        <w:t>Responsible adult may be made liable for fine etc.</w:t>
      </w:r>
      <w:bookmarkEnd w:id="167"/>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 xml:space="preserve">If a young person is found guilty of an offence and a fine is imposed or the payment of compensation, restitution, or costs is ordered, the court, having regard to the financial circumstances of the young person and any person who is a responsible adult, </w:t>
      </w:r>
      <w:r>
        <w:rPr>
          <w:snapToGrid w:val="0"/>
        </w:rPr>
        <w:lastRenderedPageBreak/>
        <w:t>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168" w:name="_Toc118453363"/>
      <w:r>
        <w:rPr>
          <w:rStyle w:val="CharSectno"/>
        </w:rPr>
        <w:t>59</w:t>
      </w:r>
      <w:r>
        <w:rPr>
          <w:snapToGrid w:val="0"/>
        </w:rPr>
        <w:t>.</w:t>
      </w:r>
      <w:r>
        <w:rPr>
          <w:snapToGrid w:val="0"/>
        </w:rPr>
        <w:tab/>
        <w:t>Court orders to be provided in writing</w:t>
      </w:r>
      <w:bookmarkEnd w:id="168"/>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lastRenderedPageBreak/>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No. 59 of 2004 s. 141.]</w:t>
      </w:r>
    </w:p>
    <w:p>
      <w:pPr>
        <w:pStyle w:val="Heading5"/>
      </w:pPr>
      <w:bookmarkStart w:id="169" w:name="_Toc118453364"/>
      <w:r>
        <w:rPr>
          <w:rStyle w:val="CharSectno"/>
        </w:rPr>
        <w:t>60</w:t>
      </w:r>
      <w:r>
        <w:t>.</w:t>
      </w:r>
      <w:r>
        <w:tab/>
        <w:t>Orders etc. under this Part are sentences</w:t>
      </w:r>
      <w:bookmarkEnd w:id="169"/>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lastRenderedPageBreak/>
        <w:tab/>
        <w:t>(g)</w:t>
      </w:r>
      <w:r>
        <w:tab/>
        <w:t>a decision by the court, having found a young person guilty of an offence, to record or not to record a conviction of the offence in respect of the person.</w:t>
      </w:r>
    </w:p>
    <w:p>
      <w:pPr>
        <w:pStyle w:val="Footnotesection"/>
      </w:pPr>
      <w:r>
        <w:tab/>
        <w:t>[Section 60 inserted: No. 84 of 2004 s. 75.]</w:t>
      </w:r>
    </w:p>
    <w:p>
      <w:pPr>
        <w:pStyle w:val="Ednotesection"/>
      </w:pPr>
      <w:r>
        <w:t>[</w:t>
      </w:r>
      <w:r>
        <w:rPr>
          <w:b/>
        </w:rPr>
        <w:t>61.</w:t>
      </w:r>
      <w:r>
        <w:tab/>
        <w:t xml:space="preserve">Deleted: No. 92 of 1994 s. 44.] </w:t>
      </w:r>
    </w:p>
    <w:p>
      <w:pPr>
        <w:pStyle w:val="Heading5"/>
        <w:rPr>
          <w:snapToGrid w:val="0"/>
        </w:rPr>
      </w:pPr>
      <w:bookmarkStart w:id="170" w:name="_Toc118453365"/>
      <w:r>
        <w:rPr>
          <w:rStyle w:val="CharSectno"/>
        </w:rPr>
        <w:t>62</w:t>
      </w:r>
      <w:r>
        <w:rPr>
          <w:snapToGrid w:val="0"/>
        </w:rPr>
        <w:t>.</w:t>
      </w:r>
      <w:r>
        <w:rPr>
          <w:snapToGrid w:val="0"/>
        </w:rPr>
        <w:tab/>
        <w:t>Workers’ compensation for compulsory work</w:t>
      </w:r>
      <w:bookmarkEnd w:id="170"/>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No. 42 of 2004 s. 174.]</w:t>
      </w:r>
    </w:p>
    <w:p>
      <w:pPr>
        <w:pStyle w:val="Heading5"/>
        <w:rPr>
          <w:snapToGrid w:val="0"/>
        </w:rPr>
      </w:pPr>
      <w:bookmarkStart w:id="171" w:name="_Toc118453366"/>
      <w:r>
        <w:rPr>
          <w:rStyle w:val="CharSectno"/>
        </w:rPr>
        <w:t>63</w:t>
      </w:r>
      <w:r>
        <w:rPr>
          <w:snapToGrid w:val="0"/>
        </w:rPr>
        <w:t>.</w:t>
      </w:r>
      <w:r>
        <w:rPr>
          <w:snapToGrid w:val="0"/>
        </w:rPr>
        <w:tab/>
        <w:t>Terms used</w:t>
      </w:r>
      <w:bookmarkEnd w:id="171"/>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No. 92 of 1994 s. 45.] </w:t>
      </w:r>
    </w:p>
    <w:p>
      <w:pPr>
        <w:pStyle w:val="Heading5"/>
        <w:rPr>
          <w:snapToGrid w:val="0"/>
        </w:rPr>
      </w:pPr>
      <w:bookmarkStart w:id="172" w:name="_Toc118453367"/>
      <w:r>
        <w:rPr>
          <w:rStyle w:val="CharSectno"/>
        </w:rPr>
        <w:t>64</w:t>
      </w:r>
      <w:r>
        <w:rPr>
          <w:snapToGrid w:val="0"/>
        </w:rPr>
        <w:t>.</w:t>
      </w:r>
      <w:r>
        <w:rPr>
          <w:snapToGrid w:val="0"/>
        </w:rPr>
        <w:tab/>
        <w:t>Enforcing payment by young person who has reached 18</w:t>
      </w:r>
      <w:bookmarkEnd w:id="172"/>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lastRenderedPageBreak/>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No. 92 of 1994 s. 45; amended: No. 20 of 2013 s. 140.] </w:t>
      </w:r>
    </w:p>
    <w:p>
      <w:pPr>
        <w:pStyle w:val="Heading5"/>
        <w:rPr>
          <w:snapToGrid w:val="0"/>
        </w:rPr>
      </w:pPr>
      <w:bookmarkStart w:id="173" w:name="_Toc118453368"/>
      <w:r>
        <w:rPr>
          <w:rStyle w:val="CharSectno"/>
        </w:rPr>
        <w:t>65</w:t>
      </w:r>
      <w:r>
        <w:rPr>
          <w:snapToGrid w:val="0"/>
        </w:rPr>
        <w:t>.</w:t>
      </w:r>
      <w:r>
        <w:rPr>
          <w:snapToGrid w:val="0"/>
        </w:rPr>
        <w:tab/>
        <w:t>Enforcing payment by young person who has not reached 18</w:t>
      </w:r>
      <w:bookmarkEnd w:id="173"/>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lastRenderedPageBreak/>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xml:space="preserve">, the amount </w:t>
      </w:r>
      <w:r>
        <w:rPr>
          <w:snapToGrid w:val="0"/>
        </w:rPr>
        <w:lastRenderedPageBreak/>
        <w:t>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No. 92 of 1994 s. 45; amended: No. 20 of 2013 s. 141.] </w:t>
      </w:r>
    </w:p>
    <w:p>
      <w:pPr>
        <w:pStyle w:val="Heading5"/>
        <w:rPr>
          <w:snapToGrid w:val="0"/>
        </w:rPr>
      </w:pPr>
      <w:bookmarkStart w:id="174" w:name="_Toc118453369"/>
      <w:r>
        <w:rPr>
          <w:rStyle w:val="CharSectno"/>
        </w:rPr>
        <w:t>65A</w:t>
      </w:r>
      <w:r>
        <w:rPr>
          <w:snapToGrid w:val="0"/>
        </w:rPr>
        <w:t>.</w:t>
      </w:r>
      <w:r>
        <w:rPr>
          <w:snapToGrid w:val="0"/>
        </w:rPr>
        <w:tab/>
        <w:t>Court’s powers to deal with defaulter</w:t>
      </w:r>
      <w:bookmarkEnd w:id="174"/>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w:t>
      </w:r>
      <w:r>
        <w:rPr>
          <w:snapToGrid w:val="0"/>
        </w:rPr>
        <w:lastRenderedPageBreak/>
        <w:t xml:space="preserve">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175" w:name="_Toc118453370"/>
      <w:r>
        <w:rPr>
          <w:rStyle w:val="CharSectno"/>
        </w:rPr>
        <w:t>65B</w:t>
      </w:r>
      <w:r>
        <w:rPr>
          <w:snapToGrid w:val="0"/>
        </w:rPr>
        <w:t>.</w:t>
      </w:r>
      <w:r>
        <w:rPr>
          <w:snapToGrid w:val="0"/>
        </w:rPr>
        <w:tab/>
        <w:t>Community work order</w:t>
      </w:r>
      <w:bookmarkEnd w:id="175"/>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No. 92 of 1994 s. 45.] </w:t>
      </w:r>
    </w:p>
    <w:p>
      <w:pPr>
        <w:pStyle w:val="Heading5"/>
        <w:spacing w:before="240"/>
        <w:rPr>
          <w:snapToGrid w:val="0"/>
        </w:rPr>
      </w:pPr>
      <w:bookmarkStart w:id="176" w:name="_Toc118453371"/>
      <w:r>
        <w:rPr>
          <w:rStyle w:val="CharSectno"/>
        </w:rPr>
        <w:t>65C</w:t>
      </w:r>
      <w:r>
        <w:rPr>
          <w:snapToGrid w:val="0"/>
        </w:rPr>
        <w:t>.</w:t>
      </w:r>
      <w:r>
        <w:rPr>
          <w:snapToGrid w:val="0"/>
        </w:rPr>
        <w:tab/>
        <w:t>Detention order</w:t>
      </w:r>
      <w:bookmarkEnd w:id="176"/>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lastRenderedPageBreak/>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177" w:name="_Toc118361624"/>
      <w:bookmarkStart w:id="178" w:name="_Toc118366710"/>
      <w:bookmarkStart w:id="179" w:name="_Toc118453372"/>
      <w:r>
        <w:rPr>
          <w:rStyle w:val="CharDivNo"/>
        </w:rPr>
        <w:t>Division 2</w:t>
      </w:r>
      <w:r>
        <w:rPr>
          <w:snapToGrid w:val="0"/>
        </w:rPr>
        <w:t> — </w:t>
      </w:r>
      <w:r>
        <w:rPr>
          <w:rStyle w:val="CharDivText"/>
        </w:rPr>
        <w:t>No punishment and no conditions</w:t>
      </w:r>
      <w:bookmarkEnd w:id="177"/>
      <w:bookmarkEnd w:id="178"/>
      <w:bookmarkEnd w:id="179"/>
      <w:r>
        <w:rPr>
          <w:rStyle w:val="CharDivText"/>
        </w:rPr>
        <w:t xml:space="preserve"> </w:t>
      </w:r>
    </w:p>
    <w:p>
      <w:pPr>
        <w:pStyle w:val="Heading5"/>
        <w:spacing w:before="180"/>
        <w:rPr>
          <w:snapToGrid w:val="0"/>
        </w:rPr>
      </w:pPr>
      <w:bookmarkStart w:id="180" w:name="_Toc118453373"/>
      <w:r>
        <w:rPr>
          <w:rStyle w:val="CharSectno"/>
        </w:rPr>
        <w:t>66</w:t>
      </w:r>
      <w:r>
        <w:rPr>
          <w:snapToGrid w:val="0"/>
        </w:rPr>
        <w:t>.</w:t>
      </w:r>
      <w:r>
        <w:rPr>
          <w:snapToGrid w:val="0"/>
        </w:rPr>
        <w:tab/>
        <w:t>Court may refrain from punishing in some cases</w:t>
      </w:r>
      <w:bookmarkEnd w:id="180"/>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181" w:name="_Toc118361626"/>
      <w:bookmarkStart w:id="182" w:name="_Toc118366712"/>
      <w:bookmarkStart w:id="183" w:name="_Toc118453374"/>
      <w:r>
        <w:rPr>
          <w:rStyle w:val="CharDivNo"/>
        </w:rPr>
        <w:t>Division 3</w:t>
      </w:r>
      <w:r>
        <w:rPr>
          <w:snapToGrid w:val="0"/>
        </w:rPr>
        <w:t> — </w:t>
      </w:r>
      <w:r>
        <w:rPr>
          <w:rStyle w:val="CharDivText"/>
        </w:rPr>
        <w:t>No punishment but conditions</w:t>
      </w:r>
      <w:bookmarkEnd w:id="181"/>
      <w:bookmarkEnd w:id="182"/>
      <w:bookmarkEnd w:id="183"/>
      <w:r>
        <w:rPr>
          <w:rStyle w:val="CharDivText"/>
        </w:rPr>
        <w:t xml:space="preserve"> </w:t>
      </w:r>
    </w:p>
    <w:p>
      <w:pPr>
        <w:pStyle w:val="Heading5"/>
        <w:spacing w:before="180"/>
        <w:rPr>
          <w:snapToGrid w:val="0"/>
        </w:rPr>
      </w:pPr>
      <w:bookmarkStart w:id="184" w:name="_Toc118453375"/>
      <w:r>
        <w:rPr>
          <w:rStyle w:val="CharSectno"/>
        </w:rPr>
        <w:t>67</w:t>
      </w:r>
      <w:r>
        <w:rPr>
          <w:snapToGrid w:val="0"/>
        </w:rPr>
        <w:t>.</w:t>
      </w:r>
      <w:r>
        <w:rPr>
          <w:snapToGrid w:val="0"/>
        </w:rPr>
        <w:tab/>
        <w:t>Undertakings and informal punishment</w:t>
      </w:r>
      <w:bookmarkEnd w:id="184"/>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185" w:name="_Toc118453376"/>
      <w:r>
        <w:rPr>
          <w:rStyle w:val="CharSectno"/>
        </w:rPr>
        <w:t>68</w:t>
      </w:r>
      <w:r>
        <w:rPr>
          <w:snapToGrid w:val="0"/>
        </w:rPr>
        <w:t>.</w:t>
      </w:r>
      <w:r>
        <w:rPr>
          <w:snapToGrid w:val="0"/>
        </w:rPr>
        <w:tab/>
        <w:t>Adjournment</w:t>
      </w:r>
      <w:bookmarkEnd w:id="185"/>
      <w:r>
        <w:rPr>
          <w:snapToGrid w:val="0"/>
        </w:rPr>
        <w:t xml:space="preserve"> </w:t>
      </w:r>
    </w:p>
    <w:p>
      <w:pPr>
        <w:pStyle w:val="Subsection"/>
        <w:spacing w:before="120"/>
        <w:rPr>
          <w:snapToGrid w:val="0"/>
        </w:rPr>
      </w:pPr>
      <w:r>
        <w:rPr>
          <w:snapToGrid w:val="0"/>
        </w:rPr>
        <w:tab/>
      </w:r>
      <w:r>
        <w:rPr>
          <w:snapToGrid w:val="0"/>
        </w:rPr>
        <w:tab/>
        <w:t xml:space="preserve">Instead of forthwith deciding whether it will refrain from itself imposing any punishment, the court may adjourn the </w:t>
      </w:r>
      <w:r>
        <w:rPr>
          <w:snapToGrid w:val="0"/>
        </w:rPr>
        <w:lastRenderedPageBreak/>
        <w:t>proceedings until the punishment is carried out or the undertakings have been given or are fulfilled, as the case requires.</w:t>
      </w:r>
    </w:p>
    <w:p>
      <w:pPr>
        <w:pStyle w:val="Heading3"/>
        <w:rPr>
          <w:snapToGrid w:val="0"/>
        </w:rPr>
      </w:pPr>
      <w:bookmarkStart w:id="186" w:name="_Toc118361629"/>
      <w:bookmarkStart w:id="187" w:name="_Toc118366715"/>
      <w:bookmarkStart w:id="188" w:name="_Toc118453377"/>
      <w:r>
        <w:rPr>
          <w:rStyle w:val="CharDivNo"/>
        </w:rPr>
        <w:t>Division 4</w:t>
      </w:r>
      <w:r>
        <w:rPr>
          <w:snapToGrid w:val="0"/>
        </w:rPr>
        <w:t> — </w:t>
      </w:r>
      <w:r>
        <w:rPr>
          <w:rStyle w:val="CharDivText"/>
        </w:rPr>
        <w:t>No punishment but security or recognisance</w:t>
      </w:r>
      <w:bookmarkEnd w:id="186"/>
      <w:bookmarkEnd w:id="187"/>
      <w:bookmarkEnd w:id="188"/>
      <w:r>
        <w:rPr>
          <w:rStyle w:val="CharDivText"/>
        </w:rPr>
        <w:t xml:space="preserve"> </w:t>
      </w:r>
    </w:p>
    <w:p>
      <w:pPr>
        <w:pStyle w:val="Heading5"/>
        <w:rPr>
          <w:snapToGrid w:val="0"/>
        </w:rPr>
      </w:pPr>
      <w:bookmarkStart w:id="189" w:name="_Toc118453378"/>
      <w:r>
        <w:rPr>
          <w:rStyle w:val="CharSectno"/>
        </w:rPr>
        <w:t>69</w:t>
      </w:r>
      <w:r>
        <w:rPr>
          <w:snapToGrid w:val="0"/>
        </w:rPr>
        <w:t>.</w:t>
      </w:r>
      <w:r>
        <w:rPr>
          <w:snapToGrid w:val="0"/>
        </w:rPr>
        <w:tab/>
        <w:t>Recognisance by offender to be of good behaviour etc.</w:t>
      </w:r>
      <w:bookmarkEnd w:id="189"/>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90" w:name="_Toc118453379"/>
      <w:r>
        <w:rPr>
          <w:rStyle w:val="CharSectno"/>
        </w:rPr>
        <w:t>70</w:t>
      </w:r>
      <w:r>
        <w:rPr>
          <w:snapToGrid w:val="0"/>
        </w:rPr>
        <w:t>.</w:t>
      </w:r>
      <w:r>
        <w:rPr>
          <w:snapToGrid w:val="0"/>
        </w:rPr>
        <w:tab/>
        <w:t>Responsible adult may give security for offender’s good behaviour etc.</w:t>
      </w:r>
      <w:bookmarkEnd w:id="190"/>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91" w:name="_Toc118361632"/>
      <w:bookmarkStart w:id="192" w:name="_Toc118366718"/>
      <w:bookmarkStart w:id="193" w:name="_Toc118453380"/>
      <w:r>
        <w:rPr>
          <w:rStyle w:val="CharDivNo"/>
        </w:rPr>
        <w:t>Division 5</w:t>
      </w:r>
      <w:r>
        <w:rPr>
          <w:snapToGrid w:val="0"/>
        </w:rPr>
        <w:t> — </w:t>
      </w:r>
      <w:r>
        <w:rPr>
          <w:rStyle w:val="CharDivText"/>
        </w:rPr>
        <w:t>Fine</w:t>
      </w:r>
      <w:bookmarkEnd w:id="191"/>
      <w:bookmarkEnd w:id="192"/>
      <w:bookmarkEnd w:id="193"/>
      <w:r>
        <w:rPr>
          <w:rStyle w:val="CharDivText"/>
        </w:rPr>
        <w:t xml:space="preserve"> </w:t>
      </w:r>
    </w:p>
    <w:p>
      <w:pPr>
        <w:pStyle w:val="Heading5"/>
        <w:rPr>
          <w:snapToGrid w:val="0"/>
        </w:rPr>
      </w:pPr>
      <w:bookmarkStart w:id="194" w:name="_Toc118453381"/>
      <w:r>
        <w:rPr>
          <w:rStyle w:val="CharSectno"/>
        </w:rPr>
        <w:t>71</w:t>
      </w:r>
      <w:r>
        <w:rPr>
          <w:snapToGrid w:val="0"/>
        </w:rPr>
        <w:t>.</w:t>
      </w:r>
      <w:r>
        <w:rPr>
          <w:snapToGrid w:val="0"/>
        </w:rPr>
        <w:tab/>
        <w:t>Fine instead of imprisonment</w:t>
      </w:r>
      <w:bookmarkEnd w:id="194"/>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95" w:name="_Toc118453382"/>
      <w:r>
        <w:rPr>
          <w:rStyle w:val="CharSectno"/>
        </w:rPr>
        <w:t>72</w:t>
      </w:r>
      <w:r>
        <w:rPr>
          <w:snapToGrid w:val="0"/>
        </w:rPr>
        <w:t>.</w:t>
      </w:r>
      <w:r>
        <w:rPr>
          <w:snapToGrid w:val="0"/>
        </w:rPr>
        <w:tab/>
        <w:t>Offender must be able to pay</w:t>
      </w:r>
      <w:bookmarkEnd w:id="195"/>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96" w:name="_Toc118361635"/>
      <w:bookmarkStart w:id="197" w:name="_Toc118366721"/>
      <w:bookmarkStart w:id="198" w:name="_Toc118453383"/>
      <w:r>
        <w:rPr>
          <w:rStyle w:val="CharDivNo"/>
        </w:rPr>
        <w:lastRenderedPageBreak/>
        <w:t>Division 6</w:t>
      </w:r>
      <w:r>
        <w:rPr>
          <w:snapToGrid w:val="0"/>
        </w:rPr>
        <w:t> — </w:t>
      </w:r>
      <w:r>
        <w:rPr>
          <w:rStyle w:val="CharDivText"/>
        </w:rPr>
        <w:t>Youth community based order</w:t>
      </w:r>
      <w:bookmarkEnd w:id="196"/>
      <w:bookmarkEnd w:id="197"/>
      <w:bookmarkEnd w:id="198"/>
      <w:r>
        <w:rPr>
          <w:rStyle w:val="CharDivText"/>
        </w:rPr>
        <w:t xml:space="preserve"> </w:t>
      </w:r>
    </w:p>
    <w:p>
      <w:pPr>
        <w:pStyle w:val="Heading5"/>
        <w:rPr>
          <w:snapToGrid w:val="0"/>
        </w:rPr>
      </w:pPr>
      <w:bookmarkStart w:id="199" w:name="_Toc118453384"/>
      <w:r>
        <w:rPr>
          <w:rStyle w:val="CharSectno"/>
        </w:rPr>
        <w:t>73</w:t>
      </w:r>
      <w:r>
        <w:rPr>
          <w:snapToGrid w:val="0"/>
        </w:rPr>
        <w:t>.</w:t>
      </w:r>
      <w:r>
        <w:rPr>
          <w:snapToGrid w:val="0"/>
        </w:rPr>
        <w:tab/>
        <w:t>Youth community based order, nature of</w:t>
      </w:r>
      <w:bookmarkEnd w:id="199"/>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200" w:name="_Toc118453385"/>
      <w:r>
        <w:rPr>
          <w:rStyle w:val="CharSectno"/>
        </w:rPr>
        <w:t>74</w:t>
      </w:r>
      <w:r>
        <w:rPr>
          <w:snapToGrid w:val="0"/>
        </w:rPr>
        <w:t>.</w:t>
      </w:r>
      <w:r>
        <w:rPr>
          <w:snapToGrid w:val="0"/>
        </w:rPr>
        <w:tab/>
        <w:t>Offender must be suitable and consent</w:t>
      </w:r>
      <w:bookmarkEnd w:id="200"/>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201" w:name="_Toc118453386"/>
      <w:r>
        <w:rPr>
          <w:rStyle w:val="CharSectno"/>
        </w:rPr>
        <w:t>75</w:t>
      </w:r>
      <w:r>
        <w:rPr>
          <w:snapToGrid w:val="0"/>
        </w:rPr>
        <w:t>.</w:t>
      </w:r>
      <w:r>
        <w:rPr>
          <w:snapToGrid w:val="0"/>
        </w:rPr>
        <w:tab/>
        <w:t>Proposed agenda required for suitable person</w:t>
      </w:r>
      <w:bookmarkEnd w:id="201"/>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202" w:name="_Toc118453387"/>
      <w:r>
        <w:rPr>
          <w:rStyle w:val="CharSectno"/>
        </w:rPr>
        <w:t>76</w:t>
      </w:r>
      <w:r>
        <w:rPr>
          <w:snapToGrid w:val="0"/>
        </w:rPr>
        <w:t>.</w:t>
      </w:r>
      <w:r>
        <w:rPr>
          <w:snapToGrid w:val="0"/>
        </w:rPr>
        <w:tab/>
        <w:t>Duration of order</w:t>
      </w:r>
      <w:bookmarkEnd w:id="202"/>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lastRenderedPageBreak/>
        <w:tab/>
        <w:t>(2)</w:t>
      </w:r>
      <w:r>
        <w:rPr>
          <w:snapToGrid w:val="0"/>
        </w:rPr>
        <w:tab/>
        <w:t>The order remains in force until it is satisfied unless it is sooner discharged or cancelled by the court.</w:t>
      </w:r>
    </w:p>
    <w:p>
      <w:pPr>
        <w:pStyle w:val="Heading5"/>
        <w:rPr>
          <w:snapToGrid w:val="0"/>
        </w:rPr>
      </w:pPr>
      <w:bookmarkStart w:id="203" w:name="_Toc118453388"/>
      <w:r>
        <w:rPr>
          <w:rStyle w:val="CharSectno"/>
        </w:rPr>
        <w:t>77</w:t>
      </w:r>
      <w:r>
        <w:rPr>
          <w:snapToGrid w:val="0"/>
        </w:rPr>
        <w:t>.</w:t>
      </w:r>
      <w:r>
        <w:rPr>
          <w:snapToGrid w:val="0"/>
        </w:rPr>
        <w:tab/>
        <w:t>Supervising officer</w:t>
      </w:r>
      <w:bookmarkEnd w:id="203"/>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204" w:name="_Toc118453389"/>
      <w:r>
        <w:rPr>
          <w:rStyle w:val="CharSectno"/>
        </w:rPr>
        <w:t>78</w:t>
      </w:r>
      <w:r>
        <w:rPr>
          <w:snapToGrid w:val="0"/>
        </w:rPr>
        <w:t>.</w:t>
      </w:r>
      <w:r>
        <w:rPr>
          <w:snapToGrid w:val="0"/>
        </w:rPr>
        <w:tab/>
        <w:t>Conditions implied in order</w:t>
      </w:r>
      <w:bookmarkEnd w:id="204"/>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205" w:name="_Toc118453390"/>
      <w:r>
        <w:rPr>
          <w:rStyle w:val="CharSectno"/>
        </w:rPr>
        <w:t>79</w:t>
      </w:r>
      <w:r>
        <w:rPr>
          <w:snapToGrid w:val="0"/>
        </w:rPr>
        <w:t>.</w:t>
      </w:r>
      <w:r>
        <w:rPr>
          <w:snapToGrid w:val="0"/>
        </w:rPr>
        <w:tab/>
        <w:t>Obligations under order may be suspended</w:t>
      </w:r>
      <w:bookmarkEnd w:id="205"/>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lastRenderedPageBreak/>
        <w:tab/>
        <w:t>(2)</w:t>
      </w:r>
      <w:r>
        <w:rPr>
          <w:snapToGrid w:val="0"/>
        </w:rPr>
        <w:tab/>
        <w:t>Subsection (1) does not apply to an obligation under a condition referred to in section 78.</w:t>
      </w:r>
    </w:p>
    <w:p>
      <w:pPr>
        <w:pStyle w:val="Heading5"/>
        <w:rPr>
          <w:snapToGrid w:val="0"/>
        </w:rPr>
      </w:pPr>
      <w:bookmarkStart w:id="206" w:name="_Toc118453391"/>
      <w:r>
        <w:rPr>
          <w:rStyle w:val="CharSectno"/>
        </w:rPr>
        <w:t>80</w:t>
      </w:r>
      <w:r>
        <w:rPr>
          <w:snapToGrid w:val="0"/>
        </w:rPr>
        <w:t>.</w:t>
      </w:r>
      <w:r>
        <w:rPr>
          <w:snapToGrid w:val="0"/>
        </w:rPr>
        <w:tab/>
        <w:t>Amendment of order, extent of power</w:t>
      </w:r>
      <w:bookmarkEnd w:id="206"/>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207" w:name="_Toc118453392"/>
      <w:r>
        <w:rPr>
          <w:rStyle w:val="CharSectno"/>
        </w:rPr>
        <w:t>81</w:t>
      </w:r>
      <w:r>
        <w:rPr>
          <w:snapToGrid w:val="0"/>
        </w:rPr>
        <w:t>.</w:t>
      </w:r>
      <w:r>
        <w:rPr>
          <w:snapToGrid w:val="0"/>
        </w:rPr>
        <w:tab/>
        <w:t>Amendment of order</w:t>
      </w:r>
      <w:bookmarkEnd w:id="207"/>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208" w:name="_Toc118453393"/>
      <w:r>
        <w:rPr>
          <w:rStyle w:val="CharSectno"/>
        </w:rPr>
        <w:t>82</w:t>
      </w:r>
      <w:r>
        <w:rPr>
          <w:snapToGrid w:val="0"/>
        </w:rPr>
        <w:t>.</w:t>
      </w:r>
      <w:r>
        <w:rPr>
          <w:snapToGrid w:val="0"/>
        </w:rPr>
        <w:tab/>
        <w:t>Breach of order, CEO may require offender to attend court</w:t>
      </w:r>
      <w:bookmarkEnd w:id="208"/>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09" w:name="_Toc118453394"/>
      <w:r>
        <w:rPr>
          <w:rStyle w:val="CharSectno"/>
        </w:rPr>
        <w:lastRenderedPageBreak/>
        <w:t>83</w:t>
      </w:r>
      <w:r>
        <w:rPr>
          <w:snapToGrid w:val="0"/>
        </w:rPr>
        <w:t>.</w:t>
      </w:r>
      <w:r>
        <w:rPr>
          <w:snapToGrid w:val="0"/>
        </w:rPr>
        <w:tab/>
        <w:t>Breach of order, powers to deal with</w:t>
      </w:r>
      <w:bookmarkEnd w:id="209"/>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lastRenderedPageBreak/>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210" w:name="_Toc118453395"/>
      <w:r>
        <w:rPr>
          <w:rStyle w:val="CharSectno"/>
        </w:rPr>
        <w:t>84</w:t>
      </w:r>
      <w:r>
        <w:rPr>
          <w:snapToGrid w:val="0"/>
        </w:rPr>
        <w:t>.</w:t>
      </w:r>
      <w:r>
        <w:rPr>
          <w:snapToGrid w:val="0"/>
        </w:rPr>
        <w:tab/>
        <w:t>Breach of order by re</w:t>
      </w:r>
      <w:r>
        <w:rPr>
          <w:snapToGrid w:val="0"/>
        </w:rPr>
        <w:noBreakHyphen/>
        <w:t>offending, new order may be made</w:t>
      </w:r>
      <w:bookmarkEnd w:id="210"/>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211" w:name="_Toc118453396"/>
      <w:r>
        <w:rPr>
          <w:rStyle w:val="CharSectno"/>
        </w:rPr>
        <w:t>85</w:t>
      </w:r>
      <w:r>
        <w:rPr>
          <w:snapToGrid w:val="0"/>
        </w:rPr>
        <w:t>.</w:t>
      </w:r>
      <w:r>
        <w:rPr>
          <w:snapToGrid w:val="0"/>
        </w:rPr>
        <w:tab/>
        <w:t>Discharge or fulfillment of order, effect of</w:t>
      </w:r>
      <w:bookmarkEnd w:id="211"/>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212" w:name="_Toc118453397"/>
      <w:r>
        <w:rPr>
          <w:rStyle w:val="CharSectno"/>
        </w:rPr>
        <w:t>86</w:t>
      </w:r>
      <w:r>
        <w:rPr>
          <w:snapToGrid w:val="0"/>
        </w:rPr>
        <w:t>.</w:t>
      </w:r>
      <w:r>
        <w:rPr>
          <w:snapToGrid w:val="0"/>
        </w:rPr>
        <w:tab/>
        <w:t>Proof of identity in proceedings for breach of order</w:t>
      </w:r>
      <w:bookmarkEnd w:id="212"/>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 xml:space="preserve">In proceedings in which an averment is made under subsection (1) the person against whom the proceedings are brought may be asked by the court whether the person was found guilty of the offence in respect of which the youth </w:t>
      </w:r>
      <w:r>
        <w:rPr>
          <w:snapToGrid w:val="0"/>
        </w:rPr>
        <w:lastRenderedPageBreak/>
        <w:t>community based order was made and, if the person admits that fact, no further proof of it is required.</w:t>
      </w:r>
    </w:p>
    <w:p>
      <w:pPr>
        <w:pStyle w:val="Heading5"/>
        <w:spacing w:before="180"/>
        <w:rPr>
          <w:snapToGrid w:val="0"/>
        </w:rPr>
      </w:pPr>
      <w:bookmarkStart w:id="213" w:name="_Toc118453398"/>
      <w:r>
        <w:rPr>
          <w:rStyle w:val="CharSectno"/>
        </w:rPr>
        <w:t>87</w:t>
      </w:r>
      <w:r>
        <w:rPr>
          <w:snapToGrid w:val="0"/>
        </w:rPr>
        <w:t>.</w:t>
      </w:r>
      <w:r>
        <w:rPr>
          <w:snapToGrid w:val="0"/>
        </w:rPr>
        <w:tab/>
        <w:t>Notice of court applications</w:t>
      </w:r>
      <w:bookmarkEnd w:id="213"/>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214" w:name="_Toc118361651"/>
      <w:bookmarkStart w:id="215" w:name="_Toc118366737"/>
      <w:bookmarkStart w:id="216" w:name="_Toc118453399"/>
      <w:r>
        <w:rPr>
          <w:snapToGrid w:val="0"/>
        </w:rPr>
        <w:t>Subdivision 1 — Attendance conditions</w:t>
      </w:r>
      <w:bookmarkEnd w:id="214"/>
      <w:bookmarkEnd w:id="215"/>
      <w:bookmarkEnd w:id="216"/>
      <w:r>
        <w:rPr>
          <w:snapToGrid w:val="0"/>
        </w:rPr>
        <w:t xml:space="preserve"> </w:t>
      </w:r>
    </w:p>
    <w:p>
      <w:pPr>
        <w:pStyle w:val="Heading5"/>
        <w:spacing w:before="180"/>
        <w:rPr>
          <w:snapToGrid w:val="0"/>
        </w:rPr>
      </w:pPr>
      <w:bookmarkStart w:id="217" w:name="_Toc118453400"/>
      <w:r>
        <w:rPr>
          <w:rStyle w:val="CharSectno"/>
        </w:rPr>
        <w:t>88</w:t>
      </w:r>
      <w:r>
        <w:rPr>
          <w:snapToGrid w:val="0"/>
        </w:rPr>
        <w:t>.</w:t>
      </w:r>
      <w:r>
        <w:rPr>
          <w:snapToGrid w:val="0"/>
        </w:rPr>
        <w:tab/>
        <w:t>Requirement to attend courses</w:t>
      </w:r>
      <w:bookmarkEnd w:id="217"/>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218" w:name="_Toc118361653"/>
      <w:bookmarkStart w:id="219" w:name="_Toc118366739"/>
      <w:bookmarkStart w:id="220" w:name="_Toc118453401"/>
      <w:r>
        <w:rPr>
          <w:snapToGrid w:val="0"/>
        </w:rPr>
        <w:t>Subdivision 2 — Community work conditions</w:t>
      </w:r>
      <w:bookmarkEnd w:id="218"/>
      <w:bookmarkEnd w:id="219"/>
      <w:bookmarkEnd w:id="220"/>
      <w:r>
        <w:rPr>
          <w:snapToGrid w:val="0"/>
        </w:rPr>
        <w:t xml:space="preserve"> </w:t>
      </w:r>
    </w:p>
    <w:p>
      <w:pPr>
        <w:pStyle w:val="Heading5"/>
        <w:spacing w:before="180"/>
        <w:rPr>
          <w:snapToGrid w:val="0"/>
        </w:rPr>
      </w:pPr>
      <w:bookmarkStart w:id="221" w:name="_Toc118453402"/>
      <w:r>
        <w:rPr>
          <w:rStyle w:val="CharSectno"/>
        </w:rPr>
        <w:t>89</w:t>
      </w:r>
      <w:r>
        <w:rPr>
          <w:snapToGrid w:val="0"/>
        </w:rPr>
        <w:t>.</w:t>
      </w:r>
      <w:r>
        <w:rPr>
          <w:snapToGrid w:val="0"/>
        </w:rPr>
        <w:tab/>
        <w:t>Requirement to perform unpaid work</w:t>
      </w:r>
      <w:bookmarkEnd w:id="221"/>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222" w:name="_Toc118453403"/>
      <w:r>
        <w:rPr>
          <w:rStyle w:val="CharSectno"/>
        </w:rPr>
        <w:lastRenderedPageBreak/>
        <w:t>90</w:t>
      </w:r>
      <w:r>
        <w:rPr>
          <w:snapToGrid w:val="0"/>
        </w:rPr>
        <w:t>.</w:t>
      </w:r>
      <w:r>
        <w:rPr>
          <w:snapToGrid w:val="0"/>
        </w:rPr>
        <w:tab/>
        <w:t>Conditions cannot be imposed on child under 12</w:t>
      </w:r>
      <w:bookmarkEnd w:id="222"/>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223" w:name="_Toc118453404"/>
      <w:r>
        <w:rPr>
          <w:rStyle w:val="CharSectno"/>
        </w:rPr>
        <w:t>91</w:t>
      </w:r>
      <w:r>
        <w:rPr>
          <w:snapToGrid w:val="0"/>
        </w:rPr>
        <w:t>.</w:t>
      </w:r>
      <w:r>
        <w:rPr>
          <w:snapToGrid w:val="0"/>
        </w:rPr>
        <w:tab/>
        <w:t>Community work, minimum and maximum hours of</w:t>
      </w:r>
      <w:bookmarkEnd w:id="223"/>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224" w:name="_Toc118453405"/>
      <w:r>
        <w:rPr>
          <w:rStyle w:val="CharSectno"/>
        </w:rPr>
        <w:t>92</w:t>
      </w:r>
      <w:r>
        <w:rPr>
          <w:snapToGrid w:val="0"/>
        </w:rPr>
        <w:t>.</w:t>
      </w:r>
      <w:r>
        <w:rPr>
          <w:snapToGrid w:val="0"/>
        </w:rPr>
        <w:tab/>
        <w:t>Offender to attend before Departmental officer</w:t>
      </w:r>
      <w:bookmarkEnd w:id="224"/>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225" w:name="_Toc118453406"/>
      <w:r>
        <w:rPr>
          <w:rStyle w:val="CharSectno"/>
        </w:rPr>
        <w:t>93</w:t>
      </w:r>
      <w:r>
        <w:rPr>
          <w:snapToGrid w:val="0"/>
        </w:rPr>
        <w:t>.</w:t>
      </w:r>
      <w:r>
        <w:rPr>
          <w:snapToGrid w:val="0"/>
        </w:rPr>
        <w:tab/>
        <w:t>Performing the work</w:t>
      </w:r>
      <w:bookmarkEnd w:id="225"/>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226" w:name="_Toc118453407"/>
      <w:r>
        <w:rPr>
          <w:rStyle w:val="CharSectno"/>
        </w:rPr>
        <w:lastRenderedPageBreak/>
        <w:t>94</w:t>
      </w:r>
      <w:r>
        <w:rPr>
          <w:snapToGrid w:val="0"/>
        </w:rPr>
        <w:t>.</w:t>
      </w:r>
      <w:r>
        <w:rPr>
          <w:snapToGrid w:val="0"/>
        </w:rPr>
        <w:tab/>
        <w:t>Regulations relating to community work conditions</w:t>
      </w:r>
      <w:bookmarkEnd w:id="226"/>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227" w:name="_Toc118361660"/>
      <w:bookmarkStart w:id="228" w:name="_Toc118366746"/>
      <w:bookmarkStart w:id="229" w:name="_Toc118453408"/>
      <w:r>
        <w:rPr>
          <w:snapToGrid w:val="0"/>
        </w:rPr>
        <w:t>Subdivision 3 — Supervision conditions</w:t>
      </w:r>
      <w:bookmarkEnd w:id="227"/>
      <w:bookmarkEnd w:id="228"/>
      <w:bookmarkEnd w:id="229"/>
      <w:r>
        <w:rPr>
          <w:snapToGrid w:val="0"/>
        </w:rPr>
        <w:t xml:space="preserve"> </w:t>
      </w:r>
    </w:p>
    <w:p>
      <w:pPr>
        <w:pStyle w:val="Heading5"/>
        <w:spacing w:before="180"/>
        <w:rPr>
          <w:snapToGrid w:val="0"/>
        </w:rPr>
      </w:pPr>
      <w:bookmarkStart w:id="230" w:name="_Toc118453409"/>
      <w:r>
        <w:rPr>
          <w:rStyle w:val="CharSectno"/>
        </w:rPr>
        <w:t>95</w:t>
      </w:r>
      <w:r>
        <w:rPr>
          <w:snapToGrid w:val="0"/>
        </w:rPr>
        <w:t>.</w:t>
      </w:r>
      <w:r>
        <w:rPr>
          <w:snapToGrid w:val="0"/>
        </w:rPr>
        <w:tab/>
        <w:t>Requirement to be supervised</w:t>
      </w:r>
      <w:bookmarkEnd w:id="230"/>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231" w:name="_Toc118453410"/>
      <w:r>
        <w:rPr>
          <w:rStyle w:val="CharSectno"/>
        </w:rPr>
        <w:lastRenderedPageBreak/>
        <w:t>96</w:t>
      </w:r>
      <w:r>
        <w:rPr>
          <w:snapToGrid w:val="0"/>
        </w:rPr>
        <w:t>.</w:t>
      </w:r>
      <w:r>
        <w:rPr>
          <w:snapToGrid w:val="0"/>
        </w:rPr>
        <w:tab/>
        <w:t>Duration of supervision</w:t>
      </w:r>
      <w:bookmarkEnd w:id="231"/>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No. 5 of 2008 s. 132(2).]</w:t>
      </w:r>
    </w:p>
    <w:p>
      <w:pPr>
        <w:pStyle w:val="Heading5"/>
        <w:rPr>
          <w:snapToGrid w:val="0"/>
        </w:rPr>
      </w:pPr>
      <w:bookmarkStart w:id="232" w:name="_Toc118453411"/>
      <w:r>
        <w:rPr>
          <w:rStyle w:val="CharSectno"/>
        </w:rPr>
        <w:t>97</w:t>
      </w:r>
      <w:r>
        <w:rPr>
          <w:snapToGrid w:val="0"/>
        </w:rPr>
        <w:t>.</w:t>
      </w:r>
      <w:r>
        <w:rPr>
          <w:snapToGrid w:val="0"/>
        </w:rPr>
        <w:tab/>
        <w:t>Changing duration of supervision</w:t>
      </w:r>
      <w:bookmarkEnd w:id="232"/>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233" w:name="_Toc118361664"/>
      <w:bookmarkStart w:id="234" w:name="_Toc118366750"/>
      <w:bookmarkStart w:id="235" w:name="_Toc118453412"/>
      <w:r>
        <w:rPr>
          <w:rStyle w:val="CharDivNo"/>
        </w:rPr>
        <w:t>Division 7</w:t>
      </w:r>
      <w:r>
        <w:rPr>
          <w:snapToGrid w:val="0"/>
        </w:rPr>
        <w:t> — </w:t>
      </w:r>
      <w:r>
        <w:rPr>
          <w:rStyle w:val="CharDivText"/>
        </w:rPr>
        <w:t>Intensive youth supervision order</w:t>
      </w:r>
      <w:bookmarkEnd w:id="233"/>
      <w:bookmarkEnd w:id="234"/>
      <w:bookmarkEnd w:id="235"/>
      <w:r>
        <w:rPr>
          <w:rStyle w:val="CharDivText"/>
        </w:rPr>
        <w:t xml:space="preserve"> </w:t>
      </w:r>
    </w:p>
    <w:p>
      <w:pPr>
        <w:pStyle w:val="Heading5"/>
        <w:rPr>
          <w:snapToGrid w:val="0"/>
        </w:rPr>
      </w:pPr>
      <w:bookmarkStart w:id="236" w:name="_Toc118453413"/>
      <w:r>
        <w:rPr>
          <w:rStyle w:val="CharSectno"/>
        </w:rPr>
        <w:t>98</w:t>
      </w:r>
      <w:r>
        <w:rPr>
          <w:snapToGrid w:val="0"/>
        </w:rPr>
        <w:t>.</w:t>
      </w:r>
      <w:r>
        <w:rPr>
          <w:snapToGrid w:val="0"/>
        </w:rPr>
        <w:tab/>
        <w:t>Intensive youth supervision order, nature of</w:t>
      </w:r>
      <w:bookmarkEnd w:id="236"/>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237" w:name="_Toc118453414"/>
      <w:r>
        <w:rPr>
          <w:rStyle w:val="CharSectno"/>
        </w:rPr>
        <w:lastRenderedPageBreak/>
        <w:t>99</w:t>
      </w:r>
      <w:r>
        <w:rPr>
          <w:snapToGrid w:val="0"/>
        </w:rPr>
        <w:t>.</w:t>
      </w:r>
      <w:r>
        <w:rPr>
          <w:snapToGrid w:val="0"/>
        </w:rPr>
        <w:tab/>
        <w:t>Order may be made with or without custodial sentence</w:t>
      </w:r>
      <w:bookmarkEnd w:id="237"/>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238" w:name="_Toc118453415"/>
      <w:r>
        <w:rPr>
          <w:rStyle w:val="CharSectno"/>
        </w:rPr>
        <w:t>100</w:t>
      </w:r>
      <w:r>
        <w:rPr>
          <w:snapToGrid w:val="0"/>
        </w:rPr>
        <w:t>.</w:t>
      </w:r>
      <w:r>
        <w:rPr>
          <w:snapToGrid w:val="0"/>
        </w:rPr>
        <w:tab/>
        <w:t>Order without custodial sentence</w:t>
      </w:r>
      <w:bookmarkEnd w:id="238"/>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239" w:name="_Toc118453416"/>
      <w:r>
        <w:rPr>
          <w:rStyle w:val="CharSectno"/>
        </w:rPr>
        <w:t>101</w:t>
      </w:r>
      <w:r>
        <w:rPr>
          <w:snapToGrid w:val="0"/>
        </w:rPr>
        <w:t>.</w:t>
      </w:r>
      <w:r>
        <w:rPr>
          <w:snapToGrid w:val="0"/>
        </w:rPr>
        <w:tab/>
        <w:t>Order with custodial sentence (conditional release order)</w:t>
      </w:r>
      <w:bookmarkEnd w:id="239"/>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240" w:name="_Toc118453417"/>
      <w:r>
        <w:rPr>
          <w:rStyle w:val="CharSectno"/>
        </w:rPr>
        <w:t>102</w:t>
      </w:r>
      <w:r>
        <w:rPr>
          <w:snapToGrid w:val="0"/>
        </w:rPr>
        <w:t>.</w:t>
      </w:r>
      <w:r>
        <w:rPr>
          <w:snapToGrid w:val="0"/>
        </w:rPr>
        <w:tab/>
        <w:t>Conditional release order to include agenda of conditions</w:t>
      </w:r>
      <w:bookmarkEnd w:id="240"/>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241" w:name="_Toc118453418"/>
      <w:r>
        <w:rPr>
          <w:rStyle w:val="CharSectno"/>
        </w:rPr>
        <w:lastRenderedPageBreak/>
        <w:t>103</w:t>
      </w:r>
      <w:r>
        <w:rPr>
          <w:snapToGrid w:val="0"/>
        </w:rPr>
        <w:t>.</w:t>
      </w:r>
      <w:r>
        <w:rPr>
          <w:snapToGrid w:val="0"/>
        </w:rPr>
        <w:tab/>
        <w:t>Offender must be suitable and consent</w:t>
      </w:r>
      <w:bookmarkEnd w:id="241"/>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No. 58 of 2004 s. 22.]</w:t>
      </w:r>
    </w:p>
    <w:p>
      <w:pPr>
        <w:pStyle w:val="Heading5"/>
        <w:spacing w:before="180"/>
        <w:rPr>
          <w:snapToGrid w:val="0"/>
        </w:rPr>
      </w:pPr>
      <w:bookmarkStart w:id="242" w:name="_Toc118453419"/>
      <w:r>
        <w:rPr>
          <w:rStyle w:val="CharSectno"/>
        </w:rPr>
        <w:t>104</w:t>
      </w:r>
      <w:r>
        <w:rPr>
          <w:snapToGrid w:val="0"/>
        </w:rPr>
        <w:t>.</w:t>
      </w:r>
      <w:r>
        <w:rPr>
          <w:snapToGrid w:val="0"/>
        </w:rPr>
        <w:tab/>
        <w:t>Agenda proposal required for suitable person</w:t>
      </w:r>
      <w:bookmarkEnd w:id="242"/>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243" w:name="_Toc118453420"/>
      <w:r>
        <w:rPr>
          <w:rStyle w:val="CharSectno"/>
        </w:rPr>
        <w:t>105</w:t>
      </w:r>
      <w:r>
        <w:rPr>
          <w:snapToGrid w:val="0"/>
        </w:rPr>
        <w:t>.</w:t>
      </w:r>
      <w:r>
        <w:rPr>
          <w:snapToGrid w:val="0"/>
        </w:rPr>
        <w:tab/>
        <w:t>Conditional release order, duration of</w:t>
      </w:r>
      <w:bookmarkEnd w:id="243"/>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244" w:name="_Toc118453421"/>
      <w:r>
        <w:rPr>
          <w:rStyle w:val="CharSectno"/>
        </w:rPr>
        <w:t>106</w:t>
      </w:r>
      <w:r>
        <w:rPr>
          <w:snapToGrid w:val="0"/>
        </w:rPr>
        <w:t>.</w:t>
      </w:r>
      <w:r>
        <w:rPr>
          <w:snapToGrid w:val="0"/>
        </w:rPr>
        <w:tab/>
        <w:t>Conditional release order may relate to several sentences</w:t>
      </w:r>
      <w:bookmarkEnd w:id="244"/>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245" w:name="_Toc118453422"/>
      <w:r>
        <w:rPr>
          <w:rStyle w:val="CharSectno"/>
        </w:rPr>
        <w:lastRenderedPageBreak/>
        <w:t>107</w:t>
      </w:r>
      <w:r>
        <w:rPr>
          <w:snapToGrid w:val="0"/>
        </w:rPr>
        <w:t>.</w:t>
      </w:r>
      <w:r>
        <w:rPr>
          <w:snapToGrid w:val="0"/>
        </w:rPr>
        <w:tab/>
        <w:t>Conditional release not to exceed 12 months</w:t>
      </w:r>
      <w:bookmarkEnd w:id="245"/>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246" w:name="_Toc118453423"/>
      <w:r>
        <w:rPr>
          <w:rStyle w:val="CharSectno"/>
        </w:rPr>
        <w:t>108</w:t>
      </w:r>
      <w:r>
        <w:rPr>
          <w:snapToGrid w:val="0"/>
        </w:rPr>
        <w:t>.</w:t>
      </w:r>
      <w:r>
        <w:rPr>
          <w:snapToGrid w:val="0"/>
        </w:rPr>
        <w:tab/>
        <w:t>Supervising officer</w:t>
      </w:r>
      <w:bookmarkEnd w:id="246"/>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247" w:name="_Toc118453424"/>
      <w:r>
        <w:rPr>
          <w:rStyle w:val="CharSectno"/>
        </w:rPr>
        <w:t>109</w:t>
      </w:r>
      <w:r>
        <w:rPr>
          <w:snapToGrid w:val="0"/>
        </w:rPr>
        <w:t>.</w:t>
      </w:r>
      <w:r>
        <w:rPr>
          <w:snapToGrid w:val="0"/>
        </w:rPr>
        <w:tab/>
        <w:t>Conditional release order, implied conditions of</w:t>
      </w:r>
      <w:bookmarkEnd w:id="247"/>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248" w:name="_Toc118453425"/>
      <w:r>
        <w:rPr>
          <w:rStyle w:val="CharSectno"/>
        </w:rPr>
        <w:t>109A</w:t>
      </w:r>
      <w:r>
        <w:rPr>
          <w:snapToGrid w:val="0"/>
        </w:rPr>
        <w:t>.</w:t>
      </w:r>
      <w:r>
        <w:rPr>
          <w:snapToGrid w:val="0"/>
        </w:rPr>
        <w:tab/>
        <w:t>Conditional release order: specified places</w:t>
      </w:r>
      <w:bookmarkEnd w:id="248"/>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w:t>
      </w:r>
      <w:r>
        <w:rPr>
          <w:snapToGrid w:val="0"/>
        </w:rPr>
        <w:lastRenderedPageBreak/>
        <w:t>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lastRenderedPageBreak/>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No. 58 of 2004 s. 23.]</w:t>
      </w:r>
    </w:p>
    <w:p>
      <w:pPr>
        <w:pStyle w:val="Heading5"/>
        <w:spacing w:before="180"/>
        <w:rPr>
          <w:snapToGrid w:val="0"/>
        </w:rPr>
      </w:pPr>
      <w:bookmarkStart w:id="249" w:name="_Toc118453426"/>
      <w:r>
        <w:rPr>
          <w:rStyle w:val="CharSectno"/>
        </w:rPr>
        <w:t>109B</w:t>
      </w:r>
      <w:r>
        <w:rPr>
          <w:snapToGrid w:val="0"/>
        </w:rPr>
        <w:t>.</w:t>
      </w:r>
      <w:r>
        <w:rPr>
          <w:snapToGrid w:val="0"/>
        </w:rPr>
        <w:tab/>
        <w:t>Conditional release order: devices</w:t>
      </w:r>
      <w:bookmarkEnd w:id="249"/>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lastRenderedPageBreak/>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No. 58 of 2004 s. 23.]</w:t>
      </w:r>
    </w:p>
    <w:p>
      <w:pPr>
        <w:pStyle w:val="Heading5"/>
        <w:spacing w:before="240"/>
        <w:rPr>
          <w:snapToGrid w:val="0"/>
        </w:rPr>
      </w:pPr>
      <w:bookmarkStart w:id="250" w:name="_Toc118453427"/>
      <w:r>
        <w:rPr>
          <w:rStyle w:val="CharSectno"/>
        </w:rPr>
        <w:t>110</w:t>
      </w:r>
      <w:r>
        <w:rPr>
          <w:snapToGrid w:val="0"/>
        </w:rPr>
        <w:t>.</w:t>
      </w:r>
      <w:r>
        <w:rPr>
          <w:snapToGrid w:val="0"/>
        </w:rPr>
        <w:tab/>
        <w:t>Obligations under order may be suspended</w:t>
      </w:r>
      <w:bookmarkEnd w:id="250"/>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251" w:name="_Toc118453428"/>
      <w:r>
        <w:rPr>
          <w:rStyle w:val="CharSectno"/>
        </w:rPr>
        <w:t>111</w:t>
      </w:r>
      <w:r>
        <w:rPr>
          <w:snapToGrid w:val="0"/>
        </w:rPr>
        <w:t>.</w:t>
      </w:r>
      <w:r>
        <w:rPr>
          <w:snapToGrid w:val="0"/>
        </w:rPr>
        <w:tab/>
        <w:t>Amendment of order, extent of power</w:t>
      </w:r>
      <w:bookmarkEnd w:id="251"/>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lastRenderedPageBreak/>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252" w:name="_Toc118453429"/>
      <w:r>
        <w:rPr>
          <w:rStyle w:val="CharSectno"/>
        </w:rPr>
        <w:t>112</w:t>
      </w:r>
      <w:r>
        <w:rPr>
          <w:snapToGrid w:val="0"/>
        </w:rPr>
        <w:t>.</w:t>
      </w:r>
      <w:r>
        <w:rPr>
          <w:snapToGrid w:val="0"/>
        </w:rPr>
        <w:tab/>
        <w:t>Amendment or cancellation of order</w:t>
      </w:r>
      <w:bookmarkEnd w:id="252"/>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53" w:name="_Toc118453430"/>
      <w:r>
        <w:rPr>
          <w:rStyle w:val="CharSectno"/>
        </w:rPr>
        <w:t>113</w:t>
      </w:r>
      <w:r>
        <w:rPr>
          <w:snapToGrid w:val="0"/>
        </w:rPr>
        <w:t>.</w:t>
      </w:r>
      <w:r>
        <w:rPr>
          <w:snapToGrid w:val="0"/>
        </w:rPr>
        <w:tab/>
        <w:t>Breach of order, CEO may require offender to attend court</w:t>
      </w:r>
      <w:bookmarkEnd w:id="253"/>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54" w:name="_Toc118453431"/>
      <w:r>
        <w:rPr>
          <w:rStyle w:val="CharSectno"/>
        </w:rPr>
        <w:t>114</w:t>
      </w:r>
      <w:r>
        <w:rPr>
          <w:snapToGrid w:val="0"/>
        </w:rPr>
        <w:t>.</w:t>
      </w:r>
      <w:r>
        <w:rPr>
          <w:snapToGrid w:val="0"/>
        </w:rPr>
        <w:tab/>
        <w:t>Breach of order, powers to deal with</w:t>
      </w:r>
      <w:bookmarkEnd w:id="254"/>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 xml:space="preserve">in proceedings resulting from a notice to attend court given under section 113, the court finds that a person who is subject to a conditional release order has failed to </w:t>
      </w:r>
      <w:r>
        <w:rPr>
          <w:snapToGrid w:val="0"/>
        </w:rPr>
        <w:lastRenderedPageBreak/>
        <w:t>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No. 58 of 2004 s. 24.]</w:t>
      </w:r>
    </w:p>
    <w:p>
      <w:pPr>
        <w:pStyle w:val="Heading5"/>
        <w:rPr>
          <w:snapToGrid w:val="0"/>
        </w:rPr>
      </w:pPr>
      <w:bookmarkStart w:id="255" w:name="_Toc118453432"/>
      <w:r>
        <w:rPr>
          <w:rStyle w:val="CharSectno"/>
        </w:rPr>
        <w:lastRenderedPageBreak/>
        <w:t>115</w:t>
      </w:r>
      <w:r>
        <w:rPr>
          <w:snapToGrid w:val="0"/>
        </w:rPr>
        <w:t>.</w:t>
      </w:r>
      <w:r>
        <w:rPr>
          <w:snapToGrid w:val="0"/>
        </w:rPr>
        <w:tab/>
        <w:t>Conditional release order, effect of expiry of</w:t>
      </w:r>
      <w:bookmarkEnd w:id="255"/>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No. 58 of 2004 s. 25.]</w:t>
      </w:r>
    </w:p>
    <w:p>
      <w:pPr>
        <w:pStyle w:val="Heading5"/>
        <w:rPr>
          <w:snapToGrid w:val="0"/>
        </w:rPr>
      </w:pPr>
      <w:bookmarkStart w:id="256" w:name="_Toc118453433"/>
      <w:r>
        <w:rPr>
          <w:rStyle w:val="CharSectno"/>
        </w:rPr>
        <w:t>116</w:t>
      </w:r>
      <w:r>
        <w:rPr>
          <w:snapToGrid w:val="0"/>
        </w:rPr>
        <w:t>.</w:t>
      </w:r>
      <w:r>
        <w:rPr>
          <w:snapToGrid w:val="0"/>
        </w:rPr>
        <w:tab/>
        <w:t>Cancellation of conditional release order, effect of</w:t>
      </w:r>
      <w:bookmarkEnd w:id="256"/>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lastRenderedPageBreak/>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No. 78 of 1995 s. 145.] </w:t>
      </w:r>
    </w:p>
    <w:p>
      <w:pPr>
        <w:pStyle w:val="Heading5"/>
        <w:spacing w:before="180"/>
        <w:rPr>
          <w:snapToGrid w:val="0"/>
        </w:rPr>
      </w:pPr>
      <w:bookmarkStart w:id="257" w:name="_Toc118453434"/>
      <w:r>
        <w:rPr>
          <w:rStyle w:val="CharSectno"/>
        </w:rPr>
        <w:t>117</w:t>
      </w:r>
      <w:r>
        <w:rPr>
          <w:snapToGrid w:val="0"/>
        </w:rPr>
        <w:t>.</w:t>
      </w:r>
      <w:r>
        <w:rPr>
          <w:snapToGrid w:val="0"/>
        </w:rPr>
        <w:tab/>
        <w:t>Notice of court applications</w:t>
      </w:r>
      <w:bookmarkEnd w:id="257"/>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258" w:name="_Toc118361687"/>
      <w:bookmarkStart w:id="259" w:name="_Toc118366773"/>
      <w:bookmarkStart w:id="260" w:name="_Toc118453435"/>
      <w:r>
        <w:rPr>
          <w:rStyle w:val="CharDivNo"/>
        </w:rPr>
        <w:t>Division 8</w:t>
      </w:r>
      <w:r>
        <w:rPr>
          <w:snapToGrid w:val="0"/>
        </w:rPr>
        <w:t> — </w:t>
      </w:r>
      <w:r>
        <w:rPr>
          <w:rStyle w:val="CharDivText"/>
        </w:rPr>
        <w:t>Custodial sentence</w:t>
      </w:r>
      <w:bookmarkEnd w:id="258"/>
      <w:bookmarkEnd w:id="259"/>
      <w:bookmarkEnd w:id="260"/>
      <w:r>
        <w:rPr>
          <w:rStyle w:val="CharDivText"/>
        </w:rPr>
        <w:t xml:space="preserve"> </w:t>
      </w:r>
    </w:p>
    <w:p>
      <w:pPr>
        <w:pStyle w:val="Heading5"/>
        <w:spacing w:before="180"/>
        <w:rPr>
          <w:snapToGrid w:val="0"/>
        </w:rPr>
      </w:pPr>
      <w:bookmarkStart w:id="261" w:name="_Toc118453436"/>
      <w:r>
        <w:rPr>
          <w:rStyle w:val="CharSectno"/>
        </w:rPr>
        <w:t>118</w:t>
      </w:r>
      <w:r>
        <w:rPr>
          <w:snapToGrid w:val="0"/>
        </w:rPr>
        <w:t>.</w:t>
      </w:r>
      <w:r>
        <w:rPr>
          <w:snapToGrid w:val="0"/>
        </w:rPr>
        <w:tab/>
        <w:t>Offences punishable by imprisonment, options</w:t>
      </w:r>
      <w:bookmarkEnd w:id="261"/>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lastRenderedPageBreak/>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No. 78 of 1995 s. 143; amended: No. 29 of 1998 s. 21; No. 50 of 2003 s. 29(3) and 104(2); No. 27 of 2004 s. 17; No. 5 of 2008 s. 132(3).] </w:t>
      </w:r>
    </w:p>
    <w:p>
      <w:pPr>
        <w:pStyle w:val="Heading5"/>
        <w:rPr>
          <w:snapToGrid w:val="0"/>
        </w:rPr>
      </w:pPr>
      <w:bookmarkStart w:id="262" w:name="_Toc118453437"/>
      <w:r>
        <w:rPr>
          <w:rStyle w:val="CharSectno"/>
        </w:rPr>
        <w:t>118A</w:t>
      </w:r>
      <w:r>
        <w:rPr>
          <w:snapToGrid w:val="0"/>
        </w:rPr>
        <w:t>.</w:t>
      </w:r>
      <w:r>
        <w:rPr>
          <w:snapToGrid w:val="0"/>
        </w:rPr>
        <w:tab/>
        <w:t>Where sentence of imprisonment to be served</w:t>
      </w:r>
      <w:bookmarkEnd w:id="262"/>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lastRenderedPageBreak/>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No. 78 of 1995 s. 143; amended: No. 47 of 1999 s. 43.] </w:t>
      </w:r>
    </w:p>
    <w:p>
      <w:pPr>
        <w:pStyle w:val="Heading5"/>
        <w:rPr>
          <w:b w:val="0"/>
          <w:spacing w:val="-2"/>
        </w:rPr>
      </w:pPr>
      <w:bookmarkStart w:id="263" w:name="_Toc118453438"/>
      <w:r>
        <w:rPr>
          <w:rStyle w:val="CharSectno"/>
        </w:rPr>
        <w:t>119</w:t>
      </w:r>
      <w:r>
        <w:t>.</w:t>
      </w:r>
      <w:r>
        <w:tab/>
        <w:t>Taking time on remand into account</w:t>
      </w:r>
      <w:bookmarkEnd w:id="263"/>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No. 29 of 1998 s. 22.]</w:t>
      </w:r>
    </w:p>
    <w:p>
      <w:pPr>
        <w:pStyle w:val="Heading5"/>
      </w:pPr>
      <w:bookmarkStart w:id="264" w:name="_Toc118453439"/>
      <w:r>
        <w:rPr>
          <w:rStyle w:val="CharSectno"/>
        </w:rPr>
        <w:t>119A</w:t>
      </w:r>
      <w:r>
        <w:t>.</w:t>
      </w:r>
      <w:r>
        <w:tab/>
        <w:t>Effect of not being in custody</w:t>
      </w:r>
      <w:bookmarkEnd w:id="264"/>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No. 58 of 2004 s. 26.]</w:t>
      </w:r>
    </w:p>
    <w:p>
      <w:pPr>
        <w:pStyle w:val="Heading5"/>
        <w:rPr>
          <w:snapToGrid w:val="0"/>
        </w:rPr>
      </w:pPr>
      <w:bookmarkStart w:id="265" w:name="_Toc118453440"/>
      <w:r>
        <w:rPr>
          <w:rStyle w:val="CharSectno"/>
        </w:rPr>
        <w:lastRenderedPageBreak/>
        <w:t>120</w:t>
      </w:r>
      <w:r>
        <w:rPr>
          <w:snapToGrid w:val="0"/>
        </w:rPr>
        <w:t>.</w:t>
      </w:r>
      <w:r>
        <w:rPr>
          <w:snapToGrid w:val="0"/>
        </w:rPr>
        <w:tab/>
        <w:t>Custodial sentence is sentence of last resort</w:t>
      </w:r>
      <w:bookmarkEnd w:id="265"/>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No. 20 of 2013 s. 142.]</w:t>
      </w:r>
    </w:p>
    <w:p>
      <w:pPr>
        <w:pStyle w:val="Heading5"/>
        <w:rPr>
          <w:snapToGrid w:val="0"/>
        </w:rPr>
      </w:pPr>
      <w:bookmarkStart w:id="266" w:name="_Toc118453441"/>
      <w:r>
        <w:rPr>
          <w:rStyle w:val="CharSectno"/>
        </w:rPr>
        <w:t>121</w:t>
      </w:r>
      <w:r>
        <w:rPr>
          <w:snapToGrid w:val="0"/>
        </w:rPr>
        <w:t>.</w:t>
      </w:r>
      <w:r>
        <w:rPr>
          <w:snapToGrid w:val="0"/>
        </w:rPr>
        <w:tab/>
        <w:t>Minimum period before release from detention</w:t>
      </w:r>
      <w:bookmarkEnd w:id="266"/>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drawing>
          <wp:inline distT="0" distB="0" distL="0" distR="0">
            <wp:extent cx="882650" cy="414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82650" cy="414655"/>
                    </a:xfrm>
                    <a:prstGeom prst="rect">
                      <a:avLst/>
                    </a:prstGeom>
                    <a:noFill/>
                    <a:ln>
                      <a:noFill/>
                    </a:ln>
                  </pic:spPr>
                </pic:pic>
              </a:graphicData>
            </a:graphic>
          </wp:inline>
        </w:drawing>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lastRenderedPageBreak/>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No. 29 of 1998 s. 23.]</w:t>
      </w:r>
    </w:p>
    <w:p>
      <w:pPr>
        <w:pStyle w:val="Heading5"/>
        <w:rPr>
          <w:snapToGrid w:val="0"/>
        </w:rPr>
      </w:pPr>
      <w:bookmarkStart w:id="267" w:name="_Toc118453442"/>
      <w:r>
        <w:rPr>
          <w:rStyle w:val="CharSectno"/>
        </w:rPr>
        <w:t>122</w:t>
      </w:r>
      <w:r>
        <w:rPr>
          <w:snapToGrid w:val="0"/>
        </w:rPr>
        <w:t>.</w:t>
      </w:r>
      <w:r>
        <w:rPr>
          <w:snapToGrid w:val="0"/>
        </w:rPr>
        <w:tab/>
        <w:t>Aggregation of multiple sentences of detention</w:t>
      </w:r>
      <w:bookmarkEnd w:id="267"/>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268" w:name="_Toc118453443"/>
      <w:r>
        <w:rPr>
          <w:rStyle w:val="CharSectno"/>
        </w:rPr>
        <w:t>123</w:t>
      </w:r>
      <w:r>
        <w:rPr>
          <w:snapToGrid w:val="0"/>
        </w:rPr>
        <w:t>.</w:t>
      </w:r>
      <w:r>
        <w:rPr>
          <w:snapToGrid w:val="0"/>
        </w:rPr>
        <w:tab/>
        <w:t>Cumulative sentences of detention, service of</w:t>
      </w:r>
      <w:bookmarkEnd w:id="268"/>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lastRenderedPageBreak/>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269" w:name="_Toc118361696"/>
      <w:bookmarkStart w:id="270" w:name="_Toc118366782"/>
      <w:bookmarkStart w:id="271" w:name="_Toc118453444"/>
      <w:r>
        <w:rPr>
          <w:rStyle w:val="CharDivNo"/>
        </w:rPr>
        <w:t>Division 9</w:t>
      </w:r>
      <w:r>
        <w:rPr>
          <w:snapToGrid w:val="0"/>
        </w:rPr>
        <w:t> — </w:t>
      </w:r>
      <w:r>
        <w:rPr>
          <w:rStyle w:val="CharDivText"/>
        </w:rPr>
        <w:t>Dealing with young person who repeatedly commits serious offences</w:t>
      </w:r>
      <w:bookmarkEnd w:id="269"/>
      <w:bookmarkEnd w:id="270"/>
      <w:bookmarkEnd w:id="271"/>
      <w:r>
        <w:rPr>
          <w:rStyle w:val="CharDivText"/>
        </w:rPr>
        <w:t xml:space="preserve"> </w:t>
      </w:r>
    </w:p>
    <w:p>
      <w:pPr>
        <w:pStyle w:val="Heading5"/>
        <w:spacing w:before="180"/>
        <w:rPr>
          <w:snapToGrid w:val="0"/>
        </w:rPr>
      </w:pPr>
      <w:bookmarkStart w:id="272" w:name="_Toc118453445"/>
      <w:r>
        <w:rPr>
          <w:rStyle w:val="CharSectno"/>
        </w:rPr>
        <w:t>124</w:t>
      </w:r>
      <w:r>
        <w:rPr>
          <w:snapToGrid w:val="0"/>
        </w:rPr>
        <w:t>.</w:t>
      </w:r>
      <w:r>
        <w:rPr>
          <w:snapToGrid w:val="0"/>
        </w:rPr>
        <w:tab/>
        <w:t>When this Division applies</w:t>
      </w:r>
      <w:bookmarkEnd w:id="272"/>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 xml:space="preserve">offending and imposition of another custodial sentence has </w:t>
      </w:r>
      <w:r>
        <w:rPr>
          <w:snapToGrid w:val="0"/>
        </w:rPr>
        <w:lastRenderedPageBreak/>
        <w:t>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73" w:name="_Toc118453446"/>
      <w:r>
        <w:rPr>
          <w:rStyle w:val="CharSectno"/>
        </w:rPr>
        <w:t>125</w:t>
      </w:r>
      <w:r>
        <w:rPr>
          <w:snapToGrid w:val="0"/>
        </w:rPr>
        <w:t>.</w:t>
      </w:r>
      <w:r>
        <w:rPr>
          <w:snapToGrid w:val="0"/>
        </w:rPr>
        <w:tab/>
        <w:t>Protection of the community paramount</w:t>
      </w:r>
      <w:bookmarkEnd w:id="273"/>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74" w:name="_Toc118453447"/>
      <w:r>
        <w:rPr>
          <w:rStyle w:val="CharSectno"/>
        </w:rPr>
        <w:t>126</w:t>
      </w:r>
      <w:r>
        <w:rPr>
          <w:snapToGrid w:val="0"/>
        </w:rPr>
        <w:t>.</w:t>
      </w:r>
      <w:r>
        <w:rPr>
          <w:snapToGrid w:val="0"/>
        </w:rPr>
        <w:tab/>
        <w:t>Special order, making of</w:t>
      </w:r>
      <w:bookmarkEnd w:id="274"/>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lastRenderedPageBreak/>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No. 78 of 1995 s. 145.] </w:t>
      </w:r>
    </w:p>
    <w:p>
      <w:pPr>
        <w:pStyle w:val="Heading5"/>
        <w:spacing w:before="180"/>
        <w:rPr>
          <w:snapToGrid w:val="0"/>
        </w:rPr>
      </w:pPr>
      <w:bookmarkStart w:id="275" w:name="_Toc118453448"/>
      <w:r>
        <w:rPr>
          <w:rStyle w:val="CharSectno"/>
        </w:rPr>
        <w:t>127</w:t>
      </w:r>
      <w:r>
        <w:rPr>
          <w:snapToGrid w:val="0"/>
        </w:rPr>
        <w:t>.</w:t>
      </w:r>
      <w:r>
        <w:rPr>
          <w:snapToGrid w:val="0"/>
        </w:rPr>
        <w:tab/>
        <w:t>Special order, time of operation</w:t>
      </w:r>
      <w:bookmarkEnd w:id="275"/>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76" w:name="_Toc118453449"/>
      <w:r>
        <w:rPr>
          <w:rStyle w:val="CharSectno"/>
        </w:rPr>
        <w:t>128</w:t>
      </w:r>
      <w:r>
        <w:rPr>
          <w:snapToGrid w:val="0"/>
        </w:rPr>
        <w:t>.</w:t>
      </w:r>
      <w:r>
        <w:rPr>
          <w:snapToGrid w:val="0"/>
        </w:rPr>
        <w:tab/>
        <w:t>Special order, effect of</w:t>
      </w:r>
      <w:bookmarkEnd w:id="276"/>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lastRenderedPageBreak/>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277" w:name="_Toc118453450"/>
      <w:r>
        <w:rPr>
          <w:rStyle w:val="CharSectno"/>
        </w:rPr>
        <w:t>129</w:t>
      </w:r>
      <w:r>
        <w:rPr>
          <w:snapToGrid w:val="0"/>
        </w:rPr>
        <w:t>.</w:t>
      </w:r>
      <w:r>
        <w:rPr>
          <w:snapToGrid w:val="0"/>
        </w:rPr>
        <w:tab/>
        <w:t>Special order, application to discharge</w:t>
      </w:r>
      <w:bookmarkEnd w:id="277"/>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lastRenderedPageBreak/>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78" w:name="_Toc118453451"/>
      <w:r>
        <w:rPr>
          <w:rStyle w:val="CharSectno"/>
        </w:rPr>
        <w:t>130</w:t>
      </w:r>
      <w:r>
        <w:rPr>
          <w:snapToGrid w:val="0"/>
        </w:rPr>
        <w:t>.</w:t>
      </w:r>
      <w:r>
        <w:rPr>
          <w:snapToGrid w:val="0"/>
        </w:rPr>
        <w:tab/>
        <w:t>Special order, effect of expiry of</w:t>
      </w:r>
      <w:bookmarkEnd w:id="278"/>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79" w:name="_Toc118361704"/>
      <w:bookmarkStart w:id="280" w:name="_Toc118366790"/>
      <w:bookmarkStart w:id="281" w:name="_Toc118453452"/>
      <w:r>
        <w:rPr>
          <w:rStyle w:val="CharPartNo"/>
        </w:rPr>
        <w:lastRenderedPageBreak/>
        <w:t>Part 8</w:t>
      </w:r>
      <w:r>
        <w:t> — </w:t>
      </w:r>
      <w:r>
        <w:rPr>
          <w:rStyle w:val="CharPartText"/>
        </w:rPr>
        <w:t>Supervised release orders</w:t>
      </w:r>
      <w:bookmarkEnd w:id="279"/>
      <w:bookmarkEnd w:id="280"/>
      <w:bookmarkEnd w:id="281"/>
      <w:r>
        <w:rPr>
          <w:rStyle w:val="CharPartText"/>
        </w:rPr>
        <w:t xml:space="preserve"> </w:t>
      </w:r>
    </w:p>
    <w:p>
      <w:pPr>
        <w:pStyle w:val="Heading3"/>
        <w:rPr>
          <w:snapToGrid w:val="0"/>
        </w:rPr>
      </w:pPr>
      <w:bookmarkStart w:id="282" w:name="_Toc118361705"/>
      <w:bookmarkStart w:id="283" w:name="_Toc118366791"/>
      <w:bookmarkStart w:id="284" w:name="_Toc118453453"/>
      <w:r>
        <w:rPr>
          <w:rStyle w:val="CharDivNo"/>
        </w:rPr>
        <w:t>Division 1</w:t>
      </w:r>
      <w:r>
        <w:rPr>
          <w:snapToGrid w:val="0"/>
        </w:rPr>
        <w:t> — </w:t>
      </w:r>
      <w:r>
        <w:rPr>
          <w:rStyle w:val="CharDivText"/>
        </w:rPr>
        <w:t>Definitions</w:t>
      </w:r>
      <w:bookmarkEnd w:id="282"/>
      <w:bookmarkEnd w:id="283"/>
      <w:bookmarkEnd w:id="284"/>
      <w:r>
        <w:rPr>
          <w:rStyle w:val="CharDivText"/>
        </w:rPr>
        <w:t xml:space="preserve"> </w:t>
      </w:r>
    </w:p>
    <w:p>
      <w:pPr>
        <w:pStyle w:val="Heading5"/>
        <w:rPr>
          <w:snapToGrid w:val="0"/>
        </w:rPr>
      </w:pPr>
      <w:bookmarkStart w:id="285" w:name="_Toc118453454"/>
      <w:r>
        <w:rPr>
          <w:rStyle w:val="CharSectno"/>
        </w:rPr>
        <w:t>131</w:t>
      </w:r>
      <w:r>
        <w:rPr>
          <w:snapToGrid w:val="0"/>
        </w:rPr>
        <w:t>.</w:t>
      </w:r>
      <w:r>
        <w:rPr>
          <w:snapToGrid w:val="0"/>
        </w:rPr>
        <w:tab/>
        <w:t>Terms used</w:t>
      </w:r>
      <w:bookmarkEnd w:id="285"/>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86" w:name="_Toc118361707"/>
      <w:bookmarkStart w:id="287" w:name="_Toc118366793"/>
      <w:bookmarkStart w:id="288" w:name="_Toc118453455"/>
      <w:r>
        <w:rPr>
          <w:rStyle w:val="CharDivNo"/>
        </w:rPr>
        <w:t>Division 2</w:t>
      </w:r>
      <w:r>
        <w:rPr>
          <w:snapToGrid w:val="0"/>
        </w:rPr>
        <w:t> — </w:t>
      </w:r>
      <w:r>
        <w:rPr>
          <w:rStyle w:val="CharDivText"/>
        </w:rPr>
        <w:t>The order</w:t>
      </w:r>
      <w:bookmarkEnd w:id="286"/>
      <w:bookmarkEnd w:id="287"/>
      <w:bookmarkEnd w:id="288"/>
      <w:r>
        <w:rPr>
          <w:rStyle w:val="CharDivText"/>
        </w:rPr>
        <w:t xml:space="preserve"> </w:t>
      </w:r>
    </w:p>
    <w:p>
      <w:pPr>
        <w:pStyle w:val="Heading5"/>
        <w:rPr>
          <w:snapToGrid w:val="0"/>
        </w:rPr>
      </w:pPr>
      <w:bookmarkStart w:id="289" w:name="_Toc118453456"/>
      <w:r>
        <w:rPr>
          <w:rStyle w:val="CharSectno"/>
        </w:rPr>
        <w:t>132</w:t>
      </w:r>
      <w:r>
        <w:rPr>
          <w:snapToGrid w:val="0"/>
        </w:rPr>
        <w:t>.</w:t>
      </w:r>
      <w:r>
        <w:rPr>
          <w:snapToGrid w:val="0"/>
        </w:rPr>
        <w:tab/>
        <w:t>Supervised release order, Board may make</w:t>
      </w:r>
      <w:bookmarkEnd w:id="289"/>
      <w:r>
        <w:rPr>
          <w:snapToGrid w:val="0"/>
        </w:rPr>
        <w:t xml:space="preserve"> </w:t>
      </w:r>
    </w:p>
    <w:p>
      <w:pPr>
        <w:pStyle w:val="Subsection"/>
        <w:rPr>
          <w:snapToGrid w:val="0"/>
        </w:rPr>
      </w:pPr>
      <w:r>
        <w:rPr>
          <w:snapToGrid w:val="0"/>
        </w:rPr>
        <w:tab/>
        <w:t>(1)</w:t>
      </w:r>
      <w:r>
        <w:rPr>
          <w:snapToGrid w:val="0"/>
        </w:rPr>
        <w:tab/>
      </w:r>
      <w:r>
        <w:t>Except as provided in Division 2A, if</w:t>
      </w:r>
      <w:r>
        <w:rPr>
          <w:snapToGrid w:val="0"/>
        </w:rPr>
        <w:t xml:space="preserve">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lastRenderedPageBreak/>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No. 58 of 2004 s. 27; No. 14 of 2022 s. 32.]</w:t>
      </w:r>
    </w:p>
    <w:p>
      <w:pPr>
        <w:pStyle w:val="Heading5"/>
        <w:rPr>
          <w:snapToGrid w:val="0"/>
        </w:rPr>
      </w:pPr>
      <w:bookmarkStart w:id="290" w:name="_Toc118453457"/>
      <w:r>
        <w:rPr>
          <w:rStyle w:val="CharSectno"/>
        </w:rPr>
        <w:t>133</w:t>
      </w:r>
      <w:r>
        <w:rPr>
          <w:snapToGrid w:val="0"/>
        </w:rPr>
        <w:t>.</w:t>
      </w:r>
      <w:r>
        <w:rPr>
          <w:snapToGrid w:val="0"/>
        </w:rPr>
        <w:tab/>
        <w:t>Supervised release order, when can be made</w:t>
      </w:r>
      <w:bookmarkEnd w:id="290"/>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keepNext/>
      </w:pPr>
      <w:r>
        <w:lastRenderedPageBreak/>
        <w:tab/>
        <w:t>(b)</w:t>
      </w:r>
      <w:r>
        <w:tab/>
        <w:t>where the offence results in a death, any member of the immediate family of the deceased.</w:t>
      </w:r>
    </w:p>
    <w:p>
      <w:pPr>
        <w:pStyle w:val="Footnotesection"/>
      </w:pPr>
      <w:r>
        <w:tab/>
        <w:t>[Section 133 amended: No. 41 of 2006 s. 87.]</w:t>
      </w:r>
    </w:p>
    <w:p>
      <w:pPr>
        <w:pStyle w:val="Heading5"/>
        <w:rPr>
          <w:snapToGrid w:val="0"/>
        </w:rPr>
      </w:pPr>
      <w:bookmarkStart w:id="291" w:name="_Toc118453458"/>
      <w:r>
        <w:rPr>
          <w:rStyle w:val="CharSectno"/>
        </w:rPr>
        <w:t>134</w:t>
      </w:r>
      <w:r>
        <w:rPr>
          <w:snapToGrid w:val="0"/>
        </w:rPr>
        <w:t>.</w:t>
      </w:r>
      <w:r>
        <w:rPr>
          <w:snapToGrid w:val="0"/>
        </w:rPr>
        <w:tab/>
        <w:t>Duration of order</w:t>
      </w:r>
      <w:bookmarkEnd w:id="291"/>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92" w:name="_Toc118453459"/>
      <w:r>
        <w:rPr>
          <w:rStyle w:val="CharSectno"/>
        </w:rPr>
        <w:t>135</w:t>
      </w:r>
      <w:r>
        <w:rPr>
          <w:snapToGrid w:val="0"/>
        </w:rPr>
        <w:t>.</w:t>
      </w:r>
      <w:r>
        <w:rPr>
          <w:snapToGrid w:val="0"/>
        </w:rPr>
        <w:tab/>
        <w:t>Order may relate to more than one sentence</w:t>
      </w:r>
      <w:bookmarkEnd w:id="292"/>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93" w:name="_Toc118453460"/>
      <w:r>
        <w:rPr>
          <w:rStyle w:val="CharSectno"/>
        </w:rPr>
        <w:t>136</w:t>
      </w:r>
      <w:r>
        <w:rPr>
          <w:snapToGrid w:val="0"/>
        </w:rPr>
        <w:t>.</w:t>
      </w:r>
      <w:r>
        <w:rPr>
          <w:snapToGrid w:val="0"/>
        </w:rPr>
        <w:tab/>
        <w:t>Conditions implied in order</w:t>
      </w:r>
      <w:bookmarkEnd w:id="293"/>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keepNext/>
        <w:rPr>
          <w:snapToGrid w:val="0"/>
        </w:rPr>
      </w:pPr>
      <w:r>
        <w:rPr>
          <w:snapToGrid w:val="0"/>
        </w:rPr>
        <w:lastRenderedPageBreak/>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294" w:name="_Toc118453461"/>
      <w:r>
        <w:rPr>
          <w:rStyle w:val="CharSectno"/>
        </w:rPr>
        <w:t>136A</w:t>
      </w:r>
      <w:r>
        <w:rPr>
          <w:snapToGrid w:val="0"/>
        </w:rPr>
        <w:t>.</w:t>
      </w:r>
      <w:r>
        <w:rPr>
          <w:snapToGrid w:val="0"/>
        </w:rPr>
        <w:tab/>
        <w:t>Express conditions: specified places</w:t>
      </w:r>
      <w:bookmarkEnd w:id="294"/>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lastRenderedPageBreak/>
        <w:tab/>
        <w:t>(vii)</w:t>
      </w:r>
      <w:r>
        <w:tab/>
        <w:t>with the permission of the chief executive officer.</w:t>
      </w:r>
    </w:p>
    <w:p>
      <w:pPr>
        <w:pStyle w:val="Subsection"/>
        <w:keepNext/>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No. 58 of 2004 s. 28.]</w:t>
      </w:r>
    </w:p>
    <w:p>
      <w:pPr>
        <w:pStyle w:val="Heading5"/>
      </w:pPr>
      <w:bookmarkStart w:id="295" w:name="_Toc118453462"/>
      <w:r>
        <w:rPr>
          <w:rStyle w:val="CharSectno"/>
        </w:rPr>
        <w:t>136B</w:t>
      </w:r>
      <w:r>
        <w:t>.</w:t>
      </w:r>
      <w:r>
        <w:tab/>
        <w:t>Express conditions: devices</w:t>
      </w:r>
      <w:bookmarkEnd w:id="295"/>
      <w:r>
        <w:t xml:space="preserve"> </w:t>
      </w:r>
    </w:p>
    <w:p>
      <w:pPr>
        <w:pStyle w:val="Subsection"/>
        <w:keepNext/>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lastRenderedPageBreak/>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keepNext/>
      </w:pPr>
      <w:r>
        <w:tab/>
        <w:t>(7)</w:t>
      </w:r>
      <w:r>
        <w:tab/>
        <w:t>A person who wilfully and unlawfully destroys or damages a device commits an offence.</w:t>
      </w:r>
    </w:p>
    <w:p>
      <w:pPr>
        <w:pStyle w:val="Footnotesection"/>
      </w:pPr>
      <w:r>
        <w:tab/>
        <w:t>[Section 136B inserted: No. 58 of 2004 s. 28.]</w:t>
      </w:r>
    </w:p>
    <w:p>
      <w:pPr>
        <w:pStyle w:val="Heading5"/>
        <w:rPr>
          <w:snapToGrid w:val="0"/>
        </w:rPr>
      </w:pPr>
      <w:bookmarkStart w:id="296" w:name="_Toc118453463"/>
      <w:r>
        <w:rPr>
          <w:rStyle w:val="CharSectno"/>
        </w:rPr>
        <w:t>137</w:t>
      </w:r>
      <w:r>
        <w:rPr>
          <w:snapToGrid w:val="0"/>
        </w:rPr>
        <w:t>.</w:t>
      </w:r>
      <w:r>
        <w:rPr>
          <w:snapToGrid w:val="0"/>
        </w:rPr>
        <w:tab/>
        <w:t>Effect of proposed order to be explained to offender</w:t>
      </w:r>
      <w:bookmarkEnd w:id="296"/>
      <w:r>
        <w:rPr>
          <w:snapToGrid w:val="0"/>
        </w:rPr>
        <w:t xml:space="preserve"> </w:t>
      </w:r>
    </w:p>
    <w:p>
      <w:pPr>
        <w:pStyle w:val="Subsection"/>
        <w:keepNext/>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 xml:space="preserve">If requested to do so, the person in respect of whom the order is made and any responsible adult who is present when the order is made are required to sign a written acknowledgement, endorsed </w:t>
      </w:r>
      <w:r>
        <w:rPr>
          <w:snapToGrid w:val="0"/>
        </w:rPr>
        <w:lastRenderedPageBreak/>
        <w:t>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97" w:name="_Toc118453464"/>
      <w:r>
        <w:rPr>
          <w:rStyle w:val="CharSectno"/>
        </w:rPr>
        <w:t>138</w:t>
      </w:r>
      <w:r>
        <w:rPr>
          <w:snapToGrid w:val="0"/>
        </w:rPr>
        <w:t>.</w:t>
      </w:r>
      <w:r>
        <w:rPr>
          <w:snapToGrid w:val="0"/>
        </w:rPr>
        <w:tab/>
        <w:t>Order to be provided in writing</w:t>
      </w:r>
      <w:bookmarkEnd w:id="297"/>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98" w:name="_Toc118453465"/>
      <w:r>
        <w:rPr>
          <w:rStyle w:val="CharSectno"/>
        </w:rPr>
        <w:t>139</w:t>
      </w:r>
      <w:r>
        <w:rPr>
          <w:snapToGrid w:val="0"/>
        </w:rPr>
        <w:t>.</w:t>
      </w:r>
      <w:r>
        <w:rPr>
          <w:snapToGrid w:val="0"/>
        </w:rPr>
        <w:tab/>
        <w:t>Supervising officer</w:t>
      </w:r>
      <w:bookmarkEnd w:id="298"/>
      <w:r>
        <w:rPr>
          <w:snapToGrid w:val="0"/>
        </w:rPr>
        <w:t xml:space="preserve"> </w:t>
      </w:r>
    </w:p>
    <w:p>
      <w:pPr>
        <w:pStyle w:val="Subsection"/>
        <w:keepNext/>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299" w:name="_Toc118453466"/>
      <w:r>
        <w:rPr>
          <w:rStyle w:val="CharSectno"/>
        </w:rPr>
        <w:t>140</w:t>
      </w:r>
      <w:r>
        <w:rPr>
          <w:snapToGrid w:val="0"/>
        </w:rPr>
        <w:t>.</w:t>
      </w:r>
      <w:r>
        <w:rPr>
          <w:snapToGrid w:val="0"/>
        </w:rPr>
        <w:tab/>
        <w:t>Obligations under order may be suspended</w:t>
      </w:r>
      <w:bookmarkEnd w:id="299"/>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lastRenderedPageBreak/>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300" w:name="_Toc118453467"/>
      <w:r>
        <w:rPr>
          <w:rStyle w:val="CharSectno"/>
        </w:rPr>
        <w:t>141</w:t>
      </w:r>
      <w:r>
        <w:rPr>
          <w:snapToGrid w:val="0"/>
        </w:rPr>
        <w:t>.</w:t>
      </w:r>
      <w:r>
        <w:rPr>
          <w:snapToGrid w:val="0"/>
        </w:rPr>
        <w:tab/>
        <w:t>Amendment of order, extent of power</w:t>
      </w:r>
      <w:bookmarkEnd w:id="300"/>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301" w:name="_Toc118453468"/>
      <w:r>
        <w:rPr>
          <w:rStyle w:val="CharSectno"/>
        </w:rPr>
        <w:t>142</w:t>
      </w:r>
      <w:r>
        <w:rPr>
          <w:snapToGrid w:val="0"/>
        </w:rPr>
        <w:t>.</w:t>
      </w:r>
      <w:r>
        <w:rPr>
          <w:snapToGrid w:val="0"/>
        </w:rPr>
        <w:tab/>
        <w:t>Amendment or cancellation of order</w:t>
      </w:r>
      <w:bookmarkEnd w:id="301"/>
      <w:r>
        <w:rPr>
          <w:snapToGrid w:val="0"/>
        </w:rPr>
        <w:t xml:space="preserve"> </w:t>
      </w:r>
    </w:p>
    <w:p>
      <w:pPr>
        <w:pStyle w:val="Subsection"/>
        <w:rPr>
          <w:snapToGrid w:val="0"/>
        </w:rPr>
      </w:pPr>
      <w:r>
        <w:rPr>
          <w:snapToGrid w:val="0"/>
        </w:rPr>
        <w:tab/>
        <w:t>(1)</w:t>
      </w:r>
      <w:r>
        <w:rPr>
          <w:snapToGrid w:val="0"/>
        </w:rPr>
        <w:tab/>
        <w:t xml:space="preserve">Subject to </w:t>
      </w:r>
      <w:r>
        <w:t xml:space="preserve">subsection (2) and section 142A, </w:t>
      </w:r>
      <w:r>
        <w:rPr>
          <w:snapToGrid w:val="0"/>
        </w:rPr>
        <w:t>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Footnotesection"/>
      </w:pPr>
      <w:r>
        <w:tab/>
        <w:t>[Section 142 amended: No. 14 of 2022 s. 33.]</w:t>
      </w:r>
    </w:p>
    <w:p>
      <w:pPr>
        <w:pStyle w:val="Heading5"/>
      </w:pPr>
      <w:bookmarkStart w:id="302" w:name="_Toc103867572"/>
      <w:bookmarkStart w:id="303" w:name="_Toc118453469"/>
      <w:r>
        <w:rPr>
          <w:rStyle w:val="CharSectno"/>
        </w:rPr>
        <w:lastRenderedPageBreak/>
        <w:t>142A</w:t>
      </w:r>
      <w:r>
        <w:t>.</w:t>
      </w:r>
      <w:r>
        <w:tab/>
        <w:t>Cancellation automatic in case of offender with links to terrorism</w:t>
      </w:r>
      <w:bookmarkEnd w:id="302"/>
      <w:bookmarkEnd w:id="303"/>
    </w:p>
    <w:p>
      <w:pPr>
        <w:pStyle w:val="Subsection"/>
      </w:pPr>
      <w:r>
        <w:tab/>
        <w:t>(1)</w:t>
      </w:r>
      <w:r>
        <w:tab/>
        <w:t xml:space="preserve">In this section, a reference to the </w:t>
      </w:r>
      <w:r>
        <w:rPr>
          <w:rStyle w:val="CharDefText"/>
        </w:rPr>
        <w:t>Board</w:t>
      </w:r>
      <w:r>
        <w:t xml:space="preserve"> is a reference to </w:t>
      </w:r>
      <w:r>
        <w:rPr>
          <w:szCs w:val="24"/>
        </w:rPr>
        <w:t>the Board as constituted by the chairperson alone.</w:t>
      </w:r>
    </w:p>
    <w:p>
      <w:pPr>
        <w:pStyle w:val="Subsection"/>
      </w:pPr>
      <w:r>
        <w:tab/>
        <w:t>(2)</w:t>
      </w:r>
      <w:r>
        <w:tab/>
        <w:t>The Board must cancel a supervised release order in respect of any of the following offenders —</w:t>
      </w:r>
    </w:p>
    <w:p>
      <w:pPr>
        <w:pStyle w:val="Indenta"/>
      </w:pPr>
      <w:r>
        <w:tab/>
        <w:t>(a)</w:t>
      </w:r>
      <w:r>
        <w:tab/>
        <w:t>an offender who, during the period the offender is subject to the supervised release order —</w:t>
      </w:r>
    </w:p>
    <w:p>
      <w:pPr>
        <w:pStyle w:val="Indenti"/>
      </w:pPr>
      <w:r>
        <w:tab/>
        <w:t>(i)</w:t>
      </w:r>
      <w:r>
        <w:tab/>
      </w:r>
      <w:r>
        <w:rPr>
          <w:szCs w:val="24"/>
        </w:rPr>
        <w:t>is charged with, or convicted of, a terrorism offence; or</w:t>
      </w:r>
    </w:p>
    <w:p>
      <w:pPr>
        <w:pStyle w:val="Indenti"/>
      </w:pPr>
      <w:r>
        <w:tab/>
        <w:t>(ii)</w:t>
      </w:r>
      <w:r>
        <w:tab/>
      </w:r>
      <w:r>
        <w:rPr>
          <w:szCs w:val="24"/>
        </w:rPr>
        <w:t xml:space="preserve">is </w:t>
      </w:r>
      <w:r>
        <w:t>charged with, or convicted of, an offence against the Commonwealth Criminal Code section 80.2C(1)</w:t>
      </w:r>
      <w:r>
        <w:rPr>
          <w:szCs w:val="24"/>
        </w:rPr>
        <w:t>; or</w:t>
      </w:r>
    </w:p>
    <w:p>
      <w:pPr>
        <w:pStyle w:val="Indenti"/>
      </w:pPr>
      <w:r>
        <w:tab/>
        <w:t>(iii)</w:t>
      </w:r>
      <w:r>
        <w:tab/>
      </w:r>
      <w:r>
        <w:rPr>
          <w:szCs w:val="24"/>
        </w:rPr>
        <w:t>becomes subject to an interim control order or confirmed control order; or</w:t>
      </w:r>
    </w:p>
    <w:p>
      <w:pPr>
        <w:pStyle w:val="Indenti"/>
        <w:rPr>
          <w:szCs w:val="24"/>
        </w:rPr>
      </w:pPr>
      <w:r>
        <w:tab/>
        <w:t>(iv)</w:t>
      </w:r>
      <w:r>
        <w:tab/>
        <w:t xml:space="preserve">becomes subject to a Commissioner of Police report </w:t>
      </w:r>
      <w:r>
        <w:rPr>
          <w:szCs w:val="24"/>
        </w:rPr>
        <w:t xml:space="preserve">and who the </w:t>
      </w:r>
      <w:r>
        <w:t>Board</w:t>
      </w:r>
      <w:r>
        <w:rPr>
          <w:szCs w:val="24"/>
        </w:rPr>
        <w:t xml:space="preserve"> is satisfied has</w:t>
      </w:r>
      <w:r>
        <w:t xml:space="preserve"> made statements or carried out activities that support, or advocate support for, terrorist acts</w:t>
      </w:r>
      <w:r>
        <w:rPr>
          <w:szCs w:val="24"/>
        </w:rPr>
        <w:t xml:space="preserve">; </w:t>
      </w:r>
    </w:p>
    <w:p>
      <w:pPr>
        <w:pStyle w:val="Indenta"/>
      </w:pPr>
      <w:r>
        <w:tab/>
        <w:t>(b)</w:t>
      </w:r>
      <w:r>
        <w:tab/>
        <w:t xml:space="preserve">an offender for whom, during the period the offender is subject to the supervised release order, an interim control order is being sought under the </w:t>
      </w:r>
      <w:r>
        <w:rPr>
          <w:szCs w:val="24"/>
        </w:rPr>
        <w:t>Commonwealth Criminal Code section 104.3(1)</w:t>
      </w:r>
      <w:r>
        <w:t xml:space="preserve">; </w:t>
      </w:r>
    </w:p>
    <w:p>
      <w:pPr>
        <w:pStyle w:val="Indenta"/>
      </w:pPr>
      <w:r>
        <w:tab/>
        <w:t>(c)</w:t>
      </w:r>
      <w:r>
        <w:tab/>
        <w:t xml:space="preserve">an offender who the Board is satisfied — </w:t>
      </w:r>
    </w:p>
    <w:p>
      <w:pPr>
        <w:pStyle w:val="Indenti"/>
      </w:pPr>
      <w:r>
        <w:rPr>
          <w:szCs w:val="24"/>
        </w:rPr>
        <w:tab/>
        <w:t>(i)</w:t>
      </w:r>
      <w:r>
        <w:rPr>
          <w:szCs w:val="24"/>
        </w:rPr>
        <w:tab/>
        <w:t xml:space="preserve">at the time that the supervised release order in respect of the offender was made, </w:t>
      </w:r>
      <w:r>
        <w:t>was a category 1 offender or a category 2 offender; and</w:t>
      </w:r>
    </w:p>
    <w:p>
      <w:pPr>
        <w:pStyle w:val="Indenti"/>
      </w:pPr>
      <w:r>
        <w:rPr>
          <w:szCs w:val="24"/>
        </w:rPr>
        <w:tab/>
        <w:t>(ii)</w:t>
      </w:r>
      <w:r>
        <w:rPr>
          <w:szCs w:val="24"/>
        </w:rPr>
        <w:tab/>
      </w:r>
      <w:r>
        <w:t>in respect of whom, this fact was not known by the person who made the order at the time that the order was made.</w:t>
      </w:r>
    </w:p>
    <w:p>
      <w:pPr>
        <w:pStyle w:val="Footnotesection"/>
      </w:pPr>
      <w:bookmarkStart w:id="304" w:name="_Toc103867573"/>
      <w:r>
        <w:tab/>
        <w:t>[Section 142A inserted: No. 14 of 2022 s. 34.]</w:t>
      </w:r>
    </w:p>
    <w:p>
      <w:pPr>
        <w:pStyle w:val="Heading5"/>
      </w:pPr>
      <w:bookmarkStart w:id="305" w:name="_Toc118453470"/>
      <w:r>
        <w:rPr>
          <w:rStyle w:val="CharSectno"/>
        </w:rPr>
        <w:lastRenderedPageBreak/>
        <w:t>142B</w:t>
      </w:r>
      <w:r>
        <w:t>.</w:t>
      </w:r>
      <w:r>
        <w:tab/>
        <w:t>Supervised release order, when cancellation under s. 142A takes effect</w:t>
      </w:r>
      <w:bookmarkEnd w:id="304"/>
      <w:bookmarkEnd w:id="305"/>
      <w:r>
        <w:t xml:space="preserve"> </w:t>
      </w:r>
    </w:p>
    <w:p>
      <w:pPr>
        <w:pStyle w:val="Subsection"/>
      </w:pPr>
      <w:r>
        <w:tab/>
        <w:t>(1)</w:t>
      </w:r>
      <w:r>
        <w:tab/>
        <w:t>If a supervised release order in respect of an offender is cancelled under section 142A, the supervised release order is taken to be cancelled —</w:t>
      </w:r>
    </w:p>
    <w:p>
      <w:pPr>
        <w:pStyle w:val="Indenta"/>
      </w:pPr>
      <w:r>
        <w:tab/>
        <w:t>(a)</w:t>
      </w:r>
      <w:r>
        <w:tab/>
      </w:r>
      <w:r>
        <w:rPr>
          <w:szCs w:val="24"/>
        </w:rPr>
        <w:t>if the cancellation results from a charge or conviction </w:t>
      </w:r>
      <w:r>
        <w:t xml:space="preserve">— </w:t>
      </w:r>
      <w:r>
        <w:rPr>
          <w:szCs w:val="24"/>
        </w:rPr>
        <w:t>on the day when the offence that resulted in the charge or conviction was committed; or</w:t>
      </w:r>
    </w:p>
    <w:p>
      <w:pPr>
        <w:pStyle w:val="Indenta"/>
      </w:pPr>
      <w:r>
        <w:tab/>
        <w:t>(b)</w:t>
      </w:r>
      <w:r>
        <w:tab/>
        <w:t>if the cancellation results from an offender becoming subject to an interim control order or confirmed control order — on the day when the offender became subject to the order; or</w:t>
      </w:r>
    </w:p>
    <w:p>
      <w:pPr>
        <w:pStyle w:val="Indenta"/>
      </w:pPr>
      <w:r>
        <w:tab/>
        <w:t>(c)</w:t>
      </w:r>
      <w:r>
        <w:tab/>
        <w:t>if the cancellation results from an interim control order or confirmed control order being sought in respect of an offender— on the day when the order was sought; or</w:t>
      </w:r>
    </w:p>
    <w:p>
      <w:pPr>
        <w:pStyle w:val="Indenta"/>
      </w:pPr>
      <w:r>
        <w:tab/>
        <w:t>(d)</w:t>
      </w:r>
      <w:r>
        <w:tab/>
        <w:t>if the cancellation results from a decision by the Board — the day when the decision was made.</w:t>
      </w:r>
    </w:p>
    <w:p>
      <w:pPr>
        <w:pStyle w:val="Subsection"/>
      </w:pPr>
      <w:r>
        <w:tab/>
        <w:t>(2)</w:t>
      </w:r>
      <w:r>
        <w:tab/>
        <w:t>If the day when an offence was committed cannot be ascertained — the day is taken, for the purposes of subsection (1)(a), to be the latest day on which that offence could have been committed, as determined by the CEO.</w:t>
      </w:r>
    </w:p>
    <w:p>
      <w:pPr>
        <w:pStyle w:val="Footnotesection"/>
      </w:pPr>
      <w:r>
        <w:tab/>
        <w:t>[Section 142B inserted: No. 14 of 2022 s. 34.]</w:t>
      </w:r>
    </w:p>
    <w:p>
      <w:pPr>
        <w:pStyle w:val="Heading5"/>
        <w:rPr>
          <w:snapToGrid w:val="0"/>
        </w:rPr>
      </w:pPr>
      <w:bookmarkStart w:id="306" w:name="_Toc118453471"/>
      <w:r>
        <w:rPr>
          <w:rStyle w:val="CharSectno"/>
        </w:rPr>
        <w:t>143</w:t>
      </w:r>
      <w:r>
        <w:rPr>
          <w:snapToGrid w:val="0"/>
        </w:rPr>
        <w:t>.</w:t>
      </w:r>
      <w:r>
        <w:rPr>
          <w:snapToGrid w:val="0"/>
        </w:rPr>
        <w:tab/>
        <w:t>Cancellation of certain obligations after 6 months’ release</w:t>
      </w:r>
      <w:bookmarkEnd w:id="306"/>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307" w:name="_Toc118453472"/>
      <w:r>
        <w:rPr>
          <w:rStyle w:val="CharSectno"/>
        </w:rPr>
        <w:lastRenderedPageBreak/>
        <w:t>144</w:t>
      </w:r>
      <w:r>
        <w:rPr>
          <w:snapToGrid w:val="0"/>
        </w:rPr>
        <w:t>.</w:t>
      </w:r>
      <w:r>
        <w:rPr>
          <w:snapToGrid w:val="0"/>
        </w:rPr>
        <w:tab/>
        <w:t>Breach of order other than by re</w:t>
      </w:r>
      <w:r>
        <w:rPr>
          <w:snapToGrid w:val="0"/>
        </w:rPr>
        <w:noBreakHyphen/>
        <w:t>offending, report to CEO</w:t>
      </w:r>
      <w:bookmarkEnd w:id="307"/>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308" w:name="_Toc118453473"/>
      <w:r>
        <w:rPr>
          <w:rStyle w:val="CharSectno"/>
        </w:rPr>
        <w:t>145</w:t>
      </w:r>
      <w:r>
        <w:rPr>
          <w:snapToGrid w:val="0"/>
        </w:rPr>
        <w:t>.</w:t>
      </w:r>
      <w:r>
        <w:rPr>
          <w:snapToGrid w:val="0"/>
        </w:rPr>
        <w:tab/>
        <w:t>Courts to notify Board and CEO of re</w:t>
      </w:r>
      <w:r>
        <w:rPr>
          <w:snapToGrid w:val="0"/>
        </w:rPr>
        <w:noBreakHyphen/>
        <w:t>offending</w:t>
      </w:r>
      <w:bookmarkEnd w:id="308"/>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keepNext/>
        <w:rPr>
          <w:snapToGrid w:val="0"/>
        </w:rPr>
      </w:pPr>
      <w:r>
        <w:rPr>
          <w:snapToGrid w:val="0"/>
        </w:rPr>
        <w:lastRenderedPageBreak/>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No. 58 of 2004 s. 29.]</w:t>
      </w:r>
    </w:p>
    <w:p>
      <w:pPr>
        <w:pStyle w:val="Heading5"/>
        <w:rPr>
          <w:snapToGrid w:val="0"/>
        </w:rPr>
      </w:pPr>
      <w:bookmarkStart w:id="309" w:name="_Toc118453474"/>
      <w:r>
        <w:rPr>
          <w:rStyle w:val="CharSectno"/>
        </w:rPr>
        <w:t>146</w:t>
      </w:r>
      <w:r>
        <w:rPr>
          <w:snapToGrid w:val="0"/>
        </w:rPr>
        <w:t>.</w:t>
      </w:r>
      <w:r>
        <w:rPr>
          <w:snapToGrid w:val="0"/>
        </w:rPr>
        <w:tab/>
        <w:t>Report to be provided when referring matter to Board</w:t>
      </w:r>
      <w:bookmarkEnd w:id="309"/>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310" w:name="_Toc118453475"/>
      <w:r>
        <w:rPr>
          <w:rStyle w:val="CharSectno"/>
        </w:rPr>
        <w:t>147</w:t>
      </w:r>
      <w:r>
        <w:rPr>
          <w:snapToGrid w:val="0"/>
        </w:rPr>
        <w:t>.</w:t>
      </w:r>
      <w:r>
        <w:rPr>
          <w:snapToGrid w:val="0"/>
        </w:rPr>
        <w:tab/>
        <w:t>Breach of order, how Board may deal with</w:t>
      </w:r>
      <w:bookmarkEnd w:id="310"/>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lastRenderedPageBreak/>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311" w:name="_Toc118453476"/>
      <w:r>
        <w:rPr>
          <w:rStyle w:val="CharSectno"/>
        </w:rPr>
        <w:t>147A</w:t>
      </w:r>
      <w:r>
        <w:t>.</w:t>
      </w:r>
      <w:r>
        <w:tab/>
      </w:r>
      <w:r>
        <w:rPr>
          <w:snapToGrid w:val="0"/>
        </w:rPr>
        <w:t>Offending while on supervised release order: automatic cancellation</w:t>
      </w:r>
      <w:bookmarkEnd w:id="311"/>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No. 58 of 2004 s. 30.]</w:t>
      </w:r>
    </w:p>
    <w:p>
      <w:pPr>
        <w:pStyle w:val="Heading5"/>
        <w:rPr>
          <w:snapToGrid w:val="0"/>
        </w:rPr>
      </w:pPr>
      <w:bookmarkStart w:id="312" w:name="_Toc118453477"/>
      <w:r>
        <w:rPr>
          <w:rStyle w:val="CharSectno"/>
        </w:rPr>
        <w:t>148</w:t>
      </w:r>
      <w:r>
        <w:rPr>
          <w:snapToGrid w:val="0"/>
        </w:rPr>
        <w:t>.</w:t>
      </w:r>
      <w:r>
        <w:rPr>
          <w:snapToGrid w:val="0"/>
        </w:rPr>
        <w:tab/>
        <w:t>Compliance with order, effect of</w:t>
      </w:r>
      <w:bookmarkEnd w:id="312"/>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313" w:name="_Toc118453478"/>
      <w:r>
        <w:rPr>
          <w:rStyle w:val="CharSectno"/>
        </w:rPr>
        <w:t>149</w:t>
      </w:r>
      <w:r>
        <w:rPr>
          <w:snapToGrid w:val="0"/>
        </w:rPr>
        <w:t>.</w:t>
      </w:r>
      <w:r>
        <w:rPr>
          <w:snapToGrid w:val="0"/>
        </w:rPr>
        <w:tab/>
        <w:t>Suspension or cancellation of order, effect of</w:t>
      </w:r>
      <w:bookmarkEnd w:id="313"/>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 xml:space="preserve">section 147(1)(e) or by the </w:t>
      </w:r>
      <w:r>
        <w:rPr>
          <w:snapToGrid w:val="0"/>
        </w:rPr>
        <w:lastRenderedPageBreak/>
        <w:t xml:space="preserve">operation of </w:t>
      </w:r>
      <w:r>
        <w:t xml:space="preserve">section 142A(2) or 147A, </w:t>
      </w:r>
      <w:r>
        <w:rPr>
          <w:snapToGrid w:val="0"/>
        </w:rPr>
        <w:t>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No. 58 of 2004 s. 31; No. 14 of 2022 s. 35.]</w:t>
      </w:r>
    </w:p>
    <w:p>
      <w:pPr>
        <w:pStyle w:val="Heading5"/>
        <w:spacing w:before="240"/>
        <w:rPr>
          <w:snapToGrid w:val="0"/>
        </w:rPr>
      </w:pPr>
      <w:bookmarkStart w:id="314" w:name="_Toc118453479"/>
      <w:r>
        <w:rPr>
          <w:rStyle w:val="CharSectno"/>
        </w:rPr>
        <w:t>150</w:t>
      </w:r>
      <w:r>
        <w:rPr>
          <w:snapToGrid w:val="0"/>
        </w:rPr>
        <w:t>.</w:t>
      </w:r>
      <w:r>
        <w:rPr>
          <w:snapToGrid w:val="0"/>
        </w:rPr>
        <w:tab/>
        <w:t>Cancellation of order after offender reaches 18</w:t>
      </w:r>
      <w:bookmarkEnd w:id="314"/>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w:t>
      </w:r>
      <w:r>
        <w:rPr>
          <w:snapToGrid w:val="0"/>
        </w:rPr>
        <w:lastRenderedPageBreak/>
        <w:t xml:space="preserve">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No. 78 of 1995 s. 145; amended: No. 58 of 2004 s. 32.] </w:t>
      </w:r>
    </w:p>
    <w:p>
      <w:pPr>
        <w:pStyle w:val="Heading3"/>
      </w:pPr>
      <w:bookmarkStart w:id="315" w:name="_Toc103854059"/>
      <w:bookmarkStart w:id="316" w:name="_Toc103854150"/>
      <w:bookmarkStart w:id="317" w:name="_Toc103854241"/>
      <w:bookmarkStart w:id="318" w:name="_Toc103867576"/>
      <w:bookmarkStart w:id="319" w:name="_Toc118366818"/>
      <w:bookmarkStart w:id="320" w:name="_Toc118453480"/>
      <w:bookmarkStart w:id="321" w:name="_Toc118361730"/>
      <w:r>
        <w:rPr>
          <w:rStyle w:val="CharDivNo"/>
        </w:rPr>
        <w:t>Division 2A</w:t>
      </w:r>
      <w:r>
        <w:t> — </w:t>
      </w:r>
      <w:r>
        <w:rPr>
          <w:rStyle w:val="CharDivText"/>
        </w:rPr>
        <w:t>Offenders with links to terrorism or subject to Commissioner of Police reports</w:t>
      </w:r>
      <w:bookmarkEnd w:id="315"/>
      <w:bookmarkEnd w:id="316"/>
      <w:bookmarkEnd w:id="317"/>
      <w:bookmarkEnd w:id="318"/>
      <w:bookmarkEnd w:id="319"/>
      <w:bookmarkEnd w:id="320"/>
    </w:p>
    <w:p>
      <w:pPr>
        <w:pStyle w:val="Footnoteheading"/>
      </w:pPr>
      <w:r>
        <w:tab/>
        <w:t>[Heading inserted: No. 14 of 2022 s. 36.]</w:t>
      </w:r>
    </w:p>
    <w:p>
      <w:pPr>
        <w:pStyle w:val="Heading4"/>
      </w:pPr>
      <w:bookmarkStart w:id="322" w:name="_Toc103854060"/>
      <w:bookmarkStart w:id="323" w:name="_Toc103854151"/>
      <w:bookmarkStart w:id="324" w:name="_Toc103854242"/>
      <w:bookmarkStart w:id="325" w:name="_Toc103867577"/>
      <w:bookmarkStart w:id="326" w:name="_Toc118366819"/>
      <w:bookmarkStart w:id="327" w:name="_Toc118453481"/>
      <w:r>
        <w:t>Subdivision 1 — Preliminary</w:t>
      </w:r>
      <w:bookmarkEnd w:id="322"/>
      <w:bookmarkEnd w:id="323"/>
      <w:bookmarkEnd w:id="324"/>
      <w:bookmarkEnd w:id="325"/>
      <w:bookmarkEnd w:id="326"/>
      <w:bookmarkEnd w:id="327"/>
    </w:p>
    <w:p>
      <w:pPr>
        <w:pStyle w:val="Footnoteheading"/>
      </w:pPr>
      <w:bookmarkStart w:id="328" w:name="_Toc103867578"/>
      <w:r>
        <w:tab/>
        <w:t>[Heading inserted: No. 14 of 2022 s. 36.]</w:t>
      </w:r>
    </w:p>
    <w:p>
      <w:pPr>
        <w:pStyle w:val="Heading5"/>
      </w:pPr>
      <w:bookmarkStart w:id="329" w:name="_Toc118453482"/>
      <w:r>
        <w:rPr>
          <w:rStyle w:val="CharSectno"/>
        </w:rPr>
        <w:t>150A</w:t>
      </w:r>
      <w:r>
        <w:t>.</w:t>
      </w:r>
      <w:r>
        <w:tab/>
        <w:t>Release considerations</w:t>
      </w:r>
      <w:bookmarkEnd w:id="328"/>
      <w:bookmarkEnd w:id="329"/>
    </w:p>
    <w:p>
      <w:pPr>
        <w:pStyle w:val="Subsection"/>
      </w:pPr>
      <w:r>
        <w:tab/>
      </w:r>
      <w:r>
        <w:tab/>
        <w:t>In this Division, a</w:t>
      </w:r>
      <w:r>
        <w:rPr>
          <w:szCs w:val="24"/>
        </w:rPr>
        <w:t xml:space="preserve"> reference to the </w:t>
      </w:r>
      <w:r>
        <w:rPr>
          <w:rStyle w:val="CharDefText"/>
        </w:rPr>
        <w:t>release considerations</w:t>
      </w:r>
      <w:r>
        <w:rPr>
          <w:szCs w:val="24"/>
        </w:rPr>
        <w:t xml:space="preserve"> relating to an offender is a reference to the following considerations —</w:t>
      </w:r>
    </w:p>
    <w:p>
      <w:pPr>
        <w:pStyle w:val="Indenta"/>
      </w:pPr>
      <w:r>
        <w:tab/>
        <w:t>(a)</w:t>
      </w:r>
      <w:r>
        <w:tab/>
        <w:t>if the offender has made statements or carried out activities that support, or advocate support for, terrorist acts — the nature and seriousness of the statements made or activities carried out;</w:t>
      </w:r>
    </w:p>
    <w:p>
      <w:pPr>
        <w:pStyle w:val="Indenta"/>
      </w:pPr>
      <w:r>
        <w:tab/>
        <w:t>(b)</w:t>
      </w:r>
      <w:r>
        <w:tab/>
        <w:t xml:space="preserve">if the offender is sentenced for a terrorism offence — any remarks made by the court that sentenced the offender that are relevant to paragraph (a); </w:t>
      </w:r>
    </w:p>
    <w:p>
      <w:pPr>
        <w:pStyle w:val="Indenta"/>
        <w:keepNext/>
      </w:pPr>
      <w:r>
        <w:lastRenderedPageBreak/>
        <w:tab/>
        <w:t>(c)</w:t>
      </w:r>
      <w:r>
        <w:tab/>
        <w:t>if the offender is, or was, subject to an interim control order or confirmed control order relating to a terrorism offence —</w:t>
      </w:r>
    </w:p>
    <w:p>
      <w:pPr>
        <w:pStyle w:val="Indenti"/>
      </w:pPr>
      <w:r>
        <w:tab/>
        <w:t>(i)</w:t>
      </w:r>
      <w:r>
        <w:tab/>
        <w:t>any remarks made by the court that made the order that are relevant to paragraph (a); and</w:t>
      </w:r>
    </w:p>
    <w:p>
      <w:pPr>
        <w:pStyle w:val="Indenti"/>
      </w:pPr>
      <w:r>
        <w:tab/>
        <w:t>(ii)</w:t>
      </w:r>
      <w:r>
        <w:tab/>
        <w:t>the behaviour of the offender while subject to the order;</w:t>
      </w:r>
    </w:p>
    <w:p>
      <w:pPr>
        <w:pStyle w:val="Indenta"/>
      </w:pPr>
      <w:r>
        <w:tab/>
        <w:t>(d)</w:t>
      </w:r>
      <w:r>
        <w:tab/>
        <w:t>the behaviour of the offender when in custody to the extent that it may be relevant to paragraph (a);</w:t>
      </w:r>
    </w:p>
    <w:p>
      <w:pPr>
        <w:pStyle w:val="Indenta"/>
      </w:pPr>
      <w:r>
        <w:tab/>
        <w:t>(e)</w:t>
      </w:r>
      <w:r>
        <w:tab/>
        <w:t>whether the offender has participated in any programme or activity that addresses the offender’s risk of committing a terrorism offence and the offender’s performance in the programme or activity;</w:t>
      </w:r>
    </w:p>
    <w:p>
      <w:pPr>
        <w:pStyle w:val="Indenta"/>
      </w:pPr>
      <w:r>
        <w:tab/>
        <w:t>(f)</w:t>
      </w:r>
      <w:r>
        <w:tab/>
        <w:t>whether the offender is, or was, associated with 1 or more persons who have made statements or carried out activities that support, or advocate support for, terrorist acts, and the nature of the association.</w:t>
      </w:r>
    </w:p>
    <w:p>
      <w:pPr>
        <w:pStyle w:val="Footnotesection"/>
      </w:pPr>
      <w:bookmarkStart w:id="330" w:name="_Toc103854062"/>
      <w:bookmarkStart w:id="331" w:name="_Toc103854153"/>
      <w:bookmarkStart w:id="332" w:name="_Toc103854244"/>
      <w:bookmarkStart w:id="333" w:name="_Toc103867579"/>
      <w:r>
        <w:tab/>
        <w:t>[Section 150A inserted: No. 14 of 2022 s. 36.]</w:t>
      </w:r>
    </w:p>
    <w:p>
      <w:pPr>
        <w:pStyle w:val="Heading4"/>
      </w:pPr>
      <w:bookmarkStart w:id="334" w:name="_Toc118366821"/>
      <w:bookmarkStart w:id="335" w:name="_Toc118453483"/>
      <w:r>
        <w:t>Subdivision 2 — Supervised release orders in cases of offenders with links to terrorism</w:t>
      </w:r>
      <w:bookmarkEnd w:id="330"/>
      <w:bookmarkEnd w:id="331"/>
      <w:bookmarkEnd w:id="332"/>
      <w:bookmarkEnd w:id="333"/>
      <w:bookmarkEnd w:id="334"/>
      <w:bookmarkEnd w:id="335"/>
    </w:p>
    <w:p>
      <w:pPr>
        <w:pStyle w:val="Footnoteheading"/>
      </w:pPr>
      <w:bookmarkStart w:id="336" w:name="_Toc103867580"/>
      <w:r>
        <w:tab/>
        <w:t>[Heading inserted: No. 14 of 2022 s. 36.]</w:t>
      </w:r>
    </w:p>
    <w:p>
      <w:pPr>
        <w:pStyle w:val="Heading5"/>
      </w:pPr>
      <w:bookmarkStart w:id="337" w:name="_Toc118453484"/>
      <w:r>
        <w:rPr>
          <w:rStyle w:val="CharSectno"/>
        </w:rPr>
        <w:t>150B</w:t>
      </w:r>
      <w:r>
        <w:t>.</w:t>
      </w:r>
      <w:r>
        <w:tab/>
        <w:t>References to Board</w:t>
      </w:r>
      <w:bookmarkEnd w:id="336"/>
      <w:bookmarkEnd w:id="337"/>
    </w:p>
    <w:p>
      <w:pPr>
        <w:pStyle w:val="Subsection"/>
      </w:pPr>
      <w:r>
        <w:tab/>
      </w:r>
      <w:r>
        <w:tab/>
        <w:t xml:space="preserve">In this Subdivision, a reference to the </w:t>
      </w:r>
      <w:r>
        <w:rPr>
          <w:rStyle w:val="CharDefText"/>
        </w:rPr>
        <w:t>Board</w:t>
      </w:r>
      <w:r>
        <w:t xml:space="preserve"> is a reference to </w:t>
      </w:r>
      <w:r>
        <w:rPr>
          <w:szCs w:val="24"/>
        </w:rPr>
        <w:t>the Board as constituted by the chairperson alone.</w:t>
      </w:r>
    </w:p>
    <w:p>
      <w:pPr>
        <w:pStyle w:val="Footnotesection"/>
      </w:pPr>
      <w:bookmarkStart w:id="338" w:name="_Toc103867581"/>
      <w:r>
        <w:tab/>
        <w:t>[Section 150B inserted: No. 14 of 2022 s. 36.]</w:t>
      </w:r>
    </w:p>
    <w:p>
      <w:pPr>
        <w:pStyle w:val="Heading5"/>
      </w:pPr>
      <w:bookmarkStart w:id="339" w:name="_Toc118453485"/>
      <w:r>
        <w:rPr>
          <w:rStyle w:val="CharSectno"/>
        </w:rPr>
        <w:t>150C</w:t>
      </w:r>
      <w:r>
        <w:t>.</w:t>
      </w:r>
      <w:r>
        <w:tab/>
        <w:t>Making supervised release orders</w:t>
      </w:r>
      <w:bookmarkEnd w:id="338"/>
      <w:bookmarkEnd w:id="339"/>
    </w:p>
    <w:p>
      <w:pPr>
        <w:pStyle w:val="Subsection"/>
      </w:pPr>
      <w:r>
        <w:tab/>
        <w:t>(1)</w:t>
      </w:r>
      <w:r>
        <w:tab/>
        <w:t>The Board must not order the release of an offender with links to terrorism unless the Board is satisfied that there are exceptional reasons why the offender should be released.</w:t>
      </w:r>
    </w:p>
    <w:p>
      <w:pPr>
        <w:pStyle w:val="Subsection"/>
      </w:pPr>
      <w:r>
        <w:lastRenderedPageBreak/>
        <w:tab/>
        <w:t>(2)</w:t>
      </w:r>
      <w:r>
        <w:tab/>
        <w:t>The Board must, in making any decision for the purposes of subsection (1) —</w:t>
      </w:r>
    </w:p>
    <w:p>
      <w:pPr>
        <w:pStyle w:val="Indenta"/>
      </w:pPr>
      <w:r>
        <w:tab/>
        <w:t>(a)</w:t>
      </w:r>
      <w:r>
        <w:tab/>
        <w:t xml:space="preserve">regard </w:t>
      </w:r>
      <w:r>
        <w:rPr>
          <w:szCs w:val="24"/>
        </w:rPr>
        <w:t>the personal safety of people in the community or of any individual in the community</w:t>
      </w:r>
      <w:r>
        <w:t xml:space="preserve"> as the paramount consideration; and</w:t>
      </w:r>
    </w:p>
    <w:p>
      <w:pPr>
        <w:pStyle w:val="Indenta"/>
      </w:pPr>
      <w:r>
        <w:tab/>
        <w:t>(b)</w:t>
      </w:r>
      <w:r>
        <w:tab/>
        <w:t xml:space="preserve">apply the </w:t>
      </w:r>
      <w:r>
        <w:rPr>
          <w:szCs w:val="24"/>
        </w:rPr>
        <w:t>general principles of juvenile justice in section 7, other than the principles referred to in paragraphs (h) and (k); and</w:t>
      </w:r>
    </w:p>
    <w:p>
      <w:pPr>
        <w:pStyle w:val="Indenta"/>
        <w:rPr>
          <w:szCs w:val="24"/>
        </w:rPr>
      </w:pPr>
      <w:r>
        <w:rPr>
          <w:szCs w:val="24"/>
        </w:rPr>
        <w:tab/>
        <w:t>(c)</w:t>
      </w:r>
      <w:r>
        <w:rPr>
          <w:szCs w:val="24"/>
        </w:rPr>
        <w:tab/>
        <w:t xml:space="preserve">have regard to all of the following — </w:t>
      </w:r>
    </w:p>
    <w:p>
      <w:pPr>
        <w:pStyle w:val="Indenti"/>
      </w:pPr>
      <w:r>
        <w:tab/>
        <w:t>(i)</w:t>
      </w:r>
      <w:r>
        <w:tab/>
        <w:t xml:space="preserve">the release considerations relating to the offender; </w:t>
      </w:r>
    </w:p>
    <w:p>
      <w:pPr>
        <w:pStyle w:val="Indenti"/>
      </w:pPr>
      <w:r>
        <w:tab/>
        <w:t>(ii)</w:t>
      </w:r>
      <w:r>
        <w:tab/>
        <w:t>the Commissioner of Police report about the offender;</w:t>
      </w:r>
    </w:p>
    <w:p>
      <w:pPr>
        <w:pStyle w:val="Indenti"/>
      </w:pPr>
      <w:r>
        <w:tab/>
        <w:t>(iii)</w:t>
      </w:r>
      <w:r>
        <w:tab/>
        <w:t>any other information about the offender brought to the attention of the Board.</w:t>
      </w:r>
    </w:p>
    <w:p>
      <w:pPr>
        <w:pStyle w:val="Subsection"/>
      </w:pPr>
      <w:r>
        <w:tab/>
        <w:t>(3)</w:t>
      </w:r>
      <w:r>
        <w:tab/>
        <w:t>Subsection (2) does not limit the matters that the Board may have regard to in making a decision for the purposes of subsection (1).</w:t>
      </w:r>
    </w:p>
    <w:p>
      <w:pPr>
        <w:pStyle w:val="Subsection"/>
      </w:pPr>
      <w:r>
        <w:tab/>
        <w:t>(4)</w:t>
      </w:r>
      <w:r>
        <w:tab/>
        <w:t>Despite subsections (2) and (3), the Board must not have regard to a Commissioner of Police report about the offender if the report has been withdrawn under section 150E(2).</w:t>
      </w:r>
    </w:p>
    <w:p>
      <w:pPr>
        <w:pStyle w:val="Footnotesection"/>
      </w:pPr>
      <w:bookmarkStart w:id="340" w:name="_Toc103867582"/>
      <w:r>
        <w:tab/>
        <w:t>[Section 150C inserted: No. 14 of 2022 s. 36.]</w:t>
      </w:r>
    </w:p>
    <w:p>
      <w:pPr>
        <w:pStyle w:val="Heading5"/>
      </w:pPr>
      <w:bookmarkStart w:id="341" w:name="_Toc118453486"/>
      <w:r>
        <w:rPr>
          <w:rStyle w:val="CharSectno"/>
        </w:rPr>
        <w:t>150D</w:t>
      </w:r>
      <w:r>
        <w:t>.</w:t>
      </w:r>
      <w:r>
        <w:tab/>
        <w:t>Commissioner of Police reports</w:t>
      </w:r>
      <w:bookmarkEnd w:id="340"/>
      <w:bookmarkEnd w:id="341"/>
    </w:p>
    <w:p>
      <w:pPr>
        <w:pStyle w:val="Subsection"/>
      </w:pPr>
      <w:r>
        <w:tab/>
        <w:t>(1)</w:t>
      </w:r>
      <w:r>
        <w:tab/>
        <w:t xml:space="preserve">If the Board is </w:t>
      </w:r>
      <w:r>
        <w:rPr>
          <w:szCs w:val="24"/>
        </w:rPr>
        <w:t>required to consider whether to order the release of a category 1 offender from custody, the Board must make a written request to the Commissioner of Police for a written report about the offender.</w:t>
      </w:r>
    </w:p>
    <w:p>
      <w:pPr>
        <w:pStyle w:val="Subsection"/>
        <w:keepNext/>
        <w:rPr>
          <w:szCs w:val="24"/>
        </w:rPr>
      </w:pPr>
      <w:r>
        <w:lastRenderedPageBreak/>
        <w:tab/>
        <w:t>(2)</w:t>
      </w:r>
      <w:r>
        <w:tab/>
      </w:r>
      <w:r>
        <w:rPr>
          <w:szCs w:val="24"/>
        </w:rPr>
        <w:t>The report must deal with the release considerations relating to the offender to the extent that the information is within the knowledge of the Commissioner of Police and may —</w:t>
      </w:r>
    </w:p>
    <w:p>
      <w:pPr>
        <w:pStyle w:val="Indenta"/>
      </w:pPr>
      <w:r>
        <w:tab/>
        <w:t>(a)</w:t>
      </w:r>
      <w:r>
        <w:tab/>
      </w:r>
      <w:r>
        <w:rPr>
          <w:szCs w:val="24"/>
        </w:rPr>
        <w:t>include any other information that the Commissioner of Police considers is, or may be, relevant to whether the offender should be released; and</w:t>
      </w:r>
    </w:p>
    <w:p>
      <w:pPr>
        <w:pStyle w:val="Indenta"/>
        <w:rPr>
          <w:szCs w:val="24"/>
        </w:rPr>
      </w:pPr>
      <w:r>
        <w:tab/>
        <w:t>(b)</w:t>
      </w:r>
      <w:r>
        <w:tab/>
      </w:r>
      <w:r>
        <w:rPr>
          <w:szCs w:val="24"/>
        </w:rPr>
        <w:t>declare that some or all of the information in the report is, in the opinion of the Commissioner of Police, terrorist intelligence information.</w:t>
      </w:r>
      <w:r>
        <w:t xml:space="preserve"> </w:t>
      </w:r>
    </w:p>
    <w:p>
      <w:pPr>
        <w:pStyle w:val="Subsection"/>
      </w:pPr>
      <w:r>
        <w:tab/>
        <w:t>(3)</w:t>
      </w:r>
      <w:r>
        <w:tab/>
      </w:r>
      <w:r>
        <w:rPr>
          <w:szCs w:val="24"/>
        </w:rPr>
        <w:t>The Commissioner of Police must give to the Board the report within a reasonable period after receiving the request.</w:t>
      </w:r>
    </w:p>
    <w:p>
      <w:pPr>
        <w:pStyle w:val="Subsection"/>
      </w:pPr>
      <w:r>
        <w:tab/>
        <w:t>(4)</w:t>
      </w:r>
      <w:r>
        <w:tab/>
        <w:t>The Commissioner of Police may give to the Board a written report dealing with the matters referred to in subsection (2) in relation to any other offender.</w:t>
      </w:r>
    </w:p>
    <w:p>
      <w:pPr>
        <w:pStyle w:val="Footnotesection"/>
      </w:pPr>
      <w:bookmarkStart w:id="342" w:name="_Toc103867583"/>
      <w:r>
        <w:tab/>
        <w:t>[Section 150D inserted: No. 14 of 2022 s. 36.]</w:t>
      </w:r>
    </w:p>
    <w:p>
      <w:pPr>
        <w:pStyle w:val="Heading5"/>
      </w:pPr>
      <w:bookmarkStart w:id="343" w:name="_Toc118453487"/>
      <w:r>
        <w:rPr>
          <w:rStyle w:val="CharSectno"/>
        </w:rPr>
        <w:t>150E</w:t>
      </w:r>
      <w:r>
        <w:t>.</w:t>
      </w:r>
      <w:r>
        <w:tab/>
        <w:t>Withdrawing Commissioner of Police reports</w:t>
      </w:r>
      <w:bookmarkEnd w:id="342"/>
      <w:bookmarkEnd w:id="343"/>
    </w:p>
    <w:p>
      <w:pPr>
        <w:pStyle w:val="Subsection"/>
      </w:pPr>
      <w:r>
        <w:tab/>
        <w:t>(1)</w:t>
      </w:r>
      <w:r>
        <w:tab/>
        <w:t xml:space="preserve">This section applies if the Board, as constituted by the chairperson alone — </w:t>
      </w:r>
    </w:p>
    <w:p>
      <w:pPr>
        <w:pStyle w:val="Indenta"/>
      </w:pPr>
      <w:r>
        <w:tab/>
        <w:t>(a)</w:t>
      </w:r>
      <w:r>
        <w:tab/>
        <w:t>is satisfied that an offender subject to a Commissioner of Police report is not an offender with links to terrorism; or</w:t>
      </w:r>
    </w:p>
    <w:p>
      <w:pPr>
        <w:pStyle w:val="Indenta"/>
      </w:pPr>
      <w:r>
        <w:tab/>
        <w:t>(b)</w:t>
      </w:r>
      <w:r>
        <w:tab/>
        <w:t>after consulting with the Commissioner of Police, is satisfied that a Commissioner of Police report about an offender does not include terrorist intelligence information.</w:t>
      </w:r>
    </w:p>
    <w:p>
      <w:pPr>
        <w:pStyle w:val="Subsection"/>
      </w:pPr>
      <w:r>
        <w:tab/>
        <w:t>(2)</w:t>
      </w:r>
      <w:r>
        <w:tab/>
        <w:t xml:space="preserve">Before the Board decides whether to order the release of the offender, the Board, as constituted by the chairperson alone, must give the Commissioner of Police an opportunity to withdraw the report. </w:t>
      </w:r>
    </w:p>
    <w:p>
      <w:pPr>
        <w:pStyle w:val="Subsection"/>
        <w:keepNext/>
      </w:pPr>
      <w:r>
        <w:lastRenderedPageBreak/>
        <w:tab/>
        <w:t>(3)</w:t>
      </w:r>
      <w:r>
        <w:tab/>
        <w:t xml:space="preserve">If </w:t>
      </w:r>
      <w:r>
        <w:rPr>
          <w:szCs w:val="24"/>
        </w:rPr>
        <w:t xml:space="preserve">the report is withdrawn under subsection (2), </w:t>
      </w:r>
      <w:r>
        <w:t xml:space="preserve">the Board — </w:t>
      </w:r>
    </w:p>
    <w:p>
      <w:pPr>
        <w:pStyle w:val="Indenta"/>
      </w:pPr>
      <w:r>
        <w:tab/>
        <w:t>(a)</w:t>
      </w:r>
      <w:r>
        <w:tab/>
        <w:t>must not have regard to the report for the purposes of deciding whether to order the release of the offender; and</w:t>
      </w:r>
    </w:p>
    <w:p>
      <w:pPr>
        <w:pStyle w:val="Indenta"/>
      </w:pPr>
      <w:r>
        <w:tab/>
        <w:t>(b)</w:t>
      </w:r>
      <w:r>
        <w:tab/>
        <w:t>must prohibit the publication of, or a reference to, the report.</w:t>
      </w:r>
    </w:p>
    <w:p>
      <w:pPr>
        <w:pStyle w:val="Footnotesection"/>
      </w:pPr>
      <w:bookmarkStart w:id="344" w:name="_Toc103854067"/>
      <w:bookmarkStart w:id="345" w:name="_Toc103854158"/>
      <w:bookmarkStart w:id="346" w:name="_Toc103854249"/>
      <w:bookmarkStart w:id="347" w:name="_Toc103867584"/>
      <w:r>
        <w:tab/>
        <w:t>[Section 150E inserted: No. 14 of 2022 s. 36.]</w:t>
      </w:r>
    </w:p>
    <w:p>
      <w:pPr>
        <w:pStyle w:val="Heading4"/>
      </w:pPr>
      <w:bookmarkStart w:id="348" w:name="_Toc118366826"/>
      <w:bookmarkStart w:id="349" w:name="_Toc118453488"/>
      <w:r>
        <w:t>Subdivision 3 — Supervised release orders for other offenders subject to Commissioner of Police reports</w:t>
      </w:r>
      <w:bookmarkEnd w:id="344"/>
      <w:bookmarkEnd w:id="345"/>
      <w:bookmarkEnd w:id="346"/>
      <w:bookmarkEnd w:id="347"/>
      <w:bookmarkEnd w:id="348"/>
      <w:bookmarkEnd w:id="349"/>
    </w:p>
    <w:p>
      <w:pPr>
        <w:pStyle w:val="Footnoteheading"/>
      </w:pPr>
      <w:bookmarkStart w:id="350" w:name="_Toc103867585"/>
      <w:r>
        <w:tab/>
        <w:t>[Heading inserted: No. 14 of 2022 s. 36.]</w:t>
      </w:r>
    </w:p>
    <w:p>
      <w:pPr>
        <w:pStyle w:val="Heading5"/>
      </w:pPr>
      <w:bookmarkStart w:id="351" w:name="_Toc118453489"/>
      <w:r>
        <w:rPr>
          <w:rStyle w:val="CharSectno"/>
        </w:rPr>
        <w:t>150F</w:t>
      </w:r>
      <w:r>
        <w:t>.</w:t>
      </w:r>
      <w:r>
        <w:tab/>
        <w:t>Releasing offender subject to Commissioner of Police report under supervised release order</w:t>
      </w:r>
      <w:bookmarkEnd w:id="350"/>
      <w:bookmarkEnd w:id="351"/>
      <w:r>
        <w:t xml:space="preserve"> </w:t>
      </w:r>
    </w:p>
    <w:p>
      <w:pPr>
        <w:pStyle w:val="Subsection"/>
      </w:pPr>
      <w:r>
        <w:tab/>
        <w:t>(1)</w:t>
      </w:r>
      <w:r>
        <w:tab/>
        <w:t xml:space="preserve">In this section — </w:t>
      </w:r>
    </w:p>
    <w:p>
      <w:pPr>
        <w:pStyle w:val="Defstart"/>
      </w:pPr>
      <w:r>
        <w:tab/>
      </w:r>
      <w:r>
        <w:rPr>
          <w:rStyle w:val="CharDefText"/>
        </w:rPr>
        <w:t>offender</w:t>
      </w:r>
      <w:r>
        <w:t xml:space="preserve"> does not include an offender with links to terrorism.</w:t>
      </w:r>
    </w:p>
    <w:p>
      <w:pPr>
        <w:pStyle w:val="Subsection"/>
      </w:pPr>
      <w:r>
        <w:tab/>
        <w:t>(2)</w:t>
      </w:r>
      <w:r>
        <w:tab/>
        <w:t xml:space="preserve">This section applies if — </w:t>
      </w:r>
    </w:p>
    <w:p>
      <w:pPr>
        <w:pStyle w:val="Indenta"/>
      </w:pPr>
      <w:r>
        <w:tab/>
        <w:t>(a)</w:t>
      </w:r>
      <w:r>
        <w:tab/>
        <w:t xml:space="preserve">the Board is deciding whether to order the release of an offender under section 132(1); and </w:t>
      </w:r>
    </w:p>
    <w:p>
      <w:pPr>
        <w:pStyle w:val="Indenta"/>
      </w:pPr>
      <w:r>
        <w:tab/>
        <w:t>(b)</w:t>
      </w:r>
      <w:r>
        <w:tab/>
        <w:t xml:space="preserve">the offender is subject to a Commissioner of Police report that the Board, as constituted by the chairperson alone, is satisfied includes terrorist intelligence information. </w:t>
      </w:r>
    </w:p>
    <w:p>
      <w:pPr>
        <w:pStyle w:val="Subsection"/>
      </w:pPr>
      <w:r>
        <w:tab/>
        <w:t>(3)</w:t>
      </w:r>
      <w:r>
        <w:tab/>
        <w:t>The Board, as constituted by the chairperson alone, must decide whether to order the rel</w:t>
      </w:r>
      <w:r>
        <w:rPr>
          <w:szCs w:val="24"/>
        </w:rPr>
        <w:t>ease of the offender</w:t>
      </w:r>
      <w:r>
        <w:t xml:space="preserve"> in accordance with Division 2. </w:t>
      </w:r>
    </w:p>
    <w:p>
      <w:pPr>
        <w:pStyle w:val="Footnotesection"/>
      </w:pPr>
      <w:bookmarkStart w:id="352" w:name="_Toc103854069"/>
      <w:bookmarkStart w:id="353" w:name="_Toc103854160"/>
      <w:bookmarkStart w:id="354" w:name="_Toc103854251"/>
      <w:bookmarkStart w:id="355" w:name="_Toc103867586"/>
      <w:r>
        <w:tab/>
        <w:t>[Section 150F inserted: No. 14 of 2022 s. 36.]</w:t>
      </w:r>
    </w:p>
    <w:p>
      <w:pPr>
        <w:pStyle w:val="Heading4"/>
      </w:pPr>
      <w:bookmarkStart w:id="356" w:name="_Toc118366828"/>
      <w:bookmarkStart w:id="357" w:name="_Toc118453490"/>
      <w:r>
        <w:lastRenderedPageBreak/>
        <w:t>Subdivision 4 — Review</w:t>
      </w:r>
      <w:bookmarkEnd w:id="352"/>
      <w:bookmarkEnd w:id="353"/>
      <w:bookmarkEnd w:id="354"/>
      <w:bookmarkEnd w:id="355"/>
      <w:bookmarkEnd w:id="356"/>
      <w:bookmarkEnd w:id="357"/>
    </w:p>
    <w:p>
      <w:pPr>
        <w:pStyle w:val="Footnoteheading"/>
        <w:keepNext/>
      </w:pPr>
      <w:bookmarkStart w:id="358" w:name="_Toc103867587"/>
      <w:r>
        <w:tab/>
        <w:t>[Heading inserted: No. 14 of 2022 s. 36.]</w:t>
      </w:r>
    </w:p>
    <w:p>
      <w:pPr>
        <w:pStyle w:val="Heading5"/>
      </w:pPr>
      <w:bookmarkStart w:id="359" w:name="_Toc118453491"/>
      <w:r>
        <w:rPr>
          <w:rStyle w:val="CharSectno"/>
        </w:rPr>
        <w:t>150G</w:t>
      </w:r>
      <w:r>
        <w:t>.</w:t>
      </w:r>
      <w:r>
        <w:tab/>
        <w:t>Review of Division</w:t>
      </w:r>
      <w:bookmarkEnd w:id="358"/>
      <w:bookmarkEnd w:id="359"/>
    </w:p>
    <w:p>
      <w:pPr>
        <w:pStyle w:val="Subsection"/>
        <w:rPr>
          <w:snapToGrid w:val="0"/>
        </w:rPr>
      </w:pPr>
      <w:r>
        <w:tab/>
        <w:t>(1)</w:t>
      </w:r>
      <w:r>
        <w:tab/>
      </w:r>
      <w:r>
        <w:rPr>
          <w:snapToGrid w:val="0"/>
        </w:rPr>
        <w:t>The Minister must review the operation and effectiveness of this Division, and prepare a report based on the review —</w:t>
      </w:r>
    </w:p>
    <w:p>
      <w:pPr>
        <w:pStyle w:val="Indenta"/>
      </w:pPr>
      <w:r>
        <w:tab/>
        <w:t>(a)</w:t>
      </w:r>
      <w:r>
        <w:tab/>
      </w:r>
      <w:r>
        <w:rPr>
          <w:snapToGrid w:val="0"/>
        </w:rPr>
        <w:t>as soon as practicable after the 5</w:t>
      </w:r>
      <w:r>
        <w:rPr>
          <w:snapToGrid w:val="0"/>
          <w:vertAlign w:val="superscript"/>
        </w:rPr>
        <w:t>th</w:t>
      </w:r>
      <w:r>
        <w:rPr>
          <w:snapToGrid w:val="0"/>
        </w:rPr>
        <w:t xml:space="preserve"> anniversary of the day on which the </w:t>
      </w:r>
      <w:r>
        <w:rPr>
          <w:i/>
          <w:snapToGrid w:val="0"/>
        </w:rPr>
        <w:t>Sentencing Legislation Amendment (Persons Linked to Terrorism) Act 2022</w:t>
      </w:r>
      <w:r>
        <w:rPr>
          <w:snapToGrid w:val="0"/>
        </w:rPr>
        <w:t xml:space="preserve"> section 36 comes into operation; and</w:t>
      </w:r>
    </w:p>
    <w:p>
      <w:pPr>
        <w:pStyle w:val="Indenta"/>
        <w:rPr>
          <w:snapToGrid w:val="0"/>
        </w:rPr>
      </w:pPr>
      <w:r>
        <w:tab/>
        <w:t>(b)</w:t>
      </w:r>
      <w:r>
        <w:tab/>
      </w:r>
      <w:r>
        <w:rPr>
          <w:snapToGrid w:val="0"/>
        </w:rPr>
        <w:t>after that, at intervals of not more than 5 years.</w:t>
      </w:r>
    </w:p>
    <w:p>
      <w:pPr>
        <w:pStyle w:val="Subsection"/>
      </w:pPr>
      <w:r>
        <w:tab/>
        <w:t>(2)</w:t>
      </w:r>
      <w:r>
        <w:tab/>
        <w:t xml:space="preserve">The Minister must cause the report to be laid before each House of Parliament as soon as practicable after it is prepared, but not </w:t>
      </w:r>
      <w:r>
        <w:rPr>
          <w:snapToGrid w:val="0"/>
        </w:rPr>
        <w:t>later than 12 months after the 5</w:t>
      </w:r>
      <w:r>
        <w:rPr>
          <w:snapToGrid w:val="0"/>
          <w:vertAlign w:val="superscript"/>
        </w:rPr>
        <w:t>th</w:t>
      </w:r>
      <w:r>
        <w:rPr>
          <w:snapToGrid w:val="0"/>
        </w:rPr>
        <w:t xml:space="preserve"> anniversary or the expiry of the period of 5 years, as the case may be.</w:t>
      </w:r>
    </w:p>
    <w:p>
      <w:pPr>
        <w:pStyle w:val="Footnotesection"/>
      </w:pPr>
      <w:r>
        <w:tab/>
        <w:t>[Section 150G inserted: No. 14 of 2022 s. 36.]</w:t>
      </w:r>
    </w:p>
    <w:p>
      <w:pPr>
        <w:pStyle w:val="Heading3"/>
        <w:rPr>
          <w:snapToGrid w:val="0"/>
        </w:rPr>
      </w:pPr>
      <w:bookmarkStart w:id="360" w:name="_Toc118366830"/>
      <w:bookmarkStart w:id="361" w:name="_Toc118453492"/>
      <w:r>
        <w:rPr>
          <w:rStyle w:val="CharDivNo"/>
        </w:rPr>
        <w:t>Division 3</w:t>
      </w:r>
      <w:r>
        <w:rPr>
          <w:snapToGrid w:val="0"/>
        </w:rPr>
        <w:t> — </w:t>
      </w:r>
      <w:r>
        <w:rPr>
          <w:rStyle w:val="CharDivText"/>
        </w:rPr>
        <w:t>The Supervised Release Review Board</w:t>
      </w:r>
      <w:bookmarkEnd w:id="321"/>
      <w:bookmarkEnd w:id="360"/>
      <w:bookmarkEnd w:id="361"/>
      <w:r>
        <w:rPr>
          <w:rStyle w:val="CharDivText"/>
        </w:rPr>
        <w:t xml:space="preserve"> </w:t>
      </w:r>
    </w:p>
    <w:p>
      <w:pPr>
        <w:pStyle w:val="Heading5"/>
        <w:rPr>
          <w:snapToGrid w:val="0"/>
        </w:rPr>
      </w:pPr>
      <w:bookmarkStart w:id="362" w:name="_Toc118453493"/>
      <w:r>
        <w:rPr>
          <w:rStyle w:val="CharSectno"/>
        </w:rPr>
        <w:t>151</w:t>
      </w:r>
      <w:r>
        <w:rPr>
          <w:snapToGrid w:val="0"/>
        </w:rPr>
        <w:t>.</w:t>
      </w:r>
      <w:r>
        <w:rPr>
          <w:snapToGrid w:val="0"/>
        </w:rPr>
        <w:tab/>
        <w:t>Board established</w:t>
      </w:r>
      <w:bookmarkEnd w:id="362"/>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No. 65 of 2006 s. 78.]</w:t>
      </w:r>
    </w:p>
    <w:p>
      <w:pPr>
        <w:pStyle w:val="Heading5"/>
        <w:rPr>
          <w:snapToGrid w:val="0"/>
        </w:rPr>
      </w:pPr>
      <w:bookmarkStart w:id="363" w:name="_Toc118453494"/>
      <w:r>
        <w:rPr>
          <w:rStyle w:val="CharSectno"/>
        </w:rPr>
        <w:lastRenderedPageBreak/>
        <w:t>152</w:t>
      </w:r>
      <w:r>
        <w:rPr>
          <w:snapToGrid w:val="0"/>
        </w:rPr>
        <w:t>.</w:t>
      </w:r>
      <w:r>
        <w:rPr>
          <w:snapToGrid w:val="0"/>
        </w:rPr>
        <w:tab/>
        <w:t>Board members</w:t>
      </w:r>
      <w:bookmarkEnd w:id="363"/>
      <w:r>
        <w:rPr>
          <w:snapToGrid w:val="0"/>
        </w:rPr>
        <w:t xml:space="preserve"> </w:t>
      </w:r>
    </w:p>
    <w:p>
      <w:pPr>
        <w:pStyle w:val="Subsection"/>
        <w:keepNext/>
      </w:pPr>
      <w:r>
        <w:tab/>
        <w:t>(1)</w:t>
      </w:r>
      <w:r>
        <w:tab/>
      </w:r>
      <w:r>
        <w:rPr>
          <w:snapToGrid w:val="0"/>
        </w:rPr>
        <w:t>There are to be 6 members of the Board comprising —</w:t>
      </w:r>
    </w:p>
    <w:p>
      <w:pPr>
        <w:pStyle w:val="Indenta"/>
      </w:pPr>
      <w:r>
        <w:tab/>
        <w:t>(a)</w:t>
      </w:r>
      <w:r>
        <w:tab/>
        <w:t>a person to be chairperson,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 xml:space="preserve">The </w:t>
      </w:r>
      <w:r>
        <w:t>chairperson</w:t>
      </w:r>
      <w:r>
        <w:rPr>
          <w:snapToGrid w:val="0"/>
        </w:rPr>
        <w:t xml:space="preserve">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a lawyer.</w:t>
      </w:r>
    </w:p>
    <w:p>
      <w:pPr>
        <w:pStyle w:val="Subsection"/>
        <w:keepNext/>
        <w:rPr>
          <w:snapToGrid w:val="0"/>
        </w:rPr>
      </w:pPr>
      <w:r>
        <w:rPr>
          <w:snapToGrid w:val="0"/>
        </w:rPr>
        <w:lastRenderedPageBreak/>
        <w:tab/>
        <w:t>(6)</w:t>
      </w:r>
      <w:r>
        <w:rPr>
          <w:snapToGrid w:val="0"/>
        </w:rPr>
        <w:tab/>
        <w:t>The members appointed under subsection (3)(a) and (b) are to have such skills and experience with young persons as the Minister considers appropriate.</w:t>
      </w:r>
    </w:p>
    <w:p>
      <w:pPr>
        <w:pStyle w:val="Footnotesection"/>
      </w:pPr>
      <w:r>
        <w:tab/>
        <w:t>[Section 152 amended: No. 65 of 2003 s. 73; No. 58 of 2004 s. 33; No. 41 of 2006 s. 88; No. 21 of 2008 s. 714(4); No. 9 of 2022 s. 423; No. 14 of 2022 s. 40.]</w:t>
      </w:r>
    </w:p>
    <w:p>
      <w:pPr>
        <w:pStyle w:val="Heading5"/>
        <w:rPr>
          <w:snapToGrid w:val="0"/>
        </w:rPr>
      </w:pPr>
      <w:bookmarkStart w:id="364" w:name="_Toc118453495"/>
      <w:r>
        <w:rPr>
          <w:rStyle w:val="CharSectno"/>
        </w:rPr>
        <w:t>153</w:t>
      </w:r>
      <w:r>
        <w:rPr>
          <w:snapToGrid w:val="0"/>
        </w:rPr>
        <w:t>.</w:t>
      </w:r>
      <w:r>
        <w:rPr>
          <w:snapToGrid w:val="0"/>
        </w:rPr>
        <w:tab/>
        <w:t>Term of office</w:t>
      </w:r>
      <w:bookmarkEnd w:id="364"/>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keepNext/>
        <w:rPr>
          <w:snapToGrid w:val="0"/>
        </w:rPr>
      </w:pPr>
      <w:r>
        <w:rPr>
          <w:snapToGrid w:val="0"/>
        </w:rPr>
        <w:lastRenderedPageBreak/>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No. 58 of 2004 s. 34.]</w:t>
      </w:r>
    </w:p>
    <w:p>
      <w:pPr>
        <w:pStyle w:val="Heading5"/>
        <w:rPr>
          <w:snapToGrid w:val="0"/>
        </w:rPr>
      </w:pPr>
      <w:bookmarkStart w:id="365" w:name="_Toc118453496"/>
      <w:r>
        <w:rPr>
          <w:rStyle w:val="CharSectno"/>
        </w:rPr>
        <w:t>154</w:t>
      </w:r>
      <w:r>
        <w:rPr>
          <w:snapToGrid w:val="0"/>
        </w:rPr>
        <w:t>.</w:t>
      </w:r>
      <w:r>
        <w:rPr>
          <w:snapToGrid w:val="0"/>
        </w:rPr>
        <w:tab/>
        <w:t>Alternate members</w:t>
      </w:r>
      <w:bookmarkEnd w:id="365"/>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w:t>
      </w:r>
      <w:r>
        <w:t>chairperson</w:t>
      </w:r>
      <w:r>
        <w:rPr>
          <w:snapToGrid w:val="0"/>
        </w:rPr>
        <w:t xml:space="preserve">,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keepNext/>
        <w:rPr>
          <w:snapToGrid w:val="0"/>
        </w:rPr>
      </w:pPr>
      <w:r>
        <w:rPr>
          <w:snapToGrid w:val="0"/>
        </w:rPr>
        <w:lastRenderedPageBreak/>
        <w:tab/>
        <w:t>(5)</w:t>
      </w:r>
      <w:r>
        <w:rPr>
          <w:snapToGrid w:val="0"/>
        </w:rPr>
        <w:tab/>
        <w:t>The Minister may, at any time, cancel a nomination made under subsection (3).</w:t>
      </w:r>
    </w:p>
    <w:p>
      <w:pPr>
        <w:pStyle w:val="Footnotesection"/>
      </w:pPr>
      <w:r>
        <w:tab/>
        <w:t>[Section 154 amended: No. 58 of 2004 s. 35; No. 14 of 2022 s. 40.]</w:t>
      </w:r>
    </w:p>
    <w:p>
      <w:pPr>
        <w:pStyle w:val="Heading5"/>
        <w:rPr>
          <w:snapToGrid w:val="0"/>
        </w:rPr>
      </w:pPr>
      <w:bookmarkStart w:id="366" w:name="_Toc118453497"/>
      <w:r>
        <w:rPr>
          <w:rStyle w:val="CharSectno"/>
        </w:rPr>
        <w:t>155</w:t>
      </w:r>
      <w:r>
        <w:rPr>
          <w:snapToGrid w:val="0"/>
        </w:rPr>
        <w:t>.</w:t>
      </w:r>
      <w:r>
        <w:rPr>
          <w:snapToGrid w:val="0"/>
        </w:rPr>
        <w:tab/>
        <w:t>Remuneration and allowances</w:t>
      </w:r>
      <w:bookmarkEnd w:id="366"/>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367" w:name="_Toc118453498"/>
      <w:r>
        <w:rPr>
          <w:rStyle w:val="CharSectno"/>
        </w:rPr>
        <w:t>156</w:t>
      </w:r>
      <w:r>
        <w:rPr>
          <w:snapToGrid w:val="0"/>
        </w:rPr>
        <w:t>.</w:t>
      </w:r>
      <w:r>
        <w:rPr>
          <w:snapToGrid w:val="0"/>
        </w:rPr>
        <w:tab/>
        <w:t>Meetings</w:t>
      </w:r>
      <w:bookmarkEnd w:id="367"/>
      <w:r>
        <w:rPr>
          <w:snapToGrid w:val="0"/>
        </w:rPr>
        <w:t xml:space="preserve"> </w:t>
      </w:r>
    </w:p>
    <w:p>
      <w:pPr>
        <w:pStyle w:val="Subsection"/>
        <w:rPr>
          <w:snapToGrid w:val="0"/>
        </w:rPr>
      </w:pPr>
      <w:r>
        <w:rPr>
          <w:snapToGrid w:val="0"/>
        </w:rPr>
        <w:tab/>
      </w:r>
      <w:r>
        <w:rPr>
          <w:snapToGrid w:val="0"/>
        </w:rPr>
        <w:tab/>
        <w:t xml:space="preserve">Meetings of the Board are to be convened at such times and places as the </w:t>
      </w:r>
      <w:r>
        <w:t>chairperson</w:t>
      </w:r>
      <w:r>
        <w:rPr>
          <w:snapToGrid w:val="0"/>
        </w:rPr>
        <w:t xml:space="preserve"> determines, but at least once a month.</w:t>
      </w:r>
    </w:p>
    <w:p>
      <w:pPr>
        <w:pStyle w:val="Footnotesection"/>
      </w:pPr>
      <w:r>
        <w:tab/>
        <w:t>[Section 156 amended: No. 14 of 2022 s. 40.]</w:t>
      </w:r>
    </w:p>
    <w:p>
      <w:pPr>
        <w:pStyle w:val="Heading5"/>
        <w:rPr>
          <w:snapToGrid w:val="0"/>
        </w:rPr>
      </w:pPr>
      <w:bookmarkStart w:id="368" w:name="_Toc118453499"/>
      <w:r>
        <w:rPr>
          <w:rStyle w:val="CharSectno"/>
        </w:rPr>
        <w:t>157</w:t>
      </w:r>
      <w:r>
        <w:rPr>
          <w:snapToGrid w:val="0"/>
        </w:rPr>
        <w:t>.</w:t>
      </w:r>
      <w:r>
        <w:rPr>
          <w:snapToGrid w:val="0"/>
        </w:rPr>
        <w:tab/>
        <w:t>Quorum</w:t>
      </w:r>
      <w:bookmarkEnd w:id="368"/>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Subsection"/>
      </w:pPr>
      <w:r>
        <w:tab/>
        <w:t>(2)</w:t>
      </w:r>
      <w:r>
        <w:tab/>
        <w:t xml:space="preserve">This section does not apply in relation to a meeting of the Board held for the purposes of section 16B, 16C or 142A or Part 8 Division 2A. </w:t>
      </w:r>
    </w:p>
    <w:p>
      <w:pPr>
        <w:pStyle w:val="Footnotesection"/>
      </w:pPr>
      <w:r>
        <w:tab/>
        <w:t>[Section 157 amended: No. 58 of 2004 s. 36; No. 14 of 2022 s. 37.]</w:t>
      </w:r>
    </w:p>
    <w:p>
      <w:pPr>
        <w:pStyle w:val="Heading5"/>
        <w:rPr>
          <w:snapToGrid w:val="0"/>
        </w:rPr>
      </w:pPr>
      <w:bookmarkStart w:id="369" w:name="_Toc118453500"/>
      <w:r>
        <w:rPr>
          <w:rStyle w:val="CharSectno"/>
        </w:rPr>
        <w:lastRenderedPageBreak/>
        <w:t>158</w:t>
      </w:r>
      <w:r>
        <w:rPr>
          <w:snapToGrid w:val="0"/>
        </w:rPr>
        <w:t>.</w:t>
      </w:r>
      <w:r>
        <w:rPr>
          <w:snapToGrid w:val="0"/>
        </w:rPr>
        <w:tab/>
        <w:t>Presiding at meetings</w:t>
      </w:r>
      <w:bookmarkEnd w:id="369"/>
      <w:r>
        <w:rPr>
          <w:snapToGrid w:val="0"/>
        </w:rPr>
        <w:t xml:space="preserve"> </w:t>
      </w:r>
    </w:p>
    <w:p>
      <w:pPr>
        <w:pStyle w:val="Subsection"/>
        <w:rPr>
          <w:snapToGrid w:val="0"/>
        </w:rPr>
      </w:pPr>
      <w:r>
        <w:rPr>
          <w:snapToGrid w:val="0"/>
        </w:rPr>
        <w:tab/>
        <w:t>(1)</w:t>
      </w:r>
      <w:r>
        <w:rPr>
          <w:snapToGrid w:val="0"/>
        </w:rPr>
        <w:tab/>
        <w:t xml:space="preserve">At a meeting of the Board the </w:t>
      </w:r>
      <w:r>
        <w:t>chairperson</w:t>
      </w:r>
      <w:r>
        <w:rPr>
          <w:snapToGrid w:val="0"/>
        </w:rPr>
        <w:t xml:space="preserve">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 xml:space="preserve">If more than one member is eligible to preside in the absence of the </w:t>
      </w:r>
      <w:r>
        <w:t>chairperson</w:t>
      </w:r>
      <w:r>
        <w:rPr>
          <w:snapToGrid w:val="0"/>
        </w:rPr>
        <w:t>, the members present at the meeting are to appoint one of the eligible members to preside.</w:t>
      </w:r>
    </w:p>
    <w:p>
      <w:pPr>
        <w:pStyle w:val="Footnotesection"/>
      </w:pPr>
      <w:r>
        <w:tab/>
        <w:t>[Section 158 amended: No. 14 of 2022 s. 40.]</w:t>
      </w:r>
    </w:p>
    <w:p>
      <w:pPr>
        <w:pStyle w:val="Heading5"/>
        <w:rPr>
          <w:snapToGrid w:val="0"/>
        </w:rPr>
      </w:pPr>
      <w:bookmarkStart w:id="370" w:name="_Toc118453501"/>
      <w:r>
        <w:rPr>
          <w:rStyle w:val="CharSectno"/>
        </w:rPr>
        <w:t>159</w:t>
      </w:r>
      <w:r>
        <w:rPr>
          <w:snapToGrid w:val="0"/>
        </w:rPr>
        <w:t>.</w:t>
      </w:r>
      <w:r>
        <w:rPr>
          <w:snapToGrid w:val="0"/>
        </w:rPr>
        <w:tab/>
        <w:t>Board may request reports</w:t>
      </w:r>
      <w:bookmarkEnd w:id="370"/>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371" w:name="_Toc118453502"/>
      <w:r>
        <w:rPr>
          <w:rStyle w:val="CharSectno"/>
        </w:rPr>
        <w:t>160</w:t>
      </w:r>
      <w:r>
        <w:rPr>
          <w:snapToGrid w:val="0"/>
        </w:rPr>
        <w:t>.</w:t>
      </w:r>
      <w:r>
        <w:rPr>
          <w:snapToGrid w:val="0"/>
        </w:rPr>
        <w:tab/>
        <w:t>Determination of questions</w:t>
      </w:r>
      <w:bookmarkEnd w:id="371"/>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 xml:space="preserve">If the </w:t>
      </w:r>
      <w:r>
        <w:t>chairperson</w:t>
      </w:r>
      <w:r>
        <w:rPr>
          <w:snapToGrid w:val="0"/>
        </w:rPr>
        <w:t xml:space="preserve">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Footnotesection"/>
      </w:pPr>
      <w:r>
        <w:tab/>
        <w:t>[Section 160 amended: No. 14 of 2022 s. 40.]</w:t>
      </w:r>
    </w:p>
    <w:p>
      <w:pPr>
        <w:pStyle w:val="Heading5"/>
        <w:rPr>
          <w:snapToGrid w:val="0"/>
        </w:rPr>
      </w:pPr>
      <w:bookmarkStart w:id="372" w:name="_Toc118453503"/>
      <w:r>
        <w:rPr>
          <w:rStyle w:val="CharSectno"/>
        </w:rPr>
        <w:lastRenderedPageBreak/>
        <w:t>161</w:t>
      </w:r>
      <w:r>
        <w:rPr>
          <w:snapToGrid w:val="0"/>
        </w:rPr>
        <w:t>.</w:t>
      </w:r>
      <w:r>
        <w:rPr>
          <w:snapToGrid w:val="0"/>
        </w:rPr>
        <w:tab/>
        <w:t>Procedure</w:t>
      </w:r>
      <w:bookmarkEnd w:id="372"/>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keepNext/>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373" w:name="_Toc118453504"/>
      <w:r>
        <w:rPr>
          <w:rStyle w:val="CharSectno"/>
        </w:rPr>
        <w:t>162</w:t>
      </w:r>
      <w:r>
        <w:rPr>
          <w:snapToGrid w:val="0"/>
        </w:rPr>
        <w:t>.</w:t>
      </w:r>
      <w:r>
        <w:rPr>
          <w:snapToGrid w:val="0"/>
        </w:rPr>
        <w:tab/>
        <w:t>Board may reconsider its decision</w:t>
      </w:r>
      <w:bookmarkEnd w:id="373"/>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374" w:name="_Toc118453505"/>
      <w:r>
        <w:rPr>
          <w:rStyle w:val="CharSectno"/>
        </w:rPr>
        <w:t>163</w:t>
      </w:r>
      <w:r>
        <w:rPr>
          <w:snapToGrid w:val="0"/>
        </w:rPr>
        <w:t>.</w:t>
      </w:r>
      <w:r>
        <w:rPr>
          <w:snapToGrid w:val="0"/>
        </w:rPr>
        <w:tab/>
        <w:t>Rules of natural justice excluded</w:t>
      </w:r>
      <w:bookmarkEnd w:id="374"/>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375" w:name="_Toc118453506"/>
      <w:r>
        <w:rPr>
          <w:rStyle w:val="CharSectno"/>
        </w:rPr>
        <w:t>164</w:t>
      </w:r>
      <w:r>
        <w:rPr>
          <w:snapToGrid w:val="0"/>
        </w:rPr>
        <w:t>.</w:t>
      </w:r>
      <w:r>
        <w:rPr>
          <w:snapToGrid w:val="0"/>
        </w:rPr>
        <w:tab/>
        <w:t>Judicial notice of Board’s documents</w:t>
      </w:r>
      <w:bookmarkEnd w:id="375"/>
      <w:r>
        <w:rPr>
          <w:snapToGrid w:val="0"/>
        </w:rPr>
        <w:t xml:space="preserve"> </w:t>
      </w:r>
    </w:p>
    <w:p>
      <w:pPr>
        <w:pStyle w:val="Subsection"/>
        <w:rPr>
          <w:snapToGrid w:val="0"/>
        </w:rPr>
      </w:pPr>
      <w:r>
        <w:rPr>
          <w:snapToGrid w:val="0"/>
        </w:rPr>
        <w:tab/>
        <w:t>(1)</w:t>
      </w:r>
      <w:r>
        <w:rPr>
          <w:snapToGrid w:val="0"/>
        </w:rPr>
        <w:tab/>
        <w:t xml:space="preserve">Judicial notice is to be taken of the signature of every person who is or was a member of the Board or the Secretary when it is on a document purporting to be signed in the capacity of </w:t>
      </w:r>
      <w:r>
        <w:rPr>
          <w:snapToGrid w:val="0"/>
        </w:rPr>
        <w:lastRenderedPageBreak/>
        <w:t>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376" w:name="_Toc118453507"/>
      <w:r>
        <w:rPr>
          <w:rStyle w:val="CharSectno"/>
        </w:rPr>
        <w:t>165</w:t>
      </w:r>
      <w:r>
        <w:rPr>
          <w:snapToGrid w:val="0"/>
        </w:rPr>
        <w:t>.</w:t>
      </w:r>
      <w:r>
        <w:rPr>
          <w:snapToGrid w:val="0"/>
        </w:rPr>
        <w:tab/>
        <w:t>Annual report</w:t>
      </w:r>
      <w:bookmarkEnd w:id="376"/>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5"/>
      </w:pPr>
      <w:bookmarkStart w:id="377" w:name="_Toc103867590"/>
      <w:bookmarkStart w:id="378" w:name="_Toc118453508"/>
      <w:bookmarkStart w:id="379" w:name="_Toc118361746"/>
      <w:r>
        <w:rPr>
          <w:rStyle w:val="CharSectno"/>
        </w:rPr>
        <w:t>165A</w:t>
      </w:r>
      <w:r>
        <w:t>.</w:t>
      </w:r>
      <w:r>
        <w:tab/>
        <w:t>Information to be excluded from annual reports</w:t>
      </w:r>
      <w:bookmarkEnd w:id="377"/>
      <w:bookmarkEnd w:id="378"/>
    </w:p>
    <w:p>
      <w:pPr>
        <w:pStyle w:val="Subsection"/>
      </w:pPr>
      <w:r>
        <w:tab/>
        <w:t>(1)</w:t>
      </w:r>
      <w:r>
        <w:tab/>
        <w:t xml:space="preserve">In this section — </w:t>
      </w:r>
    </w:p>
    <w:p>
      <w:pPr>
        <w:pStyle w:val="Defstart"/>
      </w:pPr>
      <w:r>
        <w:tab/>
      </w:r>
      <w:r>
        <w:rPr>
          <w:rStyle w:val="CharDefText"/>
        </w:rPr>
        <w:t>protected information</w:t>
      </w:r>
      <w:r>
        <w:t xml:space="preserve"> means information the disclosure of which would contravene a written law or an order of a court;</w:t>
      </w:r>
    </w:p>
    <w:p>
      <w:pPr>
        <w:pStyle w:val="Defstart"/>
      </w:pPr>
      <w:r>
        <w:tab/>
      </w:r>
      <w:r>
        <w:rPr>
          <w:rStyle w:val="CharDefText"/>
        </w:rPr>
        <w:t>sensitive information</w:t>
      </w:r>
      <w:r>
        <w:t xml:space="preserve"> means information the disclosure of which could reasonably be expected to — </w:t>
      </w:r>
    </w:p>
    <w:p>
      <w:pPr>
        <w:pStyle w:val="Defpara"/>
      </w:pPr>
      <w:r>
        <w:tab/>
        <w:t>(a)</w:t>
      </w:r>
      <w:r>
        <w:tab/>
        <w:t>prejudice national security; or</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lastRenderedPageBreak/>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Subsection"/>
        <w:keepNext/>
      </w:pPr>
      <w:r>
        <w:tab/>
        <w:t>(2)</w:t>
      </w:r>
      <w:r>
        <w:tab/>
        <w:t xml:space="preserve">This section applies if, </w:t>
      </w:r>
      <w:r>
        <w:rPr>
          <w:snapToGrid w:val="0"/>
        </w:rPr>
        <w:t xml:space="preserve">during the year ending on the last preceding 30 June, </w:t>
      </w:r>
      <w:r>
        <w:t>the chairperson</w:t>
      </w:r>
      <w:r>
        <w:rPr>
          <w:snapToGrid w:val="0"/>
        </w:rPr>
        <w:t xml:space="preserve"> decides</w:t>
      </w:r>
      <w:r>
        <w:t> —</w:t>
      </w:r>
    </w:p>
    <w:p>
      <w:pPr>
        <w:pStyle w:val="Indenta"/>
      </w:pPr>
      <w:r>
        <w:tab/>
        <w:t>(a)</w:t>
      </w:r>
      <w:r>
        <w:tab/>
        <w:t xml:space="preserve">to make a </w:t>
      </w:r>
      <w:r>
        <w:rPr>
          <w:szCs w:val="24"/>
        </w:rPr>
        <w:t xml:space="preserve">supervised release order </w:t>
      </w:r>
      <w:r>
        <w:t>under Part 8 Division 2A</w:t>
      </w:r>
      <w:r>
        <w:rPr>
          <w:szCs w:val="24"/>
        </w:rPr>
        <w:t>; or</w:t>
      </w:r>
    </w:p>
    <w:p>
      <w:pPr>
        <w:pStyle w:val="Indenta"/>
      </w:pPr>
      <w:r>
        <w:tab/>
        <w:t>(b)</w:t>
      </w:r>
      <w:r>
        <w:tab/>
        <w:t>to refuse to make a supervised release order under Part 8 Division 2A; or</w:t>
      </w:r>
    </w:p>
    <w:p>
      <w:pPr>
        <w:pStyle w:val="Indenta"/>
      </w:pPr>
      <w:r>
        <w:tab/>
        <w:t>(c)</w:t>
      </w:r>
      <w:r>
        <w:tab/>
        <w:t>to cancel a supervised release order under section 142A.</w:t>
      </w:r>
    </w:p>
    <w:p>
      <w:pPr>
        <w:pStyle w:val="Subsection"/>
      </w:pPr>
      <w:r>
        <w:tab/>
        <w:t>(3)</w:t>
      </w:r>
      <w:r>
        <w:tab/>
        <w:t xml:space="preserve">Before giving an annual report for the financial year, the chairperson must notify the Commissioner of Police and the Minister of the number of decisions referred to in subsection (2) that are made </w:t>
      </w:r>
      <w:r>
        <w:rPr>
          <w:snapToGrid w:val="0"/>
        </w:rPr>
        <w:t>during the year ending on the last preceding 30 June</w:t>
      </w:r>
      <w:r>
        <w:t xml:space="preserve"> (</w:t>
      </w:r>
      <w:r>
        <w:rPr>
          <w:rStyle w:val="CharDefText"/>
        </w:rPr>
        <w:t>notifiable information</w:t>
      </w:r>
      <w:r>
        <w:t xml:space="preserve">). </w:t>
      </w:r>
    </w:p>
    <w:p>
      <w:pPr>
        <w:pStyle w:val="Subsection"/>
      </w:pPr>
      <w:r>
        <w:tab/>
        <w:t>(4)</w:t>
      </w:r>
      <w:r>
        <w:tab/>
        <w:t>The Commissioner of Police must advise the Minister whether, in the Commissioner’s opinion, some or all of the notifiable information is, or is likely to be, sensitive information.</w:t>
      </w:r>
    </w:p>
    <w:p>
      <w:pPr>
        <w:pStyle w:val="Subsection"/>
      </w:pPr>
      <w:r>
        <w:tab/>
        <w:t>(5)</w:t>
      </w:r>
      <w:r>
        <w:tab/>
        <w:t xml:space="preserve">If the Minister is satisfied that some or all of the notifiable information is protected information or, on advice given under subsection (4), is satisfied that some or all of the notifiable information is sensitive information, the Minister must direct the chairperson to — </w:t>
      </w:r>
    </w:p>
    <w:p>
      <w:pPr>
        <w:pStyle w:val="Indenta"/>
      </w:pPr>
      <w:r>
        <w:tab/>
        <w:t>(a)</w:t>
      </w:r>
      <w:r>
        <w:tab/>
        <w:t>exclude the information from the annual report; and</w:t>
      </w:r>
    </w:p>
    <w:p>
      <w:pPr>
        <w:pStyle w:val="Indenta"/>
      </w:pPr>
      <w:r>
        <w:tab/>
        <w:t>(b)</w:t>
      </w:r>
      <w:r>
        <w:tab/>
        <w:t xml:space="preserve">insert a statement in the annual report to the effect that the information is excluded from the annual report under this section. </w:t>
      </w:r>
    </w:p>
    <w:p>
      <w:pPr>
        <w:pStyle w:val="Subsection"/>
      </w:pPr>
      <w:r>
        <w:tab/>
        <w:t>(6)</w:t>
      </w:r>
      <w:r>
        <w:tab/>
        <w:t>The chairperson must comply with a direction given under subsection (5).</w:t>
      </w:r>
    </w:p>
    <w:p>
      <w:pPr>
        <w:pStyle w:val="Subsection"/>
      </w:pPr>
      <w:r>
        <w:lastRenderedPageBreak/>
        <w:tab/>
        <w:t>(7)</w:t>
      </w:r>
      <w:r>
        <w:tab/>
        <w:t>The Minister may obtain legal advice as to the matters in subsection (5).</w:t>
      </w:r>
    </w:p>
    <w:p>
      <w:pPr>
        <w:pStyle w:val="Subsection"/>
      </w:pPr>
      <w:r>
        <w:tab/>
        <w:t>(8)</w:t>
      </w:r>
      <w:r>
        <w:tab/>
        <w:t>If the Minister does not give a direction under subsection (5), the Board must include the notifiable information in the annual report.</w:t>
      </w:r>
    </w:p>
    <w:p>
      <w:pPr>
        <w:pStyle w:val="Footnotesection"/>
      </w:pPr>
      <w:r>
        <w:tab/>
        <w:t>[Section 165A inserted: No. 14 of 2022 s. 38.]</w:t>
      </w:r>
    </w:p>
    <w:p>
      <w:pPr>
        <w:pStyle w:val="Heading2"/>
      </w:pPr>
      <w:bookmarkStart w:id="380" w:name="_Toc118366847"/>
      <w:bookmarkStart w:id="381" w:name="_Toc118453509"/>
      <w:r>
        <w:rPr>
          <w:rStyle w:val="CharPartNo"/>
        </w:rPr>
        <w:lastRenderedPageBreak/>
        <w:t>Part 9</w:t>
      </w:r>
      <w:r>
        <w:rPr>
          <w:rStyle w:val="CharDivNo"/>
        </w:rPr>
        <w:t> </w:t>
      </w:r>
      <w:r>
        <w:t>—</w:t>
      </w:r>
      <w:r>
        <w:rPr>
          <w:rStyle w:val="CharDivText"/>
        </w:rPr>
        <w:t> </w:t>
      </w:r>
      <w:r>
        <w:rPr>
          <w:rStyle w:val="CharPartText"/>
        </w:rPr>
        <w:t>Detention centres</w:t>
      </w:r>
      <w:bookmarkEnd w:id="379"/>
      <w:bookmarkEnd w:id="380"/>
      <w:bookmarkEnd w:id="381"/>
      <w:r>
        <w:rPr>
          <w:rStyle w:val="CharPartText"/>
        </w:rPr>
        <w:t xml:space="preserve"> </w:t>
      </w:r>
    </w:p>
    <w:p>
      <w:pPr>
        <w:pStyle w:val="Heading5"/>
      </w:pPr>
      <w:bookmarkStart w:id="382" w:name="_Toc118453510"/>
      <w:r>
        <w:rPr>
          <w:rStyle w:val="CharSectno"/>
        </w:rPr>
        <w:t>166</w:t>
      </w:r>
      <w:r>
        <w:t>.</w:t>
      </w:r>
      <w:r>
        <w:tab/>
        <w:t>Appointment of visiting justices</w:t>
      </w:r>
      <w:bookmarkEnd w:id="382"/>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No. 75 of 2003 s. 56(1); amended: No. 59 of 2004 s. 141.]</w:t>
      </w:r>
    </w:p>
    <w:p>
      <w:pPr>
        <w:pStyle w:val="Ednotesection"/>
      </w:pPr>
      <w:r>
        <w:t>[</w:t>
      </w:r>
      <w:r>
        <w:rPr>
          <w:b/>
        </w:rPr>
        <w:t>167.</w:t>
      </w:r>
      <w:r>
        <w:tab/>
        <w:t>Deleted: No. 75 of 2003 s. 56(1).]</w:t>
      </w:r>
    </w:p>
    <w:p>
      <w:pPr>
        <w:pStyle w:val="Heading5"/>
        <w:rPr>
          <w:snapToGrid w:val="0"/>
        </w:rPr>
      </w:pPr>
      <w:bookmarkStart w:id="383" w:name="_Toc118453511"/>
      <w:r>
        <w:rPr>
          <w:rStyle w:val="CharSectno"/>
        </w:rPr>
        <w:t>168</w:t>
      </w:r>
      <w:r>
        <w:rPr>
          <w:snapToGrid w:val="0"/>
        </w:rPr>
        <w:t>.</w:t>
      </w:r>
      <w:r>
        <w:rPr>
          <w:snapToGrid w:val="0"/>
        </w:rPr>
        <w:tab/>
        <w:t>Visiting justices, functions of</w:t>
      </w:r>
      <w:bookmarkEnd w:id="383"/>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 xml:space="preserve">Where a charge of a detention offence is laid against a detainee but before the hearing of that charge begins the detainee is removed to another detention centre, a visiting justice for that other detention centre has the powers and duties in relation to </w:t>
      </w:r>
      <w:r>
        <w:rPr>
          <w:snapToGrid w:val="0"/>
        </w:rPr>
        <w:lastRenderedPageBreak/>
        <w:t>that detainee and that charge as if the charge had been laid at that other detention centre.</w:t>
      </w:r>
    </w:p>
    <w:p>
      <w:pPr>
        <w:pStyle w:val="Heading5"/>
        <w:rPr>
          <w:snapToGrid w:val="0"/>
        </w:rPr>
      </w:pPr>
      <w:bookmarkStart w:id="384" w:name="_Toc118453512"/>
      <w:r>
        <w:rPr>
          <w:rStyle w:val="CharSectno"/>
        </w:rPr>
        <w:t>169</w:t>
      </w:r>
      <w:r>
        <w:rPr>
          <w:snapToGrid w:val="0"/>
        </w:rPr>
        <w:t>.</w:t>
      </w:r>
      <w:r>
        <w:rPr>
          <w:snapToGrid w:val="0"/>
        </w:rPr>
        <w:tab/>
        <w:t>Right of certain persons to enter detention centre</w:t>
      </w:r>
      <w:bookmarkEnd w:id="384"/>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No. 75 of 2003 s. 56(1); No. 59 of 2004 s. 141.]</w:t>
      </w:r>
    </w:p>
    <w:p>
      <w:pPr>
        <w:pStyle w:val="Heading5"/>
        <w:rPr>
          <w:snapToGrid w:val="0"/>
        </w:rPr>
      </w:pPr>
      <w:bookmarkStart w:id="385" w:name="_Toc118453513"/>
      <w:r>
        <w:rPr>
          <w:rStyle w:val="CharSectno"/>
        </w:rPr>
        <w:t>169A</w:t>
      </w:r>
      <w:r>
        <w:t>.</w:t>
      </w:r>
      <w:r>
        <w:tab/>
      </w:r>
      <w:r>
        <w:rPr>
          <w:snapToGrid w:val="0"/>
        </w:rPr>
        <w:t>Investigation of alleged incident at detention centre</w:t>
      </w:r>
      <w:bookmarkEnd w:id="385"/>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lastRenderedPageBreak/>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No. 58 of 2004 s. 37; amended: No. 29 of 2014 s. 22.]</w:t>
      </w:r>
    </w:p>
    <w:p>
      <w:pPr>
        <w:pStyle w:val="Heading5"/>
        <w:rPr>
          <w:snapToGrid w:val="0"/>
        </w:rPr>
      </w:pPr>
      <w:bookmarkStart w:id="386" w:name="_Toc118453514"/>
      <w:r>
        <w:rPr>
          <w:rStyle w:val="CharSectno"/>
        </w:rPr>
        <w:t>170</w:t>
      </w:r>
      <w:r>
        <w:rPr>
          <w:snapToGrid w:val="0"/>
        </w:rPr>
        <w:t>.</w:t>
      </w:r>
      <w:r>
        <w:rPr>
          <w:snapToGrid w:val="0"/>
        </w:rPr>
        <w:tab/>
        <w:t>Detention offences</w:t>
      </w:r>
      <w:bookmarkEnd w:id="386"/>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lastRenderedPageBreak/>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No. 58 of 2004 s. 38.]</w:t>
      </w:r>
    </w:p>
    <w:p>
      <w:pPr>
        <w:pStyle w:val="Heading5"/>
        <w:rPr>
          <w:snapToGrid w:val="0"/>
        </w:rPr>
      </w:pPr>
      <w:bookmarkStart w:id="387" w:name="_Toc118453515"/>
      <w:r>
        <w:rPr>
          <w:rStyle w:val="CharSectno"/>
        </w:rPr>
        <w:t>171</w:t>
      </w:r>
      <w:r>
        <w:rPr>
          <w:snapToGrid w:val="0"/>
        </w:rPr>
        <w:t>.</w:t>
      </w:r>
      <w:r>
        <w:rPr>
          <w:snapToGrid w:val="0"/>
        </w:rPr>
        <w:tab/>
        <w:t>Detention offence charge, procedure on</w:t>
      </w:r>
      <w:bookmarkEnd w:id="387"/>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lastRenderedPageBreak/>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No. 47 of 1999 s. 44.]</w:t>
      </w:r>
    </w:p>
    <w:p>
      <w:pPr>
        <w:pStyle w:val="Heading5"/>
        <w:rPr>
          <w:snapToGrid w:val="0"/>
        </w:rPr>
      </w:pPr>
      <w:bookmarkStart w:id="388" w:name="_Toc118453516"/>
      <w:r>
        <w:rPr>
          <w:rStyle w:val="CharSectno"/>
        </w:rPr>
        <w:t>172</w:t>
      </w:r>
      <w:r>
        <w:rPr>
          <w:snapToGrid w:val="0"/>
        </w:rPr>
        <w:t>.</w:t>
      </w:r>
      <w:r>
        <w:rPr>
          <w:snapToGrid w:val="0"/>
        </w:rPr>
        <w:tab/>
        <w:t>Visiting justice may deal with referred charges</w:t>
      </w:r>
      <w:bookmarkEnd w:id="388"/>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389" w:name="_Toc118453517"/>
      <w:r>
        <w:rPr>
          <w:rStyle w:val="CharSectno"/>
        </w:rPr>
        <w:t>173</w:t>
      </w:r>
      <w:r>
        <w:rPr>
          <w:snapToGrid w:val="0"/>
        </w:rPr>
        <w:t>.</w:t>
      </w:r>
      <w:r>
        <w:rPr>
          <w:snapToGrid w:val="0"/>
        </w:rPr>
        <w:tab/>
        <w:t>Detention offences, dealing with</w:t>
      </w:r>
      <w:bookmarkEnd w:id="389"/>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lastRenderedPageBreak/>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 xml:space="preserve">The superintendent or a visiting justice may suspend an order made by that superintendent or visiting justice under subsection (2) on the detainee’s undertaking to be of good </w:t>
      </w:r>
      <w:r>
        <w:rPr>
          <w:snapToGrid w:val="0"/>
        </w:rPr>
        <w:lastRenderedPageBreak/>
        <w:t>behaviour for a stated period not exceeding 2 months, at the end of which period the order is to be of no further effect if the undertaking has been observed.</w:t>
      </w:r>
    </w:p>
    <w:p>
      <w:pPr>
        <w:pStyle w:val="Footnotesection"/>
      </w:pPr>
      <w:r>
        <w:tab/>
        <w:t>[Section 173 amended: No. 58 of 2004 s. 39.]</w:t>
      </w:r>
    </w:p>
    <w:p>
      <w:pPr>
        <w:pStyle w:val="Heading5"/>
        <w:rPr>
          <w:snapToGrid w:val="0"/>
        </w:rPr>
      </w:pPr>
      <w:bookmarkStart w:id="390" w:name="_Toc118453518"/>
      <w:r>
        <w:rPr>
          <w:rStyle w:val="CharSectno"/>
        </w:rPr>
        <w:t>174</w:t>
      </w:r>
      <w:r>
        <w:rPr>
          <w:snapToGrid w:val="0"/>
        </w:rPr>
        <w:t>.</w:t>
      </w:r>
      <w:r>
        <w:rPr>
          <w:snapToGrid w:val="0"/>
        </w:rPr>
        <w:tab/>
        <w:t>Detention offence charges, hearing of</w:t>
      </w:r>
      <w:bookmarkEnd w:id="390"/>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391" w:name="_Toc118453519"/>
      <w:r>
        <w:rPr>
          <w:rStyle w:val="CharSectno"/>
        </w:rPr>
        <w:t>175</w:t>
      </w:r>
      <w:r>
        <w:rPr>
          <w:snapToGrid w:val="0"/>
        </w:rPr>
        <w:t>.</w:t>
      </w:r>
      <w:r>
        <w:rPr>
          <w:snapToGrid w:val="0"/>
        </w:rPr>
        <w:tab/>
        <w:t>Visiting justice may direct prosecution for detention offence</w:t>
      </w:r>
      <w:bookmarkEnd w:id="391"/>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No. 84 of 2004 s. 80.]</w:t>
      </w:r>
    </w:p>
    <w:p>
      <w:pPr>
        <w:pStyle w:val="Heading5"/>
        <w:rPr>
          <w:snapToGrid w:val="0"/>
        </w:rPr>
      </w:pPr>
      <w:bookmarkStart w:id="392" w:name="_Toc118453520"/>
      <w:r>
        <w:rPr>
          <w:rStyle w:val="CharSectno"/>
        </w:rPr>
        <w:t>176</w:t>
      </w:r>
      <w:r>
        <w:rPr>
          <w:snapToGrid w:val="0"/>
        </w:rPr>
        <w:t>.</w:t>
      </w:r>
      <w:r>
        <w:rPr>
          <w:snapToGrid w:val="0"/>
        </w:rPr>
        <w:tab/>
        <w:t>Early discharge from detention</w:t>
      </w:r>
      <w:bookmarkEnd w:id="392"/>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No. 78 of 1995 s. 145.] </w:t>
      </w:r>
    </w:p>
    <w:p>
      <w:pPr>
        <w:pStyle w:val="Heading5"/>
        <w:rPr>
          <w:snapToGrid w:val="0"/>
        </w:rPr>
      </w:pPr>
      <w:bookmarkStart w:id="393" w:name="_Toc118453521"/>
      <w:r>
        <w:rPr>
          <w:rStyle w:val="CharSectno"/>
        </w:rPr>
        <w:lastRenderedPageBreak/>
        <w:t>178</w:t>
      </w:r>
      <w:r>
        <w:rPr>
          <w:snapToGrid w:val="0"/>
        </w:rPr>
        <w:t>.</w:t>
      </w:r>
      <w:r>
        <w:rPr>
          <w:snapToGrid w:val="0"/>
        </w:rPr>
        <w:tab/>
        <w:t>Transfer of offender from detention centre to prison</w:t>
      </w:r>
      <w:bookmarkEnd w:id="393"/>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No. 78 of 1995 s. 144; amended: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394" w:name="_Toc118453522"/>
      <w:r>
        <w:rPr>
          <w:rStyle w:val="CharSectno"/>
        </w:rPr>
        <w:t>179</w:t>
      </w:r>
      <w:r>
        <w:rPr>
          <w:snapToGrid w:val="0"/>
        </w:rPr>
        <w:t>.</w:t>
      </w:r>
      <w:r>
        <w:rPr>
          <w:snapToGrid w:val="0"/>
        </w:rPr>
        <w:tab/>
        <w:t>Medical treatment, removal for</w:t>
      </w:r>
      <w:bookmarkEnd w:id="39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(Western Australia)</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 xml:space="preserve">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w:t>
      </w:r>
      <w:r>
        <w:rPr>
          <w:snapToGrid w:val="0"/>
        </w:rPr>
        <w:lastRenderedPageBreak/>
        <w:t>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lastRenderedPageBreak/>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No. 69 of 1996 s. 94; No. 47 of 1999 s. 45; No. 22 of 2008 Sch. 3 cl. 55; No. 29 of 2008 s. 41(2); No. 35 of 2010 s. 166; No. 25 of 2014 s. 90.]</w:t>
      </w:r>
    </w:p>
    <w:p>
      <w:pPr>
        <w:pStyle w:val="Heading5"/>
        <w:rPr>
          <w:snapToGrid w:val="0"/>
        </w:rPr>
      </w:pPr>
      <w:bookmarkStart w:id="395" w:name="_Toc118453523"/>
      <w:r>
        <w:rPr>
          <w:rStyle w:val="CharSectno"/>
        </w:rPr>
        <w:t>180</w:t>
      </w:r>
      <w:r>
        <w:rPr>
          <w:snapToGrid w:val="0"/>
        </w:rPr>
        <w:t>.</w:t>
      </w:r>
      <w:r>
        <w:rPr>
          <w:snapToGrid w:val="0"/>
        </w:rPr>
        <w:tab/>
        <w:t>Death of detainee, coroner to investigate</w:t>
      </w:r>
      <w:bookmarkEnd w:id="395"/>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No. 2 of 1996 s. 61.] </w:t>
      </w:r>
    </w:p>
    <w:p>
      <w:pPr>
        <w:pStyle w:val="Heading5"/>
        <w:rPr>
          <w:snapToGrid w:val="0"/>
        </w:rPr>
      </w:pPr>
      <w:bookmarkStart w:id="396" w:name="_Toc118453524"/>
      <w:r>
        <w:rPr>
          <w:rStyle w:val="CharSectno"/>
        </w:rPr>
        <w:t>181</w:t>
      </w:r>
      <w:r>
        <w:rPr>
          <w:snapToGrid w:val="0"/>
        </w:rPr>
        <w:t>.</w:t>
      </w:r>
      <w:r>
        <w:rPr>
          <w:snapToGrid w:val="0"/>
        </w:rPr>
        <w:tab/>
        <w:t>Rules for detention centres, CEO may make</w:t>
      </w:r>
      <w:bookmarkEnd w:id="396"/>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lastRenderedPageBreak/>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No. 58 of 2004 s. 40.] </w:t>
      </w:r>
    </w:p>
    <w:p>
      <w:pPr>
        <w:pStyle w:val="Heading2"/>
      </w:pPr>
      <w:bookmarkStart w:id="397" w:name="_Toc118361762"/>
      <w:bookmarkStart w:id="398" w:name="_Toc118366863"/>
      <w:bookmarkStart w:id="399" w:name="_Toc118453525"/>
      <w:r>
        <w:rPr>
          <w:rStyle w:val="CharPartNo"/>
        </w:rPr>
        <w:lastRenderedPageBreak/>
        <w:t>Part 10</w:t>
      </w:r>
      <w:r>
        <w:rPr>
          <w:rStyle w:val="CharDivNo"/>
        </w:rPr>
        <w:t> </w:t>
      </w:r>
      <w:r>
        <w:t>—</w:t>
      </w:r>
      <w:r>
        <w:rPr>
          <w:rStyle w:val="CharDivText"/>
        </w:rPr>
        <w:t> </w:t>
      </w:r>
      <w:r>
        <w:rPr>
          <w:rStyle w:val="CharPartText"/>
        </w:rPr>
        <w:t>Miscellaneous</w:t>
      </w:r>
      <w:bookmarkEnd w:id="397"/>
      <w:bookmarkEnd w:id="398"/>
      <w:bookmarkEnd w:id="399"/>
      <w:r>
        <w:rPr>
          <w:rStyle w:val="CharPartText"/>
        </w:rPr>
        <w:t xml:space="preserve"> </w:t>
      </w:r>
    </w:p>
    <w:p>
      <w:pPr>
        <w:pStyle w:val="Heading5"/>
        <w:rPr>
          <w:snapToGrid w:val="0"/>
        </w:rPr>
      </w:pPr>
      <w:bookmarkStart w:id="400" w:name="_Toc118453526"/>
      <w:r>
        <w:rPr>
          <w:rStyle w:val="CharSectno"/>
        </w:rPr>
        <w:t>182</w:t>
      </w:r>
      <w:r>
        <w:rPr>
          <w:snapToGrid w:val="0"/>
        </w:rPr>
        <w:t>.</w:t>
      </w:r>
      <w:r>
        <w:rPr>
          <w:snapToGrid w:val="0"/>
        </w:rPr>
        <w:tab/>
        <w:t>Protection from legal liability</w:t>
      </w:r>
      <w:bookmarkEnd w:id="400"/>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401" w:name="_Toc118453527"/>
      <w:r>
        <w:rPr>
          <w:rStyle w:val="CharSectno"/>
        </w:rPr>
        <w:t>183</w:t>
      </w:r>
      <w:r>
        <w:rPr>
          <w:snapToGrid w:val="0"/>
        </w:rPr>
        <w:t>.</w:t>
      </w:r>
      <w:r>
        <w:rPr>
          <w:snapToGrid w:val="0"/>
        </w:rPr>
        <w:tab/>
        <w:t>Order to be defence to actions</w:t>
      </w:r>
      <w:bookmarkEnd w:id="401"/>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402" w:name="_Toc118453528"/>
      <w:r>
        <w:rPr>
          <w:rStyle w:val="CharSectno"/>
        </w:rPr>
        <w:lastRenderedPageBreak/>
        <w:t>184</w:t>
      </w:r>
      <w:r>
        <w:rPr>
          <w:snapToGrid w:val="0"/>
        </w:rPr>
        <w:t>.</w:t>
      </w:r>
      <w:r>
        <w:rPr>
          <w:snapToGrid w:val="0"/>
        </w:rPr>
        <w:tab/>
        <w:t>CEO may give consent in relation to detainee</w:t>
      </w:r>
      <w:bookmarkEnd w:id="402"/>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403" w:name="_Toc118453529"/>
      <w:r>
        <w:rPr>
          <w:rStyle w:val="CharSectno"/>
        </w:rPr>
        <w:t>185</w:t>
      </w:r>
      <w:r>
        <w:rPr>
          <w:snapToGrid w:val="0"/>
        </w:rPr>
        <w:t>.</w:t>
      </w:r>
      <w:r>
        <w:rPr>
          <w:snapToGrid w:val="0"/>
        </w:rPr>
        <w:tab/>
        <w:t>Minister may make certain payments</w:t>
      </w:r>
      <w:bookmarkEnd w:id="403"/>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404" w:name="_Toc118453530"/>
      <w:r>
        <w:rPr>
          <w:rStyle w:val="CharSectno"/>
        </w:rPr>
        <w:t>186</w:t>
      </w:r>
      <w:r>
        <w:rPr>
          <w:snapToGrid w:val="0"/>
        </w:rPr>
        <w:t>.</w:t>
      </w:r>
      <w:r>
        <w:rPr>
          <w:snapToGrid w:val="0"/>
        </w:rPr>
        <w:tab/>
        <w:t>Officer of Department may conduct cases</w:t>
      </w:r>
      <w:bookmarkEnd w:id="404"/>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No. 84 of 2004 s. 80.]</w:t>
      </w:r>
    </w:p>
    <w:p>
      <w:pPr>
        <w:pStyle w:val="Heading5"/>
        <w:rPr>
          <w:snapToGrid w:val="0"/>
        </w:rPr>
      </w:pPr>
      <w:bookmarkStart w:id="405" w:name="_Toc118453531"/>
      <w:r>
        <w:rPr>
          <w:rStyle w:val="CharSectno"/>
        </w:rPr>
        <w:t>187</w:t>
      </w:r>
      <w:r>
        <w:rPr>
          <w:snapToGrid w:val="0"/>
        </w:rPr>
        <w:t>.</w:t>
      </w:r>
      <w:r>
        <w:rPr>
          <w:snapToGrid w:val="0"/>
        </w:rPr>
        <w:tab/>
        <w:t>Certificate of superintendent to be evidence</w:t>
      </w:r>
      <w:bookmarkEnd w:id="405"/>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lastRenderedPageBreak/>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406" w:name="_Toc118453532"/>
      <w:r>
        <w:rPr>
          <w:rStyle w:val="CharSectno"/>
        </w:rPr>
        <w:t>188</w:t>
      </w:r>
      <w:r>
        <w:rPr>
          <w:snapToGrid w:val="0"/>
        </w:rPr>
        <w:t>.</w:t>
      </w:r>
      <w:r>
        <w:rPr>
          <w:snapToGrid w:val="0"/>
        </w:rPr>
        <w:tab/>
        <w:t>Person having charge of detainee has legal custody</w:t>
      </w:r>
      <w:bookmarkEnd w:id="406"/>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3</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lastRenderedPageBreak/>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No. 47 of 1999 s. 46.]</w:t>
      </w:r>
    </w:p>
    <w:p>
      <w:pPr>
        <w:pStyle w:val="Heading5"/>
        <w:rPr>
          <w:snapToGrid w:val="0"/>
        </w:rPr>
      </w:pPr>
      <w:bookmarkStart w:id="407" w:name="_Toc118453533"/>
      <w:r>
        <w:rPr>
          <w:rStyle w:val="CharSectno"/>
        </w:rPr>
        <w:t>189</w:t>
      </w:r>
      <w:r>
        <w:rPr>
          <w:snapToGrid w:val="0"/>
        </w:rPr>
        <w:t>.</w:t>
      </w:r>
      <w:r>
        <w:rPr>
          <w:snapToGrid w:val="0"/>
        </w:rPr>
        <w:tab/>
        <w:t>Certain offenders to be regarded as not convicted</w:t>
      </w:r>
      <w:bookmarkEnd w:id="407"/>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lastRenderedPageBreak/>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4</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pPr>
      <w:r>
        <w:tab/>
        <w:t>(c)</w:t>
      </w:r>
      <w:r>
        <w:tab/>
        <w:t xml:space="preserve">a court having regard to a conviction for the purposes of the </w:t>
      </w:r>
      <w:r>
        <w:rPr>
          <w:i/>
          <w:szCs w:val="24"/>
        </w:rPr>
        <w:t xml:space="preserve">High Risk Serious Offenders Act 2020 </w:t>
      </w:r>
      <w:r>
        <w:t>section 7(3); or</w:t>
      </w:r>
    </w:p>
    <w:p>
      <w:pPr>
        <w:pStyle w:val="Indenta"/>
      </w:pPr>
      <w:r>
        <w:tab/>
        <w:t>(d)</w:t>
      </w:r>
      <w:r>
        <w:tab/>
        <w:t>the making of a record of anything that paragraph (a), (b) or (c)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lastRenderedPageBreak/>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No. 29 of 2008 s. 41(3); No. 8 of 2012 s. 203; No. 17 of 2016 s. 57; No. 29 of 2020 s. 121.]</w:t>
      </w:r>
    </w:p>
    <w:p>
      <w:pPr>
        <w:pStyle w:val="Heading5"/>
        <w:spacing w:before="180"/>
        <w:rPr>
          <w:snapToGrid w:val="0"/>
        </w:rPr>
      </w:pPr>
      <w:bookmarkStart w:id="408" w:name="_Toc118453534"/>
      <w:r>
        <w:rPr>
          <w:rStyle w:val="CharSectno"/>
        </w:rPr>
        <w:t>190</w:t>
      </w:r>
      <w:r>
        <w:rPr>
          <w:snapToGrid w:val="0"/>
        </w:rPr>
        <w:t>.</w:t>
      </w:r>
      <w:r>
        <w:rPr>
          <w:snapToGrid w:val="0"/>
        </w:rPr>
        <w:tab/>
        <w:t>Disclosure of certain convictions</w:t>
      </w:r>
      <w:bookmarkEnd w:id="408"/>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pPr>
      <w:r>
        <w:tab/>
        <w:t>(2A)</w:t>
      </w:r>
      <w:r>
        <w:tab/>
        <w:t xml:space="preserve">This section does not prevent evidence of a conviction being received in proceedings under the </w:t>
      </w:r>
      <w:r>
        <w:rPr>
          <w:i/>
          <w:szCs w:val="24"/>
        </w:rPr>
        <w:t>High Risk Serious Offenders Act 2020</w:t>
      </w:r>
      <w:r>
        <w:t>.</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Footnotesection"/>
        <w:spacing w:before="80"/>
        <w:ind w:left="890" w:hanging="890"/>
      </w:pPr>
      <w:r>
        <w:tab/>
        <w:t>[Section 190 amended: No. 17 of 2016 s. 58; No. 29 of 2020 s. 121.]</w:t>
      </w:r>
    </w:p>
    <w:p>
      <w:pPr>
        <w:pStyle w:val="Heading5"/>
        <w:spacing w:before="180"/>
        <w:rPr>
          <w:snapToGrid w:val="0"/>
        </w:rPr>
      </w:pPr>
      <w:bookmarkStart w:id="409" w:name="_Toc118453535"/>
      <w:r>
        <w:rPr>
          <w:rStyle w:val="CharSectno"/>
        </w:rPr>
        <w:t>191</w:t>
      </w:r>
      <w:r>
        <w:rPr>
          <w:snapToGrid w:val="0"/>
        </w:rPr>
        <w:t>.</w:t>
      </w:r>
      <w:r>
        <w:rPr>
          <w:snapToGrid w:val="0"/>
        </w:rPr>
        <w:tab/>
        <w:t>Unlawfully communicating with detainee</w:t>
      </w:r>
      <w:bookmarkEnd w:id="409"/>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410" w:name="_Toc118453536"/>
      <w:r>
        <w:rPr>
          <w:rStyle w:val="CharSectno"/>
        </w:rPr>
        <w:t>192</w:t>
      </w:r>
      <w:r>
        <w:rPr>
          <w:snapToGrid w:val="0"/>
        </w:rPr>
        <w:t>.</w:t>
      </w:r>
      <w:r>
        <w:rPr>
          <w:snapToGrid w:val="0"/>
        </w:rPr>
        <w:tab/>
        <w:t>Unlawfully remaining in detention centre</w:t>
      </w:r>
      <w:bookmarkEnd w:id="410"/>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411" w:name="_Toc118453537"/>
      <w:r>
        <w:rPr>
          <w:rStyle w:val="CharSectno"/>
        </w:rPr>
        <w:lastRenderedPageBreak/>
        <w:t>193</w:t>
      </w:r>
      <w:r>
        <w:rPr>
          <w:snapToGrid w:val="0"/>
        </w:rPr>
        <w:t>.</w:t>
      </w:r>
      <w:r>
        <w:rPr>
          <w:snapToGrid w:val="0"/>
        </w:rPr>
        <w:tab/>
        <w:t>Escape from custody</w:t>
      </w:r>
      <w:bookmarkEnd w:id="411"/>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412" w:name="_Toc118453538"/>
      <w:r>
        <w:rPr>
          <w:rStyle w:val="CharSectno"/>
        </w:rPr>
        <w:t>193A</w:t>
      </w:r>
      <w:r>
        <w:t>.</w:t>
      </w:r>
      <w:r>
        <w:tab/>
        <w:t>Arrest warrant may be issued if warrant of commitment in force</w:t>
      </w:r>
      <w:bookmarkEnd w:id="412"/>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No. 58 of 2004 s. 41.]</w:t>
      </w:r>
    </w:p>
    <w:p>
      <w:pPr>
        <w:pStyle w:val="Heading5"/>
        <w:spacing w:before="180"/>
        <w:rPr>
          <w:snapToGrid w:val="0"/>
        </w:rPr>
      </w:pPr>
      <w:bookmarkStart w:id="413" w:name="_Toc118453539"/>
      <w:r>
        <w:rPr>
          <w:rStyle w:val="CharSectno"/>
        </w:rPr>
        <w:t>194</w:t>
      </w:r>
      <w:r>
        <w:rPr>
          <w:snapToGrid w:val="0"/>
        </w:rPr>
        <w:t>.</w:t>
      </w:r>
      <w:r>
        <w:rPr>
          <w:snapToGrid w:val="0"/>
        </w:rPr>
        <w:tab/>
        <w:t>Personating an officer</w:t>
      </w:r>
      <w:bookmarkEnd w:id="413"/>
      <w:r>
        <w:rPr>
          <w:snapToGrid w:val="0"/>
        </w:rPr>
        <w:t xml:space="preserve"> </w:t>
      </w:r>
    </w:p>
    <w:p>
      <w:pPr>
        <w:pStyle w:val="Subsection"/>
        <w:rPr>
          <w:snapToGrid w:val="0"/>
        </w:rPr>
      </w:pPr>
      <w:r>
        <w:rPr>
          <w:snapToGrid w:val="0"/>
        </w:rPr>
        <w:tab/>
      </w:r>
      <w:r>
        <w:rPr>
          <w:snapToGrid w:val="0"/>
        </w:rPr>
        <w:tab/>
        <w:t xml:space="preserve">A person, not being an officer of the Department, who takes the name, designation, or description of an officer of the </w:t>
      </w:r>
      <w:r>
        <w:rPr>
          <w:snapToGrid w:val="0"/>
        </w:rPr>
        <w:lastRenderedPageBreak/>
        <w:t>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414" w:name="_Toc118453540"/>
      <w:r>
        <w:rPr>
          <w:rStyle w:val="CharSectno"/>
        </w:rPr>
        <w:t>195</w:t>
      </w:r>
      <w:r>
        <w:rPr>
          <w:snapToGrid w:val="0"/>
        </w:rPr>
        <w:t>.</w:t>
      </w:r>
      <w:r>
        <w:rPr>
          <w:snapToGrid w:val="0"/>
        </w:rPr>
        <w:tab/>
        <w:t>General penalty</w:t>
      </w:r>
      <w:bookmarkEnd w:id="414"/>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415" w:name="_Toc118453541"/>
      <w:r>
        <w:rPr>
          <w:rStyle w:val="CharSectno"/>
        </w:rPr>
        <w:t>196</w:t>
      </w:r>
      <w:r>
        <w:rPr>
          <w:snapToGrid w:val="0"/>
        </w:rPr>
        <w:t>.</w:t>
      </w:r>
      <w:r>
        <w:rPr>
          <w:snapToGrid w:val="0"/>
        </w:rPr>
        <w:tab/>
        <w:t>Regulations</w:t>
      </w:r>
      <w:bookmarkEnd w:id="41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lastRenderedPageBreak/>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lastRenderedPageBreak/>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No. 58 of 2004 s. 42.]</w:t>
      </w:r>
    </w:p>
    <w:p>
      <w:pPr>
        <w:pStyle w:val="Heading5"/>
        <w:rPr>
          <w:snapToGrid w:val="0"/>
        </w:rPr>
      </w:pPr>
      <w:bookmarkStart w:id="416" w:name="_Toc118453542"/>
      <w:r>
        <w:rPr>
          <w:rStyle w:val="CharSectno"/>
        </w:rPr>
        <w:t>197</w:t>
      </w:r>
      <w:r>
        <w:t>.</w:t>
      </w:r>
      <w:r>
        <w:tab/>
      </w:r>
      <w:r>
        <w:rPr>
          <w:snapToGrid w:val="0"/>
        </w:rPr>
        <w:t>Delegation of prescribed functions</w:t>
      </w:r>
      <w:bookmarkEnd w:id="416"/>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No. 58 of 2004 s. 43.]</w:t>
      </w:r>
    </w:p>
    <w:p>
      <w:pPr>
        <w:pStyle w:val="Heading5"/>
      </w:pPr>
      <w:bookmarkStart w:id="417" w:name="_Toc103867592"/>
      <w:bookmarkStart w:id="418" w:name="_Toc118453543"/>
      <w:bookmarkStart w:id="419" w:name="_Toc118361780"/>
      <w:r>
        <w:rPr>
          <w:rStyle w:val="CharSectno"/>
        </w:rPr>
        <w:t>197A</w:t>
      </w:r>
      <w:r>
        <w:t>.</w:t>
      </w:r>
      <w:r>
        <w:tab/>
        <w:t>Delegation by Commissioner of Police</w:t>
      </w:r>
      <w:bookmarkEnd w:id="417"/>
      <w:bookmarkEnd w:id="418"/>
    </w:p>
    <w:p>
      <w:pPr>
        <w:pStyle w:val="Subsection"/>
      </w:pPr>
      <w:r>
        <w:tab/>
        <w:t>(1)</w:t>
      </w:r>
      <w:r>
        <w:tab/>
        <w:t>The Commissioner of Police may, in writing signed by the Commissioner, delegate any of the Commissioner’s powers or duties under this Act to a police officer of or above the rank of Commander.</w:t>
      </w:r>
    </w:p>
    <w:p>
      <w:pPr>
        <w:pStyle w:val="Subsection"/>
      </w:pPr>
      <w:r>
        <w:tab/>
        <w:t>(2)</w:t>
      </w:r>
      <w:r>
        <w:tab/>
        <w:t>For the purposes of this Act, the exercise of a power or duty by a delegate under this section is taken to be the exercise of the power or duty by the Commissioner of Police.</w:t>
      </w:r>
    </w:p>
    <w:p>
      <w:pPr>
        <w:pStyle w:val="Subsection"/>
      </w:pPr>
      <w:r>
        <w:tab/>
        <w:t>(3)</w:t>
      </w:r>
      <w:r>
        <w:tab/>
        <w:t>A police officer to whom a power or duty is delegated under this section cannot delegate that power or duty to any other person.</w:t>
      </w:r>
    </w:p>
    <w:p>
      <w:pPr>
        <w:pStyle w:val="Footnotesection"/>
      </w:pPr>
      <w:r>
        <w:tab/>
        <w:t>[Section 197A inserted: No. 14 of 2022 s. 39.]</w:t>
      </w:r>
    </w:p>
    <w:p>
      <w:pPr>
        <w:pStyle w:val="Heading2"/>
      </w:pPr>
      <w:bookmarkStart w:id="420" w:name="_Toc118366882"/>
      <w:bookmarkStart w:id="421" w:name="_Toc118453544"/>
      <w:r>
        <w:rPr>
          <w:rStyle w:val="CharPartNo"/>
        </w:rPr>
        <w:lastRenderedPageBreak/>
        <w:t>Part 11</w:t>
      </w:r>
      <w:r>
        <w:t> — </w:t>
      </w:r>
      <w:r>
        <w:rPr>
          <w:rStyle w:val="CharPartText"/>
        </w:rPr>
        <w:t>Amendment of certain other Acts and transitional provisions</w:t>
      </w:r>
      <w:bookmarkEnd w:id="419"/>
      <w:bookmarkEnd w:id="420"/>
      <w:bookmarkEnd w:id="421"/>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422" w:name="_Toc118361781"/>
      <w:bookmarkStart w:id="423" w:name="_Toc118366883"/>
      <w:bookmarkStart w:id="424" w:name="_Toc118453545"/>
      <w:r>
        <w:rPr>
          <w:rStyle w:val="CharDivNo"/>
        </w:rPr>
        <w:t>Division 3</w:t>
      </w:r>
      <w:r>
        <w:rPr>
          <w:snapToGrid w:val="0"/>
        </w:rPr>
        <w:t> — </w:t>
      </w:r>
      <w:r>
        <w:rPr>
          <w:rStyle w:val="CharDivText"/>
        </w:rPr>
        <w:t>Transitional provisions</w:t>
      </w:r>
      <w:bookmarkEnd w:id="422"/>
      <w:bookmarkEnd w:id="423"/>
      <w:bookmarkEnd w:id="424"/>
      <w:r>
        <w:rPr>
          <w:rStyle w:val="CharDivText"/>
        </w:rPr>
        <w:t xml:space="preserve"> </w:t>
      </w:r>
    </w:p>
    <w:p>
      <w:pPr>
        <w:pStyle w:val="Heading5"/>
        <w:rPr>
          <w:snapToGrid w:val="0"/>
        </w:rPr>
      </w:pPr>
      <w:bookmarkStart w:id="425" w:name="_Toc118453546"/>
      <w:r>
        <w:rPr>
          <w:rStyle w:val="CharSectno"/>
        </w:rPr>
        <w:t>231</w:t>
      </w:r>
      <w:r>
        <w:rPr>
          <w:snapToGrid w:val="0"/>
        </w:rPr>
        <w:t>.</w:t>
      </w:r>
      <w:r>
        <w:rPr>
          <w:snapToGrid w:val="0"/>
        </w:rPr>
        <w:tab/>
      </w:r>
      <w:r>
        <w:rPr>
          <w:i/>
          <w:snapToGrid w:val="0"/>
        </w:rPr>
        <w:t>Interpretation Act 1984</w:t>
      </w:r>
      <w:r>
        <w:rPr>
          <w:snapToGrid w:val="0"/>
        </w:rPr>
        <w:t xml:space="preserve"> applies</w:t>
      </w:r>
      <w:bookmarkEnd w:id="425"/>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4</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426" w:name="_Toc118453547"/>
      <w:r>
        <w:rPr>
          <w:rStyle w:val="CharSectno"/>
        </w:rPr>
        <w:t>232</w:t>
      </w:r>
      <w:r>
        <w:rPr>
          <w:snapToGrid w:val="0"/>
        </w:rPr>
        <w:t>.</w:t>
      </w:r>
      <w:r>
        <w:rPr>
          <w:snapToGrid w:val="0"/>
        </w:rPr>
        <w:tab/>
        <w:t>Orders for past matters</w:t>
      </w:r>
      <w:bookmarkEnd w:id="426"/>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427" w:name="_Toc118453548"/>
      <w:r>
        <w:rPr>
          <w:rStyle w:val="CharSectno"/>
        </w:rPr>
        <w:t>233</w:t>
      </w:r>
      <w:r>
        <w:rPr>
          <w:snapToGrid w:val="0"/>
        </w:rPr>
        <w:t>.</w:t>
      </w:r>
      <w:r>
        <w:rPr>
          <w:snapToGrid w:val="0"/>
        </w:rPr>
        <w:tab/>
        <w:t>Orders under former provisions</w:t>
      </w:r>
      <w:bookmarkEnd w:id="427"/>
      <w:r>
        <w:rPr>
          <w:snapToGrid w:val="0"/>
        </w:rPr>
        <w:t xml:space="preserve"> </w:t>
      </w:r>
    </w:p>
    <w:p>
      <w:pPr>
        <w:pStyle w:val="Subsection"/>
        <w:rPr>
          <w:snapToGrid w:val="0"/>
        </w:rPr>
      </w:pPr>
      <w:r>
        <w:rPr>
          <w:snapToGrid w:val="0"/>
        </w:rPr>
        <w:tab/>
      </w:r>
      <w:r>
        <w:rPr>
          <w:snapToGrid w:val="0"/>
        </w:rPr>
        <w:tab/>
        <w:t xml:space="preserve">This Act applies to an order made under a provision repealed by this Act that is still in force when that provision is repealed as if </w:t>
      </w:r>
      <w:r>
        <w:rPr>
          <w:snapToGrid w:val="0"/>
        </w:rPr>
        <w:lastRenderedPageBreak/>
        <w:t>the order were made under the provision of this Act that most nearly corresponds to the repealed provision.</w:t>
      </w:r>
    </w:p>
    <w:p>
      <w:pPr>
        <w:pStyle w:val="Heading5"/>
        <w:rPr>
          <w:snapToGrid w:val="0"/>
        </w:rPr>
      </w:pPr>
      <w:bookmarkStart w:id="428" w:name="_Toc118453549"/>
      <w:r>
        <w:rPr>
          <w:rStyle w:val="CharSectno"/>
        </w:rPr>
        <w:t>234</w:t>
      </w:r>
      <w:r>
        <w:rPr>
          <w:snapToGrid w:val="0"/>
        </w:rPr>
        <w:t>.</w:t>
      </w:r>
      <w:r>
        <w:rPr>
          <w:snapToGrid w:val="0"/>
        </w:rPr>
        <w:tab/>
        <w:t xml:space="preserve">Detention centres under </w:t>
      </w:r>
      <w:r>
        <w:rPr>
          <w:i/>
          <w:snapToGrid w:val="0"/>
        </w:rPr>
        <w:t>Child Welfare Act 1947</w:t>
      </w:r>
      <w:bookmarkEnd w:id="42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429" w:name="_Toc118453550"/>
      <w:r>
        <w:rPr>
          <w:rStyle w:val="CharSectno"/>
        </w:rPr>
        <w:t>235</w:t>
      </w:r>
      <w:r>
        <w:rPr>
          <w:snapToGrid w:val="0"/>
        </w:rPr>
        <w:t>.</w:t>
      </w:r>
      <w:r>
        <w:rPr>
          <w:snapToGrid w:val="0"/>
        </w:rPr>
        <w:tab/>
        <w:t>Proceedings pending before children’s panels</w:t>
      </w:r>
      <w:bookmarkEnd w:id="42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430" w:name="_Toc118361787"/>
      <w:bookmarkStart w:id="431" w:name="_Toc118366889"/>
      <w:bookmarkStart w:id="432" w:name="_Toc118453551"/>
      <w:r>
        <w:rPr>
          <w:rStyle w:val="CharDivNo"/>
        </w:rPr>
        <w:t>Division 4</w:t>
      </w:r>
      <w:r>
        <w:rPr>
          <w:snapToGrid w:val="0"/>
        </w:rPr>
        <w:t> — </w:t>
      </w:r>
      <w:r>
        <w:rPr>
          <w:rStyle w:val="CharDivText"/>
        </w:rPr>
        <w:t>Miscellaneous</w:t>
      </w:r>
      <w:bookmarkEnd w:id="430"/>
      <w:bookmarkEnd w:id="431"/>
      <w:bookmarkEnd w:id="432"/>
    </w:p>
    <w:p>
      <w:pPr>
        <w:pStyle w:val="Ednotesection"/>
      </w:pPr>
      <w:r>
        <w:t>[</w:t>
      </w:r>
      <w:r>
        <w:rPr>
          <w:b/>
        </w:rPr>
        <w:t>236.</w:t>
      </w:r>
      <w:r>
        <w:rPr>
          <w:b/>
        </w:rPr>
        <w:tab/>
      </w:r>
      <w:r>
        <w:t>Omitted under the Reprints Act 1984 s. 7(4)(e).]</w:t>
      </w:r>
    </w:p>
    <w:p>
      <w:pPr>
        <w:pStyle w:val="Heading5"/>
        <w:rPr>
          <w:snapToGrid w:val="0"/>
        </w:rPr>
      </w:pPr>
      <w:bookmarkStart w:id="433" w:name="_Toc118453552"/>
      <w:r>
        <w:rPr>
          <w:rStyle w:val="CharSectno"/>
        </w:rPr>
        <w:t>237</w:t>
      </w:r>
      <w:r>
        <w:rPr>
          <w:snapToGrid w:val="0"/>
        </w:rPr>
        <w:t>.</w:t>
      </w:r>
      <w:r>
        <w:rPr>
          <w:snapToGrid w:val="0"/>
        </w:rPr>
        <w:tab/>
        <w:t>Review of Act</w:t>
      </w:r>
      <w:bookmarkEnd w:id="433"/>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lastRenderedPageBreak/>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434" w:name="_Toc118361789"/>
      <w:bookmarkStart w:id="435" w:name="_Toc118366891"/>
      <w:bookmarkStart w:id="436" w:name="_Toc118453553"/>
      <w:r>
        <w:rPr>
          <w:rStyle w:val="CharSchNo"/>
        </w:rPr>
        <w:lastRenderedPageBreak/>
        <w:t>Schedule 1</w:t>
      </w:r>
      <w:r>
        <w:t> — </w:t>
      </w:r>
      <w:r>
        <w:rPr>
          <w:rStyle w:val="CharSchText"/>
        </w:rPr>
        <w:t>Schedule 1 offences</w:t>
      </w:r>
      <w:bookmarkEnd w:id="434"/>
      <w:bookmarkEnd w:id="435"/>
      <w:bookmarkEnd w:id="436"/>
    </w:p>
    <w:p>
      <w:pPr>
        <w:pStyle w:val="yShoulderClause"/>
        <w:rPr>
          <w:snapToGrid w:val="0"/>
        </w:rPr>
      </w:pPr>
      <w:r>
        <w:rPr>
          <w:snapToGrid w:val="0"/>
        </w:rPr>
        <w:t>[s. 3, 22, 25 and 55]</w:t>
      </w:r>
    </w:p>
    <w:p>
      <w:pPr>
        <w:pStyle w:val="yFootnoteheading"/>
        <w:rPr>
          <w:b/>
          <w:snapToGrid w:val="0"/>
        </w:rPr>
      </w:pPr>
      <w:r>
        <w:tab/>
        <w:t>[Heading amended: No. 19 of 2010 s. 4.]</w:t>
      </w:r>
    </w:p>
    <w:p>
      <w:pPr>
        <w:pStyle w:val="yMiscellaneousHeading"/>
        <w:jc w:val="left"/>
        <w:outlineLvl w:val="0"/>
        <w:rPr>
          <w:b/>
          <w:snapToGrid w:val="0"/>
        </w:rPr>
      </w:pPr>
      <w:r>
        <w:rPr>
          <w:b/>
          <w:snapToGrid w:val="0"/>
        </w:rPr>
        <w:t>Offences — </w:t>
      </w:r>
    </w:p>
    <w:p>
      <w:pPr>
        <w:pStyle w:val="yMiscellaneousHeading"/>
        <w:ind w:left="284" w:hanging="284"/>
        <w:jc w:val="left"/>
        <w:outlineLvl w:val="0"/>
        <w:rPr>
          <w:b/>
          <w:snapToGrid w:val="0"/>
        </w:rPr>
      </w:pPr>
      <w:r>
        <w:rPr>
          <w:b/>
          <w:snapToGrid w:val="0"/>
        </w:rPr>
        <w:t>•</w:t>
      </w:r>
      <w:r>
        <w:rPr>
          <w:b/>
          <w:snapToGrid w:val="0"/>
        </w:rPr>
        <w:tab/>
        <w:t>for which a caution cannot be given, and</w:t>
      </w:r>
    </w:p>
    <w:p>
      <w:pPr>
        <w:pStyle w:val="yMiscellaneousHeading"/>
        <w:ind w:left="284" w:hanging="284"/>
        <w:jc w:val="left"/>
        <w:outlineLvl w:val="0"/>
        <w:rPr>
          <w:b/>
          <w:snapToGrid w:val="0"/>
        </w:rPr>
      </w:pPr>
      <w:r>
        <w:rPr>
          <w:b/>
          <w:snapToGrid w:val="0"/>
        </w:rPr>
        <w:t>•</w:t>
      </w:r>
      <w:r>
        <w:rPr>
          <w:b/>
          <w:snapToGrid w:val="0"/>
        </w:rPr>
        <w:tab/>
        <w:t>which cannot be referred to a juvenile justice team, and</w:t>
      </w:r>
    </w:p>
    <w:p>
      <w:pPr>
        <w:pStyle w:val="yMiscellaneousHeading"/>
        <w:spacing w:after="160"/>
        <w:ind w:left="284" w:hanging="284"/>
        <w:jc w:val="left"/>
        <w:outlineLvl w:val="0"/>
        <w:rPr>
          <w:b/>
          <w:snapToGrid w:val="0"/>
        </w:rPr>
      </w:pPr>
      <w:r>
        <w:rPr>
          <w:b/>
          <w:snapToGrid w:val="0"/>
        </w:rPr>
        <w:t>•</w:t>
      </w:r>
      <w:r>
        <w:rPr>
          <w:b/>
          <w:snapToGrid w:val="0"/>
        </w:rPr>
        <w:tab/>
        <w:t>for which a conviction will normally be recorded</w:t>
      </w:r>
    </w:p>
    <w:tbl>
      <w:tblPr>
        <w:tblW w:w="7088" w:type="dxa"/>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lastRenderedPageBreak/>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lastRenderedPageBreak/>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Driving in reckless manner</w:t>
            </w:r>
          </w:p>
        </w:tc>
      </w:tr>
      <w:tr>
        <w:tc>
          <w:tcPr>
            <w:tcW w:w="2552" w:type="dxa"/>
          </w:tcPr>
          <w:p>
            <w:pPr>
              <w:pStyle w:val="yTable"/>
              <w:ind w:left="142"/>
            </w:pPr>
            <w:r>
              <w:t>s. 60A</w:t>
            </w:r>
          </w:p>
        </w:tc>
        <w:tc>
          <w:tcPr>
            <w:tcW w:w="4536" w:type="dxa"/>
          </w:tcPr>
          <w:p>
            <w:pPr>
              <w:pStyle w:val="yTable"/>
              <w:ind w:right="-283" w:hanging="425"/>
            </w:pPr>
            <w:r>
              <w:t xml:space="preserve">Driving at reckless speed </w:t>
            </w:r>
          </w:p>
        </w:tc>
      </w:tr>
      <w:tr>
        <w:tc>
          <w:tcPr>
            <w:tcW w:w="2552" w:type="dxa"/>
          </w:tcPr>
          <w:p>
            <w:pPr>
              <w:pStyle w:val="yTable"/>
              <w:ind w:left="142"/>
            </w:pPr>
            <w:r>
              <w:t>s. 61</w:t>
            </w:r>
          </w:p>
        </w:tc>
        <w:tc>
          <w:tcPr>
            <w:tcW w:w="4536" w:type="dxa"/>
          </w:tcPr>
          <w:p>
            <w:pPr>
              <w:pStyle w:val="yTable"/>
              <w:ind w:right="-283" w:hanging="425"/>
            </w:pPr>
            <w:r>
              <w:t>Dangerous driving</w:t>
            </w:r>
          </w:p>
        </w:tc>
      </w:tr>
      <w:tr>
        <w:tc>
          <w:tcPr>
            <w:tcW w:w="2552" w:type="dxa"/>
          </w:tcPr>
          <w:p>
            <w:pPr>
              <w:pStyle w:val="yTable"/>
              <w:ind w:left="142"/>
            </w:pPr>
            <w:r>
              <w:t>s. 62</w:t>
            </w:r>
          </w:p>
        </w:tc>
        <w:tc>
          <w:tcPr>
            <w:tcW w:w="4536" w:type="dxa"/>
          </w:tcPr>
          <w:p>
            <w:pPr>
              <w:pStyle w:val="yTable"/>
              <w:ind w:right="-283" w:hanging="425"/>
            </w:pPr>
            <w:r>
              <w:t>Careless driving</w:t>
            </w:r>
          </w:p>
        </w:tc>
      </w:tr>
      <w:tr>
        <w:tc>
          <w:tcPr>
            <w:tcW w:w="2552" w:type="dxa"/>
          </w:tcPr>
          <w:p>
            <w:pPr>
              <w:pStyle w:val="yTable"/>
              <w:ind w:left="142"/>
            </w:pPr>
            <w:r>
              <w:t>s. 62A</w:t>
            </w:r>
          </w:p>
        </w:tc>
        <w:tc>
          <w:tcPr>
            <w:tcW w:w="4536" w:type="dxa"/>
          </w:tcPr>
          <w:p>
            <w:pPr>
              <w:pStyle w:val="yTable"/>
              <w:ind w:right="-283" w:hanging="425"/>
            </w:pPr>
            <w:r>
              <w:t>Causing excessive noise or smoke from vehicle’s tyres</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lastRenderedPageBreak/>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64B</w:t>
            </w:r>
          </w:p>
        </w:tc>
        <w:tc>
          <w:tcPr>
            <w:tcW w:w="4536" w:type="dxa"/>
          </w:tcPr>
          <w:p>
            <w:pPr>
              <w:pStyle w:val="yTable"/>
              <w:ind w:right="-283" w:hanging="425"/>
            </w:pPr>
            <w:r>
              <w:t>Driving with blood alcohol content of or above 0.05g/100ml with prescribed illicit drug in oral fluid or blood</w:t>
            </w:r>
          </w:p>
        </w:tc>
      </w:tr>
      <w:tr>
        <w:tc>
          <w:tcPr>
            <w:tcW w:w="2552" w:type="dxa"/>
          </w:tcPr>
          <w:p>
            <w:pPr>
              <w:pStyle w:val="yTable"/>
              <w:ind w:left="142"/>
            </w:pPr>
            <w:r>
              <w:t>s. 64C</w:t>
            </w:r>
          </w:p>
        </w:tc>
        <w:tc>
          <w:tcPr>
            <w:tcW w:w="4536" w:type="dxa"/>
          </w:tcPr>
          <w:p>
            <w:pPr>
              <w:pStyle w:val="yTable"/>
              <w:ind w:right="-283" w:hanging="425"/>
            </w:pPr>
            <w:r>
              <w:t>Certain persons driving with any blood alcohol content with prescribed illicit drug in oral fluid or blood</w:t>
            </w:r>
          </w:p>
        </w:tc>
      </w:tr>
      <w:tr>
        <w:tc>
          <w:tcPr>
            <w:tcW w:w="2552" w:type="dxa"/>
          </w:tcPr>
          <w:p>
            <w:pPr>
              <w:pStyle w:val="yTable"/>
              <w:ind w:left="142"/>
            </w:pPr>
            <w:r>
              <w:t>s. 67</w:t>
            </w:r>
          </w:p>
        </w:tc>
        <w:tc>
          <w:tcPr>
            <w:tcW w:w="4536" w:type="dxa"/>
          </w:tcPr>
          <w:p>
            <w:pPr>
              <w:pStyle w:val="yTable"/>
              <w:ind w:right="-283" w:hanging="425"/>
            </w:pPr>
            <w:r>
              <w:t>Failure to comply with s. 66 requirement to provide sample, allow sample to be taken or to accompany police officer</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r>
        <w:tc>
          <w:tcPr>
            <w:tcW w:w="2552" w:type="dxa"/>
          </w:tcPr>
          <w:p>
            <w:pPr>
              <w:pStyle w:val="yTable"/>
              <w:ind w:left="142"/>
            </w:pPr>
            <w:r>
              <w:t>s. 67AC</w:t>
            </w:r>
          </w:p>
        </w:tc>
        <w:tc>
          <w:tcPr>
            <w:tcW w:w="4536" w:type="dxa"/>
          </w:tcPr>
          <w:p>
            <w:pPr>
              <w:pStyle w:val="yTable"/>
              <w:ind w:right="-283" w:hanging="425"/>
              <w:rPr>
                <w:snapToGrid w:val="0"/>
              </w:rPr>
            </w:pPr>
            <w:r>
              <w:t>Failure to comply with drug test requirement for certain persons with any blood alcohol content</w:t>
            </w:r>
          </w:p>
        </w:tc>
      </w:tr>
      <w:tr>
        <w:tc>
          <w:tcPr>
            <w:tcW w:w="2552" w:type="dxa"/>
          </w:tcPr>
          <w:p>
            <w:pPr>
              <w:pStyle w:val="yTable"/>
              <w:ind w:left="142"/>
            </w:pPr>
            <w:r>
              <w:t>s. 67AD</w:t>
            </w:r>
          </w:p>
        </w:tc>
        <w:tc>
          <w:tcPr>
            <w:tcW w:w="4536" w:type="dxa"/>
          </w:tcPr>
          <w:p>
            <w:pPr>
              <w:pStyle w:val="yTable"/>
              <w:ind w:right="-283" w:hanging="425"/>
              <w:rPr>
                <w:snapToGrid w:val="0"/>
              </w:rPr>
            </w:pPr>
            <w:r>
              <w:t>Failure to comply with drug test requirement for persons with blood alcohol content of or above 0.05g/100ml</w:t>
            </w:r>
          </w:p>
        </w:tc>
      </w:tr>
      <w:tr>
        <w:tc>
          <w:tcPr>
            <w:tcW w:w="2552" w:type="dxa"/>
          </w:tcPr>
          <w:p>
            <w:pPr>
              <w:pStyle w:val="yTable"/>
              <w:ind w:left="142"/>
            </w:pPr>
            <w:r>
              <w:t>s. 67A</w:t>
            </w:r>
          </w:p>
        </w:tc>
        <w:tc>
          <w:tcPr>
            <w:tcW w:w="4536" w:type="dxa"/>
          </w:tcPr>
          <w:p>
            <w:pPr>
              <w:pStyle w:val="yTable"/>
              <w:ind w:right="-283" w:hanging="425"/>
              <w:rPr>
                <w:snapToGrid w:val="0"/>
              </w:rPr>
            </w:pPr>
            <w:r>
              <w:t>Failure to comply with other requirements made under s. 66 to 66E</w:t>
            </w:r>
          </w:p>
        </w:tc>
      </w:tr>
    </w:tbl>
    <w:p>
      <w:pPr>
        <w:pStyle w:val="yFootnotesection"/>
      </w:pPr>
      <w:r>
        <w:tab/>
        <w:t xml:space="preserve">[Schedule 1 amended: No. 82 of 1994 s. 13(6); No. 4 of 2004 s. 24 and 26; No. 58 of 2004 s. 44; No. 62 of 2004 s. 9(4); No. 6 of 2007 s. 23; No. 39 of 2007 s. 42; No. 29 of 2008 s. 41(4); No. 25 of 2016 s. 21(2); No. 51 of 2016 s. 56; No. 27 of 2020 s. 52.] </w:t>
      </w:r>
    </w:p>
    <w:p>
      <w:pPr>
        <w:pStyle w:val="yScheduleHeading"/>
        <w:outlineLvl w:val="0"/>
      </w:pPr>
      <w:bookmarkStart w:id="437" w:name="_Toc118361790"/>
      <w:bookmarkStart w:id="438" w:name="_Toc118366892"/>
      <w:bookmarkStart w:id="439" w:name="_Toc118453554"/>
      <w:r>
        <w:rPr>
          <w:rStyle w:val="CharSchNo"/>
        </w:rPr>
        <w:lastRenderedPageBreak/>
        <w:t>Schedule 2</w:t>
      </w:r>
      <w:r>
        <w:t> — </w:t>
      </w:r>
      <w:r>
        <w:rPr>
          <w:rStyle w:val="CharSchText"/>
        </w:rPr>
        <w:t>Schedule 2 offences</w:t>
      </w:r>
      <w:bookmarkEnd w:id="437"/>
      <w:bookmarkEnd w:id="438"/>
      <w:bookmarkEnd w:id="439"/>
    </w:p>
    <w:p>
      <w:pPr>
        <w:pStyle w:val="yShoulderClause"/>
        <w:rPr>
          <w:snapToGrid w:val="0"/>
        </w:rPr>
      </w:pPr>
      <w:r>
        <w:rPr>
          <w:snapToGrid w:val="0"/>
        </w:rPr>
        <w:t>[s. 3, 22, 25, 55 and 124]</w:t>
      </w:r>
    </w:p>
    <w:p>
      <w:pPr>
        <w:pStyle w:val="yFootnoteheading"/>
        <w:rPr>
          <w:b/>
          <w:snapToGrid w:val="0"/>
        </w:rPr>
      </w:pPr>
      <w:r>
        <w:tab/>
        <w:t>[Heading amended: No. 19 of 2010 s. 4.]</w:t>
      </w:r>
    </w:p>
    <w:p>
      <w:pPr>
        <w:pStyle w:val="yMiscellaneousHeading"/>
        <w:jc w:val="left"/>
        <w:outlineLvl w:val="0"/>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492"/>
        <w:gridCol w:w="16"/>
        <w:gridCol w:w="4582"/>
      </w:tblGrid>
      <w:tr>
        <w:trPr>
          <w:tblHeader/>
        </w:trPr>
        <w:tc>
          <w:tcPr>
            <w:tcW w:w="2508" w:type="dxa"/>
            <w:gridSpan w:val="2"/>
            <w:tcBorders>
              <w:top w:val="single" w:sz="4" w:space="0" w:color="auto"/>
              <w:bottom w:val="single" w:sz="4" w:space="0" w:color="auto"/>
            </w:tcBorders>
          </w:tcPr>
          <w:p>
            <w:pPr>
              <w:pStyle w:val="yTableNAm"/>
              <w:rPr>
                <w:b/>
              </w:rPr>
            </w:pPr>
            <w:r>
              <w:rPr>
                <w:b/>
              </w:rPr>
              <w:t>Enactment</w:t>
            </w:r>
          </w:p>
        </w:tc>
        <w:tc>
          <w:tcPr>
            <w:tcW w:w="4582" w:type="dxa"/>
            <w:tcBorders>
              <w:top w:val="single" w:sz="4" w:space="0" w:color="auto"/>
              <w:bottom w:val="single" w:sz="4" w:space="0" w:color="auto"/>
            </w:tcBorders>
          </w:tcPr>
          <w:p>
            <w:pPr>
              <w:pStyle w:val="yTableNAm"/>
              <w:tabs>
                <w:tab w:val="clear" w:pos="567"/>
              </w:tabs>
              <w:ind w:left="-239"/>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rPr>
            </w:pPr>
            <w:r>
              <w:rPr>
                <w:b/>
              </w:rPr>
              <w:t>1.</w:t>
            </w:r>
            <w:r>
              <w:rPr>
                <w:b/>
              </w:rPr>
              <w:tab/>
            </w:r>
            <w:r>
              <w:rPr>
                <w:b/>
                <w:i/>
              </w:rPr>
              <w:t>The Criminal Code</w:t>
            </w:r>
          </w:p>
        </w:tc>
      </w:tr>
      <w:tr>
        <w:tc>
          <w:tcPr>
            <w:tcW w:w="2508" w:type="dxa"/>
            <w:gridSpan w:val="2"/>
          </w:tcPr>
          <w:p>
            <w:pPr>
              <w:pStyle w:val="yTableNAm"/>
              <w:rPr>
                <w:szCs w:val="22"/>
              </w:rPr>
            </w:pPr>
            <w:r>
              <w:t>s. 221E(1)</w:t>
            </w:r>
          </w:p>
        </w:tc>
        <w:tc>
          <w:tcPr>
            <w:tcW w:w="4582" w:type="dxa"/>
          </w:tcPr>
          <w:p>
            <w:pPr>
              <w:pStyle w:val="yTableNAm"/>
              <w:tabs>
                <w:tab w:val="clear" w:pos="567"/>
              </w:tabs>
              <w:ind w:left="-239"/>
              <w:jc w:val="both"/>
            </w:pPr>
            <w:r>
              <w:t>Participating in activities of criminal organisation</w:t>
            </w:r>
          </w:p>
        </w:tc>
      </w:tr>
      <w:tr>
        <w:tc>
          <w:tcPr>
            <w:tcW w:w="2508" w:type="dxa"/>
            <w:gridSpan w:val="2"/>
          </w:tcPr>
          <w:p>
            <w:pPr>
              <w:pStyle w:val="yTableNAm"/>
            </w:pPr>
            <w:r>
              <w:t>s. 221F(1)</w:t>
            </w:r>
          </w:p>
        </w:tc>
        <w:tc>
          <w:tcPr>
            <w:tcW w:w="4582" w:type="dxa"/>
          </w:tcPr>
          <w:p>
            <w:pPr>
              <w:pStyle w:val="yTableNAm"/>
              <w:tabs>
                <w:tab w:val="clear" w:pos="567"/>
              </w:tabs>
              <w:ind w:left="-239"/>
            </w:pPr>
            <w:r>
              <w:t>Instructing commission of offence for benefit of criminal organisation</w:t>
            </w:r>
          </w:p>
        </w:tc>
      </w:tr>
      <w:tr>
        <w:tc>
          <w:tcPr>
            <w:tcW w:w="2508" w:type="dxa"/>
            <w:gridSpan w:val="2"/>
          </w:tcPr>
          <w:p>
            <w:pPr>
              <w:pStyle w:val="yTableNAm"/>
              <w:rPr>
                <w:szCs w:val="22"/>
              </w:rPr>
            </w:pPr>
            <w:r>
              <w:rPr>
                <w:szCs w:val="22"/>
              </w:rPr>
              <w:t>s. 279</w:t>
            </w:r>
          </w:p>
        </w:tc>
        <w:tc>
          <w:tcPr>
            <w:tcW w:w="4582" w:type="dxa"/>
          </w:tcPr>
          <w:p>
            <w:pPr>
              <w:pStyle w:val="yTableNAm"/>
              <w:tabs>
                <w:tab w:val="clear" w:pos="567"/>
              </w:tabs>
              <w:ind w:left="-239"/>
            </w:pPr>
            <w:r>
              <w:t>Murder</w:t>
            </w:r>
          </w:p>
        </w:tc>
      </w:tr>
      <w:tr>
        <w:tc>
          <w:tcPr>
            <w:tcW w:w="2508" w:type="dxa"/>
            <w:gridSpan w:val="2"/>
          </w:tcPr>
          <w:p>
            <w:pPr>
              <w:pStyle w:val="yTableNAm"/>
              <w:rPr>
                <w:szCs w:val="22"/>
              </w:rPr>
            </w:pPr>
            <w:r>
              <w:rPr>
                <w:szCs w:val="22"/>
              </w:rPr>
              <w:t>s. 280</w:t>
            </w:r>
          </w:p>
        </w:tc>
        <w:tc>
          <w:tcPr>
            <w:tcW w:w="4582" w:type="dxa"/>
          </w:tcPr>
          <w:p>
            <w:pPr>
              <w:pStyle w:val="yTableNAm"/>
              <w:tabs>
                <w:tab w:val="clear" w:pos="567"/>
              </w:tabs>
              <w:ind w:left="-239"/>
            </w:pPr>
            <w:r>
              <w:t>Manslaughter</w:t>
            </w:r>
          </w:p>
        </w:tc>
      </w:tr>
      <w:tr>
        <w:tc>
          <w:tcPr>
            <w:tcW w:w="2508" w:type="dxa"/>
            <w:gridSpan w:val="2"/>
          </w:tcPr>
          <w:p>
            <w:pPr>
              <w:pStyle w:val="yTableNAm"/>
              <w:rPr>
                <w:szCs w:val="22"/>
              </w:rPr>
            </w:pPr>
            <w:r>
              <w:rPr>
                <w:szCs w:val="22"/>
              </w:rPr>
              <w:t>s. 281</w:t>
            </w:r>
          </w:p>
        </w:tc>
        <w:tc>
          <w:tcPr>
            <w:tcW w:w="4582" w:type="dxa"/>
          </w:tcPr>
          <w:p>
            <w:pPr>
              <w:pStyle w:val="yTableNAm"/>
              <w:tabs>
                <w:tab w:val="clear" w:pos="567"/>
              </w:tabs>
              <w:ind w:left="-239"/>
            </w:pPr>
            <w:r>
              <w:t>Unlawful assault causing death</w:t>
            </w:r>
          </w:p>
        </w:tc>
      </w:tr>
      <w:tr>
        <w:tc>
          <w:tcPr>
            <w:tcW w:w="2508" w:type="dxa"/>
            <w:gridSpan w:val="2"/>
          </w:tcPr>
          <w:p>
            <w:pPr>
              <w:pStyle w:val="yTableNAm"/>
              <w:rPr>
                <w:szCs w:val="22"/>
              </w:rPr>
            </w:pPr>
            <w:r>
              <w:rPr>
                <w:szCs w:val="22"/>
              </w:rPr>
              <w:t>s. 283</w:t>
            </w:r>
          </w:p>
        </w:tc>
        <w:tc>
          <w:tcPr>
            <w:tcW w:w="4582" w:type="dxa"/>
          </w:tcPr>
          <w:p>
            <w:pPr>
              <w:pStyle w:val="yTableNAm"/>
              <w:tabs>
                <w:tab w:val="clear" w:pos="567"/>
              </w:tabs>
              <w:ind w:left="-239"/>
            </w:pPr>
            <w:r>
              <w:t>Attempt to murder</w:t>
            </w:r>
          </w:p>
        </w:tc>
      </w:tr>
      <w:tr>
        <w:tc>
          <w:tcPr>
            <w:tcW w:w="2508" w:type="dxa"/>
            <w:gridSpan w:val="2"/>
          </w:tcPr>
          <w:p>
            <w:pPr>
              <w:pStyle w:val="yTableNAm"/>
              <w:rPr>
                <w:szCs w:val="22"/>
              </w:rPr>
            </w:pPr>
            <w:r>
              <w:rPr>
                <w:szCs w:val="22"/>
              </w:rPr>
              <w:t>s. 292</w:t>
            </w:r>
          </w:p>
        </w:tc>
        <w:tc>
          <w:tcPr>
            <w:tcW w:w="4582" w:type="dxa"/>
          </w:tcPr>
          <w:p>
            <w:pPr>
              <w:pStyle w:val="yTableNAm"/>
              <w:tabs>
                <w:tab w:val="clear" w:pos="567"/>
              </w:tabs>
              <w:ind w:left="-239"/>
            </w:pPr>
            <w:r>
              <w:t>Disabling in order to commit indictable offence</w:t>
            </w:r>
          </w:p>
        </w:tc>
      </w:tr>
      <w:tr>
        <w:tc>
          <w:tcPr>
            <w:tcW w:w="2508" w:type="dxa"/>
            <w:gridSpan w:val="2"/>
          </w:tcPr>
          <w:p>
            <w:pPr>
              <w:pStyle w:val="yTableNAm"/>
              <w:rPr>
                <w:szCs w:val="22"/>
              </w:rPr>
            </w:pPr>
            <w:r>
              <w:rPr>
                <w:szCs w:val="22"/>
              </w:rPr>
              <w:t>s. 294</w:t>
            </w:r>
          </w:p>
        </w:tc>
        <w:tc>
          <w:tcPr>
            <w:tcW w:w="4582" w:type="dxa"/>
          </w:tcPr>
          <w:p>
            <w:pPr>
              <w:pStyle w:val="yTableNAm"/>
              <w:tabs>
                <w:tab w:val="clear" w:pos="567"/>
              </w:tabs>
              <w:ind w:left="-239"/>
            </w:pPr>
            <w:r>
              <w:t xml:space="preserve">Acts intended to cause grievous bodily harm or to </w:t>
            </w:r>
            <w:r>
              <w:rPr>
                <w:szCs w:val="22"/>
              </w:rPr>
              <w:t>resist</w:t>
            </w:r>
            <w:r>
              <w:t xml:space="preserve"> or prevent arrest</w:t>
            </w:r>
          </w:p>
        </w:tc>
      </w:tr>
      <w:tr>
        <w:tc>
          <w:tcPr>
            <w:tcW w:w="2508" w:type="dxa"/>
            <w:gridSpan w:val="2"/>
          </w:tcPr>
          <w:p>
            <w:pPr>
              <w:pStyle w:val="yTableNAm"/>
              <w:rPr>
                <w:szCs w:val="22"/>
              </w:rPr>
            </w:pPr>
            <w:r>
              <w:rPr>
                <w:szCs w:val="22"/>
              </w:rPr>
              <w:t>s. 297</w:t>
            </w:r>
          </w:p>
        </w:tc>
        <w:tc>
          <w:tcPr>
            <w:tcW w:w="4582" w:type="dxa"/>
          </w:tcPr>
          <w:p>
            <w:pPr>
              <w:pStyle w:val="yTableNAm"/>
              <w:tabs>
                <w:tab w:val="clear" w:pos="567"/>
              </w:tabs>
              <w:ind w:left="-239"/>
            </w:pPr>
            <w:r>
              <w:t>Grievous bodily harm</w:t>
            </w:r>
          </w:p>
        </w:tc>
      </w:tr>
      <w:tr>
        <w:tc>
          <w:tcPr>
            <w:tcW w:w="2508" w:type="dxa"/>
            <w:gridSpan w:val="2"/>
          </w:tcPr>
          <w:p>
            <w:pPr>
              <w:pStyle w:val="yTableNAm"/>
              <w:rPr>
                <w:szCs w:val="22"/>
              </w:rPr>
            </w:pPr>
            <w:r>
              <w:rPr>
                <w:szCs w:val="22"/>
              </w:rPr>
              <w:t>s. 301</w:t>
            </w:r>
          </w:p>
        </w:tc>
        <w:tc>
          <w:tcPr>
            <w:tcW w:w="4582" w:type="dxa"/>
          </w:tcPr>
          <w:p>
            <w:pPr>
              <w:pStyle w:val="yTableNAm"/>
              <w:tabs>
                <w:tab w:val="clear" w:pos="567"/>
              </w:tabs>
              <w:ind w:left="-239"/>
            </w:pPr>
            <w:r>
              <w:t>Wounding and similar acts</w:t>
            </w:r>
          </w:p>
        </w:tc>
      </w:tr>
      <w:tr>
        <w:tc>
          <w:tcPr>
            <w:tcW w:w="2508" w:type="dxa"/>
            <w:gridSpan w:val="2"/>
          </w:tcPr>
          <w:p>
            <w:pPr>
              <w:pStyle w:val="yTableNAm"/>
              <w:rPr>
                <w:szCs w:val="22"/>
              </w:rPr>
            </w:pPr>
            <w:r>
              <w:rPr>
                <w:szCs w:val="22"/>
              </w:rPr>
              <w:t>s. 304(2)</w:t>
            </w:r>
          </w:p>
        </w:tc>
        <w:tc>
          <w:tcPr>
            <w:tcW w:w="4582" w:type="dxa"/>
          </w:tcPr>
          <w:p>
            <w:pPr>
              <w:pStyle w:val="yTableNAm"/>
              <w:tabs>
                <w:tab w:val="clear" w:pos="567"/>
              </w:tabs>
              <w:ind w:left="-239"/>
            </w:pPr>
            <w:r>
              <w:t>Acts or omissions, with intent to harm, causing bodily harm or danger</w:t>
            </w:r>
          </w:p>
        </w:tc>
      </w:tr>
      <w:tr>
        <w:tc>
          <w:tcPr>
            <w:tcW w:w="2508" w:type="dxa"/>
            <w:gridSpan w:val="2"/>
          </w:tcPr>
          <w:p>
            <w:pPr>
              <w:pStyle w:val="yTableNAm"/>
              <w:rPr>
                <w:szCs w:val="22"/>
              </w:rPr>
            </w:pPr>
            <w:r>
              <w:rPr>
                <w:szCs w:val="22"/>
              </w:rPr>
              <w:t>s. 317</w:t>
            </w:r>
          </w:p>
        </w:tc>
        <w:tc>
          <w:tcPr>
            <w:tcW w:w="4582" w:type="dxa"/>
          </w:tcPr>
          <w:p>
            <w:pPr>
              <w:pStyle w:val="yTableNAm"/>
              <w:tabs>
                <w:tab w:val="clear" w:pos="567"/>
              </w:tabs>
              <w:ind w:left="-239"/>
            </w:pPr>
            <w:r>
              <w:t>Assault occasioning bodily harm</w:t>
            </w:r>
          </w:p>
        </w:tc>
      </w:tr>
      <w:tr>
        <w:tc>
          <w:tcPr>
            <w:tcW w:w="2508" w:type="dxa"/>
            <w:gridSpan w:val="2"/>
          </w:tcPr>
          <w:p>
            <w:pPr>
              <w:pStyle w:val="yTableNAm"/>
              <w:rPr>
                <w:szCs w:val="22"/>
              </w:rPr>
            </w:pPr>
            <w:r>
              <w:rPr>
                <w:szCs w:val="22"/>
              </w:rPr>
              <w:lastRenderedPageBreak/>
              <w:t>s. 317A(a)</w:t>
            </w:r>
          </w:p>
        </w:tc>
        <w:tc>
          <w:tcPr>
            <w:tcW w:w="4582" w:type="dxa"/>
          </w:tcPr>
          <w:p>
            <w:pPr>
              <w:pStyle w:val="yTableNAm"/>
              <w:tabs>
                <w:tab w:val="clear" w:pos="567"/>
              </w:tabs>
              <w:ind w:left="-239"/>
            </w:pPr>
            <w:r>
              <w:t>Assault with intent to commit or facilitate a crime</w:t>
            </w:r>
          </w:p>
        </w:tc>
      </w:tr>
      <w:tr>
        <w:tc>
          <w:tcPr>
            <w:tcW w:w="2508" w:type="dxa"/>
            <w:gridSpan w:val="2"/>
          </w:tcPr>
          <w:p>
            <w:pPr>
              <w:pStyle w:val="yTableNAm"/>
              <w:rPr>
                <w:szCs w:val="22"/>
              </w:rPr>
            </w:pPr>
            <w:r>
              <w:rPr>
                <w:szCs w:val="22"/>
              </w:rPr>
              <w:t>s. 317A(b)</w:t>
            </w:r>
          </w:p>
        </w:tc>
        <w:tc>
          <w:tcPr>
            <w:tcW w:w="4582" w:type="dxa"/>
          </w:tcPr>
          <w:p>
            <w:pPr>
              <w:pStyle w:val="yTableNAm"/>
              <w:tabs>
                <w:tab w:val="clear" w:pos="567"/>
              </w:tabs>
              <w:ind w:left="-239"/>
            </w:pPr>
            <w:r>
              <w:t>Assault with intent to do grievous bodily harm</w:t>
            </w:r>
          </w:p>
        </w:tc>
      </w:tr>
      <w:tr>
        <w:tc>
          <w:tcPr>
            <w:tcW w:w="2508" w:type="dxa"/>
            <w:gridSpan w:val="2"/>
          </w:tcPr>
          <w:p>
            <w:pPr>
              <w:pStyle w:val="yTableNAm"/>
              <w:rPr>
                <w:szCs w:val="22"/>
              </w:rPr>
            </w:pPr>
            <w:r>
              <w:rPr>
                <w:szCs w:val="22"/>
              </w:rPr>
              <w:t>s. 318</w:t>
            </w:r>
          </w:p>
        </w:tc>
        <w:tc>
          <w:tcPr>
            <w:tcW w:w="4582" w:type="dxa"/>
          </w:tcPr>
          <w:p>
            <w:pPr>
              <w:pStyle w:val="yTableNAm"/>
              <w:tabs>
                <w:tab w:val="clear" w:pos="567"/>
              </w:tabs>
              <w:ind w:left="-239"/>
            </w:pPr>
            <w:r>
              <w:t>Serious assaults</w:t>
            </w:r>
          </w:p>
        </w:tc>
      </w:tr>
      <w:tr>
        <w:tc>
          <w:tcPr>
            <w:tcW w:w="2508" w:type="dxa"/>
            <w:gridSpan w:val="2"/>
          </w:tcPr>
          <w:p>
            <w:pPr>
              <w:pStyle w:val="yTableNAm"/>
              <w:rPr>
                <w:szCs w:val="22"/>
              </w:rPr>
            </w:pPr>
            <w:r>
              <w:rPr>
                <w:szCs w:val="22"/>
              </w:rPr>
              <w:t>s. 323</w:t>
            </w:r>
          </w:p>
        </w:tc>
        <w:tc>
          <w:tcPr>
            <w:tcW w:w="4582" w:type="dxa"/>
          </w:tcPr>
          <w:p>
            <w:pPr>
              <w:pStyle w:val="yTableNAm"/>
              <w:tabs>
                <w:tab w:val="clear" w:pos="567"/>
              </w:tabs>
              <w:ind w:left="-239"/>
            </w:pPr>
            <w:r>
              <w:t>Indecent assault</w:t>
            </w:r>
          </w:p>
        </w:tc>
      </w:tr>
      <w:tr>
        <w:tc>
          <w:tcPr>
            <w:tcW w:w="2508" w:type="dxa"/>
            <w:gridSpan w:val="2"/>
          </w:tcPr>
          <w:p>
            <w:pPr>
              <w:pStyle w:val="yTableNAm"/>
              <w:rPr>
                <w:szCs w:val="22"/>
              </w:rPr>
            </w:pPr>
            <w:r>
              <w:rPr>
                <w:szCs w:val="22"/>
              </w:rPr>
              <w:t>s. 324</w:t>
            </w:r>
          </w:p>
        </w:tc>
        <w:tc>
          <w:tcPr>
            <w:tcW w:w="4582" w:type="dxa"/>
          </w:tcPr>
          <w:p>
            <w:pPr>
              <w:pStyle w:val="yTableNAm"/>
              <w:tabs>
                <w:tab w:val="clear" w:pos="567"/>
              </w:tabs>
              <w:ind w:left="-239"/>
            </w:pPr>
            <w:r>
              <w:t>Aggravated indecent assault</w:t>
            </w:r>
          </w:p>
        </w:tc>
      </w:tr>
      <w:tr>
        <w:tc>
          <w:tcPr>
            <w:tcW w:w="2508" w:type="dxa"/>
            <w:gridSpan w:val="2"/>
          </w:tcPr>
          <w:p>
            <w:pPr>
              <w:pStyle w:val="yTableNAm"/>
              <w:rPr>
                <w:szCs w:val="22"/>
              </w:rPr>
            </w:pPr>
            <w:r>
              <w:rPr>
                <w:szCs w:val="22"/>
              </w:rPr>
              <w:t>s. 325</w:t>
            </w:r>
          </w:p>
        </w:tc>
        <w:tc>
          <w:tcPr>
            <w:tcW w:w="4582" w:type="dxa"/>
          </w:tcPr>
          <w:p>
            <w:pPr>
              <w:pStyle w:val="yTableNAm"/>
              <w:tabs>
                <w:tab w:val="clear" w:pos="567"/>
              </w:tabs>
              <w:ind w:left="-239"/>
            </w:pPr>
            <w:r>
              <w:t>Sexual penetration without consent</w:t>
            </w:r>
          </w:p>
        </w:tc>
      </w:tr>
      <w:tr>
        <w:tc>
          <w:tcPr>
            <w:tcW w:w="2508" w:type="dxa"/>
            <w:gridSpan w:val="2"/>
          </w:tcPr>
          <w:p>
            <w:pPr>
              <w:pStyle w:val="yTableNAm"/>
              <w:rPr>
                <w:szCs w:val="22"/>
              </w:rPr>
            </w:pPr>
            <w:r>
              <w:rPr>
                <w:szCs w:val="22"/>
              </w:rPr>
              <w:t>s. 326</w:t>
            </w:r>
          </w:p>
        </w:tc>
        <w:tc>
          <w:tcPr>
            <w:tcW w:w="4582" w:type="dxa"/>
          </w:tcPr>
          <w:p>
            <w:pPr>
              <w:pStyle w:val="yTableNAm"/>
              <w:tabs>
                <w:tab w:val="clear" w:pos="567"/>
              </w:tabs>
              <w:ind w:left="-239"/>
            </w:pPr>
            <w:r>
              <w:t>Aggravated sexual penetration without consent</w:t>
            </w:r>
          </w:p>
        </w:tc>
      </w:tr>
      <w:tr>
        <w:tc>
          <w:tcPr>
            <w:tcW w:w="2508" w:type="dxa"/>
            <w:gridSpan w:val="2"/>
          </w:tcPr>
          <w:p>
            <w:pPr>
              <w:pStyle w:val="yTableNAm"/>
              <w:rPr>
                <w:szCs w:val="22"/>
              </w:rPr>
            </w:pPr>
            <w:r>
              <w:rPr>
                <w:szCs w:val="22"/>
              </w:rPr>
              <w:t>s. 331B</w:t>
            </w:r>
          </w:p>
        </w:tc>
        <w:tc>
          <w:tcPr>
            <w:tcW w:w="4582" w:type="dxa"/>
          </w:tcPr>
          <w:p>
            <w:pPr>
              <w:pStyle w:val="yTableNAm"/>
              <w:tabs>
                <w:tab w:val="clear" w:pos="567"/>
              </w:tabs>
              <w:ind w:left="-239"/>
            </w:pPr>
            <w:r>
              <w:t>Sexual servitude</w:t>
            </w:r>
          </w:p>
        </w:tc>
      </w:tr>
      <w:tr>
        <w:tc>
          <w:tcPr>
            <w:tcW w:w="2508" w:type="dxa"/>
            <w:gridSpan w:val="2"/>
          </w:tcPr>
          <w:p>
            <w:pPr>
              <w:pStyle w:val="yTableNAm"/>
              <w:rPr>
                <w:szCs w:val="22"/>
              </w:rPr>
            </w:pPr>
            <w:r>
              <w:rPr>
                <w:szCs w:val="22"/>
              </w:rPr>
              <w:t>s. 331C</w:t>
            </w:r>
          </w:p>
        </w:tc>
        <w:tc>
          <w:tcPr>
            <w:tcW w:w="4582" w:type="dxa"/>
          </w:tcPr>
          <w:p>
            <w:pPr>
              <w:pStyle w:val="yTableNAm"/>
              <w:tabs>
                <w:tab w:val="clear" w:pos="567"/>
              </w:tabs>
              <w:ind w:left="-239"/>
            </w:pPr>
            <w:r>
              <w:t>Conducting business involving sexual servitude</w:t>
            </w:r>
          </w:p>
        </w:tc>
      </w:tr>
      <w:tr>
        <w:trPr>
          <w:cantSplit/>
        </w:trPr>
        <w:tc>
          <w:tcPr>
            <w:tcW w:w="2508" w:type="dxa"/>
            <w:gridSpan w:val="2"/>
          </w:tcPr>
          <w:p>
            <w:pPr>
              <w:pStyle w:val="yTableNAm"/>
              <w:rPr>
                <w:szCs w:val="22"/>
              </w:rPr>
            </w:pPr>
            <w:r>
              <w:rPr>
                <w:szCs w:val="22"/>
              </w:rPr>
              <w:t>s. 331D</w:t>
            </w:r>
          </w:p>
        </w:tc>
        <w:tc>
          <w:tcPr>
            <w:tcW w:w="4582" w:type="dxa"/>
          </w:tcPr>
          <w:p>
            <w:pPr>
              <w:pStyle w:val="yTableNAm"/>
              <w:tabs>
                <w:tab w:val="clear" w:pos="567"/>
              </w:tabs>
              <w:ind w:left="-239"/>
            </w:pPr>
            <w:r>
              <w:t>Deceptive recruiting for commercial sexual services</w:t>
            </w:r>
          </w:p>
        </w:tc>
      </w:tr>
      <w:tr>
        <w:tc>
          <w:tcPr>
            <w:tcW w:w="2508" w:type="dxa"/>
            <w:gridSpan w:val="2"/>
          </w:tcPr>
          <w:p>
            <w:pPr>
              <w:pStyle w:val="yTableNAm"/>
              <w:rPr>
                <w:szCs w:val="22"/>
              </w:rPr>
            </w:pPr>
            <w:r>
              <w:rPr>
                <w:szCs w:val="22"/>
              </w:rPr>
              <w:t>s. 332</w:t>
            </w:r>
          </w:p>
        </w:tc>
        <w:tc>
          <w:tcPr>
            <w:tcW w:w="4582" w:type="dxa"/>
          </w:tcPr>
          <w:p>
            <w:pPr>
              <w:pStyle w:val="yTableNAm"/>
              <w:tabs>
                <w:tab w:val="clear" w:pos="567"/>
              </w:tabs>
              <w:ind w:left="-239"/>
            </w:pPr>
            <w:r>
              <w:t>Kidnapping</w:t>
            </w:r>
          </w:p>
        </w:tc>
      </w:tr>
      <w:tr>
        <w:tc>
          <w:tcPr>
            <w:tcW w:w="2508" w:type="dxa"/>
            <w:gridSpan w:val="2"/>
          </w:tcPr>
          <w:p>
            <w:pPr>
              <w:pStyle w:val="yTableNAm"/>
              <w:rPr>
                <w:szCs w:val="22"/>
              </w:rPr>
            </w:pPr>
            <w:r>
              <w:rPr>
                <w:szCs w:val="22"/>
              </w:rPr>
              <w:t>s. 333</w:t>
            </w:r>
          </w:p>
        </w:tc>
        <w:tc>
          <w:tcPr>
            <w:tcW w:w="4582" w:type="dxa"/>
          </w:tcPr>
          <w:p>
            <w:pPr>
              <w:pStyle w:val="yTableNAm"/>
              <w:tabs>
                <w:tab w:val="clear" w:pos="567"/>
              </w:tabs>
              <w:ind w:left="-239"/>
            </w:pPr>
            <w:r>
              <w:t>Deprivation of liberty</w:t>
            </w:r>
          </w:p>
        </w:tc>
      </w:tr>
      <w:tr>
        <w:tc>
          <w:tcPr>
            <w:tcW w:w="2508" w:type="dxa"/>
            <w:gridSpan w:val="2"/>
          </w:tcPr>
          <w:p>
            <w:pPr>
              <w:pStyle w:val="yTableNAm"/>
              <w:rPr>
                <w:szCs w:val="22"/>
              </w:rPr>
            </w:pPr>
            <w:r>
              <w:rPr>
                <w:szCs w:val="22"/>
              </w:rPr>
              <w:t>s. 378(2)</w:t>
            </w:r>
          </w:p>
        </w:tc>
        <w:tc>
          <w:tcPr>
            <w:tcW w:w="4582" w:type="dxa"/>
          </w:tcPr>
          <w:p>
            <w:pPr>
              <w:pStyle w:val="yTableNAm"/>
              <w:tabs>
                <w:tab w:val="clear" w:pos="567"/>
              </w:tabs>
              <w:ind w:left="-239"/>
            </w:pPr>
            <w:r>
              <w:t>Stealing a motor vehicle, aggravated by reckless or dangerous driving</w:t>
            </w:r>
          </w:p>
        </w:tc>
      </w:tr>
      <w:tr>
        <w:tc>
          <w:tcPr>
            <w:tcW w:w="2508" w:type="dxa"/>
            <w:gridSpan w:val="2"/>
          </w:tcPr>
          <w:p>
            <w:pPr>
              <w:pStyle w:val="yTableNAm"/>
              <w:rPr>
                <w:szCs w:val="22"/>
              </w:rPr>
            </w:pPr>
            <w:r>
              <w:rPr>
                <w:szCs w:val="22"/>
              </w:rPr>
              <w:t>s. 392</w:t>
            </w:r>
          </w:p>
        </w:tc>
        <w:tc>
          <w:tcPr>
            <w:tcW w:w="4582" w:type="dxa"/>
          </w:tcPr>
          <w:p>
            <w:pPr>
              <w:pStyle w:val="yTableNAm"/>
              <w:tabs>
                <w:tab w:val="clear" w:pos="567"/>
              </w:tabs>
              <w:ind w:left="-239"/>
            </w:pPr>
            <w:r>
              <w:t>Robbery</w:t>
            </w:r>
          </w:p>
        </w:tc>
      </w:tr>
      <w:tr>
        <w:tc>
          <w:tcPr>
            <w:tcW w:w="2508" w:type="dxa"/>
            <w:gridSpan w:val="2"/>
          </w:tcPr>
          <w:p>
            <w:pPr>
              <w:pStyle w:val="yTableNAm"/>
              <w:rPr>
                <w:szCs w:val="22"/>
              </w:rPr>
            </w:pPr>
            <w:r>
              <w:rPr>
                <w:szCs w:val="22"/>
              </w:rPr>
              <w:t>s. 393</w:t>
            </w:r>
          </w:p>
        </w:tc>
        <w:tc>
          <w:tcPr>
            <w:tcW w:w="4582" w:type="dxa"/>
          </w:tcPr>
          <w:p>
            <w:pPr>
              <w:pStyle w:val="yTableNAm"/>
              <w:tabs>
                <w:tab w:val="clear" w:pos="567"/>
              </w:tabs>
              <w:ind w:left="-239"/>
            </w:pPr>
            <w:r>
              <w:t>Assault with intent to rob</w:t>
            </w:r>
          </w:p>
        </w:tc>
      </w:tr>
      <w:tr>
        <w:tc>
          <w:tcPr>
            <w:tcW w:w="2508" w:type="dxa"/>
            <w:gridSpan w:val="2"/>
          </w:tcPr>
          <w:p>
            <w:pPr>
              <w:pStyle w:val="yTableNAm"/>
              <w:rPr>
                <w:szCs w:val="22"/>
              </w:rPr>
            </w:pPr>
            <w:r>
              <w:rPr>
                <w:szCs w:val="22"/>
              </w:rPr>
              <w:t>s. 444</w:t>
            </w:r>
          </w:p>
        </w:tc>
        <w:tc>
          <w:tcPr>
            <w:tcW w:w="4582" w:type="dxa"/>
          </w:tcPr>
          <w:p>
            <w:pPr>
              <w:pStyle w:val="yTableNAm"/>
              <w:tabs>
                <w:tab w:val="clear" w:pos="567"/>
              </w:tabs>
              <w:ind w:left="-239"/>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2.</w:t>
            </w:r>
            <w:r>
              <w:rPr>
                <w:b/>
                <w:i/>
                <w:szCs w:val="22"/>
              </w:rPr>
              <w:tab/>
              <w:t>Bush Fires Act 1954</w:t>
            </w:r>
          </w:p>
        </w:tc>
      </w:tr>
      <w:tr>
        <w:tc>
          <w:tcPr>
            <w:tcW w:w="2508" w:type="dxa"/>
            <w:gridSpan w:val="2"/>
          </w:tcPr>
          <w:p>
            <w:pPr>
              <w:pStyle w:val="yTableNAm"/>
              <w:rPr>
                <w:szCs w:val="22"/>
              </w:rPr>
            </w:pPr>
            <w:r>
              <w:rPr>
                <w:szCs w:val="22"/>
              </w:rPr>
              <w:t>s. 32</w:t>
            </w:r>
          </w:p>
        </w:tc>
        <w:tc>
          <w:tcPr>
            <w:tcW w:w="4582" w:type="dxa"/>
          </w:tcPr>
          <w:p>
            <w:pPr>
              <w:pStyle w:val="yTableNAm"/>
              <w:tabs>
                <w:tab w:val="clear" w:pos="567"/>
              </w:tabs>
              <w:ind w:left="-239"/>
              <w:jc w:val="both"/>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90" w:type="dxa"/>
            <w:gridSpan w:val="3"/>
          </w:tcPr>
          <w:p>
            <w:pPr>
              <w:pStyle w:val="yTableNAm"/>
              <w:rPr>
                <w:b/>
                <w:i/>
                <w:szCs w:val="22"/>
              </w:rPr>
            </w:pPr>
            <w:r>
              <w:rPr>
                <w:b/>
                <w:szCs w:val="22"/>
              </w:rPr>
              <w:t>2AA.</w:t>
            </w:r>
            <w:r>
              <w:rPr>
                <w:b/>
                <w:i/>
                <w:szCs w:val="22"/>
              </w:rPr>
              <w:tab/>
            </w:r>
            <w:r>
              <w:rPr>
                <w:b/>
                <w:bCs/>
                <w:i/>
              </w:rPr>
              <w:t>Criminal Organisations Control Act 2012</w:t>
            </w:r>
          </w:p>
        </w:tc>
      </w:tr>
      <w:tr>
        <w:tc>
          <w:tcPr>
            <w:tcW w:w="2508" w:type="dxa"/>
            <w:gridSpan w:val="2"/>
          </w:tcPr>
          <w:p>
            <w:pPr>
              <w:pStyle w:val="yTableNAm"/>
              <w:rPr>
                <w:szCs w:val="22"/>
              </w:rPr>
            </w:pPr>
            <w:r>
              <w:t>s. 99(1)</w:t>
            </w:r>
          </w:p>
        </w:tc>
        <w:tc>
          <w:tcPr>
            <w:tcW w:w="4582" w:type="dxa"/>
          </w:tcPr>
          <w:p>
            <w:pPr>
              <w:pStyle w:val="yTableNAm"/>
              <w:tabs>
                <w:tab w:val="clear" w:pos="567"/>
              </w:tabs>
              <w:ind w:left="-239"/>
              <w:rPr>
                <w:szCs w:val="22"/>
              </w:rPr>
            </w:pPr>
            <w:r>
              <w:t>Association by controlled person with another controlled person</w:t>
            </w:r>
          </w:p>
        </w:tc>
      </w:tr>
      <w:tr>
        <w:tc>
          <w:tcPr>
            <w:tcW w:w="2508" w:type="dxa"/>
            <w:gridSpan w:val="2"/>
          </w:tcPr>
          <w:p>
            <w:pPr>
              <w:pStyle w:val="yTableNAm"/>
            </w:pPr>
            <w:r>
              <w:lastRenderedPageBreak/>
              <w:t>s. 99(3)</w:t>
            </w:r>
          </w:p>
        </w:tc>
        <w:tc>
          <w:tcPr>
            <w:tcW w:w="4582" w:type="dxa"/>
          </w:tcPr>
          <w:p>
            <w:pPr>
              <w:pStyle w:val="yTableNAm"/>
              <w:tabs>
                <w:tab w:val="clear" w:pos="567"/>
              </w:tabs>
              <w:ind w:left="-239"/>
            </w:pPr>
            <w:r>
              <w:t>Association by controlled person with another controlled person on 3 or more occasions within 3 month period</w:t>
            </w:r>
          </w:p>
        </w:tc>
      </w:tr>
      <w:tr>
        <w:tc>
          <w:tcPr>
            <w:tcW w:w="2508" w:type="dxa"/>
            <w:gridSpan w:val="2"/>
          </w:tcPr>
          <w:p>
            <w:pPr>
              <w:pStyle w:val="yTableNAm"/>
            </w:pPr>
            <w:r>
              <w:t>s. 102</w:t>
            </w:r>
          </w:p>
        </w:tc>
        <w:tc>
          <w:tcPr>
            <w:tcW w:w="4582" w:type="dxa"/>
          </w:tcPr>
          <w:p>
            <w:pPr>
              <w:pStyle w:val="yTableNAm"/>
              <w:tabs>
                <w:tab w:val="clear" w:pos="567"/>
              </w:tabs>
              <w:ind w:left="-239"/>
            </w:pPr>
            <w:r>
              <w:t>Offence for controlled person to get funds to, from or for declared criminal organisation</w:t>
            </w:r>
          </w:p>
        </w:tc>
      </w:tr>
      <w:tr>
        <w:tc>
          <w:tcPr>
            <w:tcW w:w="2508" w:type="dxa"/>
            <w:gridSpan w:val="2"/>
          </w:tcPr>
          <w:p>
            <w:pPr>
              <w:pStyle w:val="yTableNAm"/>
            </w:pPr>
            <w:r>
              <w:t>s. 103</w:t>
            </w:r>
          </w:p>
        </w:tc>
        <w:tc>
          <w:tcPr>
            <w:tcW w:w="4582" w:type="dxa"/>
          </w:tcPr>
          <w:p>
            <w:pPr>
              <w:pStyle w:val="yTableNAm"/>
              <w:tabs>
                <w:tab w:val="clear" w:pos="567"/>
              </w:tabs>
              <w:ind w:left="-239"/>
            </w:pPr>
            <w:r>
              <w:t>Other contravention of interim control order or control order</w:t>
            </w:r>
          </w:p>
        </w:tc>
      </w:tr>
      <w:tr>
        <w:tc>
          <w:tcPr>
            <w:tcW w:w="2508" w:type="dxa"/>
            <w:gridSpan w:val="2"/>
          </w:tcPr>
          <w:p>
            <w:pPr>
              <w:pStyle w:val="yTableNAm"/>
            </w:pPr>
            <w:r>
              <w:t>s. 106</w:t>
            </w:r>
          </w:p>
        </w:tc>
        <w:tc>
          <w:tcPr>
            <w:tcW w:w="4582" w:type="dxa"/>
          </w:tcPr>
          <w:p>
            <w:pPr>
              <w:pStyle w:val="yTableNAm"/>
              <w:tabs>
                <w:tab w:val="clear" w:pos="567"/>
              </w:tabs>
              <w:ind w:left="-239"/>
            </w:pPr>
            <w:r>
              <w:t>Recruiting members for declared criminal organisation</w:t>
            </w:r>
          </w:p>
        </w:tc>
      </w:tr>
      <w:tr>
        <w:tc>
          <w:tcPr>
            <w:tcW w:w="2508" w:type="dxa"/>
            <w:gridSpan w:val="2"/>
          </w:tcPr>
          <w:p>
            <w:pPr>
              <w:pStyle w:val="yTableNAm"/>
            </w:pPr>
            <w:r>
              <w:t>s. 107(2)</w:t>
            </w:r>
          </w:p>
        </w:tc>
        <w:tc>
          <w:tcPr>
            <w:tcW w:w="4582" w:type="dxa"/>
          </w:tcPr>
          <w:p>
            <w:pPr>
              <w:pStyle w:val="yTableNAm"/>
              <w:tabs>
                <w:tab w:val="clear" w:pos="567"/>
              </w:tabs>
              <w:ind w:left="-239"/>
            </w:pPr>
            <w:r>
              <w:t>Permitting premises to be habitually used as place of resort by members of declared criminal organisation</w:t>
            </w:r>
          </w:p>
        </w:tc>
      </w:tr>
      <w:tr>
        <w:trPr>
          <w:cantSplit/>
        </w:trPr>
        <w:tc>
          <w:tcPr>
            <w:tcW w:w="2508" w:type="dxa"/>
            <w:gridSpan w:val="2"/>
          </w:tcPr>
          <w:p>
            <w:pPr>
              <w:pStyle w:val="yTableNAm"/>
            </w:pPr>
            <w:r>
              <w:t>s. 107(3)</w:t>
            </w:r>
          </w:p>
        </w:tc>
        <w:tc>
          <w:tcPr>
            <w:tcW w:w="4582" w:type="dxa"/>
          </w:tcPr>
          <w:p>
            <w:pPr>
              <w:pStyle w:val="yTableNAm"/>
              <w:tabs>
                <w:tab w:val="clear" w:pos="567"/>
              </w:tabs>
              <w:ind w:left="-239"/>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90" w:type="dxa"/>
            <w:gridSpan w:val="3"/>
          </w:tcPr>
          <w:p>
            <w:pPr>
              <w:pStyle w:val="yTableNAm"/>
              <w:rPr>
                <w:b/>
                <w:i/>
                <w:szCs w:val="22"/>
              </w:rPr>
            </w:pPr>
            <w:r>
              <w:rPr>
                <w:b/>
                <w:szCs w:val="22"/>
              </w:rPr>
              <w:t>2A.</w:t>
            </w:r>
            <w:r>
              <w:rPr>
                <w:b/>
                <w:i/>
                <w:szCs w:val="22"/>
              </w:rPr>
              <w:tab/>
              <w:t>Prostitution Act 2000</w:t>
            </w:r>
          </w:p>
        </w:tc>
      </w:tr>
      <w:tr>
        <w:tc>
          <w:tcPr>
            <w:tcW w:w="2508" w:type="dxa"/>
            <w:gridSpan w:val="2"/>
          </w:tcPr>
          <w:p>
            <w:pPr>
              <w:pStyle w:val="yTableNAm"/>
              <w:rPr>
                <w:szCs w:val="22"/>
              </w:rPr>
            </w:pPr>
            <w:r>
              <w:rPr>
                <w:szCs w:val="22"/>
              </w:rPr>
              <w:t>s. 7</w:t>
            </w:r>
          </w:p>
        </w:tc>
        <w:tc>
          <w:tcPr>
            <w:tcW w:w="4582" w:type="dxa"/>
          </w:tcPr>
          <w:p>
            <w:pPr>
              <w:pStyle w:val="yTableNAm"/>
              <w:tabs>
                <w:tab w:val="clear" w:pos="567"/>
              </w:tabs>
              <w:ind w:left="-239"/>
            </w:pPr>
            <w:r>
              <w:t>Seeking to induce person to act as prostitute</w:t>
            </w:r>
          </w:p>
        </w:tc>
      </w:tr>
      <w:tr>
        <w:tc>
          <w:tcPr>
            <w:tcW w:w="2508" w:type="dxa"/>
            <w:gridSpan w:val="2"/>
          </w:tcPr>
          <w:p>
            <w:pPr>
              <w:pStyle w:val="yTableNAm"/>
              <w:rPr>
                <w:szCs w:val="22"/>
              </w:rPr>
            </w:pPr>
            <w:r>
              <w:rPr>
                <w:szCs w:val="22"/>
              </w:rPr>
              <w:t>s. 16</w:t>
            </w:r>
          </w:p>
        </w:tc>
        <w:tc>
          <w:tcPr>
            <w:tcW w:w="4582" w:type="dxa"/>
          </w:tcPr>
          <w:p>
            <w:pPr>
              <w:pStyle w:val="yTableNAm"/>
              <w:tabs>
                <w:tab w:val="clear" w:pos="567"/>
              </w:tabs>
              <w:ind w:left="-239"/>
            </w:pPr>
            <w:r>
              <w:t>Causing, permitting, or seeking to induce child to act as prostitute</w:t>
            </w:r>
          </w:p>
        </w:tc>
      </w:tr>
      <w:tr>
        <w:tc>
          <w:tcPr>
            <w:tcW w:w="2508" w:type="dxa"/>
            <w:gridSpan w:val="2"/>
          </w:tcPr>
          <w:p>
            <w:pPr>
              <w:pStyle w:val="yTableNAm"/>
              <w:rPr>
                <w:szCs w:val="22"/>
              </w:rPr>
            </w:pPr>
            <w:r>
              <w:rPr>
                <w:szCs w:val="22"/>
              </w:rPr>
              <w:t>s. 17</w:t>
            </w:r>
          </w:p>
        </w:tc>
        <w:tc>
          <w:tcPr>
            <w:tcW w:w="4582" w:type="dxa"/>
          </w:tcPr>
          <w:p>
            <w:pPr>
              <w:pStyle w:val="yTableNAm"/>
              <w:tabs>
                <w:tab w:val="clear" w:pos="567"/>
              </w:tabs>
              <w:ind w:left="-239"/>
            </w:pPr>
            <w:r>
              <w:t>Obtaining payment for prostitution by a child</w:t>
            </w:r>
          </w:p>
        </w:tc>
      </w:tr>
      <w:tr>
        <w:tc>
          <w:tcPr>
            <w:tcW w:w="2508" w:type="dxa"/>
            <w:gridSpan w:val="2"/>
          </w:tcPr>
          <w:p>
            <w:pPr>
              <w:pStyle w:val="yTableNAm"/>
              <w:rPr>
                <w:szCs w:val="22"/>
              </w:rPr>
            </w:pPr>
            <w:r>
              <w:rPr>
                <w:szCs w:val="22"/>
              </w:rPr>
              <w:t>s. 18</w:t>
            </w:r>
          </w:p>
        </w:tc>
        <w:tc>
          <w:tcPr>
            <w:tcW w:w="4582" w:type="dxa"/>
          </w:tcPr>
          <w:p>
            <w:pPr>
              <w:pStyle w:val="yTableNAm"/>
              <w:tabs>
                <w:tab w:val="clear" w:pos="567"/>
              </w:tabs>
              <w:ind w:left="-239"/>
            </w:pPr>
            <w: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3.</w:t>
            </w:r>
            <w:r>
              <w:rPr>
                <w:b/>
                <w:i/>
                <w:szCs w:val="22"/>
              </w:rPr>
              <w:tab/>
              <w:t>Road Traffic Act 1974</w:t>
            </w:r>
          </w:p>
        </w:tc>
      </w:tr>
      <w:tr>
        <w:tc>
          <w:tcPr>
            <w:tcW w:w="2508" w:type="dxa"/>
            <w:gridSpan w:val="2"/>
          </w:tcPr>
          <w:p>
            <w:pPr>
              <w:pStyle w:val="yTableNAm"/>
              <w:rPr>
                <w:szCs w:val="22"/>
              </w:rPr>
            </w:pPr>
            <w:r>
              <w:rPr>
                <w:szCs w:val="22"/>
              </w:rPr>
              <w:t>s. 54</w:t>
            </w:r>
          </w:p>
        </w:tc>
        <w:tc>
          <w:tcPr>
            <w:tcW w:w="4582" w:type="dxa"/>
          </w:tcPr>
          <w:p>
            <w:pPr>
              <w:pStyle w:val="yTableNAm"/>
              <w:tabs>
                <w:tab w:val="clear" w:pos="567"/>
              </w:tabs>
              <w:ind w:left="-239"/>
            </w:pPr>
            <w:r>
              <w:t>Driver in incident occasioning bodily harm to stop, ensure assistance and give information</w:t>
            </w:r>
          </w:p>
        </w:tc>
      </w:tr>
      <w:tr>
        <w:tc>
          <w:tcPr>
            <w:tcW w:w="2492" w:type="dxa"/>
          </w:tcPr>
          <w:p>
            <w:pPr>
              <w:pStyle w:val="yTableNAm"/>
            </w:pPr>
            <w:r>
              <w:t>s. 59</w:t>
            </w:r>
          </w:p>
        </w:tc>
        <w:tc>
          <w:tcPr>
            <w:tcW w:w="4598" w:type="dxa"/>
            <w:gridSpan w:val="2"/>
          </w:tcPr>
          <w:p>
            <w:pPr>
              <w:pStyle w:val="yTableNAm"/>
              <w:tabs>
                <w:tab w:val="clear" w:pos="567"/>
              </w:tabs>
              <w:ind w:left="-239"/>
            </w:pPr>
            <w:r>
              <w:t>Dangerous driving causing death or grievous bodily harm</w:t>
            </w:r>
          </w:p>
        </w:tc>
      </w:tr>
      <w:tr>
        <w:tc>
          <w:tcPr>
            <w:tcW w:w="2508" w:type="dxa"/>
            <w:gridSpan w:val="2"/>
          </w:tcPr>
          <w:p>
            <w:pPr>
              <w:pStyle w:val="yTableNAm"/>
              <w:rPr>
                <w:szCs w:val="22"/>
              </w:rPr>
            </w:pPr>
            <w:r>
              <w:rPr>
                <w:szCs w:val="22"/>
              </w:rPr>
              <w:t>s. 59A</w:t>
            </w:r>
          </w:p>
        </w:tc>
        <w:tc>
          <w:tcPr>
            <w:tcW w:w="4582" w:type="dxa"/>
          </w:tcPr>
          <w:p>
            <w:pPr>
              <w:pStyle w:val="yTableNAm"/>
              <w:tabs>
                <w:tab w:val="clear" w:pos="567"/>
              </w:tabs>
              <w:ind w:left="-239"/>
            </w:pPr>
            <w:r>
              <w:t>Dangerous driving causing bodily harm</w:t>
            </w:r>
          </w:p>
        </w:tc>
      </w:tr>
      <w:tr>
        <w:tc>
          <w:tcPr>
            <w:tcW w:w="2508" w:type="dxa"/>
            <w:gridSpan w:val="2"/>
          </w:tcPr>
          <w:p>
            <w:pPr>
              <w:pStyle w:val="yTableNAm"/>
              <w:keepNext/>
            </w:pPr>
            <w:r>
              <w:lastRenderedPageBreak/>
              <w:t>s. 59BA(1)</w:t>
            </w:r>
          </w:p>
        </w:tc>
        <w:tc>
          <w:tcPr>
            <w:tcW w:w="4582" w:type="dxa"/>
          </w:tcPr>
          <w:p>
            <w:pPr>
              <w:pStyle w:val="yTableNAm"/>
              <w:tabs>
                <w:tab w:val="clear" w:pos="567"/>
              </w:tabs>
              <w:ind w:left="-239"/>
            </w:pPr>
            <w:r>
              <w:t>Careless driving causing death, grievous bodily harm or bodily harm</w:t>
            </w:r>
          </w:p>
        </w:tc>
      </w:tr>
    </w:tbl>
    <w:p>
      <w:pPr>
        <w:pStyle w:val="yFootnotesection"/>
      </w:pPr>
      <w:r>
        <w:tab/>
        <w:t xml:space="preserve">[Schedule 2 amended: No. 82 of 1994 s. 13(6); No. 17 of 2000 s. 64; No. 23 of 2001 s. 10(4); No. 4 of 2004 s. 24 and 26; No. 58 of 2004 s. 45; No. 29 of 2008 s. 41(5); No. 49 of 2012 s. 182; No. 25 of 2016 s. 21(3) and 29.] </w:t>
      </w:r>
    </w:p>
    <w:p>
      <w:pPr>
        <w:pStyle w:val="yScheduleHeading"/>
        <w:outlineLvl w:val="0"/>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outlineLvl w:val="0"/>
      </w:pPr>
      <w:bookmarkStart w:id="441" w:name="_Toc118361791"/>
      <w:bookmarkStart w:id="442" w:name="_Toc118366893"/>
      <w:bookmarkStart w:id="443" w:name="_Toc118453555"/>
      <w:r>
        <w:rPr>
          <w:rStyle w:val="CharSchNo"/>
        </w:rPr>
        <w:lastRenderedPageBreak/>
        <w:t>Schedule 3</w:t>
      </w:r>
      <w:r>
        <w:t> — </w:t>
      </w:r>
      <w:r>
        <w:rPr>
          <w:rStyle w:val="CharSchText"/>
        </w:rPr>
        <w:t>Adaptations for community work in default of payment</w:t>
      </w:r>
      <w:bookmarkEnd w:id="441"/>
      <w:bookmarkEnd w:id="442"/>
      <w:bookmarkEnd w:id="443"/>
    </w:p>
    <w:p>
      <w:pPr>
        <w:pStyle w:val="yShoulderClause"/>
        <w:rPr>
          <w:snapToGrid w:val="0"/>
        </w:rPr>
      </w:pPr>
      <w:r>
        <w:rPr>
          <w:snapToGrid w:val="0"/>
        </w:rPr>
        <w:t>[s. 61]</w:t>
      </w:r>
    </w:p>
    <w:p>
      <w:pPr>
        <w:pStyle w:val="yFootnoteheading"/>
        <w:rPr>
          <w:b/>
          <w:snapToGrid w:val="0"/>
        </w:rPr>
      </w:pPr>
      <w:r>
        <w:tab/>
        <w:t>[Heading amended: No. 19 of 2010 s. 4.]</w:t>
      </w:r>
    </w:p>
    <w:p>
      <w:pPr>
        <w:pStyle w:val="yHeading5"/>
      </w:pPr>
      <w:bookmarkStart w:id="444" w:name="_Toc118453556"/>
      <w:r>
        <w:rPr>
          <w:rStyle w:val="CharSClsNo"/>
        </w:rPr>
        <w:t>1</w:t>
      </w:r>
      <w:r>
        <w:t>.</w:t>
      </w:r>
      <w:r>
        <w:tab/>
        <w:t>References to offender</w:t>
      </w:r>
      <w:bookmarkEnd w:id="444"/>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pPr>
      <w:bookmarkStart w:id="445" w:name="_Toc118453557"/>
      <w:r>
        <w:rPr>
          <w:rStyle w:val="CharSClsNo"/>
        </w:rPr>
        <w:t>2</w:t>
      </w:r>
      <w:r>
        <w:t>.</w:t>
      </w:r>
      <w:r>
        <w:tab/>
        <w:t>Conditions</w:t>
      </w:r>
      <w:bookmarkEnd w:id="445"/>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pPr>
      <w:bookmarkStart w:id="446" w:name="_Toc118453558"/>
      <w:r>
        <w:rPr>
          <w:rStyle w:val="CharSClsNo"/>
        </w:rPr>
        <w:t>3</w:t>
      </w:r>
      <w:r>
        <w:t>.</w:t>
      </w:r>
      <w:r>
        <w:tab/>
        <w:t>Duration of order</w:t>
      </w:r>
      <w:bookmarkEnd w:id="446"/>
      <w: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pPr>
      <w:bookmarkStart w:id="447" w:name="_Toc118453559"/>
      <w:r>
        <w:rPr>
          <w:rStyle w:val="CharSClsNo"/>
        </w:rPr>
        <w:t>4</w:t>
      </w:r>
      <w:r>
        <w:t>.</w:t>
      </w:r>
      <w:r>
        <w:tab/>
        <w:t>Powers of court in dealing with breach</w:t>
      </w:r>
      <w:bookmarkEnd w:id="447"/>
      <w: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pPr>
      <w:bookmarkStart w:id="448" w:name="_Toc118453560"/>
      <w:r>
        <w:rPr>
          <w:rStyle w:val="CharSClsNo"/>
        </w:rPr>
        <w:t>5</w:t>
      </w:r>
      <w:r>
        <w:t>.</w:t>
      </w:r>
      <w:r>
        <w:tab/>
        <w:t>Effect of partially performing work ordered in default of payment</w:t>
      </w:r>
      <w:bookmarkEnd w:id="448"/>
      <w: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No. 92 of 1994 s. 46.]</w:t>
      </w:r>
    </w:p>
    <w:p>
      <w:pPr>
        <w:pStyle w:val="yHeading5"/>
      </w:pPr>
      <w:bookmarkStart w:id="449" w:name="_Toc118453561"/>
      <w:r>
        <w:rPr>
          <w:rStyle w:val="CharSClsNo"/>
        </w:rPr>
        <w:lastRenderedPageBreak/>
        <w:t>6</w:t>
      </w:r>
      <w:r>
        <w:t>.</w:t>
      </w:r>
      <w:r>
        <w:tab/>
        <w:t>Proof of identity</w:t>
      </w:r>
      <w:bookmarkEnd w:id="449"/>
      <w: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450" w:name="_Toc118361798"/>
      <w:bookmarkStart w:id="451" w:name="_Toc118366900"/>
      <w:bookmarkStart w:id="452" w:name="_Toc118453562"/>
      <w:r>
        <w:lastRenderedPageBreak/>
        <w:t>Notes</w:t>
      </w:r>
      <w:bookmarkEnd w:id="450"/>
      <w:bookmarkEnd w:id="451"/>
      <w:bookmarkEnd w:id="452"/>
    </w:p>
    <w:p>
      <w:pPr>
        <w:pStyle w:val="nStatement"/>
      </w:pPr>
      <w:r>
        <w:t xml:space="preserve">This is a compilation of the </w:t>
      </w:r>
      <w:r>
        <w:rPr>
          <w:i/>
          <w:noProof/>
        </w:rPr>
        <w:t>Young Offenders Act 1994</w:t>
      </w:r>
      <w:r>
        <w:t xml:space="preserve"> and includes amendments made by other written laws </w:t>
      </w:r>
      <w:r>
        <w:rPr>
          <w:vertAlign w:val="superscript"/>
        </w:rPr>
        <w:t>1M, 6, 7, 8</w:t>
      </w:r>
      <w:r>
        <w:t>. For provisions that have come into operation, and for information about any reprints, see the compilation table. For provisions that have not yet come into operation see the uncommenced provisions table.</w:t>
      </w:r>
    </w:p>
    <w:p>
      <w:pPr>
        <w:pStyle w:val="nHeading3"/>
      </w:pPr>
      <w:bookmarkStart w:id="453" w:name="_Toc118453563"/>
      <w:r>
        <w:t>Compilation table</w:t>
      </w:r>
      <w:bookmarkEnd w:id="453"/>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lastRenderedPageBreak/>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spacing w:val="-4"/>
              </w:rPr>
            </w:pPr>
            <w:r>
              <w:rPr>
                <w:spacing w:val="-4"/>
              </w:rPr>
              <w:t xml:space="preserve">s. 29(3): 31 Aug 2003 (see s. 2 and </w:t>
            </w:r>
            <w:r>
              <w:rPr>
                <w:i/>
                <w:spacing w:val="-4"/>
              </w:rPr>
              <w:t>Gazette</w:t>
            </w:r>
            <w:r>
              <w:rPr>
                <w:spacing w:val="-4"/>
              </w:rPr>
              <w:t xml:space="preserve"> 29 Aug 2003 p. 3833);</w:t>
            </w:r>
            <w:r>
              <w:rPr>
                <w:spacing w:val="-4"/>
              </w:rPr>
              <w:br/>
              <w:t>s. 104: 15</w:t>
            </w:r>
            <w:r>
              <w:rPr>
                <w:i/>
                <w:spacing w:val="-4"/>
              </w:rPr>
              <w:t> </w:t>
            </w:r>
            <w:r>
              <w:rPr>
                <w:spacing w:val="-4"/>
              </w:rPr>
              <w:t>May 2004 (see s. 2 and</w:t>
            </w:r>
            <w:r>
              <w:rPr>
                <w:i/>
                <w:spacing w:val="-4"/>
              </w:rPr>
              <w:t xml:space="preserve"> Gazette </w:t>
            </w:r>
            <w:r>
              <w:rPr>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w:t>
            </w:r>
            <w:r>
              <w:rPr>
                <w:spacing w:val="-2"/>
                <w:vertAlign w:val="superscript"/>
              </w:rPr>
              <w:t> 9</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10</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lastRenderedPageBreak/>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lastRenderedPageBreak/>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1" w:type="dxa"/>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rPr>
          <w:cantSplit/>
        </w:trPr>
        <w:tc>
          <w:tcPr>
            <w:tcW w:w="7088" w:type="dxa"/>
            <w:gridSpan w:val="4"/>
            <w:shd w:val="clear" w:color="auto" w:fill="auto"/>
          </w:tcPr>
          <w:p>
            <w:pPr>
              <w:pStyle w:val="nTable"/>
              <w:spacing w:after="40"/>
              <w:rPr>
                <w:snapToGrid w:val="0"/>
              </w:rPr>
            </w:pPr>
            <w:r>
              <w:rPr>
                <w:b/>
                <w:snapToGrid w:val="0"/>
              </w:rPr>
              <w:lastRenderedPageBreak/>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trPr>
          <w:cantSplit/>
        </w:trPr>
        <w:tc>
          <w:tcPr>
            <w:tcW w:w="2267" w:type="dxa"/>
            <w:shd w:val="clear" w:color="auto" w:fill="auto"/>
          </w:tcPr>
          <w:p>
            <w:pPr>
              <w:pStyle w:val="nTable"/>
              <w:spacing w:after="40"/>
              <w:ind w:right="113"/>
              <w:rPr>
                <w:i/>
              </w:rPr>
            </w:pPr>
            <w:r>
              <w:rPr>
                <w:i/>
                <w:snapToGrid w:val="0"/>
              </w:rPr>
              <w:t xml:space="preserve">Graffiti Vandalism Act 2016 </w:t>
            </w:r>
            <w:r>
              <w:rPr>
                <w:snapToGrid w:val="0"/>
              </w:rPr>
              <w:t>Pt. 6 Div. 3</w:t>
            </w:r>
          </w:p>
        </w:tc>
        <w:tc>
          <w:tcPr>
            <w:tcW w:w="1134" w:type="dxa"/>
            <w:shd w:val="clear" w:color="auto" w:fill="auto"/>
          </w:tcPr>
          <w:p>
            <w:pPr>
              <w:pStyle w:val="nTable"/>
              <w:spacing w:after="40"/>
            </w:pPr>
            <w:r>
              <w:t>16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12 Oct 2016(see s. 2(b) and </w:t>
            </w:r>
            <w:r>
              <w:rPr>
                <w:i/>
                <w:snapToGrid w:val="0"/>
              </w:rPr>
              <w:t xml:space="preserve">Gazette </w:t>
            </w:r>
            <w:r>
              <w:rPr>
                <w:snapToGrid w:val="0"/>
              </w:rPr>
              <w:t>11 Oct 2016 p. 4531)</w:t>
            </w:r>
          </w:p>
        </w:tc>
      </w:tr>
      <w:tr>
        <w:trPr>
          <w:cantSplit/>
        </w:trPr>
        <w:tc>
          <w:tcPr>
            <w:tcW w:w="2267" w:type="dxa"/>
            <w:shd w:val="clear" w:color="auto" w:fill="auto"/>
          </w:tcPr>
          <w:p>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pPr>
              <w:pStyle w:val="nTable"/>
              <w:spacing w:after="40"/>
            </w:pPr>
            <w:r>
              <w:t>17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7" w:type="dxa"/>
            <w:shd w:val="clear" w:color="auto" w:fill="auto"/>
          </w:tcPr>
          <w:p>
            <w:pPr>
              <w:pStyle w:val="nTable"/>
              <w:spacing w:after="40"/>
              <w:ind w:right="113"/>
              <w:rPr>
                <w:snapToGrid w:val="0"/>
              </w:rPr>
            </w:pPr>
            <w:r>
              <w:rPr>
                <w:i/>
              </w:rPr>
              <w:t>Road Traffic Legislation Amendment Act 2016</w:t>
            </w:r>
            <w:r>
              <w:t xml:space="preserve"> s. 21 and </w:t>
            </w:r>
            <w:r>
              <w:rPr>
                <w:snapToGrid w:val="0"/>
              </w:rPr>
              <w:t>Pt. 3 Div. 1 Subdiv. 2)</w:t>
            </w:r>
          </w:p>
        </w:tc>
        <w:tc>
          <w:tcPr>
            <w:tcW w:w="1134" w:type="dxa"/>
            <w:shd w:val="clear" w:color="auto" w:fill="auto"/>
          </w:tcPr>
          <w:p>
            <w:pPr>
              <w:pStyle w:val="nTable"/>
              <w:spacing w:after="40"/>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rPr>
                <w:snapToGrid w:val="0"/>
              </w:rPr>
              <w:t>s. 21: 22 Sep 2016 (see s. 2(b));</w:t>
            </w:r>
            <w:r>
              <w:rPr>
                <w:snapToGrid w:val="0"/>
              </w:rPr>
              <w:br/>
              <w:t xml:space="preserve">Pt. 3 Div. 1 Subdiv. 2: 28 Nov 2016 (see s. 2(c) and </w:t>
            </w:r>
            <w:r>
              <w:rPr>
                <w:i/>
                <w:snapToGrid w:val="0"/>
              </w:rPr>
              <w:t>Gazette</w:t>
            </w:r>
            <w:r>
              <w:rPr>
                <w:snapToGrid w:val="0"/>
              </w:rPr>
              <w:t xml:space="preserve"> 25 Nov 2016 p. 5279)</w:t>
            </w:r>
          </w:p>
        </w:tc>
      </w:tr>
      <w:tr>
        <w:trPr>
          <w:cantSplit/>
        </w:trPr>
        <w:tc>
          <w:tcPr>
            <w:tcW w:w="2267" w:type="dxa"/>
            <w:shd w:val="clear" w:color="auto" w:fill="auto"/>
          </w:tcPr>
          <w:p>
            <w:pPr>
              <w:pStyle w:val="nTable"/>
              <w:spacing w:after="40"/>
              <w:ind w:right="113"/>
              <w:rPr>
                <w:i/>
              </w:rPr>
            </w:pPr>
            <w:r>
              <w:rPr>
                <w:i/>
              </w:rPr>
              <w:t>Road Traffic Amendment (Impounding and Confiscation of Vehicles) Act 2016</w:t>
            </w:r>
            <w:r>
              <w:t xml:space="preserve"> Pt. 3 Div. 4 </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rPr>
                <w:snapToGrid w:val="0"/>
              </w:rPr>
            </w:pPr>
            <w:r>
              <w:rPr>
                <w:snapToGrid w:val="0"/>
                <w:spacing w:val="-2"/>
              </w:rPr>
              <w:t xml:space="preserve">14 Jan 2017 (see s. 2(1)(b) and (2) and </w:t>
            </w:r>
            <w:r>
              <w:rPr>
                <w:i/>
                <w:snapToGrid w:val="0"/>
                <w:spacing w:val="-2"/>
              </w:rPr>
              <w:t>Gazette</w:t>
            </w:r>
            <w:r>
              <w:rPr>
                <w:snapToGrid w:val="0"/>
                <w:spacing w:val="-2"/>
              </w:rPr>
              <w:t xml:space="preserve"> 13 Jan 2017 p. 338</w:t>
            </w:r>
            <w:r>
              <w:t>)</w:t>
            </w:r>
          </w:p>
        </w:tc>
      </w:tr>
      <w:tr>
        <w:trPr>
          <w:cantSplit/>
        </w:trPr>
        <w:tc>
          <w:tcPr>
            <w:tcW w:w="7088" w:type="dxa"/>
            <w:gridSpan w:val="4"/>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Young Offenders Act 1994</w:t>
            </w:r>
            <w:r>
              <w:rPr>
                <w:b/>
                <w:snapToGrid w:val="0"/>
                <w:spacing w:val="-2"/>
              </w:rPr>
              <w:t xml:space="preserve"> as at 1 Jun 2018</w:t>
            </w:r>
            <w:r>
              <w:rPr>
                <w:snapToGrid w:val="0"/>
                <w:spacing w:val="-2"/>
              </w:rPr>
              <w:t xml:space="preserve"> (includes amendments listed above)</w:t>
            </w:r>
          </w:p>
        </w:tc>
      </w:tr>
      <w:tr>
        <w:trPr>
          <w:cantSplit/>
        </w:trPr>
        <w:tc>
          <w:tcPr>
            <w:tcW w:w="2267" w:type="dxa"/>
            <w:shd w:val="clear" w:color="auto" w:fill="auto"/>
          </w:tcPr>
          <w:p>
            <w:pPr>
              <w:pStyle w:val="nTable"/>
              <w:spacing w:after="40"/>
              <w:ind w:right="113"/>
              <w:rPr>
                <w:i/>
              </w:rPr>
            </w:pPr>
            <w:r>
              <w:rPr>
                <w:i/>
              </w:rPr>
              <w:t>Industrial Relations Amendment Act 2018</w:t>
            </w:r>
            <w:r>
              <w:t xml:space="preserve"> s. 72</w:t>
            </w:r>
          </w:p>
        </w:tc>
        <w:tc>
          <w:tcPr>
            <w:tcW w:w="1134" w:type="dxa"/>
            <w:shd w:val="clear" w:color="auto" w:fill="auto"/>
          </w:tcPr>
          <w:p>
            <w:pPr>
              <w:pStyle w:val="nTable"/>
              <w:spacing w:after="40"/>
            </w:pPr>
            <w:r>
              <w:t>39 of 2018</w:t>
            </w:r>
          </w:p>
        </w:tc>
        <w:tc>
          <w:tcPr>
            <w:tcW w:w="1136" w:type="dxa"/>
            <w:shd w:val="clear" w:color="auto" w:fill="auto"/>
          </w:tcPr>
          <w:p>
            <w:pPr>
              <w:pStyle w:val="nTable"/>
              <w:spacing w:after="40"/>
            </w:pPr>
            <w:r>
              <w:t>12 Dec 2018</w:t>
            </w:r>
          </w:p>
        </w:tc>
        <w:tc>
          <w:tcPr>
            <w:tcW w:w="2551" w:type="dxa"/>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rPr>
          <w:cantSplit/>
        </w:trPr>
        <w:tc>
          <w:tcPr>
            <w:tcW w:w="2267" w:type="dxa"/>
            <w:shd w:val="clear" w:color="auto" w:fill="auto"/>
          </w:tcPr>
          <w:p>
            <w:pPr>
              <w:pStyle w:val="nTable"/>
              <w:spacing w:after="40"/>
              <w:ind w:right="113"/>
              <w:rPr>
                <w:i/>
              </w:rPr>
            </w:pPr>
            <w:r>
              <w:rPr>
                <w:i/>
              </w:rPr>
              <w:t>Road Traffic Amendment (Impaired Driving and Penalties) Act 2020</w:t>
            </w:r>
            <w:r>
              <w:t xml:space="preserve"> Pt. 3 Div. 4</w:t>
            </w:r>
          </w:p>
        </w:tc>
        <w:tc>
          <w:tcPr>
            <w:tcW w:w="1134" w:type="dxa"/>
            <w:shd w:val="clear" w:color="auto" w:fill="auto"/>
          </w:tcPr>
          <w:p>
            <w:pPr>
              <w:pStyle w:val="nTable"/>
              <w:spacing w:after="40"/>
            </w:pPr>
            <w:r>
              <w:t>27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1 Jul 2021 (see s. 2(1)(b) and SL 2021/54 cl. 2(d))</w:t>
            </w:r>
          </w:p>
        </w:tc>
      </w:tr>
      <w:tr>
        <w:trPr>
          <w:cantSplit/>
        </w:trPr>
        <w:tc>
          <w:tcPr>
            <w:tcW w:w="2267" w:type="dxa"/>
            <w:shd w:val="clear" w:color="auto" w:fill="auto"/>
          </w:tcPr>
          <w:p>
            <w:pPr>
              <w:pStyle w:val="nTable"/>
              <w:spacing w:after="40"/>
              <w:ind w:right="113"/>
              <w:rPr>
                <w:i/>
              </w:rPr>
            </w:pPr>
            <w:r>
              <w:rPr>
                <w:i/>
              </w:rPr>
              <w:t>High Risk Serious Offenders Act 2020</w:t>
            </w:r>
            <w:r>
              <w:t xml:space="preserve"> s. 121</w:t>
            </w:r>
          </w:p>
        </w:tc>
        <w:tc>
          <w:tcPr>
            <w:tcW w:w="1134" w:type="dxa"/>
            <w:shd w:val="clear" w:color="auto" w:fill="auto"/>
          </w:tcPr>
          <w:p>
            <w:pPr>
              <w:pStyle w:val="nTable"/>
              <w:spacing w:after="40"/>
            </w:pPr>
            <w:r>
              <w:t>29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26 Aug 2020 (see s. 2(1)(c) and SL 2020/131 cl. 2)</w:t>
            </w:r>
          </w:p>
        </w:tc>
      </w:tr>
      <w:tr>
        <w:trPr>
          <w:cantSplit/>
        </w:trPr>
        <w:tc>
          <w:tcPr>
            <w:tcW w:w="2267" w:type="dxa"/>
            <w:shd w:val="clear" w:color="auto" w:fill="auto"/>
          </w:tcPr>
          <w:p>
            <w:pPr>
              <w:pStyle w:val="nTable"/>
              <w:spacing w:after="40"/>
              <w:ind w:right="113"/>
              <w:rPr>
                <w:i/>
              </w:rPr>
            </w:pPr>
            <w:r>
              <w:rPr>
                <w:i/>
              </w:rPr>
              <w:t>Legal Profession Uniform Law Application Act 2022</w:t>
            </w:r>
            <w:r>
              <w:t xml:space="preserve"> Pt. 17 Div. 23</w:t>
            </w:r>
          </w:p>
        </w:tc>
        <w:tc>
          <w:tcPr>
            <w:tcW w:w="1134" w:type="dxa"/>
            <w:shd w:val="clear" w:color="auto" w:fill="auto"/>
          </w:tcPr>
          <w:p>
            <w:pPr>
              <w:pStyle w:val="nTable"/>
              <w:spacing w:after="40"/>
            </w:pPr>
            <w:r>
              <w:t>9 of 2022</w:t>
            </w:r>
          </w:p>
        </w:tc>
        <w:tc>
          <w:tcPr>
            <w:tcW w:w="1136" w:type="dxa"/>
            <w:shd w:val="clear" w:color="auto" w:fill="auto"/>
          </w:tcPr>
          <w:p>
            <w:pPr>
              <w:pStyle w:val="nTable"/>
              <w:spacing w:after="40"/>
            </w:pPr>
            <w:r>
              <w:t>14 Apr 2022</w:t>
            </w:r>
          </w:p>
        </w:tc>
        <w:tc>
          <w:tcPr>
            <w:tcW w:w="2551" w:type="dxa"/>
            <w:shd w:val="clear" w:color="auto" w:fill="auto"/>
          </w:tcPr>
          <w:p>
            <w:pPr>
              <w:pStyle w:val="nTable"/>
              <w:spacing w:after="40"/>
            </w:pPr>
            <w:r>
              <w:rPr>
                <w:snapToGrid w:val="0"/>
              </w:rPr>
              <w:t>1 Jul 2022 (see s. 2(c) and SL 2022/113 cl. 2)</w:t>
            </w:r>
          </w:p>
        </w:tc>
      </w:tr>
      <w:tr>
        <w:trPr>
          <w:cantSplit/>
        </w:trPr>
        <w:tc>
          <w:tcPr>
            <w:tcW w:w="2267" w:type="dxa"/>
            <w:tcBorders>
              <w:bottom w:val="single" w:sz="4" w:space="0" w:color="auto"/>
            </w:tcBorders>
            <w:shd w:val="clear" w:color="auto" w:fill="auto"/>
          </w:tcPr>
          <w:p>
            <w:pPr>
              <w:pStyle w:val="nTable"/>
              <w:spacing w:after="40"/>
              <w:ind w:right="113"/>
              <w:rPr>
                <w:i/>
              </w:rPr>
            </w:pPr>
            <w:r>
              <w:rPr>
                <w:i/>
              </w:rPr>
              <w:t xml:space="preserve">Sentencing Legislation Amendment (Persons Linked to Terrorism) Act 2022 </w:t>
            </w:r>
            <w:r>
              <w:t>Pt. 3</w:t>
            </w:r>
          </w:p>
        </w:tc>
        <w:tc>
          <w:tcPr>
            <w:tcW w:w="1134" w:type="dxa"/>
            <w:tcBorders>
              <w:bottom w:val="single" w:sz="4" w:space="0" w:color="auto"/>
            </w:tcBorders>
            <w:shd w:val="clear" w:color="auto" w:fill="auto"/>
          </w:tcPr>
          <w:p>
            <w:pPr>
              <w:pStyle w:val="nTable"/>
              <w:spacing w:after="40"/>
            </w:pPr>
            <w:r>
              <w:t>14 of 2022</w:t>
            </w:r>
          </w:p>
        </w:tc>
        <w:tc>
          <w:tcPr>
            <w:tcW w:w="1136" w:type="dxa"/>
            <w:tcBorders>
              <w:bottom w:val="single" w:sz="4" w:space="0" w:color="auto"/>
            </w:tcBorders>
            <w:shd w:val="clear" w:color="auto" w:fill="auto"/>
          </w:tcPr>
          <w:p>
            <w:pPr>
              <w:pStyle w:val="nTable"/>
              <w:spacing w:after="40"/>
            </w:pPr>
            <w:r>
              <w:t>18 May 2022</w:t>
            </w:r>
          </w:p>
        </w:tc>
        <w:tc>
          <w:tcPr>
            <w:tcW w:w="2551" w:type="dxa"/>
            <w:tcBorders>
              <w:bottom w:val="single" w:sz="4" w:space="0" w:color="auto"/>
            </w:tcBorders>
            <w:shd w:val="clear" w:color="auto" w:fill="auto"/>
          </w:tcPr>
          <w:p>
            <w:pPr>
              <w:pStyle w:val="nTable"/>
              <w:spacing w:after="40"/>
              <w:rPr>
                <w:snapToGrid w:val="0"/>
              </w:rPr>
            </w:pPr>
            <w:r>
              <w:rPr>
                <w:snapToGrid w:val="0"/>
              </w:rPr>
              <w:t>11 Nov 2022 (see s. 2(b) and SL 2022/182 cl. 2)</w:t>
            </w:r>
          </w:p>
        </w:tc>
      </w:tr>
    </w:tbl>
    <w:p>
      <w:pPr>
        <w:pStyle w:val="nHeading3"/>
      </w:pPr>
      <w:bookmarkStart w:id="454" w:name="_Toc118453564"/>
      <w:r>
        <w:lastRenderedPageBreak/>
        <w:t>Uncommenced provisions table</w:t>
      </w:r>
      <w:bookmarkEnd w:id="454"/>
    </w:p>
    <w:p>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4"/>
      </w:tblGrid>
      <w:tr>
        <w:trPr>
          <w:tblHeader/>
        </w:trP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vertAlign w:val="superscript"/>
              </w:rPr>
            </w:pPr>
            <w:r>
              <w:rPr>
                <w:i/>
                <w:iCs/>
              </w:rPr>
              <w:t xml:space="preserve">Prostitution Amendment Act 2008 </w:t>
            </w:r>
            <w:r>
              <w:t>s. 36</w:t>
            </w:r>
          </w:p>
        </w:tc>
        <w:tc>
          <w:tcPr>
            <w:tcW w:w="1134" w:type="dxa"/>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4" w:type="dxa"/>
            <w:tcBorders>
              <w:top w:val="single" w:sz="8" w:space="0" w:color="auto"/>
              <w:bottom w:val="nil"/>
            </w:tcBorders>
          </w:tcPr>
          <w:p>
            <w:pPr>
              <w:pStyle w:val="nTable"/>
              <w:spacing w:after="40"/>
              <w:rPr>
                <w:snapToGrid w:val="0"/>
              </w:rPr>
            </w:pPr>
            <w:r>
              <w:rPr>
                <w:snapToGrid w:val="0"/>
              </w:rPr>
              <w:t>To be proclaimed (see s. 2(b))</w:t>
            </w:r>
          </w:p>
        </w:tc>
      </w:tr>
      <w:tr>
        <w:tc>
          <w:tcPr>
            <w:tcW w:w="2267" w:type="dxa"/>
            <w:tcBorders>
              <w:top w:val="nil"/>
              <w:bottom w:val="nil"/>
            </w:tcBorders>
            <w:shd w:val="clear" w:color="auto" w:fill="auto"/>
          </w:tcPr>
          <w:p>
            <w:pPr>
              <w:pStyle w:val="nTable"/>
              <w:keepNext/>
              <w:keepLines/>
              <w:spacing w:after="40"/>
              <w:rPr>
                <w:i/>
                <w:iCs/>
                <w:snapToGrid w:val="0"/>
              </w:rPr>
            </w:pPr>
            <w:r>
              <w:rPr>
                <w:i/>
              </w:rPr>
              <w:t>Courts and Tribunals (Electronic Processes Facilitation) Act 2013</w:t>
            </w:r>
            <w:r>
              <w:t xml:space="preserve"> s. 138 and 139</w:t>
            </w:r>
          </w:p>
        </w:tc>
        <w:tc>
          <w:tcPr>
            <w:tcW w:w="1134" w:type="dxa"/>
            <w:tcBorders>
              <w:top w:val="nil"/>
              <w:bottom w:val="nil"/>
            </w:tcBorders>
            <w:shd w:val="clear" w:color="auto" w:fill="auto"/>
          </w:tcPr>
          <w:p>
            <w:pPr>
              <w:pStyle w:val="nTable"/>
              <w:keepNext/>
              <w:keepLines/>
              <w:spacing w:after="40"/>
              <w:rPr>
                <w:snapToGrid w:val="0"/>
              </w:rPr>
            </w:pPr>
            <w:r>
              <w:t>20 of 2013</w:t>
            </w:r>
          </w:p>
        </w:tc>
        <w:tc>
          <w:tcPr>
            <w:tcW w:w="1134" w:type="dxa"/>
            <w:tcBorders>
              <w:top w:val="nil"/>
              <w:bottom w:val="nil"/>
            </w:tcBorders>
            <w:shd w:val="clear" w:color="auto" w:fill="auto"/>
          </w:tcPr>
          <w:p>
            <w:pPr>
              <w:pStyle w:val="nTable"/>
              <w:keepNext/>
              <w:keepLines/>
              <w:spacing w:after="40"/>
            </w:pPr>
            <w:r>
              <w:t>4 Nov 2013</w:t>
            </w:r>
          </w:p>
        </w:tc>
        <w:tc>
          <w:tcPr>
            <w:tcW w:w="2554" w:type="dxa"/>
            <w:tcBorders>
              <w:top w:val="nil"/>
              <w:bottom w:val="nil"/>
            </w:tcBorders>
            <w:shd w:val="clear" w:color="auto" w:fill="auto"/>
          </w:tcPr>
          <w:p>
            <w:pPr>
              <w:pStyle w:val="nTable"/>
              <w:keepNext/>
              <w:keepLines/>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single" w:sz="4" w:space="0" w:color="auto"/>
            </w:tcBorders>
          </w:tcPr>
          <w:p>
            <w:pPr>
              <w:pStyle w:val="nTable"/>
              <w:spacing w:after="40"/>
              <w:rPr>
                <w:vertAlign w:val="superscript"/>
              </w:rPr>
            </w:pPr>
            <w:r>
              <w:rPr>
                <w:i/>
              </w:rPr>
              <w:t xml:space="preserve">Liquor Legislation Amendment Act 2015 </w:t>
            </w:r>
            <w:r>
              <w:t>Pt. 3</w:t>
            </w:r>
          </w:p>
        </w:tc>
        <w:tc>
          <w:tcPr>
            <w:tcW w:w="1134" w:type="dxa"/>
            <w:tcBorders>
              <w:top w:val="nil"/>
              <w:bottom w:val="single" w:sz="4" w:space="0" w:color="auto"/>
            </w:tcBorders>
          </w:tcPr>
          <w:p>
            <w:pPr>
              <w:pStyle w:val="nTable"/>
              <w:spacing w:after="40"/>
            </w:pPr>
            <w:r>
              <w:t>35 of 2015</w:t>
            </w:r>
          </w:p>
        </w:tc>
        <w:tc>
          <w:tcPr>
            <w:tcW w:w="1134" w:type="dxa"/>
            <w:tcBorders>
              <w:top w:val="nil"/>
              <w:bottom w:val="single" w:sz="4" w:space="0" w:color="auto"/>
            </w:tcBorders>
          </w:tcPr>
          <w:p>
            <w:pPr>
              <w:pStyle w:val="nTable"/>
              <w:spacing w:after="40"/>
            </w:pPr>
            <w:r>
              <w:t>2 Nov 2015</w:t>
            </w:r>
          </w:p>
        </w:tc>
        <w:tc>
          <w:tcPr>
            <w:tcW w:w="2554" w:type="dxa"/>
            <w:tcBorders>
              <w:top w:val="nil"/>
              <w:bottom w:val="single" w:sz="4" w:space="0" w:color="auto"/>
            </w:tcBorders>
          </w:tcPr>
          <w:p>
            <w:pPr>
              <w:pStyle w:val="nTable"/>
              <w:spacing w:after="40"/>
            </w:pPr>
            <w:r>
              <w:t>To be proclaimed (see s. 2(b))</w:t>
            </w:r>
          </w:p>
        </w:tc>
      </w:tr>
    </w:tbl>
    <w:p>
      <w:pPr>
        <w:pStyle w:val="nHeading3"/>
      </w:pPr>
      <w:bookmarkStart w:id="455" w:name="_Toc118453565"/>
      <w:r>
        <w:t>Other notes</w:t>
      </w:r>
      <w:bookmarkEnd w:id="455"/>
    </w:p>
    <w:p>
      <w:pPr>
        <w:pStyle w:val="nNote"/>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1</w:t>
      </w:r>
      <w:r>
        <w:tab/>
        <w:t xml:space="preserve">The provisions in this Act amending those Acts have been omitted under the </w:t>
      </w:r>
      <w:r>
        <w:rPr>
          <w:i/>
        </w:rPr>
        <w:t>Reprints Act 1984</w:t>
      </w:r>
      <w:r>
        <w:t xml:space="preserve"> s. 7(4)(e).</w:t>
      </w:r>
    </w:p>
    <w:p>
      <w:pPr>
        <w:pStyle w:val="nNote"/>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Note"/>
        <w:rPr>
          <w:spacing w:val="-2"/>
        </w:rPr>
      </w:pPr>
      <w:r>
        <w:rPr>
          <w:vertAlign w:val="superscript"/>
        </w:rPr>
        <w:t>3</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Note"/>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Note"/>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Note"/>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Note"/>
      </w:pPr>
      <w:r>
        <w:rPr>
          <w:vertAlign w:val="superscript"/>
        </w:rPr>
        <w:lastRenderedPageBreak/>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Note"/>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Note"/>
        <w:keepNext/>
        <w:keepLines/>
      </w:pPr>
      <w:r>
        <w:rPr>
          <w:vertAlign w:val="superscript"/>
        </w:rPr>
        <w:t>9</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keepNext/>
        <w:keepLines/>
      </w:pPr>
      <w:r>
        <w:tab/>
        <w:t>(1)</w:t>
      </w:r>
      <w:r>
        <w:tab/>
        <w:t>Schedule 2 has effect.</w:t>
      </w:r>
    </w:p>
    <w:p>
      <w:pPr>
        <w:pStyle w:val="BlankClose"/>
        <w:keepNext/>
        <w:rPr>
          <w:sz w:val="20"/>
          <w:szCs w:val="20"/>
        </w:rPr>
      </w:pPr>
    </w:p>
    <w:p>
      <w:pPr>
        <w:pStyle w:val="nNote"/>
        <w:keepNext/>
        <w:keepLines/>
        <w:spacing w:before="0"/>
      </w:pPr>
      <w:r>
        <w:rPr>
          <w:snapToGrid w:val="0"/>
        </w:rPr>
        <w:tab/>
        <w:t>Schedule 2 cl. 7(3) reads as follows:</w:t>
      </w:r>
    </w:p>
    <w:p>
      <w:pPr>
        <w:pStyle w:val="BlankOpen"/>
        <w:rPr>
          <w:sz w:val="20"/>
          <w:szCs w:val="20"/>
        </w:rPr>
      </w:pPr>
    </w:p>
    <w:p>
      <w:pPr>
        <w:pStyle w:val="nzHeading2"/>
        <w:keepLines/>
        <w:rPr>
          <w:rStyle w:val="CharSchNo"/>
        </w:rPr>
      </w:pPr>
      <w:r>
        <w:rPr>
          <w:rStyle w:val="CharSchNo"/>
        </w:rPr>
        <w:t>Schedule 2 — Consequential amendments to Acts and regulations</w:t>
      </w:r>
    </w:p>
    <w:p>
      <w:pPr>
        <w:pStyle w:val="yShoulderClause"/>
        <w:keepNext/>
        <w:keepLines/>
        <w:rPr>
          <w:sz w:val="20"/>
        </w:rPr>
      </w:pPr>
      <w:r>
        <w:rPr>
          <w:sz w:val="20"/>
        </w:rPr>
        <w:t>[s. 56]</w:t>
      </w:r>
    </w:p>
    <w:p>
      <w:pPr>
        <w:pStyle w:val="BlankOpen"/>
        <w:rPr>
          <w:sz w:val="20"/>
          <w:szCs w:val="20"/>
        </w:rPr>
      </w:pP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Note"/>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Note"/>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lastRenderedPageBreak/>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457" w:name="_Toc118453566"/>
      <w:r>
        <w:rPr>
          <w:sz w:val="28"/>
        </w:rPr>
        <w:lastRenderedPageBreak/>
        <w:t>Defined terms</w:t>
      </w:r>
      <w:bookmarkEnd w:id="4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community</w:t>
      </w:r>
      <w:r>
        <w:tab/>
        <w:t>3(1)</w:t>
      </w:r>
    </w:p>
    <w:p>
      <w:pPr>
        <w:pStyle w:val="DefinedTerms"/>
      </w:pPr>
      <w:r>
        <w:t>appeal</w:t>
      </w:r>
      <w:r>
        <w:tab/>
        <w:t>11CA</w:t>
      </w:r>
    </w:p>
    <w:p>
      <w:pPr>
        <w:pStyle w:val="DefinedTerms"/>
      </w:pPr>
      <w:r>
        <w:t>appellant</w:t>
      </w:r>
      <w:r>
        <w:tab/>
        <w:t>11CA</w:t>
      </w:r>
    </w:p>
    <w:p>
      <w:pPr>
        <w:pStyle w:val="DefinedTerms"/>
      </w:pPr>
      <w:r>
        <w:t>appropriate person</w:t>
      </w:r>
      <w:r>
        <w:tab/>
        <w:t>23B(3)</w:t>
      </w:r>
    </w:p>
    <w:p>
      <w:pPr>
        <w:pStyle w:val="DefinedTerms"/>
      </w:pPr>
      <w:r>
        <w:t>approved</w:t>
      </w:r>
      <w:r>
        <w:tab/>
        <w:t>35</w:t>
      </w:r>
    </w:p>
    <w:p>
      <w:pPr>
        <w:pStyle w:val="DefinedTerms"/>
      </w:pPr>
      <w:r>
        <w:t>attendance conditions</w:t>
      </w:r>
      <w:r>
        <w:tab/>
        <w:t>3(1)</w:t>
      </w:r>
    </w:p>
    <w:p>
      <w:pPr>
        <w:pStyle w:val="DefinedTerms"/>
      </w:pPr>
      <w:r>
        <w:t>authorised person</w:t>
      </w:r>
      <w:r>
        <w:tab/>
        <w:t>169A(7)</w:t>
      </w:r>
    </w:p>
    <w:p>
      <w:pPr>
        <w:pStyle w:val="DefinedTerms"/>
      </w:pPr>
      <w:r>
        <w:t>Board</w:t>
      </w:r>
      <w:r>
        <w:tab/>
        <w:t>16B(1), 16C(1), 131, 142A(1), 150B</w:t>
      </w:r>
    </w:p>
    <w:p>
      <w:pPr>
        <w:pStyle w:val="DefinedTerms"/>
      </w:pPr>
      <w:r>
        <w:t>body sample</w:t>
      </w:r>
      <w:r>
        <w:tab/>
        <w:t>3(1)</w:t>
      </w:r>
    </w:p>
    <w:p>
      <w:pPr>
        <w:pStyle w:val="DefinedTerms"/>
      </w:pPr>
      <w:r>
        <w:t>category 1 offender</w:t>
      </w:r>
      <w:r>
        <w:tab/>
        <w:t>3(1)</w:t>
      </w:r>
    </w:p>
    <w:p>
      <w:pPr>
        <w:pStyle w:val="DefinedTerms"/>
      </w:pPr>
      <w:r>
        <w:t>category 2 offender</w:t>
      </w:r>
      <w:r>
        <w:tab/>
        <w:t>3(1)</w:t>
      </w:r>
    </w:p>
    <w:p>
      <w:pPr>
        <w:pStyle w:val="DefinedTerms"/>
      </w:pPr>
      <w:r>
        <w:t>CEO (child welfare)</w:t>
      </w:r>
      <w:r>
        <w:tab/>
        <w:t>15A(2)</w:t>
      </w:r>
    </w:p>
    <w:p>
      <w:pPr>
        <w:pStyle w:val="DefinedTerms"/>
      </w:pPr>
      <w:r>
        <w:t>chairperson</w:t>
      </w:r>
      <w:r>
        <w:tab/>
        <w:t>3(1)</w:t>
      </w:r>
    </w:p>
    <w:p>
      <w:pPr>
        <w:pStyle w:val="DefinedTerms"/>
      </w:pPr>
      <w:r>
        <w:t>Chief Commissioner</w:t>
      </w:r>
      <w:r>
        <w:tab/>
        <w:t>11CA</w:t>
      </w:r>
    </w:p>
    <w:p>
      <w:pPr>
        <w:pStyle w:val="DefinedTerms"/>
      </w:pPr>
      <w:r>
        <w:t>chief executive officer</w:t>
      </w:r>
      <w:r>
        <w:tab/>
        <w:t>3(1)</w:t>
      </w:r>
    </w:p>
    <w:p>
      <w:pPr>
        <w:pStyle w:val="DefinedTerms"/>
      </w:pPr>
      <w:r>
        <w:t>commencement day</w:t>
      </w:r>
      <w:r>
        <w:tab/>
        <w:t>11CV(1)</w:t>
      </w:r>
    </w:p>
    <w:p>
      <w:pPr>
        <w:pStyle w:val="DefinedTerms"/>
      </w:pPr>
      <w:r>
        <w:t>Commissioner of Police report</w:t>
      </w:r>
      <w:r>
        <w:tab/>
        <w:t>3(1)</w:t>
      </w:r>
    </w:p>
    <w:p>
      <w:pPr>
        <w:pStyle w:val="DefinedTerms"/>
      </w:pPr>
      <w:r>
        <w:t>Commonwealth Criminal Code</w:t>
      </w:r>
      <w:r>
        <w:tab/>
        <w:t>3(1)</w:t>
      </w:r>
    </w:p>
    <w:p>
      <w:pPr>
        <w:pStyle w:val="DefinedTerms"/>
      </w:pPr>
      <w:r>
        <w:t>community work conditions</w:t>
      </w:r>
      <w:r>
        <w:tab/>
        <w:t>3(1)</w:t>
      </w:r>
    </w:p>
    <w:p>
      <w:pPr>
        <w:pStyle w:val="DefinedTerms"/>
      </w:pPr>
      <w:r>
        <w:t>community work order</w:t>
      </w:r>
      <w:r>
        <w:tab/>
        <w:t>63</w:t>
      </w:r>
    </w:p>
    <w:p>
      <w:pPr>
        <w:pStyle w:val="DefinedTerms"/>
      </w:pPr>
      <w:r>
        <w:t>conditional release order</w:t>
      </w:r>
      <w:r>
        <w:tab/>
        <w:t>3(1)</w:t>
      </w:r>
    </w:p>
    <w:p>
      <w:pPr>
        <w:pStyle w:val="DefinedTerms"/>
      </w:pPr>
      <w:r>
        <w:t>confirmed control order</w:t>
      </w:r>
      <w:r>
        <w:tab/>
        <w:t>3(1)</w:t>
      </w:r>
    </w:p>
    <w:p>
      <w:pPr>
        <w:pStyle w:val="DefinedTerms"/>
      </w:pPr>
      <w:r>
        <w:t>contractor</w:t>
      </w:r>
      <w:r>
        <w:tab/>
        <w:t>16(1)</w:t>
      </w:r>
    </w:p>
    <w:p>
      <w:pPr>
        <w:pStyle w:val="DefinedTerms"/>
      </w:pPr>
      <w:r>
        <w:t>Coordinator</w:t>
      </w:r>
      <w:r>
        <w:tab/>
        <w:t>35</w:t>
      </w:r>
    </w:p>
    <w:p>
      <w:pPr>
        <w:pStyle w:val="DefinedTerms"/>
      </w:pPr>
      <w:r>
        <w:t>council</w:t>
      </w:r>
      <w:r>
        <w:tab/>
        <w:t>17A</w:t>
      </w:r>
    </w:p>
    <w:p>
      <w:pPr>
        <w:pStyle w:val="DefinedTerms"/>
      </w:pPr>
      <w:r>
        <w:t>court</w:t>
      </w:r>
      <w:r>
        <w:tab/>
        <w:t>3(1), 16D(1)</w:t>
      </w:r>
    </w:p>
    <w:p>
      <w:pPr>
        <w:pStyle w:val="DefinedTerms"/>
      </w:pPr>
      <w:r>
        <w:t>current offence</w:t>
      </w:r>
      <w:r>
        <w:tab/>
        <w:t>124(1)</w:t>
      </w:r>
    </w:p>
    <w:p>
      <w:pPr>
        <w:pStyle w:val="DefinedTerms"/>
      </w:pPr>
      <w:r>
        <w:t>current sentence</w:t>
      </w:r>
      <w:r>
        <w:tab/>
        <w:t>3(1)</w:t>
      </w:r>
    </w:p>
    <w:p>
      <w:pPr>
        <w:pStyle w:val="DefinedTerms"/>
      </w:pPr>
      <w:r>
        <w:t>custodial officer</w:t>
      </w:r>
      <w:r>
        <w:tab/>
        <w:t>3(1)</w:t>
      </w:r>
    </w:p>
    <w:p>
      <w:pPr>
        <w:pStyle w:val="DefinedTerms"/>
      </w:pPr>
      <w:r>
        <w:t>decision notice</w:t>
      </w:r>
      <w:r>
        <w:tab/>
        <w:t>11CA, 11CD(3)</w:t>
      </w:r>
    </w:p>
    <w:p>
      <w:pPr>
        <w:pStyle w:val="DefinedTerms"/>
      </w:pPr>
      <w:r>
        <w:t>defaulter</w:t>
      </w:r>
      <w:r>
        <w:tab/>
        <w:t>65A(1)</w:t>
      </w:r>
    </w:p>
    <w:p>
      <w:pPr>
        <w:pStyle w:val="DefinedTerms"/>
      </w:pPr>
      <w:r>
        <w:t>Department</w:t>
      </w:r>
      <w:r>
        <w:tab/>
        <w:t>3(1)</w:t>
      </w:r>
    </w:p>
    <w:p>
      <w:pPr>
        <w:pStyle w:val="DefinedTerms"/>
      </w:pPr>
      <w:r>
        <w:t>detainee</w:t>
      </w:r>
      <w:r>
        <w:tab/>
        <w:t>3(1), 188(1)</w:t>
      </w:r>
    </w:p>
    <w:p>
      <w:pPr>
        <w:pStyle w:val="DefinedTerms"/>
      </w:pPr>
      <w:r>
        <w:t>detention</w:t>
      </w:r>
      <w:r>
        <w:tab/>
        <w:t>3(1)</w:t>
      </w:r>
    </w:p>
    <w:p>
      <w:pPr>
        <w:pStyle w:val="DefinedTerms"/>
      </w:pPr>
      <w:r>
        <w:t>detention centre</w:t>
      </w:r>
      <w:r>
        <w:tab/>
        <w:t>3(1)</w:t>
      </w:r>
    </w:p>
    <w:p>
      <w:pPr>
        <w:pStyle w:val="DefinedTerms"/>
      </w:pPr>
      <w:r>
        <w:t>detention order</w:t>
      </w:r>
      <w:r>
        <w:tab/>
        <w:t>63</w:t>
      </w:r>
    </w:p>
    <w:p>
      <w:pPr>
        <w:pStyle w:val="DefinedTerms"/>
      </w:pPr>
      <w:r>
        <w:t>disclosure requirement</w:t>
      </w:r>
      <w:r>
        <w:tab/>
        <w:t>16D(1)</w:t>
      </w:r>
    </w:p>
    <w:p>
      <w:pPr>
        <w:pStyle w:val="DefinedTerms"/>
      </w:pPr>
      <w:r>
        <w:t>earliest release day</w:t>
      </w:r>
      <w:r>
        <w:tab/>
        <w:t>3(1)</w:t>
      </w:r>
    </w:p>
    <w:p>
      <w:pPr>
        <w:pStyle w:val="DefinedTerms"/>
      </w:pPr>
      <w:r>
        <w:t>exempt responsible adult</w:t>
      </w:r>
      <w:r>
        <w:tab/>
        <w:t>3(1)</w:t>
      </w:r>
    </w:p>
    <w:p>
      <w:pPr>
        <w:pStyle w:val="DefinedTerms"/>
      </w:pPr>
      <w:r>
        <w:t>fine</w:t>
      </w:r>
      <w:r>
        <w:tab/>
        <w:t>63</w:t>
      </w:r>
    </w:p>
    <w:p>
      <w:pPr>
        <w:pStyle w:val="DefinedTerms"/>
      </w:pPr>
      <w:r>
        <w:lastRenderedPageBreak/>
        <w:t>first sentence</w:t>
      </w:r>
      <w:r>
        <w:tab/>
        <w:t>123(1)</w:t>
      </w:r>
    </w:p>
    <w:p>
      <w:pPr>
        <w:pStyle w:val="DefinedTerms"/>
      </w:pPr>
      <w:r>
        <w:t>former provisions</w:t>
      </w:r>
      <w:r>
        <w:tab/>
        <w:t>234(1), 235(1)</w:t>
      </w:r>
    </w:p>
    <w:p>
      <w:pPr>
        <w:pStyle w:val="DefinedTerms"/>
      </w:pPr>
      <w:r>
        <w:t>general principles of juvenile justice</w:t>
      </w:r>
      <w:r>
        <w:tab/>
        <w:t>3(1)</w:t>
      </w:r>
    </w:p>
    <w:p>
      <w:pPr>
        <w:pStyle w:val="DefinedTerms"/>
      </w:pPr>
      <w:r>
        <w:t>imprisonment</w:t>
      </w:r>
      <w:r>
        <w:tab/>
        <w:t>3(1)</w:t>
      </w:r>
    </w:p>
    <w:p>
      <w:pPr>
        <w:pStyle w:val="DefinedTerms"/>
      </w:pPr>
      <w:r>
        <w:t>independent young person</w:t>
      </w:r>
      <w:r>
        <w:tab/>
        <w:t>3(1)</w:t>
      </w:r>
    </w:p>
    <w:p>
      <w:pPr>
        <w:pStyle w:val="DefinedTerms"/>
      </w:pPr>
      <w:r>
        <w:t>industrial commissioner</w:t>
      </w:r>
      <w:r>
        <w:tab/>
        <w:t>11CA</w:t>
      </w:r>
    </w:p>
    <w:p>
      <w:pPr>
        <w:pStyle w:val="DefinedTerms"/>
      </w:pPr>
      <w:r>
        <w:t>infringement notice</w:t>
      </w:r>
      <w:r>
        <w:tab/>
        <w:t>25(3)</w:t>
      </w:r>
    </w:p>
    <w:p>
      <w:pPr>
        <w:pStyle w:val="DefinedTerms"/>
      </w:pPr>
      <w:r>
        <w:t>intensive youth supervision order</w:t>
      </w:r>
      <w:r>
        <w:tab/>
        <w:t>3(1)</w:t>
      </w:r>
    </w:p>
    <w:p>
      <w:pPr>
        <w:pStyle w:val="DefinedTerms"/>
      </w:pPr>
      <w:r>
        <w:t>interim control order</w:t>
      </w:r>
      <w:r>
        <w:tab/>
        <w:t>3(1)</w:t>
      </w:r>
    </w:p>
    <w:p>
      <w:pPr>
        <w:pStyle w:val="DefinedTerms"/>
      </w:pPr>
      <w:r>
        <w:t>lock-up</w:t>
      </w:r>
      <w:r>
        <w:tab/>
        <w:t>3(1)</w:t>
      </w:r>
    </w:p>
    <w:p>
      <w:pPr>
        <w:pStyle w:val="DefinedTerms"/>
      </w:pPr>
      <w:r>
        <w:t>maintenance payment</w:t>
      </w:r>
      <w:r>
        <w:tab/>
        <w:t>11CA, 11CE(1)</w:t>
      </w:r>
    </w:p>
    <w:p>
      <w:pPr>
        <w:pStyle w:val="DefinedTerms"/>
      </w:pPr>
      <w:r>
        <w:t>maintenance period</w:t>
      </w:r>
      <w:r>
        <w:tab/>
        <w:t>11CA, 11CE(1)</w:t>
      </w:r>
    </w:p>
    <w:p>
      <w:pPr>
        <w:pStyle w:val="DefinedTerms"/>
      </w:pPr>
      <w:r>
        <w:t>medical officer</w:t>
      </w:r>
      <w:r>
        <w:tab/>
        <w:t>179(1)</w:t>
      </w:r>
    </w:p>
    <w:p>
      <w:pPr>
        <w:pStyle w:val="DefinedTerms"/>
      </w:pPr>
      <w:r>
        <w:t>medical treatment</w:t>
      </w:r>
      <w:r>
        <w:tab/>
        <w:t>179(1)</w:t>
      </w:r>
    </w:p>
    <w:p>
      <w:pPr>
        <w:pStyle w:val="DefinedTerms"/>
      </w:pPr>
      <w:r>
        <w:t>monitor</w:t>
      </w:r>
      <w:r>
        <w:tab/>
        <w:t>17A</w:t>
      </w:r>
    </w:p>
    <w:p>
      <w:pPr>
        <w:pStyle w:val="DefinedTerms"/>
      </w:pPr>
      <w:r>
        <w:t>new evidence</w:t>
      </w:r>
      <w:r>
        <w:tab/>
        <w:t>11CA</w:t>
      </w:r>
    </w:p>
    <w:p>
      <w:pPr>
        <w:pStyle w:val="DefinedTerms"/>
      </w:pPr>
      <w:r>
        <w:t>notice to attend court</w:t>
      </w:r>
      <w:r>
        <w:tab/>
        <w:t>3(1)</w:t>
      </w:r>
    </w:p>
    <w:p>
      <w:pPr>
        <w:pStyle w:val="DefinedTerms"/>
      </w:pPr>
      <w:r>
        <w:t>notifiable information</w:t>
      </w:r>
      <w:r>
        <w:tab/>
        <w:t>165A(3)</w:t>
      </w:r>
    </w:p>
    <w:p>
      <w:pPr>
        <w:pStyle w:val="DefinedTerms"/>
      </w:pPr>
      <w:r>
        <w:t>offender</w:t>
      </w:r>
      <w:r>
        <w:tab/>
        <w:t>50(1), 50A(1), 50B(1), 150F(1)</w:t>
      </w:r>
    </w:p>
    <w:p>
      <w:pPr>
        <w:pStyle w:val="DefinedTerms"/>
      </w:pPr>
      <w:r>
        <w:t>offender with links to terrorism</w:t>
      </w:r>
      <w:r>
        <w:tab/>
        <w:t>3(1)</w:t>
      </w:r>
    </w:p>
    <w:p>
      <w:pPr>
        <w:pStyle w:val="DefinedTerms"/>
      </w:pPr>
      <w:r>
        <w:t>original offence</w:t>
      </w:r>
      <w:r>
        <w:tab/>
        <w:t>83(2)</w:t>
      </w:r>
    </w:p>
    <w:p>
      <w:pPr>
        <w:pStyle w:val="DefinedTerms"/>
      </w:pPr>
      <w:r>
        <w:t>party</w:t>
      </w:r>
      <w:r>
        <w:tab/>
        <w:t>32(3)</w:t>
      </w:r>
    </w:p>
    <w:p>
      <w:pPr>
        <w:pStyle w:val="DefinedTerms"/>
      </w:pPr>
      <w:r>
        <w:t>prohibited act</w:t>
      </w:r>
      <w:r>
        <w:tab/>
        <w:t>3(2)</w:t>
      </w:r>
    </w:p>
    <w:p>
      <w:pPr>
        <w:pStyle w:val="DefinedTerms"/>
      </w:pPr>
      <w:r>
        <w:t>protected information</w:t>
      </w:r>
      <w:r>
        <w:tab/>
        <w:t>165A(1)</w:t>
      </w:r>
    </w:p>
    <w:p>
      <w:pPr>
        <w:pStyle w:val="DefinedTerms"/>
      </w:pPr>
      <w:r>
        <w:t>public authority</w:t>
      </w:r>
      <w:r>
        <w:tab/>
        <w:t>16(1)</w:t>
      </w:r>
    </w:p>
    <w:p>
      <w:pPr>
        <w:pStyle w:val="DefinedTerms"/>
      </w:pPr>
      <w:r>
        <w:t>registrar of the court</w:t>
      </w:r>
      <w:r>
        <w:tab/>
        <w:t>3(1)</w:t>
      </w:r>
    </w:p>
    <w:p>
      <w:pPr>
        <w:pStyle w:val="DefinedTerms"/>
      </w:pPr>
      <w:r>
        <w:t>release considerations</w:t>
      </w:r>
      <w:r>
        <w:tab/>
        <w:t>150A</w:t>
      </w:r>
    </w:p>
    <w:p>
      <w:pPr>
        <w:pStyle w:val="DefinedTerms"/>
      </w:pPr>
      <w:r>
        <w:t>relevant day</w:t>
      </w:r>
      <w:r>
        <w:tab/>
        <w:t>127(1)</w:t>
      </w:r>
    </w:p>
    <w:p>
      <w:pPr>
        <w:pStyle w:val="DefinedTerms"/>
      </w:pPr>
      <w:r>
        <w:t>relevant information</w:t>
      </w:r>
      <w:r>
        <w:tab/>
        <w:t>16(1)</w:t>
      </w:r>
    </w:p>
    <w:p>
      <w:pPr>
        <w:pStyle w:val="DefinedTerms"/>
      </w:pPr>
      <w:r>
        <w:t>removal action</w:t>
      </w:r>
      <w:r>
        <w:tab/>
        <w:t>11CA</w:t>
      </w:r>
    </w:p>
    <w:p>
      <w:pPr>
        <w:pStyle w:val="DefinedTerms"/>
      </w:pPr>
      <w:r>
        <w:t>removal decision</w:t>
      </w:r>
      <w:r>
        <w:tab/>
        <w:t>11CA</w:t>
      </w:r>
    </w:p>
    <w:p>
      <w:pPr>
        <w:pStyle w:val="DefinedTerms"/>
      </w:pPr>
      <w:r>
        <w:t>remove</w:t>
      </w:r>
      <w:r>
        <w:tab/>
        <w:t>3(1)</w:t>
      </w:r>
    </w:p>
    <w:p>
      <w:pPr>
        <w:pStyle w:val="DefinedTerms"/>
      </w:pPr>
      <w:r>
        <w:t>research</w:t>
      </w:r>
      <w:r>
        <w:tab/>
        <w:t>16(1)</w:t>
      </w:r>
    </w:p>
    <w:p>
      <w:pPr>
        <w:pStyle w:val="DefinedTerms"/>
      </w:pPr>
      <w:r>
        <w:t>responsible adult</w:t>
      </w:r>
      <w:r>
        <w:tab/>
        <w:t>3(1), 58(1)</w:t>
      </w:r>
    </w:p>
    <w:p>
      <w:pPr>
        <w:pStyle w:val="DefinedTerms"/>
      </w:pPr>
      <w:r>
        <w:t>Schedule 1 offence</w:t>
      </w:r>
      <w:r>
        <w:tab/>
        <w:t>3(1)</w:t>
      </w:r>
    </w:p>
    <w:p>
      <w:pPr>
        <w:pStyle w:val="DefinedTerms"/>
      </w:pPr>
      <w:r>
        <w:t>Schedule 2 offence</w:t>
      </w:r>
      <w:r>
        <w:tab/>
        <w:t>3(1)</w:t>
      </w:r>
    </w:p>
    <w:p>
      <w:pPr>
        <w:pStyle w:val="DefinedTerms"/>
      </w:pPr>
      <w:r>
        <w:t>second sentence</w:t>
      </w:r>
      <w:r>
        <w:tab/>
        <w:t>123(1)</w:t>
      </w:r>
    </w:p>
    <w:p>
      <w:pPr>
        <w:pStyle w:val="DefinedTerms"/>
      </w:pPr>
      <w:r>
        <w:t>Secretary</w:t>
      </w:r>
      <w:r>
        <w:tab/>
        <w:t>131</w:t>
      </w:r>
    </w:p>
    <w:p>
      <w:pPr>
        <w:pStyle w:val="DefinedTerms"/>
      </w:pPr>
      <w:r>
        <w:t>sensitive information</w:t>
      </w:r>
      <w:r>
        <w:tab/>
        <w:t>165A(1)</w:t>
      </w:r>
    </w:p>
    <w:p>
      <w:pPr>
        <w:pStyle w:val="DefinedTerms"/>
      </w:pPr>
      <w:r>
        <w:t>sentence 1</w:t>
      </w:r>
      <w:r>
        <w:tab/>
        <w:t>124(1)</w:t>
      </w:r>
    </w:p>
    <w:p>
      <w:pPr>
        <w:pStyle w:val="DefinedTerms"/>
      </w:pPr>
      <w:r>
        <w:t>sentence 2</w:t>
      </w:r>
      <w:r>
        <w:tab/>
        <w:t>124(1)</w:t>
      </w:r>
    </w:p>
    <w:p>
      <w:pPr>
        <w:pStyle w:val="DefinedTerms"/>
      </w:pPr>
      <w:r>
        <w:t>sentencing court</w:t>
      </w:r>
      <w:r>
        <w:tab/>
        <w:t>129(1)</w:t>
      </w:r>
    </w:p>
    <w:p>
      <w:pPr>
        <w:pStyle w:val="DefinedTerms"/>
      </w:pPr>
      <w:r>
        <w:t>serious offence</w:t>
      </w:r>
      <w:r>
        <w:tab/>
        <w:t>124(3)</w:t>
      </w:r>
    </w:p>
    <w:p>
      <w:pPr>
        <w:pStyle w:val="DefinedTerms"/>
      </w:pPr>
      <w:r>
        <w:t>special order</w:t>
      </w:r>
      <w:r>
        <w:tab/>
        <w:t>3(1)</w:t>
      </w:r>
    </w:p>
    <w:p>
      <w:pPr>
        <w:pStyle w:val="DefinedTerms"/>
      </w:pPr>
      <w:r>
        <w:t>submission period</w:t>
      </w:r>
      <w:r>
        <w:tab/>
        <w:t>11CD(2)</w:t>
      </w:r>
    </w:p>
    <w:p>
      <w:pPr>
        <w:pStyle w:val="DefinedTerms"/>
      </w:pPr>
      <w:r>
        <w:lastRenderedPageBreak/>
        <w:t>suitability to continue as a custodial officer</w:t>
      </w:r>
      <w:r>
        <w:tab/>
        <w:t>11CA</w:t>
      </w:r>
    </w:p>
    <w:p>
      <w:pPr>
        <w:pStyle w:val="DefinedTerms"/>
      </w:pPr>
      <w:r>
        <w:t>superintendent</w:t>
      </w:r>
      <w:r>
        <w:tab/>
        <w:t>3(1)</w:t>
      </w:r>
    </w:p>
    <w:p>
      <w:pPr>
        <w:pStyle w:val="DefinedTerms"/>
      </w:pPr>
      <w:r>
        <w:t>supervise</w:t>
      </w:r>
      <w:r>
        <w:tab/>
        <w:t>17A</w:t>
      </w:r>
    </w:p>
    <w:p>
      <w:pPr>
        <w:pStyle w:val="DefinedTerms"/>
      </w:pPr>
      <w:r>
        <w:t>supervised release order</w:t>
      </w:r>
      <w:r>
        <w:tab/>
        <w:t>3(1)</w:t>
      </w:r>
    </w:p>
    <w:p>
      <w:pPr>
        <w:pStyle w:val="DefinedTerms"/>
      </w:pPr>
      <w:r>
        <w:t>supervision conditions</w:t>
      </w:r>
      <w:r>
        <w:tab/>
        <w:t>3(1)</w:t>
      </w:r>
    </w:p>
    <w:p>
      <w:pPr>
        <w:pStyle w:val="DefinedTerms"/>
      </w:pPr>
      <w:r>
        <w:t>terrorism offence</w:t>
      </w:r>
      <w:r>
        <w:tab/>
        <w:t>3(1)</w:t>
      </w:r>
    </w:p>
    <w:p>
      <w:pPr>
        <w:pStyle w:val="DefinedTerms"/>
      </w:pPr>
      <w:r>
        <w:t>terrorist act</w:t>
      </w:r>
      <w:r>
        <w:tab/>
        <w:t>3(1)</w:t>
      </w:r>
    </w:p>
    <w:p>
      <w:pPr>
        <w:pStyle w:val="DefinedTerms"/>
      </w:pPr>
      <w:r>
        <w:t>terrorist intelligence information</w:t>
      </w:r>
      <w:r>
        <w:tab/>
        <w:t>3(1)</w:t>
      </w:r>
    </w:p>
    <w:p>
      <w:pPr>
        <w:pStyle w:val="DefinedTerms"/>
      </w:pPr>
      <w:r>
        <w:t>victim</w:t>
      </w:r>
      <w:r>
        <w:tab/>
        <w:t>31(1), 133(3)</w:t>
      </w:r>
    </w:p>
    <w:p>
      <w:pPr>
        <w:pStyle w:val="DefinedTerms"/>
      </w:pPr>
      <w:r>
        <w:t>WAIRC</w:t>
      </w:r>
      <w:r>
        <w:tab/>
        <w:t>11CA</w:t>
      </w:r>
    </w:p>
    <w:p>
      <w:pPr>
        <w:pStyle w:val="DefinedTerms"/>
      </w:pPr>
      <w:r>
        <w:t>welfare agency</w:t>
      </w:r>
      <w:r>
        <w:tab/>
        <w:t>15A(2)</w:t>
      </w:r>
    </w:p>
    <w:p>
      <w:pPr>
        <w:pStyle w:val="DefinedTerms"/>
      </w:pPr>
      <w:r>
        <w:t>work</w:t>
      </w:r>
      <w:r>
        <w:tab/>
        <w:t>3(1)</w:t>
      </w:r>
    </w:p>
    <w:p>
      <w:pPr>
        <w:pStyle w:val="DefinedTerms"/>
      </w:pPr>
      <w:r>
        <w:t>written reasons</w:t>
      </w:r>
      <w:r>
        <w:tab/>
        <w:t>120(3)</w:t>
      </w:r>
    </w:p>
    <w:p>
      <w:pPr>
        <w:pStyle w:val="DefinedTerms"/>
      </w:pPr>
      <w:r>
        <w:t>young person</w:t>
      </w:r>
      <w:r>
        <w:tab/>
        <w:t>3(1)</w:t>
      </w:r>
    </w:p>
    <w:p>
      <w:pPr>
        <w:pStyle w:val="DefinedTerms"/>
      </w:pPr>
      <w:r>
        <w:t>youth community based order</w:t>
      </w:r>
      <w:r>
        <w:tab/>
        <w:t>3(1)</w:t>
      </w:r>
    </w:p>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40" w:name="Schedule"/>
    <w:bookmarkEnd w:id="44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56" w:name="Compilation"/>
    <w:bookmarkEnd w:id="45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8" w:name="DefinedTerms"/>
    <w:bookmarkEnd w:id="45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59" w:name="Coversheet"/>
    <w:bookmarkEnd w:id="4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7880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FADB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CF638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692C2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CDA6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109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03093705"/>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 w:name="WAFER_20161129133759" w:val="RemoveTocBookmarks,RemoveUnusedBookmarks,RemoveLanguageTags,UsedStyles,ResetPageSize"/>
    <w:docVar w:name="WAFER_20161129133759_GUID" w:val="6ecf7d0b-9ffb-4867-93ab-bccd6ae1185b"/>
    <w:docVar w:name="WAFER_20181213102321" w:val="RemoveTocBookmarks,RemoveUnusedBookmarks,RemoveLanguageTags,UsedStyles,ResetPageSize"/>
    <w:docVar w:name="WAFER_20181213102321_GUID" w:val="8fdd2080-f36d-48ac-83ae-7d6896fd78db"/>
    <w:docVar w:name="WAFER_20200110150145" w:val="RemoveTocBookmarks,RemoveUnusedBookmarks,RemoveLanguageTags,ResetPageSize,RunningHeaders,UpdateStyles,UsedStyles"/>
    <w:docVar w:name="WAFER_20200110150145_GUID" w:val="f15185f8-6d20-459a-8a49-0befe24146c5"/>
    <w:docVar w:name="WAFER_202002120940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029_GUID" w:val="090a79ed-5609-4167-8441-fce7c08f469e"/>
    <w:docVar w:name="WAFER_20200710090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49_GUID" w:val="b2594791-4120-4ce6-8a3a-47bef8e169da"/>
    <w:docVar w:name="WAFER_2020081211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414_GUID" w:val="8073447e-7c50-4d7e-91c7-917005f203e7"/>
    <w:docVar w:name="WAFER_202008261102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205_GUID" w:val="f8ac6663-4800-42fa-97bb-89a78eceec5d"/>
    <w:docVar w:name="WAFER_202105200925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2517_GUID" w:val="c7050d4d-43d8-4251-a8a9-78357cf46d94"/>
    <w:docVar w:name="WAFER_202106250915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45_GUID" w:val="781d2c7d-e4a2-4b89-b286-d71b7df28533"/>
    <w:docVar w:name="WAFER_20220407154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4623_GUID" w:val="1cfea661-93e4-4e5a-8759-1cb06501fd3b"/>
    <w:docVar w:name="WAFER_202205191500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50043_GUID" w:val="bc28a85a-d1cd-416c-aaa1-0c5db823a0a4"/>
    <w:docVar w:name="WAFER_20221103093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705_GUID" w:val="680cfadd-ebb6-4d9a-a2c6-3bb586493e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0945"/>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zDeleteListPara">
    <w:name w:val="zDeleteListPara"/>
    <w:basedOn w:val="Normal"/>
    <w:pPr>
      <w:widowControl w:val="0"/>
      <w:spacing w:before="80" w:line="260" w:lineRule="atLeast"/>
      <w:ind w:left="2183"/>
    </w:p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image" Target="media/image2.wmf"/><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D4C808-5530-495B-9EBD-17B87EB09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51716</Words>
  <Characters>244621</Characters>
  <Application>Microsoft Office Word</Application>
  <DocSecurity>0</DocSecurity>
  <Lines>6795</Lines>
  <Paragraphs>3899</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292438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1994 - 07-j0-00</dc:title>
  <dc:subject/>
  <dc:creator/>
  <cp:keywords/>
  <dc:description/>
  <cp:lastModifiedBy>Master Repository Process</cp:lastModifiedBy>
  <cp:revision>4</cp:revision>
  <cp:lastPrinted>2018-12-13T07:18:00Z</cp:lastPrinted>
  <dcterms:created xsi:type="dcterms:W3CDTF">2022-11-10T03:24:00Z</dcterms:created>
  <dcterms:modified xsi:type="dcterms:W3CDTF">2022-11-10T03:24:00Z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2018-05-31T16:00:00Z</vt:filetime>
  </property>
  <property fmtid="{D5CDD505-2E9C-101B-9397-08002B2CF9AE}" pid="7" name="ReprintNo">
    <vt:lpwstr>7</vt:lpwstr>
  </property>
  <property fmtid="{D5CDD505-2E9C-101B-9397-08002B2CF9AE}" pid="8" name="AsAtDate">
    <vt:lpwstr>11 Nov 2022</vt:lpwstr>
  </property>
  <property fmtid="{D5CDD505-2E9C-101B-9397-08002B2CF9AE}" pid="9" name="Suffix">
    <vt:lpwstr>07-j0-00</vt:lpwstr>
  </property>
  <property fmtid="{D5CDD505-2E9C-101B-9397-08002B2CF9AE}" pid="10" name="CommencementDate">
    <vt:lpwstr>20221111</vt:lpwstr>
  </property>
</Properties>
</file>