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_Toc119492613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_Toc119492614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_Toc119492615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_Toc119492616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_Toc119492617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_Toc119492618 \h </w:instrText>
      </w:r>
      <w:r>
        <w:fldChar w:fldCharType="separate"/>
      </w:r>
      <w:r>
        <w:t>10</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_Toc119492619 \h </w:instrText>
      </w:r>
      <w:r>
        <w:fldChar w:fldCharType="separate"/>
      </w:r>
      <w:r>
        <w:t>11</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_Toc119492620 \h </w:instrText>
      </w:r>
      <w:r>
        <w:fldChar w:fldCharType="separate"/>
      </w:r>
      <w:r>
        <w:t>12</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_Toc119492621 \h </w:instrText>
      </w:r>
      <w:r>
        <w:fldChar w:fldCharType="separate"/>
      </w:r>
      <w:r>
        <w:t>12</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_Toc119492622 \h </w:instrText>
      </w:r>
      <w:r>
        <w:fldChar w:fldCharType="separate"/>
      </w:r>
      <w:r>
        <w:t>13</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_Toc119492623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_Toc119492625 \h </w:instrText>
      </w:r>
      <w:r>
        <w:fldChar w:fldCharType="separate"/>
      </w:r>
      <w:r>
        <w:t>14</w:t>
      </w:r>
      <w:r>
        <w:fldChar w:fldCharType="end"/>
      </w:r>
    </w:p>
    <w:p>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_Toc119492626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_Toc119492627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_Toc119492629 \h </w:instrText>
      </w:r>
      <w:r>
        <w:fldChar w:fldCharType="separate"/>
      </w:r>
      <w:r>
        <w:t>19</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_Toc119492630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10C.</w:t>
      </w:r>
      <w:r>
        <w:tab/>
        <w:t>FVRO to specify names of person bound, and person protected, by order</w:t>
      </w:r>
      <w:r>
        <w:tab/>
      </w:r>
      <w:r>
        <w:fldChar w:fldCharType="begin"/>
      </w:r>
      <w:r>
        <w:instrText xml:space="preserve"> PAGEREF _Toc119492631 \h </w:instrText>
      </w:r>
      <w:r>
        <w:fldChar w:fldCharType="separate"/>
      </w:r>
      <w:r>
        <w:t>21</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_Toc119492632 \h </w:instrText>
      </w:r>
      <w:r>
        <w:fldChar w:fldCharType="separate"/>
      </w:r>
      <w:r>
        <w:t>21</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_Toc119492633 \h </w:instrText>
      </w:r>
      <w:r>
        <w:fldChar w:fldCharType="separate"/>
      </w:r>
      <w:r>
        <w:t>22</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_Toc119492634 \h </w:instrText>
      </w:r>
      <w:r>
        <w:fldChar w:fldCharType="separate"/>
      </w:r>
      <w:r>
        <w:t>22</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_Toc119492635 \h </w:instrText>
      </w:r>
      <w:r>
        <w:fldChar w:fldCharType="separate"/>
      </w:r>
      <w:r>
        <w:t>24</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_Toc119492636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_Toc119492639 \h </w:instrText>
      </w:r>
      <w:r>
        <w:fldChar w:fldCharType="separate"/>
      </w:r>
      <w:r>
        <w:t>27</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_Toc119492640 \h </w:instrText>
      </w:r>
      <w:r>
        <w:fldChar w:fldCharType="separate"/>
      </w:r>
      <w:r>
        <w:t>28</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_Toc119492641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_Toc119492643 \h </w:instrText>
      </w:r>
      <w:r>
        <w:fldChar w:fldCharType="separate"/>
      </w:r>
      <w:r>
        <w:t>28</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_Toc119492644 \h </w:instrText>
      </w:r>
      <w:r>
        <w:fldChar w:fldCharType="separate"/>
      </w:r>
      <w:r>
        <w:t>30</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_Toc119492645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_Toc119492647 \h </w:instrText>
      </w:r>
      <w:r>
        <w:fldChar w:fldCharType="separate"/>
      </w:r>
      <w:r>
        <w:t>32</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_Toc119492648 \h </w:instrText>
      </w:r>
      <w:r>
        <w:fldChar w:fldCharType="separate"/>
      </w:r>
      <w:r>
        <w:t>32</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_Toc119492649 \h </w:instrText>
      </w:r>
      <w:r>
        <w:fldChar w:fldCharType="separate"/>
      </w:r>
      <w:r>
        <w:t>33</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_Toc119492650 \h </w:instrText>
      </w:r>
      <w:r>
        <w:fldChar w:fldCharType="separate"/>
      </w:r>
      <w:r>
        <w:t>33</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_Toc119492651 \h </w:instrText>
      </w:r>
      <w:r>
        <w:fldChar w:fldCharType="separate"/>
      </w:r>
      <w:r>
        <w:t>34</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_Toc119492652 \h </w:instrText>
      </w:r>
      <w:r>
        <w:fldChar w:fldCharType="separate"/>
      </w:r>
      <w:r>
        <w:t>34</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_Toc119492653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_Toc119492655 \h </w:instrText>
      </w:r>
      <w:r>
        <w:fldChar w:fldCharType="separate"/>
      </w:r>
      <w:r>
        <w:t>36</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_Toc119492656 \h </w:instrText>
      </w:r>
      <w:r>
        <w:fldChar w:fldCharType="separate"/>
      </w:r>
      <w:r>
        <w:t>37</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_Toc119492657 \h </w:instrText>
      </w:r>
      <w:r>
        <w:fldChar w:fldCharType="separate"/>
      </w:r>
      <w:r>
        <w:t>37</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_Toc119492658 \h </w:instrText>
      </w:r>
      <w:r>
        <w:fldChar w:fldCharType="separate"/>
      </w:r>
      <w:r>
        <w:t>39</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_Toc119492659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_Toc119492661 \h </w:instrText>
      </w:r>
      <w:r>
        <w:fldChar w:fldCharType="separate"/>
      </w:r>
      <w:r>
        <w:t>40</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_Toc119492662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_Toc119492663 \h </w:instrText>
      </w:r>
      <w:r>
        <w:fldChar w:fldCharType="separate"/>
      </w:r>
      <w:r>
        <w:t>41</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_Toc119492664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_Toc119492665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1AA — Additional circumstances where orders may be made</w:t>
      </w:r>
    </w:p>
    <w:p>
      <w:pPr>
        <w:pStyle w:val="TOC8"/>
        <w:rPr>
          <w:rFonts w:asciiTheme="minorHAnsi" w:eastAsiaTheme="minorEastAsia" w:hAnsiTheme="minorHAnsi" w:cstheme="minorBidi"/>
          <w:szCs w:val="22"/>
        </w:rPr>
      </w:pPr>
      <w:r>
        <w:t>13A.</w:t>
      </w:r>
      <w:r>
        <w:tab/>
        <w:t>Cases involving violent offences</w:t>
      </w:r>
      <w:r>
        <w:tab/>
      </w:r>
      <w:r>
        <w:fldChar w:fldCharType="begin"/>
      </w:r>
      <w:r>
        <w:instrText xml:space="preserve"> PAGEREF _Toc119492668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 — Orders relating to firearm items and explosives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_Toc119492670 \h </w:instrText>
      </w:r>
      <w:r>
        <w:fldChar w:fldCharType="separate"/>
      </w:r>
      <w:r>
        <w:t>46</w:t>
      </w:r>
      <w:r>
        <w:fldChar w:fldCharType="end"/>
      </w:r>
    </w:p>
    <w:p>
      <w:pPr>
        <w:pStyle w:val="TOC8"/>
        <w:rPr>
          <w:rFonts w:asciiTheme="minorHAnsi" w:eastAsiaTheme="minorEastAsia" w:hAnsiTheme="minorHAnsi" w:cstheme="minorBidi"/>
          <w:szCs w:val="22"/>
        </w:rPr>
      </w:pPr>
      <w:r>
        <w:t>14A.</w:t>
      </w:r>
      <w:r>
        <w:tab/>
        <w:t>Explosives order</w:t>
      </w:r>
      <w:r>
        <w:tab/>
      </w:r>
      <w:r>
        <w:fldChar w:fldCharType="begin"/>
      </w:r>
      <w:r>
        <w:instrText xml:space="preserve"> PAGEREF _Toc119492671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_Toc119492673 \h </w:instrText>
      </w:r>
      <w:r>
        <w:fldChar w:fldCharType="separate"/>
      </w:r>
      <w:r>
        <w:t>49</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_Toc119492674 \h </w:instrText>
      </w:r>
      <w:r>
        <w:fldChar w:fldCharType="separate"/>
      </w:r>
      <w:r>
        <w:t>50</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_Toc119492675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_Toc119492677 \h </w:instrText>
      </w:r>
      <w:r>
        <w:fldChar w:fldCharType="separate"/>
      </w:r>
      <w:r>
        <w:t>52</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_Toc119492678 \h </w:instrText>
      </w:r>
      <w:r>
        <w:fldChar w:fldCharType="separate"/>
      </w:r>
      <w:r>
        <w:t>52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_Toc119492679 \h </w:instrText>
      </w:r>
      <w:r>
        <w:fldChar w:fldCharType="separate"/>
      </w:r>
      <w:r>
        <w:t>53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_Toc119492680 \h </w:instrText>
      </w:r>
      <w:r>
        <w:fldChar w:fldCharType="separate"/>
      </w:r>
      <w:r>
        <w:t>54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_Toc119492681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_Toc119492682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_Toc119492683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_Toc119492685 \h </w:instrText>
      </w:r>
      <w:r>
        <w:fldChar w:fldCharType="separate"/>
      </w:r>
      <w:r>
        <w:t>56</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_Toc119492686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_Toc119492687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_Toc119492688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_Toc119492689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_Toc119492690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_Toc119492691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_Toc119492693 \h </w:instrText>
      </w:r>
      <w:r>
        <w:fldChar w:fldCharType="separate"/>
      </w:r>
      <w:r>
        <w:t>61</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_Toc119492694 \h </w:instrText>
      </w:r>
      <w:r>
        <w:fldChar w:fldCharType="separate"/>
      </w:r>
      <w:r>
        <w:t>62</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_Toc119492695 \h </w:instrText>
      </w:r>
      <w:r>
        <w:fldChar w:fldCharType="separate"/>
      </w:r>
      <w:r>
        <w:t>63</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_Toc119492696 \h </w:instrText>
      </w:r>
      <w:r>
        <w:fldChar w:fldCharType="separate"/>
      </w:r>
      <w:r>
        <w:t>64</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_Toc119492697 \h </w:instrText>
      </w:r>
      <w:r>
        <w:fldChar w:fldCharType="separate"/>
      </w:r>
      <w:r>
        <w:t>64</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_Toc119492698 \h </w:instrText>
      </w:r>
      <w:r>
        <w:fldChar w:fldCharType="separate"/>
      </w:r>
      <w:r>
        <w:t>65</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_Toc119492699 \h </w:instrText>
      </w:r>
      <w:r>
        <w:fldChar w:fldCharType="separate"/>
      </w:r>
      <w:r>
        <w:t>66</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_Toc119492700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_Toc119492702 \h </w:instrText>
      </w:r>
      <w:r>
        <w:fldChar w:fldCharType="separate"/>
      </w:r>
      <w:r>
        <w:t>66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_Toc119492703 \h </w:instrText>
      </w:r>
      <w:r>
        <w:fldChar w:fldCharType="separate"/>
      </w:r>
      <w:r>
        <w:t>67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_Toc119492704 \h </w:instrText>
      </w:r>
      <w:r>
        <w:fldChar w:fldCharType="separate"/>
      </w:r>
      <w:r>
        <w:t>67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_Toc119492705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_Toc119492707 \h </w:instrText>
      </w:r>
      <w:r>
        <w:fldChar w:fldCharType="separate"/>
      </w:r>
      <w:r>
        <w:t>71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_Toc119492708 \h </w:instrText>
      </w:r>
      <w:r>
        <w:fldChar w:fldCharType="separate"/>
      </w:r>
      <w:r>
        <w:t>71</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_Toc119492709 \h </w:instrText>
      </w:r>
      <w:r>
        <w:fldChar w:fldCharType="separate"/>
      </w:r>
      <w:r>
        <w:t>73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_Toc119492710 \h </w:instrText>
      </w:r>
      <w:r>
        <w:fldChar w:fldCharType="separate"/>
      </w:r>
      <w:r>
        <w:t>73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_Toc119492711 \h </w:instrText>
      </w:r>
      <w:r>
        <w:fldChar w:fldCharType="separate"/>
      </w:r>
      <w:r>
        <w:t>75</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_Toc119492712 \h </w:instrText>
      </w:r>
      <w:r>
        <w:fldChar w:fldCharType="separate"/>
      </w:r>
      <w:r>
        <w:t>75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_Toc119492713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_Toc119492716 \h </w:instrText>
      </w:r>
      <w:r>
        <w:fldChar w:fldCharType="separate"/>
      </w:r>
      <w:r>
        <w:t>77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_Toc119492717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_Toc119492719 \h </w:instrText>
      </w:r>
      <w:r>
        <w:fldChar w:fldCharType="separate"/>
      </w:r>
      <w:r>
        <w:t>78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_Toc119492720 \h </w:instrText>
      </w:r>
      <w:r>
        <w:fldChar w:fldCharType="separate"/>
      </w:r>
      <w:r>
        <w:t>79</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_Toc119492721 \h </w:instrText>
      </w:r>
      <w:r>
        <w:fldChar w:fldCharType="separate"/>
      </w:r>
      <w:r>
        <w:t>80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_Toc119492722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_Toc119492724 \h </w:instrText>
      </w:r>
      <w:r>
        <w:fldChar w:fldCharType="separate"/>
      </w:r>
      <w:r>
        <w:t>83</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_Toc119492725 \h </w:instrText>
      </w:r>
      <w:r>
        <w:fldChar w:fldCharType="separate"/>
      </w:r>
      <w:r>
        <w:t>84</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_Toc119492726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Other provisions to protect applicants</w:t>
      </w:r>
    </w:p>
    <w:p>
      <w:pPr>
        <w:pStyle w:val="TOC8"/>
        <w:rPr>
          <w:rFonts w:asciiTheme="minorHAnsi" w:eastAsiaTheme="minorEastAsia" w:hAnsiTheme="minorHAnsi" w:cstheme="minorBidi"/>
          <w:szCs w:val="22"/>
        </w:rPr>
      </w:pPr>
      <w:r>
        <w:t>44D.</w:t>
      </w:r>
      <w:r>
        <w:tab/>
        <w:t>Support and other persons who may be present</w:t>
      </w:r>
      <w:r>
        <w:tab/>
      </w:r>
      <w:r>
        <w:fldChar w:fldCharType="begin"/>
      </w:r>
      <w:r>
        <w:instrText xml:space="preserve"> PAGEREF _Toc119492728 \h </w:instrText>
      </w:r>
      <w:r>
        <w:fldChar w:fldCharType="separate"/>
      </w:r>
      <w:r>
        <w:t>85</w:t>
      </w:r>
      <w:r>
        <w:fldChar w:fldCharType="end"/>
      </w:r>
    </w:p>
    <w:p>
      <w:pPr>
        <w:pStyle w:val="TOC8"/>
        <w:rPr>
          <w:rFonts w:asciiTheme="minorHAnsi" w:eastAsiaTheme="minorEastAsia" w:hAnsiTheme="minorHAnsi" w:cstheme="minorBidi"/>
          <w:szCs w:val="22"/>
        </w:rPr>
      </w:pPr>
      <w:r>
        <w:t>44E.</w:t>
      </w:r>
      <w:r>
        <w:tab/>
        <w:t>Use of closed circuit television or screening arrangements</w:t>
      </w:r>
      <w:r>
        <w:tab/>
      </w:r>
      <w:r>
        <w:fldChar w:fldCharType="begin"/>
      </w:r>
      <w:r>
        <w:instrText xml:space="preserve"> PAGEREF _Toc119492729 \h </w:instrText>
      </w:r>
      <w:r>
        <w:fldChar w:fldCharType="separate"/>
      </w:r>
      <w:r>
        <w:t>85</w:t>
      </w:r>
      <w:r>
        <w:fldChar w:fldCharType="end"/>
      </w:r>
    </w:p>
    <w:p>
      <w:pPr>
        <w:pStyle w:val="TOC8"/>
        <w:rPr>
          <w:rFonts w:asciiTheme="minorHAnsi" w:eastAsiaTheme="minorEastAsia" w:hAnsiTheme="minorHAnsi" w:cstheme="minorBidi"/>
          <w:szCs w:val="22"/>
        </w:rPr>
      </w:pPr>
      <w:r>
        <w:t>44F.</w:t>
      </w:r>
      <w:r>
        <w:tab/>
        <w:t>Additional provisions relating to FVROs</w:t>
      </w:r>
      <w:r>
        <w:tab/>
      </w:r>
      <w:r>
        <w:fldChar w:fldCharType="begin"/>
      </w:r>
      <w:r>
        <w:instrText xml:space="preserve"> PAGEREF _Toc119492730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_Toc119492732 \h </w:instrText>
      </w:r>
      <w:r>
        <w:fldChar w:fldCharType="separate"/>
      </w:r>
      <w:r>
        <w:t>88</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_Toc119492733 \h </w:instrText>
      </w:r>
      <w:r>
        <w:fldChar w:fldCharType="separate"/>
      </w:r>
      <w:r>
        <w:t>90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_Toc119492734 \h </w:instrText>
      </w:r>
      <w:r>
        <w:fldChar w:fldCharType="separate"/>
      </w:r>
      <w:r>
        <w:t>90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_Toc119492735 \h </w:instrText>
      </w:r>
      <w:r>
        <w:fldChar w:fldCharType="separate"/>
      </w:r>
      <w:r>
        <w:t>91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_Toc119492736 \h </w:instrText>
      </w:r>
      <w:r>
        <w:fldChar w:fldCharType="separate"/>
      </w:r>
      <w:r>
        <w:t>92</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_Toc119492737 \h </w:instrText>
      </w:r>
      <w:r>
        <w:fldChar w:fldCharType="separate"/>
      </w:r>
      <w:r>
        <w:t>94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_Toc119492738 \h </w:instrText>
      </w:r>
      <w:r>
        <w:fldChar w:fldCharType="separate"/>
      </w:r>
      <w:r>
        <w:t>94</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_Toc119492739 \h </w:instrText>
      </w:r>
      <w:r>
        <w:fldChar w:fldCharType="separate"/>
      </w:r>
      <w:r>
        <w:t>95</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_Toc119492740 \h </w:instrText>
      </w:r>
      <w:r>
        <w:fldChar w:fldCharType="separate"/>
      </w:r>
      <w:r>
        <w:t>96</w:t>
      </w:r>
      <w:r>
        <w:fldChar w:fldCharType="end"/>
      </w:r>
    </w:p>
    <w:p>
      <w:pPr>
        <w:pStyle w:val="TOC8"/>
        <w:rPr>
          <w:rFonts w:asciiTheme="minorHAnsi" w:eastAsiaTheme="minorEastAsia" w:hAnsiTheme="minorHAnsi" w:cstheme="minorBidi"/>
          <w:szCs w:val="22"/>
        </w:rPr>
      </w:pPr>
      <w:r>
        <w:t>49C.</w:t>
      </w:r>
      <w:r>
        <w:tab/>
        <w:t>Variation of application to allow a different order to be sought</w:t>
      </w:r>
      <w:r>
        <w:tab/>
      </w:r>
      <w:r>
        <w:fldChar w:fldCharType="begin"/>
      </w:r>
      <w:r>
        <w:instrText xml:space="preserve"> PAGEREF _Toc119492741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5A — Conferences</w:t>
      </w:r>
    </w:p>
    <w:p>
      <w:pPr>
        <w:pStyle w:val="TOC8"/>
        <w:rPr>
          <w:rFonts w:asciiTheme="minorHAnsi" w:eastAsiaTheme="minorEastAsia" w:hAnsiTheme="minorHAnsi" w:cstheme="minorBidi"/>
          <w:szCs w:val="22"/>
        </w:rPr>
      </w:pPr>
      <w:r>
        <w:t>49D.</w:t>
      </w:r>
      <w:r>
        <w:tab/>
        <w:t>Special conference procedures</w:t>
      </w:r>
      <w:r>
        <w:tab/>
      </w:r>
      <w:r>
        <w:fldChar w:fldCharType="begin"/>
      </w:r>
      <w:r>
        <w:instrText xml:space="preserve"> PAGEREF _Toc119492743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_Toc119492746 \h </w:instrText>
      </w:r>
      <w:r>
        <w:fldChar w:fldCharType="separate"/>
      </w:r>
      <w:r>
        <w:t>100</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_Toc119492747 \h </w:instrText>
      </w:r>
      <w:r>
        <w:fldChar w:fldCharType="separate"/>
      </w:r>
      <w:r>
        <w:t>100</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_Toc119492748 \h </w:instrText>
      </w:r>
      <w:r>
        <w:fldChar w:fldCharType="separate"/>
      </w:r>
      <w:r>
        <w:t>100</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_Toc119492749 \h </w:instrText>
      </w:r>
      <w:r>
        <w:fldChar w:fldCharType="separate"/>
      </w:r>
      <w:r>
        <w:t>101</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_Toc119492750 \h </w:instrText>
      </w:r>
      <w:r>
        <w:fldChar w:fldCharType="separate"/>
      </w:r>
      <w:r>
        <w:t>102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_Toc119492751 \h </w:instrText>
      </w:r>
      <w:r>
        <w:fldChar w:fldCharType="separate"/>
      </w:r>
      <w:r>
        <w:t>102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_Toc119492752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Telephone order made against child</w:t>
      </w:r>
      <w:r>
        <w:tab/>
      </w:r>
      <w:r>
        <w:fldChar w:fldCharType="begin"/>
      </w:r>
      <w:r>
        <w:instrText xml:space="preserve"> PAGEREF _Toc119492753 \h </w:instrText>
      </w:r>
      <w:r>
        <w:fldChar w:fldCharType="separate"/>
      </w:r>
      <w:r>
        <w:t>103</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_Toc119492754 \h </w:instrText>
      </w:r>
      <w:r>
        <w:fldChar w:fldCharType="separate"/>
      </w:r>
      <w:r>
        <w:t>104</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_Toc119492755 \h </w:instrText>
      </w:r>
      <w:r>
        <w:fldChar w:fldCharType="separate"/>
      </w:r>
      <w:r>
        <w:t>104</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_Toc119492756 \h </w:instrText>
      </w:r>
      <w:r>
        <w:fldChar w:fldCharType="separate"/>
      </w:r>
      <w:r>
        <w:t>105</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_Toc119492757 \h </w:instrText>
      </w:r>
      <w:r>
        <w:fldChar w:fldCharType="separate"/>
      </w:r>
      <w:r>
        <w:t>105</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_Toc119492758 \h </w:instrText>
      </w:r>
      <w:r>
        <w:fldChar w:fldCharType="separate"/>
      </w:r>
      <w:r>
        <w:t>105</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_Toc119492759 \h </w:instrText>
      </w:r>
      <w:r>
        <w:fldChar w:fldCharType="separate"/>
      </w:r>
      <w:r>
        <w:t>106</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_Toc119492760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_Toc119492762 \h </w:instrText>
      </w:r>
      <w:r>
        <w:fldChar w:fldCharType="separate"/>
      </w:r>
      <w:r>
        <w:t>107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_Toc119492763 \h </w:instrText>
      </w:r>
      <w:r>
        <w:fldChar w:fldCharType="separate"/>
      </w:r>
      <w:r>
        <w:t>107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_Toc119492764 \h </w:instrText>
      </w:r>
      <w:r>
        <w:fldChar w:fldCharType="separate"/>
      </w:r>
      <w:r>
        <w:t>109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_Toc119492765 \h </w:instrText>
      </w:r>
      <w:r>
        <w:fldChar w:fldCharType="separate"/>
      </w:r>
      <w:r>
        <w:t>109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_Toc119492766 \h </w:instrText>
      </w:r>
      <w:r>
        <w:fldChar w:fldCharType="separate"/>
      </w:r>
      <w:r>
        <w:t>110</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_Toc119492767 \h </w:instrText>
      </w:r>
      <w:r>
        <w:fldChar w:fldCharType="separate"/>
      </w:r>
      <w:r>
        <w:t>111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_Toc119492768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_Toc119492770 \h </w:instrText>
      </w:r>
      <w:r>
        <w:fldChar w:fldCharType="separate"/>
      </w:r>
      <w:r>
        <w:t>113</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_Toc119492771 \h </w:instrText>
      </w:r>
      <w:r>
        <w:fldChar w:fldCharType="separate"/>
      </w:r>
      <w:r>
        <w:t>114</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_Toc119492772 \h </w:instrText>
      </w:r>
      <w:r>
        <w:fldChar w:fldCharType="separate"/>
      </w:r>
      <w:r>
        <w:t>116</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_Toc119492773 \h </w:instrText>
      </w:r>
      <w:r>
        <w:fldChar w:fldCharType="separate"/>
      </w:r>
      <w:r>
        <w:t>117</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_Toc119492774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_Toc119492776 \h </w:instrText>
      </w:r>
      <w:r>
        <w:fldChar w:fldCharType="separate"/>
      </w:r>
      <w:r>
        <w:t>118</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_Toc119492777 \h </w:instrText>
      </w:r>
      <w:r>
        <w:fldChar w:fldCharType="separate"/>
      </w:r>
      <w:r>
        <w:t>118</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_Toc119492778 \h </w:instrText>
      </w:r>
      <w:r>
        <w:fldChar w:fldCharType="separate"/>
      </w:r>
      <w:r>
        <w:t>120</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_Toc119492779 \h </w:instrText>
      </w:r>
      <w:r>
        <w:fldChar w:fldCharType="separate"/>
      </w:r>
      <w:r>
        <w:t>121</w:t>
      </w:r>
      <w:r>
        <w:fldChar w:fldCharType="end"/>
      </w:r>
    </w:p>
    <w:p>
      <w:pPr>
        <w:pStyle w:val="TOC8"/>
        <w:rPr>
          <w:rFonts w:asciiTheme="minorHAnsi" w:eastAsiaTheme="minorEastAsia" w:hAnsiTheme="minorHAnsi" w:cstheme="minorBidi"/>
          <w:szCs w:val="22"/>
        </w:rPr>
      </w:pPr>
      <w:r>
        <w:t>62E.</w:t>
      </w:r>
      <w:r>
        <w:tab/>
      </w:r>
      <w:r>
        <w:rPr>
          <w:snapToGrid w:val="0"/>
        </w:rPr>
        <w:t>Seizure of firearm items and explosives</w:t>
      </w:r>
      <w:r>
        <w:tab/>
      </w:r>
      <w:r>
        <w:fldChar w:fldCharType="begin"/>
      </w:r>
      <w:r>
        <w:instrText xml:space="preserve"> PAGEREF _Toc119492780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62F.</w:t>
      </w:r>
      <w:r>
        <w:tab/>
        <w:t>Detention of respondent during telephone hearing or while police order is being made</w:t>
      </w:r>
      <w:r>
        <w:tab/>
      </w:r>
      <w:r>
        <w:fldChar w:fldCharType="begin"/>
      </w:r>
      <w:r>
        <w:instrText xml:space="preserve"> PAGEREF _Toc119492781 \h </w:instrText>
      </w:r>
      <w:r>
        <w:fldChar w:fldCharType="separate"/>
      </w:r>
      <w:r>
        <w:t>123</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_Toc119492782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_Toc119492784 \h </w:instrText>
      </w:r>
      <w:r>
        <w:fldChar w:fldCharType="separate"/>
      </w:r>
      <w:r>
        <w:t>125</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_Toc119492785 \h </w:instrText>
      </w:r>
      <w:r>
        <w:fldChar w:fldCharType="separate"/>
      </w:r>
      <w:r>
        <w:t>129</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_Toc119492786 \h </w:instrText>
      </w:r>
      <w:r>
        <w:fldChar w:fldCharType="separate"/>
      </w:r>
      <w:r>
        <w:t>130</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_Toc119492787 \h </w:instrText>
      </w:r>
      <w:r>
        <w:fldChar w:fldCharType="separate"/>
      </w:r>
      <w:r>
        <w:t>131</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_Toc119492788 \h </w:instrText>
      </w:r>
      <w:r>
        <w:fldChar w:fldCharType="separate"/>
      </w:r>
      <w:r>
        <w:t>131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_Toc119492789 \h </w:instrText>
      </w:r>
      <w:r>
        <w:fldChar w:fldCharType="separate"/>
      </w:r>
      <w:r>
        <w:t>131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_Toc119492790 \h </w:instrText>
      </w:r>
      <w:r>
        <w:fldChar w:fldCharType="separate"/>
      </w:r>
      <w:r>
        <w:t>133</w:t>
      </w:r>
      <w:r>
        <w:fldChar w:fldCharType="end"/>
      </w:r>
    </w:p>
    <w:p>
      <w:pPr>
        <w:pStyle w:val="TOC8"/>
        <w:rPr>
          <w:rFonts w:asciiTheme="minorHAnsi" w:eastAsiaTheme="minorEastAsia" w:hAnsiTheme="minorHAnsi" w:cstheme="minorBidi"/>
          <w:szCs w:val="22"/>
        </w:rPr>
      </w:pPr>
      <w:r>
        <w:t>66.</w:t>
      </w:r>
      <w:r>
        <w:tab/>
        <w:t>Information about family orders</w:t>
      </w:r>
      <w:r>
        <w:tab/>
      </w:r>
      <w:r>
        <w:fldChar w:fldCharType="begin"/>
      </w:r>
      <w:r>
        <w:instrText xml:space="preserve"> PAGEREF _Toc119492791 \h </w:instrText>
      </w:r>
      <w:r>
        <w:fldChar w:fldCharType="separate"/>
      </w:r>
      <w:r>
        <w:t>133</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_Toc119492792 \h </w:instrText>
      </w:r>
      <w:r>
        <w:fldChar w:fldCharType="separate"/>
      </w:r>
      <w:r>
        <w:t>135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_Toc119492793 \h </w:instrText>
      </w:r>
      <w:r>
        <w:fldChar w:fldCharType="separate"/>
      </w:r>
      <w:r>
        <w:t>135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_Toc119492794 \h </w:instrText>
      </w:r>
      <w:r>
        <w:fldChar w:fldCharType="separate"/>
      </w:r>
      <w:r>
        <w:t>136</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_Toc119492795 \h </w:instrText>
      </w:r>
      <w:r>
        <w:fldChar w:fldCharType="separate"/>
      </w:r>
      <w:r>
        <w:t>136</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_Toc119492796 \h </w:instrText>
      </w:r>
      <w:r>
        <w:fldChar w:fldCharType="separate"/>
      </w:r>
      <w:r>
        <w:t>138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_Toc119492797 \h </w:instrText>
      </w:r>
      <w:r>
        <w:fldChar w:fldCharType="separate"/>
      </w:r>
      <w:r>
        <w:t>140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_Toc119492798 \h </w:instrText>
      </w:r>
      <w:r>
        <w:fldChar w:fldCharType="separate"/>
      </w:r>
      <w:r>
        <w:t>142</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_Toc119492799 \h </w:instrText>
      </w:r>
      <w:r>
        <w:fldChar w:fldCharType="separate"/>
      </w:r>
      <w:r>
        <w:t>143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_Toc119492800 \h </w:instrText>
      </w:r>
      <w:r>
        <w:fldChar w:fldCharType="separate"/>
      </w:r>
      <w:r>
        <w:t>143</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_Toc119492801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_Toc119492803 \h </w:instrText>
      </w:r>
      <w:r>
        <w:fldChar w:fldCharType="separate"/>
      </w:r>
      <w:r>
        <w:t>145</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_Toc119492804 \h </w:instrText>
      </w:r>
      <w:r>
        <w:fldChar w:fldCharType="separate"/>
      </w:r>
      <w:r>
        <w:t>145</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_Toc119492805 \h </w:instrText>
      </w:r>
      <w:r>
        <w:fldChar w:fldCharType="separate"/>
      </w:r>
      <w:r>
        <w:t>145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_Toc119492806 \h </w:instrText>
      </w:r>
      <w:r>
        <w:fldChar w:fldCharType="separate"/>
      </w:r>
      <w:r>
        <w:t>146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_Toc119492807 \h </w:instrText>
      </w:r>
      <w:r>
        <w:fldChar w:fldCharType="separate"/>
      </w:r>
      <w:r>
        <w:t>147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_Toc119492808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78</w:t>
      </w:r>
      <w:r>
        <w:rPr>
          <w:snapToGrid w:val="0"/>
        </w:rPr>
        <w:t>.</w:t>
      </w:r>
      <w:r>
        <w:rPr>
          <w:snapToGrid w:val="0"/>
        </w:rPr>
        <w:tab/>
        <w:t>Variation or cancellation in another State or Territory</w:t>
      </w:r>
      <w:r>
        <w:tab/>
      </w:r>
      <w:r>
        <w:fldChar w:fldCharType="begin"/>
      </w:r>
      <w:r>
        <w:instrText xml:space="preserve"> PAGEREF _Toc119492809 \h </w:instrText>
      </w:r>
      <w:r>
        <w:fldChar w:fldCharType="separate"/>
      </w:r>
      <w:r>
        <w:t>148</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_Toc119492810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_Toc119492812 \h </w:instrText>
      </w:r>
      <w:r>
        <w:fldChar w:fldCharType="separate"/>
      </w:r>
      <w:r>
        <w:t>151</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_Toc119492813 \h </w:instrText>
      </w:r>
      <w:r>
        <w:fldChar w:fldCharType="separate"/>
      </w:r>
      <w:r>
        <w:t>151</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_Toc119492814 \h </w:instrText>
      </w:r>
      <w:r>
        <w:fldChar w:fldCharType="separate"/>
      </w:r>
      <w:r>
        <w:t>152</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_Toc119492815 \h </w:instrText>
      </w:r>
      <w:r>
        <w:fldChar w:fldCharType="separate"/>
      </w:r>
      <w:r>
        <w:t>152</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_Toc119492816 \h </w:instrText>
      </w:r>
      <w:r>
        <w:fldChar w:fldCharType="separate"/>
      </w:r>
      <w:r>
        <w:t>153</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_Toc119492817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_Toc119492819 \h </w:instrText>
      </w:r>
      <w:r>
        <w:fldChar w:fldCharType="separate"/>
      </w:r>
      <w:r>
        <w:t>155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_Toc119492820 \h </w:instrText>
      </w:r>
      <w:r>
        <w:fldChar w:fldCharType="separate"/>
      </w:r>
      <w:r>
        <w:t>158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_Toc119492821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3" w:name="_Toc119413856"/>
      <w:bookmarkStart w:id="4" w:name="_Toc119415512"/>
      <w:bookmarkStart w:id="5" w:name="_Toc11949261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19492613"/>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7" w:name="_Toc119492614"/>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19492615"/>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lastRenderedPageBreak/>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w:t>
      </w:r>
      <w:r>
        <w:lastRenderedPageBreak/>
        <w:t>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lastRenderedPageBreak/>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keepNext/>
      </w:pPr>
      <w:r>
        <w:lastRenderedPageBreak/>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w:t>
      </w:r>
    </w:p>
    <w:p>
      <w:pPr>
        <w:pStyle w:val="Heading5"/>
      </w:pPr>
      <w:bookmarkStart w:id="9" w:name="_Toc119492616"/>
      <w:r>
        <w:rPr>
          <w:rStyle w:val="CharSectno"/>
        </w:rPr>
        <w:t>4</w:t>
      </w:r>
      <w:r>
        <w:t>.</w:t>
      </w:r>
      <w:r>
        <w:tab/>
        <w:t>Terms used: family relationship and family member</w:t>
      </w:r>
      <w:bookmarkEnd w:id="9"/>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keepNext/>
      </w:pPr>
      <w:r>
        <w:lastRenderedPageBreak/>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0" w:name="_Toc119492617"/>
      <w:r>
        <w:rPr>
          <w:rStyle w:val="CharSectno"/>
        </w:rPr>
        <w:t>5</w:t>
      </w:r>
      <w:r>
        <w:t>.</w:t>
      </w:r>
      <w:r>
        <w:tab/>
        <w:t>Term used: family order</w:t>
      </w:r>
      <w:bookmarkEnd w:id="10"/>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lastRenderedPageBreak/>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11" w:name="_Toc119492618"/>
      <w:r>
        <w:rPr>
          <w:rStyle w:val="CharSectno"/>
        </w:rPr>
        <w:lastRenderedPageBreak/>
        <w:t>5A</w:t>
      </w:r>
      <w:r>
        <w:t>.</w:t>
      </w:r>
      <w:r>
        <w:tab/>
        <w:t>Term used: family violence</w:t>
      </w:r>
      <w:bookmarkEnd w:id="11"/>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lastRenderedPageBreak/>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12" w:name="_Toc119492619"/>
      <w:r>
        <w:rPr>
          <w:rStyle w:val="CharSectno"/>
        </w:rPr>
        <w:t>6</w:t>
      </w:r>
      <w:r>
        <w:t>.</w:t>
      </w:r>
      <w:r>
        <w:tab/>
        <w:t>Term used: personal violence</w:t>
      </w:r>
      <w:bookmarkEnd w:id="12"/>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lastRenderedPageBreak/>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13" w:name="_Toc119492620"/>
      <w:r>
        <w:rPr>
          <w:rStyle w:val="CharSectno"/>
        </w:rPr>
        <w:t>6A</w:t>
      </w:r>
      <w:r>
        <w:t>.</w:t>
      </w:r>
      <w:r>
        <w:tab/>
        <w:t>Term used: exposed</w:t>
      </w:r>
      <w:bookmarkEnd w:id="13"/>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4" w:name="_Toc119492621"/>
      <w:r>
        <w:rPr>
          <w:rStyle w:val="CharSectno"/>
        </w:rPr>
        <w:t>7</w:t>
      </w:r>
      <w:r>
        <w:t>.</w:t>
      </w:r>
      <w:r>
        <w:tab/>
        <w:t>Persons protected, and bound, by order to be natural persons</w:t>
      </w:r>
      <w:bookmarkEnd w:id="14"/>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5" w:name="_Toc119492622"/>
      <w:r>
        <w:rPr>
          <w:rStyle w:val="CharSectno"/>
        </w:rPr>
        <w:lastRenderedPageBreak/>
        <w:t>7A</w:t>
      </w:r>
      <w:r>
        <w:t>.</w:t>
      </w:r>
      <w:r>
        <w:tab/>
        <w:t>Orders under this Act imposing restraints</w:t>
      </w:r>
      <w:bookmarkEnd w:id="15"/>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16" w:name="_Toc119492623"/>
      <w:r>
        <w:rPr>
          <w:rStyle w:val="CharSectno"/>
        </w:rPr>
        <w:t>8A</w:t>
      </w:r>
      <w:r>
        <w:t>.</w:t>
      </w:r>
      <w:r>
        <w:tab/>
      </w:r>
      <w:r>
        <w:rPr>
          <w:i/>
        </w:rPr>
        <w:t>Courts and Tribunals (Electronic Processes Facilitation) Act 2013</w:t>
      </w:r>
      <w:r>
        <w:t xml:space="preserve"> Part 2 applies</w:t>
      </w:r>
      <w:bookmarkEnd w:id="16"/>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17" w:name="_Toc119413868"/>
      <w:bookmarkStart w:id="18" w:name="_Toc119415524"/>
      <w:bookmarkStart w:id="19" w:name="_Toc119492624"/>
      <w:r>
        <w:rPr>
          <w:rStyle w:val="CharPartNo"/>
        </w:rPr>
        <w:lastRenderedPageBreak/>
        <w:t>Part 1A</w:t>
      </w:r>
      <w:r>
        <w:rPr>
          <w:b w:val="0"/>
        </w:rPr>
        <w:t> </w:t>
      </w:r>
      <w:r>
        <w:t>—</w:t>
      </w:r>
      <w:r>
        <w:rPr>
          <w:b w:val="0"/>
        </w:rPr>
        <w:t> </w:t>
      </w:r>
      <w:r>
        <w:rPr>
          <w:rStyle w:val="CharPartText"/>
        </w:rPr>
        <w:t>Restraining orders generally</w:t>
      </w:r>
      <w:bookmarkEnd w:id="17"/>
      <w:bookmarkEnd w:id="18"/>
      <w:bookmarkEnd w:id="19"/>
    </w:p>
    <w:p>
      <w:pPr>
        <w:pStyle w:val="Footnoteheading"/>
        <w:tabs>
          <w:tab w:val="left" w:pos="851"/>
        </w:tabs>
      </w:pPr>
      <w:r>
        <w:tab/>
        <w:t>[Heading inserted: No. 38 of 2004 s. 9.]</w:t>
      </w:r>
    </w:p>
    <w:p>
      <w:pPr>
        <w:pStyle w:val="Heading5"/>
      </w:pPr>
      <w:bookmarkStart w:id="20" w:name="_Toc119492625"/>
      <w:r>
        <w:rPr>
          <w:rStyle w:val="CharSectno"/>
        </w:rPr>
        <w:t>8</w:t>
      </w:r>
      <w:r>
        <w:t>.</w:t>
      </w:r>
      <w:r>
        <w:tab/>
        <w:t>Explanation about orders to be given</w:t>
      </w:r>
      <w:bookmarkEnd w:id="20"/>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lastRenderedPageBreak/>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21" w:name="_Toc119492626"/>
      <w:r>
        <w:rPr>
          <w:rStyle w:val="CharSectno"/>
        </w:rPr>
        <w:lastRenderedPageBreak/>
        <w:t>9</w:t>
      </w:r>
      <w:r>
        <w:t>.</w:t>
      </w:r>
      <w:r>
        <w:tab/>
        <w:t>Fixing a hearing</w:t>
      </w:r>
      <w:bookmarkEnd w:id="21"/>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22" w:name="_Toc119492627"/>
      <w:r>
        <w:rPr>
          <w:rStyle w:val="CharSectno"/>
        </w:rPr>
        <w:t>10</w:t>
      </w:r>
      <w:r>
        <w:rPr>
          <w:snapToGrid w:val="0"/>
        </w:rPr>
        <w:t>.</w:t>
      </w:r>
      <w:r>
        <w:rPr>
          <w:snapToGrid w:val="0"/>
        </w:rPr>
        <w:tab/>
        <w:t>Preparation and service of orders</w:t>
      </w:r>
      <w:bookmarkEnd w:id="22"/>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w:t>
      </w:r>
      <w:r>
        <w:lastRenderedPageBreak/>
        <w:t xml:space="preserve">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lastRenderedPageBreak/>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23" w:name="_Toc119413872"/>
      <w:bookmarkStart w:id="24" w:name="_Toc119415528"/>
      <w:bookmarkStart w:id="25" w:name="_Toc119492628"/>
      <w:r>
        <w:rPr>
          <w:rStyle w:val="CharPartNo"/>
        </w:rPr>
        <w:lastRenderedPageBreak/>
        <w:t>Part 1B</w:t>
      </w:r>
      <w:r>
        <w:rPr>
          <w:rStyle w:val="CharDivNo"/>
        </w:rPr>
        <w:t> </w:t>
      </w:r>
      <w:r>
        <w:t>—</w:t>
      </w:r>
      <w:r>
        <w:rPr>
          <w:rStyle w:val="CharDivText"/>
        </w:rPr>
        <w:t> </w:t>
      </w:r>
      <w:r>
        <w:rPr>
          <w:rStyle w:val="CharPartText"/>
        </w:rPr>
        <w:t>Family violence restraining order</w:t>
      </w:r>
      <w:bookmarkEnd w:id="23"/>
      <w:bookmarkEnd w:id="24"/>
      <w:bookmarkEnd w:id="25"/>
      <w:r>
        <w:t xml:space="preserve"> </w:t>
      </w:r>
    </w:p>
    <w:p>
      <w:pPr>
        <w:pStyle w:val="Footnoteheading"/>
      </w:pPr>
      <w:r>
        <w:tab/>
        <w:t>[Heading inserted: No. 49 of 2016 s. 14.]</w:t>
      </w:r>
    </w:p>
    <w:p>
      <w:pPr>
        <w:pStyle w:val="Heading5"/>
      </w:pPr>
      <w:bookmarkStart w:id="26" w:name="_Toc119492629"/>
      <w:r>
        <w:rPr>
          <w:rStyle w:val="CharSectno"/>
        </w:rPr>
        <w:t>10A</w:t>
      </w:r>
      <w:r>
        <w:t>.</w:t>
      </w:r>
      <w:r>
        <w:tab/>
        <w:t>Objects</w:t>
      </w:r>
      <w:bookmarkEnd w:id="26"/>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27" w:name="_Toc119492630"/>
      <w:r>
        <w:rPr>
          <w:rStyle w:val="CharSectno"/>
        </w:rPr>
        <w:t>10B</w:t>
      </w:r>
      <w:r>
        <w:t>.</w:t>
      </w:r>
      <w:r>
        <w:tab/>
        <w:t>Principles to be observed in performing functions in relation to FVROs</w:t>
      </w:r>
      <w:bookmarkEnd w:id="27"/>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lastRenderedPageBreak/>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lastRenderedPageBreak/>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28" w:name="_Toc119492631"/>
      <w:r>
        <w:rPr>
          <w:rStyle w:val="CharSectno"/>
        </w:rPr>
        <w:t>10C</w:t>
      </w:r>
      <w:r>
        <w:t>.</w:t>
      </w:r>
      <w:r>
        <w:tab/>
        <w:t>FVRO to specify names of person bound, and person protected, by order</w:t>
      </w:r>
      <w:bookmarkEnd w:id="28"/>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29" w:name="_Toc119492632"/>
      <w:r>
        <w:rPr>
          <w:rStyle w:val="CharSectno"/>
        </w:rPr>
        <w:t>10D</w:t>
      </w:r>
      <w:r>
        <w:t>.</w:t>
      </w:r>
      <w:r>
        <w:tab/>
        <w:t>When FVROs may be made</w:t>
      </w:r>
      <w:bookmarkEnd w:id="29"/>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30" w:name="_Toc119492633"/>
      <w:r>
        <w:rPr>
          <w:rStyle w:val="CharSectno"/>
        </w:rPr>
        <w:lastRenderedPageBreak/>
        <w:t>10E</w:t>
      </w:r>
      <w:r>
        <w:t>.</w:t>
      </w:r>
      <w:r>
        <w:tab/>
        <w:t>FVRO may be made for child in circumstances of family violence</w:t>
      </w:r>
      <w:bookmarkEnd w:id="30"/>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31" w:name="_Toc119492634"/>
      <w:r>
        <w:rPr>
          <w:rStyle w:val="CharSectno"/>
        </w:rPr>
        <w:t>10F</w:t>
      </w:r>
      <w:r>
        <w:t>.</w:t>
      </w:r>
      <w:r>
        <w:tab/>
        <w:t>Matters to be considered by court generally</w:t>
      </w:r>
      <w:bookmarkEnd w:id="31"/>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 xml:space="preserve">the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 xml:space="preserve">The Commissioner of Police, is, where practicable, to provide to a court any information in the possession of the Police Force of </w:t>
      </w:r>
      <w:r>
        <w:lastRenderedPageBreak/>
        <w:t>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32" w:name="_Toc119492635"/>
      <w:r>
        <w:rPr>
          <w:rStyle w:val="CharSectno"/>
        </w:rPr>
        <w:t>10G</w:t>
      </w:r>
      <w:r>
        <w:t>.</w:t>
      </w:r>
      <w:r>
        <w:tab/>
        <w:t>Restraints on respondent</w:t>
      </w:r>
      <w:bookmarkEnd w:id="32"/>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lastRenderedPageBreak/>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lastRenderedPageBreak/>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33" w:name="_Toc119492636"/>
      <w:r>
        <w:rPr>
          <w:rStyle w:val="CharSectno"/>
        </w:rPr>
        <w:t>10H</w:t>
      </w:r>
      <w:r>
        <w:t>.</w:t>
      </w:r>
      <w:r>
        <w:tab/>
        <w:t>Conduct agreement</w:t>
      </w:r>
      <w:bookmarkEnd w:id="33"/>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34" w:name="_Toc119413881"/>
      <w:bookmarkStart w:id="35" w:name="_Toc119415537"/>
      <w:bookmarkStart w:id="36" w:name="_Toc119492637"/>
      <w:r>
        <w:rPr>
          <w:rStyle w:val="CharPartNo"/>
        </w:rPr>
        <w:lastRenderedPageBreak/>
        <w:t>Part 1C</w:t>
      </w:r>
      <w:r>
        <w:t> — </w:t>
      </w:r>
      <w:r>
        <w:rPr>
          <w:rStyle w:val="CharPartText"/>
        </w:rPr>
        <w:t>Behaviour management order</w:t>
      </w:r>
      <w:bookmarkEnd w:id="34"/>
      <w:bookmarkEnd w:id="35"/>
      <w:bookmarkEnd w:id="36"/>
    </w:p>
    <w:p>
      <w:pPr>
        <w:pStyle w:val="Footnoteheading"/>
      </w:pPr>
      <w:r>
        <w:tab/>
        <w:t>[Heading inserted: No. 49 of 2016 s. 14.]</w:t>
      </w:r>
    </w:p>
    <w:p>
      <w:pPr>
        <w:pStyle w:val="Heading3"/>
      </w:pPr>
      <w:bookmarkStart w:id="37" w:name="_Toc119413882"/>
      <w:bookmarkStart w:id="38" w:name="_Toc119415538"/>
      <w:bookmarkStart w:id="39" w:name="_Toc119492638"/>
      <w:r>
        <w:rPr>
          <w:rStyle w:val="CharDivNo"/>
        </w:rPr>
        <w:t>Division 1</w:t>
      </w:r>
      <w:r>
        <w:t> — </w:t>
      </w:r>
      <w:r>
        <w:rPr>
          <w:rStyle w:val="CharDivText"/>
        </w:rPr>
        <w:t>Preliminary</w:t>
      </w:r>
      <w:bookmarkEnd w:id="37"/>
      <w:bookmarkEnd w:id="38"/>
      <w:bookmarkEnd w:id="39"/>
    </w:p>
    <w:p>
      <w:pPr>
        <w:pStyle w:val="Footnoteheading"/>
      </w:pPr>
      <w:r>
        <w:tab/>
        <w:t>[Heading inserted: No. 49 of 2016 s. 14.]</w:t>
      </w:r>
    </w:p>
    <w:p>
      <w:pPr>
        <w:pStyle w:val="Heading5"/>
      </w:pPr>
      <w:bookmarkStart w:id="40" w:name="_Toc119492639"/>
      <w:r>
        <w:rPr>
          <w:rStyle w:val="CharSectno"/>
        </w:rPr>
        <w:t>10I</w:t>
      </w:r>
      <w:r>
        <w:t>.</w:t>
      </w:r>
      <w:r>
        <w:tab/>
        <w:t>Terms used</w:t>
      </w:r>
      <w:bookmarkEnd w:id="40"/>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41" w:name="_Toc119492640"/>
      <w:r>
        <w:rPr>
          <w:rStyle w:val="CharSectno"/>
        </w:rPr>
        <w:lastRenderedPageBreak/>
        <w:t>10J</w:t>
      </w:r>
      <w:r>
        <w:t>.</w:t>
      </w:r>
      <w:r>
        <w:tab/>
        <w:t>Objects</w:t>
      </w:r>
      <w:bookmarkEnd w:id="41"/>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42" w:name="_Toc119492641"/>
      <w:r>
        <w:rPr>
          <w:rStyle w:val="CharSectno"/>
        </w:rPr>
        <w:t>10K</w:t>
      </w:r>
      <w:r>
        <w:t>.</w:t>
      </w:r>
      <w:r>
        <w:tab/>
        <w:t>Application of Part</w:t>
      </w:r>
      <w:bookmarkEnd w:id="42"/>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43" w:name="_Toc119413886"/>
      <w:bookmarkStart w:id="44" w:name="_Toc119415542"/>
      <w:bookmarkStart w:id="45" w:name="_Toc119492642"/>
      <w:r>
        <w:rPr>
          <w:rStyle w:val="CharDivNo"/>
        </w:rPr>
        <w:t>Division 2</w:t>
      </w:r>
      <w:r>
        <w:t> — </w:t>
      </w:r>
      <w:r>
        <w:rPr>
          <w:rStyle w:val="CharDivText"/>
        </w:rPr>
        <w:t>Eligibility assessment order</w:t>
      </w:r>
      <w:bookmarkEnd w:id="43"/>
      <w:bookmarkEnd w:id="44"/>
      <w:bookmarkEnd w:id="45"/>
    </w:p>
    <w:p>
      <w:pPr>
        <w:pStyle w:val="Footnoteheading"/>
      </w:pPr>
      <w:r>
        <w:tab/>
        <w:t>[Heading inserted: No. 49 of 2016 s. 14.]</w:t>
      </w:r>
    </w:p>
    <w:p>
      <w:pPr>
        <w:pStyle w:val="Heading5"/>
      </w:pPr>
      <w:bookmarkStart w:id="46" w:name="_Toc119492643"/>
      <w:r>
        <w:rPr>
          <w:rStyle w:val="CharSectno"/>
        </w:rPr>
        <w:t>10L</w:t>
      </w:r>
      <w:r>
        <w:t>.</w:t>
      </w:r>
      <w:r>
        <w:tab/>
        <w:t>Making an eligibility assessment order</w:t>
      </w:r>
      <w:bookmarkEnd w:id="46"/>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lastRenderedPageBreak/>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lastRenderedPageBreak/>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47" w:name="_Toc119492644"/>
      <w:r>
        <w:rPr>
          <w:rStyle w:val="CharSectno"/>
        </w:rPr>
        <w:t>10M</w:t>
      </w:r>
      <w:r>
        <w:t>.</w:t>
      </w:r>
      <w:r>
        <w:tab/>
        <w:t>Order to attend behaviour change programme</w:t>
      </w:r>
      <w:bookmarkEnd w:id="47"/>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lastRenderedPageBreak/>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48" w:name="_Toc119492645"/>
      <w:r>
        <w:rPr>
          <w:rStyle w:val="CharSectno"/>
        </w:rPr>
        <w:t>10N</w:t>
      </w:r>
      <w:r>
        <w:t>.</w:t>
      </w:r>
      <w:r>
        <w:tab/>
        <w:t>Effect of appeal against final order</w:t>
      </w:r>
      <w:bookmarkEnd w:id="48"/>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49" w:name="_Toc119413890"/>
      <w:bookmarkStart w:id="50" w:name="_Toc119415546"/>
      <w:bookmarkStart w:id="51" w:name="_Toc119492646"/>
      <w:r>
        <w:rPr>
          <w:rStyle w:val="CharDivNo"/>
        </w:rPr>
        <w:lastRenderedPageBreak/>
        <w:t>Division 3</w:t>
      </w:r>
      <w:r>
        <w:t> — </w:t>
      </w:r>
      <w:r>
        <w:rPr>
          <w:rStyle w:val="CharDivText"/>
        </w:rPr>
        <w:t>Procedures relating to behaviour management order</w:t>
      </w:r>
      <w:bookmarkEnd w:id="49"/>
      <w:bookmarkEnd w:id="50"/>
      <w:bookmarkEnd w:id="51"/>
    </w:p>
    <w:p>
      <w:pPr>
        <w:pStyle w:val="Footnoteheading"/>
      </w:pPr>
      <w:r>
        <w:tab/>
        <w:t>[Heading inserted: No. 49 of 2016 s. 14.]</w:t>
      </w:r>
    </w:p>
    <w:p>
      <w:pPr>
        <w:pStyle w:val="Heading5"/>
      </w:pPr>
      <w:bookmarkStart w:id="52" w:name="_Toc119492647"/>
      <w:r>
        <w:rPr>
          <w:rStyle w:val="CharSectno"/>
        </w:rPr>
        <w:t>10O</w:t>
      </w:r>
      <w:r>
        <w:t>.</w:t>
      </w:r>
      <w:r>
        <w:tab/>
        <w:t>Notice of hearings</w:t>
      </w:r>
      <w:bookmarkEnd w:id="52"/>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53" w:name="_Toc119492648"/>
      <w:r>
        <w:rPr>
          <w:rStyle w:val="CharSectno"/>
        </w:rPr>
        <w:t>10P</w:t>
      </w:r>
      <w:r>
        <w:t>.</w:t>
      </w:r>
      <w:r>
        <w:tab/>
        <w:t>Approval of persons and of behaviour change programme</w:t>
      </w:r>
      <w:bookmarkEnd w:id="53"/>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lastRenderedPageBreak/>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54" w:name="_Toc119492649"/>
      <w:r>
        <w:rPr>
          <w:rStyle w:val="CharSectno"/>
        </w:rPr>
        <w:t>10Q</w:t>
      </w:r>
      <w:r>
        <w:t>.</w:t>
      </w:r>
      <w:r>
        <w:tab/>
        <w:t>Eligibility assessor may be required to attend hearing</w:t>
      </w:r>
      <w:bookmarkEnd w:id="54"/>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55" w:name="_Toc119492650"/>
      <w:r>
        <w:rPr>
          <w:rStyle w:val="CharSectno"/>
        </w:rPr>
        <w:t>10R</w:t>
      </w:r>
      <w:r>
        <w:t>.</w:t>
      </w:r>
      <w:r>
        <w:tab/>
        <w:t>Disputed eligibility assessment report</w:t>
      </w:r>
      <w:bookmarkEnd w:id="55"/>
    </w:p>
    <w:p>
      <w:pPr>
        <w:pStyle w:val="Subsection"/>
      </w:pPr>
      <w:r>
        <w:tab/>
        <w:t>(1)</w:t>
      </w:r>
      <w:r>
        <w:tab/>
        <w:t xml:space="preserve">If the respondent disputes any matter in an eligibility assessment report, the court must not take the disputed matter into </w:t>
      </w:r>
      <w:r>
        <w:lastRenderedPageBreak/>
        <w:t xml:space="preserve">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56" w:name="_Toc119492651"/>
      <w:r>
        <w:rPr>
          <w:rStyle w:val="CharSectno"/>
        </w:rPr>
        <w:t>10S</w:t>
      </w:r>
      <w:r>
        <w:t>.</w:t>
      </w:r>
      <w:r>
        <w:tab/>
        <w:t>Explanation of behaviour management orders</w:t>
      </w:r>
      <w:bookmarkEnd w:id="56"/>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57" w:name="_Toc119492652"/>
      <w:r>
        <w:rPr>
          <w:rStyle w:val="CharSectno"/>
        </w:rPr>
        <w:t>10T</w:t>
      </w:r>
      <w:r>
        <w:t>.</w:t>
      </w:r>
      <w:r>
        <w:tab/>
        <w:t>Variation or cancellation of behaviour management orders</w:t>
      </w:r>
      <w:bookmarkEnd w:id="57"/>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lastRenderedPageBreak/>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58" w:name="_Toc119492653"/>
      <w:r>
        <w:rPr>
          <w:rStyle w:val="CharSectno"/>
        </w:rPr>
        <w:t>10U</w:t>
      </w:r>
      <w:r>
        <w:t>.</w:t>
      </w:r>
      <w:r>
        <w:tab/>
        <w:t>Service of orders</w:t>
      </w:r>
      <w:bookmarkEnd w:id="58"/>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w:t>
      </w:r>
      <w:r>
        <w:lastRenderedPageBreak/>
        <w:t xml:space="preserve">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59" w:name="_Toc119413898"/>
      <w:bookmarkStart w:id="60" w:name="_Toc119415554"/>
      <w:bookmarkStart w:id="61" w:name="_Toc119492654"/>
      <w:r>
        <w:rPr>
          <w:rStyle w:val="CharDivNo"/>
        </w:rPr>
        <w:t>Division 4</w:t>
      </w:r>
      <w:r>
        <w:t> — </w:t>
      </w:r>
      <w:r>
        <w:rPr>
          <w:rStyle w:val="CharDivText"/>
        </w:rPr>
        <w:t>Other matters</w:t>
      </w:r>
      <w:bookmarkEnd w:id="59"/>
      <w:bookmarkEnd w:id="60"/>
      <w:bookmarkEnd w:id="61"/>
    </w:p>
    <w:p>
      <w:pPr>
        <w:pStyle w:val="Footnoteheading"/>
      </w:pPr>
      <w:r>
        <w:tab/>
        <w:t>[Heading inserted: No. 49 of 2016 s. 14.]</w:t>
      </w:r>
    </w:p>
    <w:p>
      <w:pPr>
        <w:pStyle w:val="Heading5"/>
      </w:pPr>
      <w:bookmarkStart w:id="62" w:name="_Toc119492655"/>
      <w:r>
        <w:rPr>
          <w:rStyle w:val="CharSectno"/>
        </w:rPr>
        <w:t>10V</w:t>
      </w:r>
      <w:r>
        <w:t>.</w:t>
      </w:r>
      <w:r>
        <w:tab/>
        <w:t>Respondent’s participation in behaviour change programme</w:t>
      </w:r>
      <w:bookmarkEnd w:id="62"/>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lastRenderedPageBreak/>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63" w:name="_Toc119492656"/>
      <w:r>
        <w:rPr>
          <w:rStyle w:val="CharSectno"/>
        </w:rPr>
        <w:t>10W</w:t>
      </w:r>
      <w:r>
        <w:t>.</w:t>
      </w:r>
      <w:r>
        <w:tab/>
        <w:t>Respondent’s contravention of behaviour management order</w:t>
      </w:r>
      <w:bookmarkEnd w:id="63"/>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64" w:name="_Toc119492657"/>
      <w:r>
        <w:rPr>
          <w:rStyle w:val="CharSectno"/>
        </w:rPr>
        <w:t>10X</w:t>
      </w:r>
      <w:r>
        <w:t>.</w:t>
      </w:r>
      <w:r>
        <w:tab/>
        <w:t>Confidentiality of interviews and reports</w:t>
      </w:r>
      <w:bookmarkEnd w:id="64"/>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lastRenderedPageBreak/>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65" w:name="_Toc119492658"/>
      <w:r>
        <w:rPr>
          <w:rStyle w:val="CharSectno"/>
        </w:rPr>
        <w:lastRenderedPageBreak/>
        <w:t>10Y</w:t>
      </w:r>
      <w:r>
        <w:t>.</w:t>
      </w:r>
      <w:r>
        <w:tab/>
        <w:t>Confidentiality of behaviour change programme</w:t>
      </w:r>
      <w:bookmarkEnd w:id="65"/>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66" w:name="_Toc119492659"/>
      <w:r>
        <w:rPr>
          <w:rStyle w:val="CharSectno"/>
        </w:rPr>
        <w:t>10Z</w:t>
      </w:r>
      <w:r>
        <w:t>.</w:t>
      </w:r>
      <w:r>
        <w:tab/>
        <w:t>Delegation</w:t>
      </w:r>
      <w:bookmarkEnd w:id="66"/>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67" w:name="_Toc119413904"/>
      <w:bookmarkStart w:id="68" w:name="_Toc119415560"/>
      <w:bookmarkStart w:id="69" w:name="_Toc119492660"/>
      <w:r>
        <w:rPr>
          <w:rStyle w:val="CharPartNo"/>
        </w:rPr>
        <w:lastRenderedPageBreak/>
        <w:t>Part 2</w:t>
      </w:r>
      <w:r>
        <w:rPr>
          <w:rStyle w:val="CharDivNo"/>
        </w:rPr>
        <w:t> </w:t>
      </w:r>
      <w:r>
        <w:t>—</w:t>
      </w:r>
      <w:r>
        <w:rPr>
          <w:rStyle w:val="CharDivText"/>
        </w:rPr>
        <w:t> </w:t>
      </w:r>
      <w:r>
        <w:rPr>
          <w:rStyle w:val="CharPartText"/>
        </w:rPr>
        <w:t>Violence restraining order</w:t>
      </w:r>
      <w:bookmarkEnd w:id="67"/>
      <w:bookmarkEnd w:id="68"/>
      <w:bookmarkEnd w:id="69"/>
      <w:r>
        <w:rPr>
          <w:rStyle w:val="CharPartText"/>
        </w:rPr>
        <w:t xml:space="preserve"> </w:t>
      </w:r>
    </w:p>
    <w:p>
      <w:pPr>
        <w:pStyle w:val="Ednotedivision"/>
      </w:pPr>
      <w:r>
        <w:tab/>
        <w:t>[Division heading deleted: No. 49 of 2016 s. 15.]</w:t>
      </w:r>
    </w:p>
    <w:p>
      <w:pPr>
        <w:pStyle w:val="Heading5"/>
      </w:pPr>
      <w:bookmarkStart w:id="70" w:name="_Toc119492661"/>
      <w:r>
        <w:rPr>
          <w:rStyle w:val="CharSectno"/>
        </w:rPr>
        <w:t>11</w:t>
      </w:r>
      <w:r>
        <w:t>.</w:t>
      </w:r>
      <w:r>
        <w:tab/>
        <w:t>VRO to specify names of person bound, and person protected, by order</w:t>
      </w:r>
      <w:bookmarkEnd w:id="70"/>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71" w:name="_Toc119492662"/>
      <w:r>
        <w:rPr>
          <w:rStyle w:val="CharSectno"/>
        </w:rPr>
        <w:t>11A</w:t>
      </w:r>
      <w:r>
        <w:t>.</w:t>
      </w:r>
      <w:r>
        <w:tab/>
        <w:t>When VROs may be made</w:t>
      </w:r>
      <w:bookmarkEnd w:id="71"/>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72" w:name="_Toc119492663"/>
      <w:r>
        <w:rPr>
          <w:rStyle w:val="CharSectno"/>
        </w:rPr>
        <w:lastRenderedPageBreak/>
        <w:t>12</w:t>
      </w:r>
      <w:r>
        <w:rPr>
          <w:snapToGrid w:val="0"/>
        </w:rPr>
        <w:t>.</w:t>
      </w:r>
      <w:r>
        <w:rPr>
          <w:snapToGrid w:val="0"/>
        </w:rPr>
        <w:tab/>
        <w:t>Matters to be considered by court generally</w:t>
      </w:r>
      <w:bookmarkEnd w:id="72"/>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lastRenderedPageBreak/>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73" w:name="_Toc119492664"/>
      <w:r>
        <w:rPr>
          <w:rStyle w:val="CharSectno"/>
        </w:rPr>
        <w:t>12A</w:t>
      </w:r>
      <w:r>
        <w:t>.</w:t>
      </w:r>
      <w:r>
        <w:tab/>
        <w:t>VROs not for persons in family relationship</w:t>
      </w:r>
      <w:bookmarkEnd w:id="73"/>
    </w:p>
    <w:p>
      <w:pPr>
        <w:pStyle w:val="Subsection"/>
      </w:pPr>
      <w:r>
        <w:tab/>
      </w:r>
      <w:r>
        <w:tab/>
        <w:t xml:space="preserve">A court is not to make a VRO unless it is satisfied that the person seeking to be protected by the order and the person </w:t>
      </w:r>
      <w:r>
        <w:lastRenderedPageBreak/>
        <w:t>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74" w:name="_Toc119492665"/>
      <w:r>
        <w:rPr>
          <w:rStyle w:val="CharSectno"/>
        </w:rPr>
        <w:t>13</w:t>
      </w:r>
      <w:r>
        <w:rPr>
          <w:snapToGrid w:val="0"/>
        </w:rPr>
        <w:t>.</w:t>
      </w:r>
      <w:r>
        <w:rPr>
          <w:snapToGrid w:val="0"/>
        </w:rPr>
        <w:tab/>
        <w:t>Restraints on respondent</w:t>
      </w:r>
      <w:bookmarkEnd w:id="74"/>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xml:space="preserve">, even if the </w:t>
      </w:r>
      <w:r>
        <w:rPr>
          <w:snapToGrid w:val="0"/>
        </w:rPr>
        <w:lastRenderedPageBreak/>
        <w:t>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75" w:name="_Toc119413910"/>
      <w:bookmarkStart w:id="76" w:name="_Toc119415566"/>
      <w:bookmarkStart w:id="77" w:name="_Toc119492666"/>
      <w:r>
        <w:rPr>
          <w:rStyle w:val="CharPartNo"/>
        </w:rPr>
        <w:lastRenderedPageBreak/>
        <w:t>Part 2A</w:t>
      </w:r>
      <w:r>
        <w:t> — </w:t>
      </w:r>
      <w:r>
        <w:rPr>
          <w:rStyle w:val="CharPartText"/>
        </w:rPr>
        <w:t>Provisions for FVRO and VRO</w:t>
      </w:r>
      <w:bookmarkEnd w:id="75"/>
      <w:bookmarkEnd w:id="76"/>
      <w:bookmarkEnd w:id="77"/>
    </w:p>
    <w:p>
      <w:pPr>
        <w:pStyle w:val="Footnoteheading"/>
      </w:pPr>
      <w:r>
        <w:tab/>
        <w:t>[Heading inserted: No. 49 of 2016 s. 22.]</w:t>
      </w:r>
    </w:p>
    <w:p>
      <w:pPr>
        <w:pStyle w:val="Heading3"/>
      </w:pPr>
      <w:bookmarkStart w:id="78" w:name="_Toc119413911"/>
      <w:bookmarkStart w:id="79" w:name="_Toc119415567"/>
      <w:bookmarkStart w:id="80" w:name="_Toc119492667"/>
      <w:r>
        <w:rPr>
          <w:rStyle w:val="CharDivNo"/>
        </w:rPr>
        <w:t>Division 1AA</w:t>
      </w:r>
      <w:r>
        <w:t> — </w:t>
      </w:r>
      <w:r>
        <w:rPr>
          <w:rStyle w:val="CharDivText"/>
        </w:rPr>
        <w:t>Additional circumstances where orders may be made</w:t>
      </w:r>
      <w:bookmarkEnd w:id="78"/>
      <w:bookmarkEnd w:id="79"/>
      <w:bookmarkEnd w:id="80"/>
    </w:p>
    <w:p>
      <w:pPr>
        <w:pStyle w:val="Footnoteheading"/>
      </w:pPr>
      <w:r>
        <w:tab/>
        <w:t>[Heading inserted: No. 30 of 2020 s. 57.]</w:t>
      </w:r>
    </w:p>
    <w:p>
      <w:pPr>
        <w:pStyle w:val="Heading5"/>
      </w:pPr>
      <w:bookmarkStart w:id="81" w:name="_Toc119492668"/>
      <w:r>
        <w:rPr>
          <w:rStyle w:val="CharSectno"/>
        </w:rPr>
        <w:t>13A</w:t>
      </w:r>
      <w:r>
        <w:t>.</w:t>
      </w:r>
      <w:r>
        <w:tab/>
        <w:t>Cases involving violent offences</w:t>
      </w:r>
      <w:bookmarkEnd w:id="81"/>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lastRenderedPageBreak/>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82" w:name="_Toc119413913"/>
      <w:bookmarkStart w:id="83" w:name="_Toc119415569"/>
      <w:bookmarkStart w:id="84" w:name="_Toc119492669"/>
      <w:r>
        <w:rPr>
          <w:rStyle w:val="CharDivNo"/>
        </w:rPr>
        <w:t>Division 1</w:t>
      </w:r>
      <w:r>
        <w:t> — </w:t>
      </w:r>
      <w:r>
        <w:rPr>
          <w:rStyle w:val="CharDivText"/>
        </w:rPr>
        <w:t>Orders relating to firearm items and explosives</w:t>
      </w:r>
      <w:bookmarkEnd w:id="82"/>
      <w:bookmarkEnd w:id="83"/>
      <w:bookmarkEnd w:id="84"/>
    </w:p>
    <w:p>
      <w:pPr>
        <w:pStyle w:val="Footnoteheading"/>
        <w:keepNext/>
      </w:pPr>
      <w:r>
        <w:tab/>
        <w:t>[Heading inserted: No. 49 of 2016 s. 22; amended: No. 30 of 2020 s. 58; No. 13 of 2022 s. 80.]</w:t>
      </w:r>
    </w:p>
    <w:p>
      <w:pPr>
        <w:pStyle w:val="Heading5"/>
        <w:spacing w:before="120"/>
        <w:rPr>
          <w:snapToGrid w:val="0"/>
        </w:rPr>
      </w:pPr>
      <w:bookmarkStart w:id="85" w:name="_Toc119492670"/>
      <w:r>
        <w:rPr>
          <w:rStyle w:val="CharSectno"/>
        </w:rPr>
        <w:t>14</w:t>
      </w:r>
      <w:r>
        <w:rPr>
          <w:snapToGrid w:val="0"/>
        </w:rPr>
        <w:t>.</w:t>
      </w:r>
      <w:r>
        <w:rPr>
          <w:snapToGrid w:val="0"/>
        </w:rPr>
        <w:tab/>
        <w:t>Firearms order</w:t>
      </w:r>
      <w:bookmarkEnd w:id="85"/>
      <w:r>
        <w:rPr>
          <w:snapToGrid w:val="0"/>
        </w:rPr>
        <w:t xml:space="preserve"> </w:t>
      </w:r>
    </w:p>
    <w:p>
      <w:pPr>
        <w:pStyle w:val="Subsection"/>
        <w:keepNext/>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lastRenderedPageBreak/>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Subsection"/>
        <w:keepNext/>
        <w:spacing w:before="120"/>
        <w:rPr>
          <w:snapToGrid w:val="0"/>
        </w:rPr>
      </w:pPr>
      <w:r>
        <w:rPr>
          <w:snapToGrid w:val="0"/>
        </w:rPr>
        <w:tab/>
        <w:t>(5)</w:t>
      </w:r>
      <w:r>
        <w:rPr>
          <w:snapToGrid w:val="0"/>
        </w:rPr>
        <w:tab/>
        <w:t xml:space="preserve">When making </w:t>
      </w:r>
      <w:r>
        <w:t xml:space="preserve">an FVRO or VRO </w:t>
      </w:r>
      <w:r>
        <w:rPr>
          <w:snapToGrid w:val="0"/>
        </w:rPr>
        <w:t xml:space="preserve">a court may permit the respondent to have possession of a </w:t>
      </w:r>
      <w:r>
        <w:t>firearm item</w:t>
      </w:r>
      <w:r>
        <w:rPr>
          <w:snapToGrid w:val="0"/>
        </w:rPr>
        <w:t xml:space="preserve">, and, if necessary, a </w:t>
      </w:r>
      <w:r>
        <w:t>firearms authorisation</w:t>
      </w:r>
      <w:r>
        <w:rPr>
          <w:snapToGrid w:val="0"/>
        </w:rPr>
        <w:t xml:space="preserve"> relating to it, on such conditions as the court thinks fit, if the court is satisfied that — </w:t>
      </w:r>
    </w:p>
    <w:p>
      <w:pPr>
        <w:pStyle w:val="Indenta"/>
        <w:spacing w:before="60"/>
        <w:rPr>
          <w:snapToGrid w:val="0"/>
        </w:rPr>
      </w:pPr>
      <w:r>
        <w:rPr>
          <w:snapToGrid w:val="0"/>
        </w:rPr>
        <w:tab/>
        <w:t>(a)</w:t>
      </w:r>
      <w:r>
        <w:rPr>
          <w:snapToGrid w:val="0"/>
        </w:rPr>
        <w:tab/>
        <w:t xml:space="preserve">the respondent cannot carry on the respondent’s usual occupation unless the respondent is permitted to have possession of a </w:t>
      </w:r>
      <w:r>
        <w:t>firearm item</w:t>
      </w:r>
      <w:r>
        <w:rPr>
          <w:snapToGrid w:val="0"/>
        </w:rPr>
        <w:t>; and</w:t>
      </w:r>
    </w:p>
    <w:p>
      <w:pPr>
        <w:pStyle w:val="Indenta"/>
        <w:spacing w:before="60"/>
        <w:rPr>
          <w:snapToGrid w:val="0"/>
        </w:rPr>
      </w:pPr>
      <w:r>
        <w:rPr>
          <w:snapToGrid w:val="0"/>
        </w:rPr>
        <w:tab/>
        <w:t>(b)</w:t>
      </w:r>
      <w:r>
        <w:rPr>
          <w:snapToGrid w:val="0"/>
        </w:rPr>
        <w:tab/>
        <w:t xml:space="preserve">the behaviour in relation to which the order was sought did not involve the use, or threatened use, of a </w:t>
      </w:r>
      <w:r>
        <w:t>firearm item</w:t>
      </w:r>
      <w:r>
        <w:rPr>
          <w:snapToGrid w:val="0"/>
        </w:rPr>
        <w:t>; and</w:t>
      </w:r>
    </w:p>
    <w:p>
      <w:pPr>
        <w:pStyle w:val="Indenta"/>
        <w:spacing w:before="60"/>
        <w:rPr>
          <w:snapToGrid w:val="0"/>
        </w:rPr>
      </w:pPr>
      <w:r>
        <w:rPr>
          <w:snapToGrid w:val="0"/>
        </w:rPr>
        <w:tab/>
        <w:t>(c)</w:t>
      </w:r>
      <w:r>
        <w:rPr>
          <w:snapToGrid w:val="0"/>
        </w:rPr>
        <w:tab/>
        <w:t xml:space="preserve">the safety of any person, or their perception of their safety, is not likely to be adversely affected by the respondent’s possession of a </w:t>
      </w:r>
      <w:r>
        <w:t>firearm item</w:t>
      </w:r>
      <w:r>
        <w:rPr>
          <w:snapToGrid w:val="0"/>
        </w:rPr>
        <w:t>.</w:t>
      </w:r>
    </w:p>
    <w:p>
      <w:pPr>
        <w:pStyle w:val="Subsection"/>
        <w:spacing w:before="120"/>
        <w:rPr>
          <w:snapToGrid w:val="0"/>
        </w:rPr>
      </w:pPr>
      <w:r>
        <w:rPr>
          <w:snapToGrid w:val="0"/>
        </w:rPr>
        <w:tab/>
        <w:t>(6)</w:t>
      </w:r>
      <w:r>
        <w:rPr>
          <w:snapToGrid w:val="0"/>
        </w:rPr>
        <w:tab/>
        <w:t xml:space="preserve">If, under subsection (5), a court permits a respondent to have possession of a </w:t>
      </w:r>
      <w:r>
        <w:t>firearm item</w:t>
      </w:r>
      <w:r>
        <w:rPr>
          <w:snapToGrid w:val="0"/>
        </w:rPr>
        <w:t xml:space="preserve">, the court must make that possession subject to such conditions (in addition to any conditions imposed under that subsection) as the applicant or </w:t>
      </w:r>
      <w:r>
        <w:lastRenderedPageBreak/>
        <w:t>person seeking to be protected</w:t>
      </w:r>
      <w:r>
        <w:rPr>
          <w:snapToGrid w:val="0"/>
        </w:rPr>
        <w:t xml:space="preserve"> requests unless the court considers the requested conditions to be unreasonable.</w:t>
      </w:r>
    </w:p>
    <w:p>
      <w:pPr>
        <w:pStyle w:val="Subsection"/>
        <w:keepNext/>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 xml:space="preserve">within which the respondent must give up possession of </w:t>
      </w:r>
      <w:r>
        <w:t>firearm items and</w:t>
      </w:r>
      <w:r>
        <w:rPr>
          <w:snapToGrid w:val="0"/>
        </w:rPr>
        <w:t xml:space="preserve"> </w:t>
      </w:r>
      <w:r>
        <w:t>firearms authorisations</w:t>
      </w:r>
      <w:r>
        <w:rPr>
          <w:snapToGrid w:val="0"/>
        </w:rPr>
        <w:t>.</w:t>
      </w:r>
    </w:p>
    <w:p>
      <w:pPr>
        <w:pStyle w:val="Footnotesection"/>
        <w:spacing w:before="80"/>
        <w:ind w:left="890" w:hanging="890"/>
      </w:pPr>
      <w:r>
        <w:tab/>
        <w:t>[Section 14 amended: No. 38 of 2004 s. 55; No. 49 of 2016 s. 23; No. 13 of 2022 s. 80 and 81.]</w:t>
      </w:r>
    </w:p>
    <w:p>
      <w:pPr>
        <w:pStyle w:val="Heading5"/>
      </w:pPr>
      <w:bookmarkStart w:id="86" w:name="_Toc119492671"/>
      <w:r>
        <w:rPr>
          <w:rStyle w:val="CharSectno"/>
        </w:rPr>
        <w:t>14A</w:t>
      </w:r>
      <w:r>
        <w:t>.</w:t>
      </w:r>
      <w:r>
        <w:tab/>
        <w:t>Explosives order</w:t>
      </w:r>
      <w:bookmarkEnd w:id="86"/>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87" w:name="_Toc119413916"/>
      <w:bookmarkStart w:id="88" w:name="_Toc119415572"/>
      <w:bookmarkStart w:id="89" w:name="_Toc119492672"/>
      <w:r>
        <w:rPr>
          <w:rStyle w:val="CharDivNo"/>
        </w:rPr>
        <w:lastRenderedPageBreak/>
        <w:t>Division 1A</w:t>
      </w:r>
      <w:r>
        <w:t> — </w:t>
      </w:r>
      <w:r>
        <w:rPr>
          <w:rStyle w:val="CharDivText"/>
        </w:rPr>
        <w:t>Duration of orders</w:t>
      </w:r>
      <w:bookmarkEnd w:id="87"/>
      <w:bookmarkEnd w:id="88"/>
      <w:bookmarkEnd w:id="89"/>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90" w:name="_Toc119492673"/>
      <w:r>
        <w:rPr>
          <w:rStyle w:val="CharSectno"/>
        </w:rPr>
        <w:t>16</w:t>
      </w:r>
      <w:r>
        <w:rPr>
          <w:snapToGrid w:val="0"/>
        </w:rPr>
        <w:t>.</w:t>
      </w:r>
      <w:r>
        <w:rPr>
          <w:snapToGrid w:val="0"/>
        </w:rPr>
        <w:tab/>
        <w:t>Duration of FVRO or VRO generally</w:t>
      </w:r>
      <w:bookmarkEnd w:id="90"/>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91" w:name="_Toc119492674"/>
      <w:r>
        <w:rPr>
          <w:rStyle w:val="CharSectno"/>
        </w:rPr>
        <w:lastRenderedPageBreak/>
        <w:t>16A</w:t>
      </w:r>
      <w:r>
        <w:t>.</w:t>
      </w:r>
      <w:r>
        <w:tab/>
        <w:t>Duration of FVRO</w:t>
      </w:r>
      <w:bookmarkEnd w:id="91"/>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 xml:space="preserve">in the case of an order made at a final order hearing or under section 10H, or any interim order which becomes a final order under section 32 — 2 years, or such longer </w:t>
      </w:r>
      <w:r>
        <w:lastRenderedPageBreak/>
        <w:t>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92" w:name="_Toc119492675"/>
      <w:r>
        <w:rPr>
          <w:rStyle w:val="CharSectno"/>
        </w:rPr>
        <w:t>16B</w:t>
      </w:r>
      <w:r>
        <w:t>.</w:t>
      </w:r>
      <w:r>
        <w:tab/>
        <w:t>Duration of VRO</w:t>
      </w:r>
      <w:bookmarkEnd w:id="92"/>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tab/>
        <w:t>(b)</w:t>
      </w:r>
      <w:r>
        <w:tab/>
        <w:t xml:space="preserve">in the case of a telephone order which became a final order under section 32 — 3 months from when the </w:t>
      </w:r>
      <w:r>
        <w:lastRenderedPageBreak/>
        <w:t>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93" w:name="_Toc119413920"/>
      <w:bookmarkStart w:id="94" w:name="_Toc119415576"/>
      <w:bookmarkStart w:id="95" w:name="_Toc119492676"/>
      <w:r>
        <w:rPr>
          <w:rStyle w:val="CharDivNo"/>
        </w:rPr>
        <w:t>Division 2</w:t>
      </w:r>
      <w:r>
        <w:rPr>
          <w:snapToGrid w:val="0"/>
        </w:rPr>
        <w:t> — </w:t>
      </w:r>
      <w:r>
        <w:rPr>
          <w:rStyle w:val="CharDivText"/>
        </w:rPr>
        <w:t>Telephone applications</w:t>
      </w:r>
      <w:bookmarkEnd w:id="93"/>
      <w:bookmarkEnd w:id="94"/>
      <w:bookmarkEnd w:id="95"/>
      <w:r>
        <w:rPr>
          <w:rStyle w:val="CharDivText"/>
        </w:rPr>
        <w:t xml:space="preserve"> </w:t>
      </w:r>
    </w:p>
    <w:p>
      <w:pPr>
        <w:pStyle w:val="Heading5"/>
        <w:rPr>
          <w:snapToGrid w:val="0"/>
        </w:rPr>
      </w:pPr>
      <w:bookmarkStart w:id="96" w:name="_Toc119492677"/>
      <w:r>
        <w:rPr>
          <w:rStyle w:val="CharSectno"/>
        </w:rPr>
        <w:t>17</w:t>
      </w:r>
      <w:r>
        <w:rPr>
          <w:snapToGrid w:val="0"/>
        </w:rPr>
        <w:t>.</w:t>
      </w:r>
      <w:r>
        <w:rPr>
          <w:snapToGrid w:val="0"/>
        </w:rPr>
        <w:tab/>
        <w:t>Authorised magistrates</w:t>
      </w:r>
      <w:bookmarkEnd w:id="96"/>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97" w:name="_Toc119492678"/>
      <w:r>
        <w:rPr>
          <w:rStyle w:val="CharSectno"/>
        </w:rPr>
        <w:t>18</w:t>
      </w:r>
      <w:r>
        <w:t>.</w:t>
      </w:r>
      <w:r>
        <w:tab/>
        <w:t>Who can apply</w:t>
      </w:r>
      <w:bookmarkEnd w:id="97"/>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lastRenderedPageBreak/>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98" w:name="_Toc119492679"/>
      <w:r>
        <w:rPr>
          <w:rStyle w:val="CharSectno"/>
        </w:rPr>
        <w:t>19</w:t>
      </w:r>
      <w:r>
        <w:rPr>
          <w:snapToGrid w:val="0"/>
        </w:rPr>
        <w:t>.</w:t>
      </w:r>
      <w:r>
        <w:rPr>
          <w:snapToGrid w:val="0"/>
        </w:rPr>
        <w:tab/>
        <w:t>How to make telephone application</w:t>
      </w:r>
      <w:bookmarkEnd w:id="98"/>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99" w:name="_Toc119492680"/>
      <w:r>
        <w:rPr>
          <w:rStyle w:val="CharSectno"/>
        </w:rPr>
        <w:lastRenderedPageBreak/>
        <w:t>20</w:t>
      </w:r>
      <w:r>
        <w:rPr>
          <w:snapToGrid w:val="0"/>
        </w:rPr>
        <w:t>.</w:t>
      </w:r>
      <w:r>
        <w:rPr>
          <w:snapToGrid w:val="0"/>
        </w:rPr>
        <w:tab/>
        <w:t>When telephone application may be heard</w:t>
      </w:r>
      <w:bookmarkEnd w:id="99"/>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100" w:name="_Toc119492681"/>
      <w:r>
        <w:rPr>
          <w:rStyle w:val="CharSectno"/>
        </w:rPr>
        <w:t>21</w:t>
      </w:r>
      <w:r>
        <w:rPr>
          <w:snapToGrid w:val="0"/>
        </w:rPr>
        <w:t>.</w:t>
      </w:r>
      <w:r>
        <w:rPr>
          <w:snapToGrid w:val="0"/>
        </w:rPr>
        <w:tab/>
        <w:t>How hearing to be conducted</w:t>
      </w:r>
      <w:bookmarkEnd w:id="100"/>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lastRenderedPageBreak/>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01" w:name="_Toc119492682"/>
      <w:r>
        <w:rPr>
          <w:rStyle w:val="CharSectno"/>
        </w:rPr>
        <w:t>23</w:t>
      </w:r>
      <w:r>
        <w:rPr>
          <w:snapToGrid w:val="0"/>
        </w:rPr>
        <w:t>.</w:t>
      </w:r>
      <w:r>
        <w:rPr>
          <w:snapToGrid w:val="0"/>
        </w:rPr>
        <w:tab/>
        <w:t>Orders at telephone hearing</w:t>
      </w:r>
      <w:bookmarkEnd w:id="101"/>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102" w:name="_Toc119492683"/>
      <w:r>
        <w:rPr>
          <w:rStyle w:val="CharSectno"/>
        </w:rPr>
        <w:lastRenderedPageBreak/>
        <w:t>24</w:t>
      </w:r>
      <w:r>
        <w:rPr>
          <w:snapToGrid w:val="0"/>
        </w:rPr>
        <w:t>.</w:t>
      </w:r>
      <w:r>
        <w:rPr>
          <w:snapToGrid w:val="0"/>
        </w:rPr>
        <w:tab/>
        <w:t>Telephone order to be prepared and served</w:t>
      </w:r>
      <w:bookmarkEnd w:id="102"/>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103" w:name="_Toc119413928"/>
      <w:bookmarkStart w:id="104" w:name="_Toc119415584"/>
      <w:bookmarkStart w:id="105" w:name="_Toc119492684"/>
      <w:r>
        <w:rPr>
          <w:rStyle w:val="CharDivNo"/>
        </w:rPr>
        <w:t>Division 3</w:t>
      </w:r>
      <w:r>
        <w:rPr>
          <w:snapToGrid w:val="0"/>
        </w:rPr>
        <w:t> — </w:t>
      </w:r>
      <w:r>
        <w:rPr>
          <w:rStyle w:val="CharDivText"/>
        </w:rPr>
        <w:t>Applications in person to a court</w:t>
      </w:r>
      <w:bookmarkEnd w:id="103"/>
      <w:bookmarkEnd w:id="104"/>
      <w:bookmarkEnd w:id="105"/>
    </w:p>
    <w:p>
      <w:pPr>
        <w:pStyle w:val="Footnoteheading"/>
        <w:keepNext/>
        <w:tabs>
          <w:tab w:val="left" w:pos="851"/>
        </w:tabs>
      </w:pPr>
      <w:r>
        <w:tab/>
        <w:t>[Heading amended: No. 38 of 2004 s. 18(7).]</w:t>
      </w:r>
    </w:p>
    <w:p>
      <w:pPr>
        <w:pStyle w:val="Heading5"/>
      </w:pPr>
      <w:bookmarkStart w:id="106" w:name="_Toc119492685"/>
      <w:r>
        <w:rPr>
          <w:rStyle w:val="CharSectno"/>
        </w:rPr>
        <w:t>24A</w:t>
      </w:r>
      <w:r>
        <w:t>.</w:t>
      </w:r>
      <w:r>
        <w:tab/>
        <w:t>Application for FVRO</w:t>
      </w:r>
      <w:bookmarkEnd w:id="106"/>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lastRenderedPageBreak/>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lastRenderedPageBreak/>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107" w:name="_Toc119492686"/>
      <w:r>
        <w:rPr>
          <w:rStyle w:val="CharSectno"/>
        </w:rPr>
        <w:t>25</w:t>
      </w:r>
      <w:r>
        <w:t>.</w:t>
      </w:r>
      <w:r>
        <w:tab/>
        <w:t>Application for VRO</w:t>
      </w:r>
      <w:bookmarkEnd w:id="107"/>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108" w:name="_Toc119492687"/>
      <w:r>
        <w:rPr>
          <w:rStyle w:val="CharSectno"/>
        </w:rPr>
        <w:lastRenderedPageBreak/>
        <w:t>26</w:t>
      </w:r>
      <w:r>
        <w:rPr>
          <w:snapToGrid w:val="0"/>
        </w:rPr>
        <w:t>.</w:t>
      </w:r>
      <w:r>
        <w:rPr>
          <w:snapToGrid w:val="0"/>
        </w:rPr>
        <w:tab/>
        <w:t>Applicant to choose whether to have hearing in absence of respondent</w:t>
      </w:r>
      <w:bookmarkEnd w:id="108"/>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109" w:name="_Toc119492688"/>
      <w:r>
        <w:rPr>
          <w:rStyle w:val="CharSectno"/>
        </w:rPr>
        <w:t>27</w:t>
      </w:r>
      <w:r>
        <w:rPr>
          <w:snapToGrid w:val="0"/>
        </w:rPr>
        <w:t>.</w:t>
      </w:r>
      <w:r>
        <w:rPr>
          <w:snapToGrid w:val="0"/>
        </w:rPr>
        <w:tab/>
        <w:t>Attendance at hearing in absence of respondent</w:t>
      </w:r>
      <w:bookmarkEnd w:id="109"/>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lastRenderedPageBreak/>
        <w:tab/>
        <w:t>[(4a), (5)</w:t>
      </w:r>
      <w:r>
        <w:tab/>
        <w:t>deleted]</w:t>
      </w:r>
    </w:p>
    <w:p>
      <w:pPr>
        <w:pStyle w:val="Footnotesection"/>
      </w:pPr>
      <w:r>
        <w:tab/>
        <w:t>[Section 27 amended: No. 38 of 2004 s. 15; No. 5 of 2008 s. 93; No. 30 of 2020 s. 61.]</w:t>
      </w:r>
    </w:p>
    <w:p>
      <w:pPr>
        <w:pStyle w:val="Heading5"/>
        <w:rPr>
          <w:snapToGrid w:val="0"/>
        </w:rPr>
      </w:pPr>
      <w:bookmarkStart w:id="110" w:name="_Toc119492689"/>
      <w:r>
        <w:rPr>
          <w:rStyle w:val="CharSectno"/>
        </w:rPr>
        <w:t>28</w:t>
      </w:r>
      <w:r>
        <w:rPr>
          <w:snapToGrid w:val="0"/>
        </w:rPr>
        <w:t>.</w:t>
      </w:r>
      <w:r>
        <w:rPr>
          <w:snapToGrid w:val="0"/>
        </w:rPr>
        <w:tab/>
        <w:t>Affidavit evidence</w:t>
      </w:r>
      <w:bookmarkEnd w:id="110"/>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11" w:name="_Toc119492690"/>
      <w:r>
        <w:rPr>
          <w:rStyle w:val="CharSectno"/>
        </w:rPr>
        <w:t>29</w:t>
      </w:r>
      <w:r>
        <w:rPr>
          <w:snapToGrid w:val="0"/>
        </w:rPr>
        <w:t>.</w:t>
      </w:r>
      <w:r>
        <w:rPr>
          <w:snapToGrid w:val="0"/>
        </w:rPr>
        <w:tab/>
        <w:t>Order at hearing in absence of respondent</w:t>
      </w:r>
      <w:bookmarkEnd w:id="111"/>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12" w:name="_Toc119492691"/>
      <w:r>
        <w:rPr>
          <w:rStyle w:val="CharSectno"/>
        </w:rPr>
        <w:lastRenderedPageBreak/>
        <w:t>30</w:t>
      </w:r>
      <w:r>
        <w:rPr>
          <w:snapToGrid w:val="0"/>
        </w:rPr>
        <w:t>.</w:t>
      </w:r>
      <w:r>
        <w:rPr>
          <w:snapToGrid w:val="0"/>
        </w:rPr>
        <w:tab/>
        <w:t>Order to be prepared and served</w:t>
      </w:r>
      <w:bookmarkEnd w:id="112"/>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113" w:name="_Toc119413936"/>
      <w:bookmarkStart w:id="114" w:name="_Toc119415592"/>
      <w:bookmarkStart w:id="115" w:name="_Toc119492692"/>
      <w:r>
        <w:rPr>
          <w:rStyle w:val="CharDivNo"/>
        </w:rPr>
        <w:t>Division 3A</w:t>
      </w:r>
      <w:r>
        <w:t> — </w:t>
      </w:r>
      <w:r>
        <w:rPr>
          <w:rStyle w:val="CharDivText"/>
        </w:rPr>
        <w:t>Police officers may make police orders where family violence</w:t>
      </w:r>
      <w:bookmarkEnd w:id="113"/>
      <w:bookmarkEnd w:id="114"/>
      <w:bookmarkEnd w:id="115"/>
    </w:p>
    <w:p>
      <w:pPr>
        <w:pStyle w:val="Footnoteheading"/>
        <w:keepNext/>
        <w:keepLines/>
        <w:tabs>
          <w:tab w:val="left" w:pos="851"/>
        </w:tabs>
      </w:pPr>
      <w:r>
        <w:tab/>
        <w:t>[Heading inserted: No. 38 of 2004 s. 18(1); amended: No. 49 of 2016 s. 34.]</w:t>
      </w:r>
    </w:p>
    <w:p>
      <w:pPr>
        <w:pStyle w:val="Heading5"/>
        <w:spacing w:before="180"/>
      </w:pPr>
      <w:bookmarkStart w:id="116" w:name="_Toc119492693"/>
      <w:r>
        <w:rPr>
          <w:rStyle w:val="CharSectno"/>
        </w:rPr>
        <w:t>30A</w:t>
      </w:r>
      <w:r>
        <w:t>.</w:t>
      </w:r>
      <w:r>
        <w:tab/>
        <w:t>When police order may be made</w:t>
      </w:r>
      <w:bookmarkEnd w:id="116"/>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lastRenderedPageBreak/>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117" w:name="_Toc119492694"/>
      <w:r>
        <w:rPr>
          <w:rStyle w:val="CharSectno"/>
        </w:rPr>
        <w:t>30B</w:t>
      </w:r>
      <w:r>
        <w:t>.</w:t>
      </w:r>
      <w:r>
        <w:tab/>
        <w:t>Matters to be considered by police officer generally</w:t>
      </w:r>
      <w:bookmarkEnd w:id="117"/>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18" w:name="_Toc119492695"/>
      <w:r>
        <w:rPr>
          <w:rStyle w:val="CharSectno"/>
        </w:rPr>
        <w:lastRenderedPageBreak/>
        <w:t>30C</w:t>
      </w:r>
      <w:r>
        <w:t>.</w:t>
      </w:r>
      <w:r>
        <w:tab/>
        <w:t>Restraints that may be imposed</w:t>
      </w:r>
      <w:bookmarkEnd w:id="118"/>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19" w:name="_Toc119492696"/>
      <w:r>
        <w:rPr>
          <w:rStyle w:val="CharSectno"/>
        </w:rPr>
        <w:lastRenderedPageBreak/>
        <w:t>30D</w:t>
      </w:r>
      <w:r>
        <w:t>.</w:t>
      </w:r>
      <w:r>
        <w:tab/>
        <w:t>Police orders against children</w:t>
      </w:r>
      <w:bookmarkEnd w:id="119"/>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20" w:name="_Toc119492697"/>
      <w:r>
        <w:rPr>
          <w:rStyle w:val="CharSectno"/>
        </w:rPr>
        <w:t>30E</w:t>
      </w:r>
      <w:r>
        <w:t>.</w:t>
      </w:r>
      <w:r>
        <w:tab/>
        <w:t>Police order to be served and explained</w:t>
      </w:r>
      <w:bookmarkEnd w:id="120"/>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 xml:space="preserve">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w:t>
      </w:r>
      <w:r>
        <w:lastRenderedPageBreak/>
        <w:t>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121" w:name="_Toc119492698"/>
      <w:r>
        <w:rPr>
          <w:rStyle w:val="CharSectno"/>
        </w:rPr>
        <w:t>30F</w:t>
      </w:r>
      <w:r>
        <w:t>.</w:t>
      </w:r>
      <w:r>
        <w:tab/>
        <w:t>Duration of police orders</w:t>
      </w:r>
      <w:bookmarkEnd w:id="121"/>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22" w:name="_Toc119492699"/>
      <w:r>
        <w:rPr>
          <w:rStyle w:val="CharSectno"/>
        </w:rPr>
        <w:lastRenderedPageBreak/>
        <w:t>30H</w:t>
      </w:r>
      <w:r>
        <w:t>.</w:t>
      </w:r>
      <w:r>
        <w:tab/>
        <w:t>Order not to be renewed by police officer</w:t>
      </w:r>
      <w:bookmarkEnd w:id="122"/>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123" w:name="_Toc119492700"/>
      <w:r>
        <w:rPr>
          <w:rStyle w:val="CharSectno"/>
        </w:rPr>
        <w:t>30I</w:t>
      </w:r>
      <w:r>
        <w:t>.</w:t>
      </w:r>
      <w:r>
        <w:tab/>
        <w:t>Review of Division</w:t>
      </w:r>
      <w:bookmarkEnd w:id="123"/>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24" w:name="_Toc119413945"/>
      <w:bookmarkStart w:id="125" w:name="_Toc119415601"/>
      <w:bookmarkStart w:id="126" w:name="_Toc119492701"/>
      <w:r>
        <w:rPr>
          <w:rStyle w:val="CharDivNo"/>
        </w:rPr>
        <w:t>Division 4</w:t>
      </w:r>
      <w:r>
        <w:rPr>
          <w:snapToGrid w:val="0"/>
        </w:rPr>
        <w:t> — </w:t>
      </w:r>
      <w:r>
        <w:rPr>
          <w:rStyle w:val="CharDivText"/>
        </w:rPr>
        <w:t>Procedure when interim order made</w:t>
      </w:r>
      <w:bookmarkEnd w:id="124"/>
      <w:bookmarkEnd w:id="125"/>
      <w:bookmarkEnd w:id="126"/>
      <w:r>
        <w:rPr>
          <w:rStyle w:val="CharDivText"/>
        </w:rPr>
        <w:t xml:space="preserve"> </w:t>
      </w:r>
    </w:p>
    <w:p>
      <w:pPr>
        <w:pStyle w:val="Heading5"/>
      </w:pPr>
      <w:bookmarkStart w:id="127" w:name="_Toc119492702"/>
      <w:r>
        <w:rPr>
          <w:rStyle w:val="CharSectno"/>
        </w:rPr>
        <w:t>31A</w:t>
      </w:r>
      <w:r>
        <w:t>.</w:t>
      </w:r>
      <w:r>
        <w:tab/>
        <w:t>Term used: respondent</w:t>
      </w:r>
      <w:bookmarkEnd w:id="127"/>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28" w:name="_Toc119492703"/>
      <w:r>
        <w:rPr>
          <w:rStyle w:val="CharSectno"/>
        </w:rPr>
        <w:lastRenderedPageBreak/>
        <w:t>31</w:t>
      </w:r>
      <w:r>
        <w:rPr>
          <w:snapToGrid w:val="0"/>
        </w:rPr>
        <w:t>.</w:t>
      </w:r>
      <w:r>
        <w:rPr>
          <w:snapToGrid w:val="0"/>
        </w:rPr>
        <w:tab/>
        <w:t>21 days for respondent to object</w:t>
      </w:r>
      <w:bookmarkEnd w:id="128"/>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29" w:name="_Toc119492704"/>
      <w:r>
        <w:rPr>
          <w:rStyle w:val="CharSectno"/>
        </w:rPr>
        <w:t>32</w:t>
      </w:r>
      <w:r>
        <w:rPr>
          <w:snapToGrid w:val="0"/>
        </w:rPr>
        <w:t>.</w:t>
      </w:r>
      <w:r>
        <w:rPr>
          <w:snapToGrid w:val="0"/>
        </w:rPr>
        <w:tab/>
        <w:t>Respondent does not object to final order being made</w:t>
      </w:r>
      <w:bookmarkEnd w:id="129"/>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xml:space="preserve">) becomes a final order under subsection (2), the respondent may within 21 days of being notified under subsection (4), or such further period as the court may allow at a hearing fixed under subsection (6), apply to </w:t>
      </w:r>
      <w:r>
        <w:lastRenderedPageBreak/>
        <w:t>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lastRenderedPageBreak/>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130" w:name="_Toc119492705"/>
      <w:r>
        <w:rPr>
          <w:rStyle w:val="CharSectno"/>
        </w:rPr>
        <w:t>33</w:t>
      </w:r>
      <w:r>
        <w:rPr>
          <w:snapToGrid w:val="0"/>
        </w:rPr>
        <w:t>.</w:t>
      </w:r>
      <w:r>
        <w:rPr>
          <w:snapToGrid w:val="0"/>
        </w:rPr>
        <w:tab/>
        <w:t>Respondent objects to final order being made</w:t>
      </w:r>
      <w:bookmarkEnd w:id="130"/>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lastRenderedPageBreak/>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131" w:name="_Toc119413950"/>
      <w:bookmarkStart w:id="132" w:name="_Toc119415606"/>
      <w:bookmarkStart w:id="133" w:name="_Toc119492706"/>
      <w:r>
        <w:rPr>
          <w:rStyle w:val="CharPartNo"/>
        </w:rPr>
        <w:lastRenderedPageBreak/>
        <w:t>Part 3</w:t>
      </w:r>
      <w:r>
        <w:rPr>
          <w:rStyle w:val="CharDivNo"/>
        </w:rPr>
        <w:t> </w:t>
      </w:r>
      <w:r>
        <w:t>—</w:t>
      </w:r>
      <w:r>
        <w:rPr>
          <w:rStyle w:val="CharDivText"/>
        </w:rPr>
        <w:t> </w:t>
      </w:r>
      <w:r>
        <w:rPr>
          <w:rStyle w:val="CharPartText"/>
        </w:rPr>
        <w:t>Misconduct restraining order</w:t>
      </w:r>
      <w:bookmarkEnd w:id="131"/>
      <w:bookmarkEnd w:id="132"/>
      <w:bookmarkEnd w:id="133"/>
      <w:r>
        <w:rPr>
          <w:rStyle w:val="CharPartText"/>
        </w:rPr>
        <w:t xml:space="preserve"> </w:t>
      </w:r>
    </w:p>
    <w:p>
      <w:pPr>
        <w:pStyle w:val="Heading5"/>
        <w:rPr>
          <w:snapToGrid w:val="0"/>
        </w:rPr>
      </w:pPr>
      <w:bookmarkStart w:id="134" w:name="_Toc119492707"/>
      <w:r>
        <w:rPr>
          <w:rStyle w:val="CharSectno"/>
        </w:rPr>
        <w:t>34</w:t>
      </w:r>
      <w:r>
        <w:rPr>
          <w:snapToGrid w:val="0"/>
        </w:rPr>
        <w:t>.</w:t>
      </w:r>
      <w:r>
        <w:rPr>
          <w:snapToGrid w:val="0"/>
        </w:rPr>
        <w:tab/>
        <w:t>Grounds for misconduct restraining order</w:t>
      </w:r>
      <w:bookmarkEnd w:id="134"/>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135" w:name="_Toc119492708"/>
      <w:r>
        <w:rPr>
          <w:rStyle w:val="CharSectno"/>
        </w:rPr>
        <w:t>35</w:t>
      </w:r>
      <w:r>
        <w:rPr>
          <w:snapToGrid w:val="0"/>
        </w:rPr>
        <w:t>.</w:t>
      </w:r>
      <w:r>
        <w:rPr>
          <w:snapToGrid w:val="0"/>
        </w:rPr>
        <w:tab/>
        <w:t>Matters to be considered by court generally</w:t>
      </w:r>
      <w:bookmarkEnd w:id="135"/>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lastRenderedPageBreak/>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136" w:name="_Toc119492709"/>
      <w:r>
        <w:rPr>
          <w:rStyle w:val="CharSectno"/>
        </w:rPr>
        <w:t>35A</w:t>
      </w:r>
      <w:r>
        <w:t>.</w:t>
      </w:r>
      <w:r>
        <w:tab/>
        <w:t>MROs not for persons in family relationship</w:t>
      </w:r>
      <w:bookmarkEnd w:id="136"/>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37" w:name="_Toc119492710"/>
      <w:r>
        <w:rPr>
          <w:rStyle w:val="CharSectno"/>
        </w:rPr>
        <w:t>36</w:t>
      </w:r>
      <w:r>
        <w:rPr>
          <w:snapToGrid w:val="0"/>
        </w:rPr>
        <w:t>.</w:t>
      </w:r>
      <w:r>
        <w:rPr>
          <w:snapToGrid w:val="0"/>
        </w:rPr>
        <w:tab/>
        <w:t>Restraints on respondent</w:t>
      </w:r>
      <w:bookmarkEnd w:id="137"/>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lastRenderedPageBreak/>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lastRenderedPageBreak/>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MRO were a VRO (as those sections apply in relation to firearm items and firearms authorisations).</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w:t>
      </w:r>
    </w:p>
    <w:p>
      <w:pPr>
        <w:pStyle w:val="Heading5"/>
        <w:rPr>
          <w:snapToGrid w:val="0"/>
        </w:rPr>
      </w:pPr>
      <w:bookmarkStart w:id="138" w:name="_Toc119492711"/>
      <w:r>
        <w:rPr>
          <w:rStyle w:val="CharSectno"/>
        </w:rPr>
        <w:t>37</w:t>
      </w:r>
      <w:r>
        <w:rPr>
          <w:snapToGrid w:val="0"/>
        </w:rPr>
        <w:t>.</w:t>
      </w:r>
      <w:r>
        <w:rPr>
          <w:snapToGrid w:val="0"/>
        </w:rPr>
        <w:tab/>
        <w:t>Duration of MRO</w:t>
      </w:r>
      <w:bookmarkEnd w:id="138"/>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39" w:name="_Toc119492712"/>
      <w:r>
        <w:rPr>
          <w:rStyle w:val="CharSectno"/>
        </w:rPr>
        <w:t>38</w:t>
      </w:r>
      <w:r>
        <w:t>.</w:t>
      </w:r>
      <w:r>
        <w:tab/>
        <w:t>Application for MRO</w:t>
      </w:r>
      <w:bookmarkEnd w:id="139"/>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lastRenderedPageBreak/>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140" w:name="_Toc119492713"/>
      <w:r>
        <w:rPr>
          <w:rStyle w:val="CharSectno"/>
        </w:rPr>
        <w:t>39</w:t>
      </w:r>
      <w:r>
        <w:rPr>
          <w:snapToGrid w:val="0"/>
        </w:rPr>
        <w:t>.</w:t>
      </w:r>
      <w:r>
        <w:rPr>
          <w:snapToGrid w:val="0"/>
        </w:rPr>
        <w:tab/>
      </w:r>
      <w:r>
        <w:t xml:space="preserve">Registrar </w:t>
      </w:r>
      <w:r>
        <w:rPr>
          <w:snapToGrid w:val="0"/>
        </w:rPr>
        <w:t>to fix hearing and issue summons</w:t>
      </w:r>
      <w:bookmarkEnd w:id="140"/>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41" w:name="_Toc119413958"/>
      <w:bookmarkStart w:id="142" w:name="_Toc119415614"/>
      <w:bookmarkStart w:id="143" w:name="_Toc119492714"/>
      <w:r>
        <w:rPr>
          <w:rStyle w:val="CharPartNo"/>
        </w:rPr>
        <w:lastRenderedPageBreak/>
        <w:t>Part 4</w:t>
      </w:r>
      <w:r>
        <w:t> — </w:t>
      </w:r>
      <w:r>
        <w:rPr>
          <w:rStyle w:val="CharPartText"/>
        </w:rPr>
        <w:t>Hearings and evidence</w:t>
      </w:r>
      <w:bookmarkEnd w:id="141"/>
      <w:bookmarkEnd w:id="142"/>
      <w:bookmarkEnd w:id="143"/>
    </w:p>
    <w:p>
      <w:pPr>
        <w:pStyle w:val="Footnoteheading"/>
        <w:tabs>
          <w:tab w:val="left" w:pos="851"/>
        </w:tabs>
      </w:pPr>
      <w:r>
        <w:tab/>
        <w:t>[Heading amended: No. 38 of 2004 s. 22.]</w:t>
      </w:r>
    </w:p>
    <w:p>
      <w:pPr>
        <w:pStyle w:val="Heading3"/>
        <w:rPr>
          <w:snapToGrid w:val="0"/>
        </w:rPr>
      </w:pPr>
      <w:bookmarkStart w:id="144" w:name="_Toc119413959"/>
      <w:bookmarkStart w:id="145" w:name="_Toc119415615"/>
      <w:bookmarkStart w:id="146" w:name="_Toc119492715"/>
      <w:r>
        <w:rPr>
          <w:rStyle w:val="CharDivNo"/>
        </w:rPr>
        <w:t>Division 1</w:t>
      </w:r>
      <w:r>
        <w:rPr>
          <w:snapToGrid w:val="0"/>
        </w:rPr>
        <w:t> — </w:t>
      </w:r>
      <w:r>
        <w:rPr>
          <w:rStyle w:val="CharDivText"/>
        </w:rPr>
        <w:t>Mention hearings</w:t>
      </w:r>
      <w:bookmarkEnd w:id="144"/>
      <w:bookmarkEnd w:id="145"/>
      <w:bookmarkEnd w:id="146"/>
      <w:r>
        <w:rPr>
          <w:rStyle w:val="CharDivText"/>
        </w:rPr>
        <w:t xml:space="preserve"> </w:t>
      </w:r>
    </w:p>
    <w:p>
      <w:pPr>
        <w:pStyle w:val="Heading5"/>
        <w:spacing w:before="200"/>
        <w:rPr>
          <w:snapToGrid w:val="0"/>
        </w:rPr>
      </w:pPr>
      <w:bookmarkStart w:id="147" w:name="_Toc119492716"/>
      <w:r>
        <w:rPr>
          <w:rStyle w:val="CharSectno"/>
        </w:rPr>
        <w:t>40</w:t>
      </w:r>
      <w:r>
        <w:rPr>
          <w:snapToGrid w:val="0"/>
        </w:rPr>
        <w:t>.</w:t>
      </w:r>
      <w:r>
        <w:rPr>
          <w:snapToGrid w:val="0"/>
        </w:rPr>
        <w:tab/>
        <w:t>Attendance at hearing</w:t>
      </w:r>
      <w:bookmarkEnd w:id="147"/>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148" w:name="_Toc119492717"/>
      <w:r>
        <w:rPr>
          <w:rStyle w:val="CharSectno"/>
        </w:rPr>
        <w:t>41</w:t>
      </w:r>
      <w:r>
        <w:rPr>
          <w:snapToGrid w:val="0"/>
        </w:rPr>
        <w:t>.</w:t>
      </w:r>
      <w:r>
        <w:rPr>
          <w:snapToGrid w:val="0"/>
        </w:rPr>
        <w:tab/>
        <w:t>Consent order or final order hearing to be fixed</w:t>
      </w:r>
      <w:bookmarkEnd w:id="148"/>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w:t>
      </w:r>
      <w:r>
        <w:rPr>
          <w:snapToGrid w:val="0"/>
        </w:rPr>
        <w:lastRenderedPageBreak/>
        <w:t>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149" w:name="_Toc119413962"/>
      <w:bookmarkStart w:id="150" w:name="_Toc119415618"/>
      <w:bookmarkStart w:id="151" w:name="_Toc119492718"/>
      <w:r>
        <w:rPr>
          <w:rStyle w:val="CharDivNo"/>
        </w:rPr>
        <w:t>Division 2</w:t>
      </w:r>
      <w:r>
        <w:rPr>
          <w:snapToGrid w:val="0"/>
        </w:rPr>
        <w:t> — </w:t>
      </w:r>
      <w:r>
        <w:rPr>
          <w:rStyle w:val="CharDivText"/>
        </w:rPr>
        <w:t>Final order hearings</w:t>
      </w:r>
      <w:bookmarkEnd w:id="149"/>
      <w:bookmarkEnd w:id="150"/>
      <w:bookmarkEnd w:id="151"/>
      <w:r>
        <w:rPr>
          <w:rStyle w:val="CharDivText"/>
        </w:rPr>
        <w:t xml:space="preserve"> </w:t>
      </w:r>
    </w:p>
    <w:p>
      <w:pPr>
        <w:pStyle w:val="Heading5"/>
        <w:rPr>
          <w:snapToGrid w:val="0"/>
        </w:rPr>
      </w:pPr>
      <w:bookmarkStart w:id="152" w:name="_Toc119492719"/>
      <w:r>
        <w:rPr>
          <w:rStyle w:val="CharSectno"/>
        </w:rPr>
        <w:t>42</w:t>
      </w:r>
      <w:r>
        <w:rPr>
          <w:snapToGrid w:val="0"/>
        </w:rPr>
        <w:t>.</w:t>
      </w:r>
      <w:r>
        <w:rPr>
          <w:snapToGrid w:val="0"/>
        </w:rPr>
        <w:tab/>
        <w:t>Attendance at final order hearing</w:t>
      </w:r>
      <w:bookmarkEnd w:id="15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lastRenderedPageBreak/>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153" w:name="_Toc119492720"/>
      <w:r>
        <w:rPr>
          <w:rStyle w:val="CharSectno"/>
        </w:rPr>
        <w:t>43</w:t>
      </w:r>
      <w:r>
        <w:rPr>
          <w:snapToGrid w:val="0"/>
        </w:rPr>
        <w:t>.</w:t>
      </w:r>
      <w:r>
        <w:rPr>
          <w:snapToGrid w:val="0"/>
        </w:rPr>
        <w:tab/>
        <w:t>Making final order</w:t>
      </w:r>
      <w:bookmarkEnd w:id="153"/>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lastRenderedPageBreak/>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154" w:name="_Toc119492721"/>
      <w:r>
        <w:rPr>
          <w:rStyle w:val="CharSectno"/>
        </w:rPr>
        <w:t>43A</w:t>
      </w:r>
      <w:r>
        <w:t>.</w:t>
      </w:r>
      <w:r>
        <w:tab/>
        <w:t>Decision under s. 42 in default of appearance may be set aside</w:t>
      </w:r>
      <w:bookmarkEnd w:id="154"/>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lastRenderedPageBreak/>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w:t>
      </w:r>
      <w:r>
        <w:rPr>
          <w:snapToGrid w:val="0"/>
        </w:rPr>
        <w:lastRenderedPageBreak/>
        <w:t xml:space="preserve">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155" w:name="_Toc119492722"/>
      <w:r>
        <w:rPr>
          <w:rStyle w:val="CharSectno"/>
        </w:rPr>
        <w:t>44</w:t>
      </w:r>
      <w:r>
        <w:rPr>
          <w:snapToGrid w:val="0"/>
        </w:rPr>
        <w:t>.</w:t>
      </w:r>
      <w:r>
        <w:rPr>
          <w:snapToGrid w:val="0"/>
        </w:rPr>
        <w:tab/>
        <w:t>Order to be prepared and served</w:t>
      </w:r>
      <w:bookmarkEnd w:id="155"/>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156" w:name="_Toc119413967"/>
      <w:bookmarkStart w:id="157" w:name="_Toc119415623"/>
      <w:bookmarkStart w:id="158" w:name="_Toc119492723"/>
      <w:r>
        <w:rPr>
          <w:rStyle w:val="CharDivNo"/>
        </w:rPr>
        <w:lastRenderedPageBreak/>
        <w:t>Division 3</w:t>
      </w:r>
      <w:r>
        <w:t> — </w:t>
      </w:r>
      <w:r>
        <w:rPr>
          <w:rStyle w:val="CharDivText"/>
        </w:rPr>
        <w:t>Evidence</w:t>
      </w:r>
      <w:bookmarkEnd w:id="156"/>
      <w:bookmarkEnd w:id="157"/>
      <w:bookmarkEnd w:id="158"/>
    </w:p>
    <w:p>
      <w:pPr>
        <w:pStyle w:val="Footnoteheading"/>
        <w:keepNext/>
        <w:keepLines/>
        <w:tabs>
          <w:tab w:val="left" w:pos="851"/>
        </w:tabs>
      </w:pPr>
      <w:r>
        <w:tab/>
        <w:t>[Heading inserted: No. 38 of 2004 s. 26.]</w:t>
      </w:r>
    </w:p>
    <w:p>
      <w:pPr>
        <w:pStyle w:val="Heading5"/>
      </w:pPr>
      <w:bookmarkStart w:id="159" w:name="_Toc119492724"/>
      <w:r>
        <w:rPr>
          <w:rStyle w:val="CharSectno"/>
        </w:rPr>
        <w:t>44A</w:t>
      </w:r>
      <w:r>
        <w:t>.</w:t>
      </w:r>
      <w:r>
        <w:tab/>
        <w:t>Rules of evidence not to apply in certain circumstances</w:t>
      </w:r>
      <w:bookmarkEnd w:id="159"/>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160" w:name="_Toc119492725"/>
      <w:r>
        <w:rPr>
          <w:rStyle w:val="CharSectno"/>
        </w:rPr>
        <w:lastRenderedPageBreak/>
        <w:t>44B</w:t>
      </w:r>
      <w:r>
        <w:t>.</w:t>
      </w:r>
      <w:r>
        <w:tab/>
        <w:t>Access to affidavit evidence</w:t>
      </w:r>
      <w:bookmarkEnd w:id="160"/>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161" w:name="_Toc119492726"/>
      <w:r>
        <w:rPr>
          <w:rStyle w:val="CharSectno"/>
        </w:rPr>
        <w:t>44C</w:t>
      </w:r>
      <w:r>
        <w:t>.</w:t>
      </w:r>
      <w:r>
        <w:tab/>
        <w:t>Cross</w:t>
      </w:r>
      <w:r>
        <w:noBreakHyphen/>
        <w:t>examination of certain persons</w:t>
      </w:r>
      <w:bookmarkEnd w:id="161"/>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lastRenderedPageBreak/>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162" w:name="_Toc119413971"/>
      <w:bookmarkStart w:id="163" w:name="_Toc119415627"/>
      <w:bookmarkStart w:id="164" w:name="_Toc119492727"/>
      <w:r>
        <w:rPr>
          <w:rStyle w:val="CharDivNo"/>
        </w:rPr>
        <w:t>Division 4</w:t>
      </w:r>
      <w:r>
        <w:t> — </w:t>
      </w:r>
      <w:r>
        <w:rPr>
          <w:rStyle w:val="CharDivText"/>
        </w:rPr>
        <w:t>Other provisions to protect applicants</w:t>
      </w:r>
      <w:bookmarkEnd w:id="162"/>
      <w:bookmarkEnd w:id="163"/>
      <w:bookmarkEnd w:id="164"/>
    </w:p>
    <w:p>
      <w:pPr>
        <w:pStyle w:val="Footnoteheading"/>
        <w:keepNext/>
        <w:keepLines/>
        <w:tabs>
          <w:tab w:val="left" w:pos="851"/>
        </w:tabs>
      </w:pPr>
      <w:r>
        <w:tab/>
        <w:t>[Heading inserted: No. 30 of 2020 s. 67.]</w:t>
      </w:r>
    </w:p>
    <w:p>
      <w:pPr>
        <w:pStyle w:val="Heading5"/>
      </w:pPr>
      <w:bookmarkStart w:id="165" w:name="_Toc119492728"/>
      <w:r>
        <w:rPr>
          <w:rStyle w:val="CharSectno"/>
        </w:rPr>
        <w:t>44D</w:t>
      </w:r>
      <w:r>
        <w:t>.</w:t>
      </w:r>
      <w:r>
        <w:tab/>
        <w:t>Support and other persons who may be present</w:t>
      </w:r>
      <w:bookmarkEnd w:id="165"/>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166" w:name="_Toc119492729"/>
      <w:r>
        <w:rPr>
          <w:rStyle w:val="CharSectno"/>
        </w:rPr>
        <w:t>44E</w:t>
      </w:r>
      <w:r>
        <w:t>.</w:t>
      </w:r>
      <w:r>
        <w:tab/>
        <w:t>Use of closed circuit television or screening arrangements</w:t>
      </w:r>
      <w:bookmarkEnd w:id="166"/>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lastRenderedPageBreak/>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lastRenderedPageBreak/>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167" w:name="_Toc119492730"/>
      <w:r>
        <w:rPr>
          <w:rStyle w:val="CharSectno"/>
        </w:rPr>
        <w:t>44F</w:t>
      </w:r>
      <w:r>
        <w:t>.</w:t>
      </w:r>
      <w:r>
        <w:tab/>
        <w:t>Additional provisions relating to FVROs</w:t>
      </w:r>
      <w:bookmarkEnd w:id="167"/>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168" w:name="_Toc119413975"/>
      <w:bookmarkStart w:id="169" w:name="_Toc119415631"/>
      <w:bookmarkStart w:id="170" w:name="_Toc119492731"/>
      <w:r>
        <w:rPr>
          <w:rStyle w:val="CharPartNo"/>
        </w:rPr>
        <w:lastRenderedPageBreak/>
        <w:t>Part 5</w:t>
      </w:r>
      <w:r>
        <w:rPr>
          <w:rStyle w:val="CharDivNo"/>
        </w:rPr>
        <w:t> </w:t>
      </w:r>
      <w:r>
        <w:t>—</w:t>
      </w:r>
      <w:r>
        <w:rPr>
          <w:rStyle w:val="CharDivText"/>
        </w:rPr>
        <w:t> </w:t>
      </w:r>
      <w:r>
        <w:rPr>
          <w:rStyle w:val="CharPartText"/>
        </w:rPr>
        <w:t>Variation or cancellation</w:t>
      </w:r>
      <w:bookmarkEnd w:id="168"/>
      <w:bookmarkEnd w:id="169"/>
      <w:bookmarkEnd w:id="170"/>
    </w:p>
    <w:p>
      <w:pPr>
        <w:pStyle w:val="Heading5"/>
      </w:pPr>
      <w:bookmarkStart w:id="171" w:name="_Toc119492732"/>
      <w:r>
        <w:rPr>
          <w:rStyle w:val="CharSectno"/>
        </w:rPr>
        <w:t>45</w:t>
      </w:r>
      <w:r>
        <w:t>.</w:t>
      </w:r>
      <w:r>
        <w:tab/>
        <w:t>Application</w:t>
      </w:r>
      <w:bookmarkEnd w:id="171"/>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lastRenderedPageBreak/>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172" w:name="_Toc119492733"/>
      <w:r>
        <w:rPr>
          <w:rStyle w:val="CharSectno"/>
        </w:rPr>
        <w:lastRenderedPageBreak/>
        <w:t>45A</w:t>
      </w:r>
      <w:r>
        <w:t>.</w:t>
      </w:r>
      <w:r>
        <w:tab/>
        <w:t>Application by CEO (child welfare)</w:t>
      </w:r>
      <w:bookmarkEnd w:id="172"/>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173" w:name="_Toc119492734"/>
      <w:r>
        <w:rPr>
          <w:rStyle w:val="CharSectno"/>
        </w:rPr>
        <w:t>46</w:t>
      </w:r>
      <w:r>
        <w:rPr>
          <w:snapToGrid w:val="0"/>
        </w:rPr>
        <w:t>.</w:t>
      </w:r>
      <w:r>
        <w:rPr>
          <w:snapToGrid w:val="0"/>
        </w:rPr>
        <w:tab/>
        <w:t>Leave hearing</w:t>
      </w:r>
      <w:bookmarkEnd w:id="173"/>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lastRenderedPageBreak/>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174" w:name="_Toc119492735"/>
      <w:r>
        <w:rPr>
          <w:rStyle w:val="CharSectno"/>
        </w:rPr>
        <w:t>47</w:t>
      </w:r>
      <w:r>
        <w:rPr>
          <w:snapToGrid w:val="0"/>
        </w:rPr>
        <w:t>.</w:t>
      </w:r>
      <w:r>
        <w:rPr>
          <w:snapToGrid w:val="0"/>
        </w:rPr>
        <w:tab/>
      </w:r>
      <w:r>
        <w:t xml:space="preserve">Registrar </w:t>
      </w:r>
      <w:r>
        <w:rPr>
          <w:snapToGrid w:val="0"/>
        </w:rPr>
        <w:t>to issue summons</w:t>
      </w:r>
      <w:bookmarkEnd w:id="174"/>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lastRenderedPageBreak/>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175" w:name="_Toc119492736"/>
      <w:r>
        <w:rPr>
          <w:rStyle w:val="CharSectno"/>
        </w:rPr>
        <w:t>48</w:t>
      </w:r>
      <w:r>
        <w:rPr>
          <w:snapToGrid w:val="0"/>
        </w:rPr>
        <w:t>.</w:t>
      </w:r>
      <w:r>
        <w:rPr>
          <w:snapToGrid w:val="0"/>
        </w:rPr>
        <w:tab/>
        <w:t>Attendance at hearing</w:t>
      </w:r>
      <w:bookmarkEnd w:id="175"/>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lastRenderedPageBreak/>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176" w:name="_Toc119492737"/>
      <w:r>
        <w:rPr>
          <w:rStyle w:val="CharSectno"/>
        </w:rPr>
        <w:lastRenderedPageBreak/>
        <w:t>48A</w:t>
      </w:r>
      <w:r>
        <w:t>.</w:t>
      </w:r>
      <w:r>
        <w:tab/>
        <w:t>Ex parte application to cancel order by person protected by order</w:t>
      </w:r>
      <w:bookmarkEnd w:id="176"/>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177" w:name="_Toc119492738"/>
      <w:r>
        <w:rPr>
          <w:rStyle w:val="CharSectno"/>
        </w:rPr>
        <w:t>49</w:t>
      </w:r>
      <w:r>
        <w:rPr>
          <w:snapToGrid w:val="0"/>
        </w:rPr>
        <w:t>.</w:t>
      </w:r>
      <w:r>
        <w:rPr>
          <w:snapToGrid w:val="0"/>
        </w:rPr>
        <w:tab/>
        <w:t>Variation or cancellation</w:t>
      </w:r>
      <w:bookmarkEnd w:id="177"/>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lastRenderedPageBreak/>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178" w:name="_Toc119492739"/>
      <w:r>
        <w:rPr>
          <w:rStyle w:val="CharSectno"/>
        </w:rPr>
        <w:t>49A</w:t>
      </w:r>
      <w:r>
        <w:t>.</w:t>
      </w:r>
      <w:r>
        <w:tab/>
        <w:t>Correcting minor errors in restraining orders</w:t>
      </w:r>
      <w:bookmarkEnd w:id="178"/>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lastRenderedPageBreak/>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179" w:name="_Toc119492740"/>
      <w:r>
        <w:rPr>
          <w:rStyle w:val="CharSectno"/>
        </w:rPr>
        <w:t>49B</w:t>
      </w:r>
      <w:r>
        <w:t>.</w:t>
      </w:r>
      <w:r>
        <w:tab/>
        <w:t>Matters to be considered by court generally</w:t>
      </w:r>
      <w:bookmarkEnd w:id="179"/>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180" w:name="_Toc119492741"/>
      <w:r>
        <w:rPr>
          <w:rStyle w:val="CharSectno"/>
        </w:rPr>
        <w:t>49C</w:t>
      </w:r>
      <w:r>
        <w:t>.</w:t>
      </w:r>
      <w:r>
        <w:tab/>
        <w:t>Variation of application to allow a different order to be sought</w:t>
      </w:r>
      <w:bookmarkEnd w:id="180"/>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181" w:name="_Toc119413986"/>
      <w:bookmarkStart w:id="182" w:name="_Toc119415642"/>
      <w:bookmarkStart w:id="183" w:name="_Toc119492742"/>
      <w:r>
        <w:rPr>
          <w:rStyle w:val="CharPartNo"/>
        </w:rPr>
        <w:lastRenderedPageBreak/>
        <w:t>Part 5A</w:t>
      </w:r>
      <w:r>
        <w:rPr>
          <w:rStyle w:val="CharDivNo"/>
        </w:rPr>
        <w:t> </w:t>
      </w:r>
      <w:r>
        <w:t>—</w:t>
      </w:r>
      <w:r>
        <w:rPr>
          <w:rStyle w:val="CharDivText"/>
        </w:rPr>
        <w:t> </w:t>
      </w:r>
      <w:r>
        <w:rPr>
          <w:rStyle w:val="CharPartText"/>
        </w:rPr>
        <w:t>Conferences</w:t>
      </w:r>
      <w:bookmarkEnd w:id="181"/>
      <w:bookmarkEnd w:id="182"/>
      <w:bookmarkEnd w:id="183"/>
    </w:p>
    <w:p>
      <w:pPr>
        <w:pStyle w:val="Footnoteheading"/>
        <w:tabs>
          <w:tab w:val="left" w:pos="851"/>
        </w:tabs>
        <w:spacing w:before="100"/>
      </w:pPr>
      <w:r>
        <w:tab/>
        <w:t>[Heading inserted: No. 30 of 2020 s. 72.]</w:t>
      </w:r>
    </w:p>
    <w:p>
      <w:pPr>
        <w:pStyle w:val="Heading5"/>
      </w:pPr>
      <w:bookmarkStart w:id="184" w:name="_Toc119492743"/>
      <w:r>
        <w:rPr>
          <w:rStyle w:val="CharSectno"/>
        </w:rPr>
        <w:t>49D</w:t>
      </w:r>
      <w:r>
        <w:t>.</w:t>
      </w:r>
      <w:r>
        <w:tab/>
        <w:t>Special conference procedures</w:t>
      </w:r>
      <w:bookmarkEnd w:id="184"/>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lastRenderedPageBreak/>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lastRenderedPageBreak/>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185" w:name="_Toc119413988"/>
      <w:bookmarkStart w:id="186" w:name="_Toc119415644"/>
      <w:bookmarkStart w:id="187" w:name="_Toc119492744"/>
      <w:r>
        <w:rPr>
          <w:rStyle w:val="CharPartNo"/>
        </w:rPr>
        <w:lastRenderedPageBreak/>
        <w:t>Part 6</w:t>
      </w:r>
      <w:r>
        <w:t> — </w:t>
      </w:r>
      <w:r>
        <w:rPr>
          <w:rStyle w:val="CharPartText"/>
        </w:rPr>
        <w:t>General</w:t>
      </w:r>
      <w:bookmarkEnd w:id="185"/>
      <w:bookmarkEnd w:id="186"/>
      <w:bookmarkEnd w:id="187"/>
      <w:r>
        <w:rPr>
          <w:rStyle w:val="CharPartText"/>
        </w:rPr>
        <w:t xml:space="preserve"> </w:t>
      </w:r>
    </w:p>
    <w:p>
      <w:pPr>
        <w:pStyle w:val="Heading3"/>
      </w:pPr>
      <w:bookmarkStart w:id="188" w:name="_Toc119413989"/>
      <w:bookmarkStart w:id="189" w:name="_Toc119415645"/>
      <w:bookmarkStart w:id="190" w:name="_Toc119492745"/>
      <w:r>
        <w:rPr>
          <w:rStyle w:val="CharDivNo"/>
        </w:rPr>
        <w:t>Division 1</w:t>
      </w:r>
      <w:r>
        <w:t> — </w:t>
      </w:r>
      <w:r>
        <w:rPr>
          <w:rStyle w:val="CharDivText"/>
        </w:rPr>
        <w:t>Children</w:t>
      </w:r>
      <w:bookmarkEnd w:id="188"/>
      <w:bookmarkEnd w:id="189"/>
      <w:bookmarkEnd w:id="190"/>
    </w:p>
    <w:p>
      <w:pPr>
        <w:pStyle w:val="Footnoteheading"/>
        <w:tabs>
          <w:tab w:val="left" w:pos="851"/>
        </w:tabs>
        <w:spacing w:before="100"/>
      </w:pPr>
      <w:r>
        <w:tab/>
        <w:t>[Heading inserted: No. 38 of 2004 s. 35.]</w:t>
      </w:r>
    </w:p>
    <w:p>
      <w:pPr>
        <w:pStyle w:val="Heading5"/>
        <w:rPr>
          <w:snapToGrid w:val="0"/>
        </w:rPr>
      </w:pPr>
      <w:bookmarkStart w:id="191" w:name="_Toc119492746"/>
      <w:r>
        <w:rPr>
          <w:rStyle w:val="CharSectno"/>
        </w:rPr>
        <w:t>50</w:t>
      </w:r>
      <w:r>
        <w:rPr>
          <w:snapToGrid w:val="0"/>
        </w:rPr>
        <w:t>.</w:t>
      </w:r>
      <w:r>
        <w:rPr>
          <w:snapToGrid w:val="0"/>
        </w:rPr>
        <w:tab/>
        <w:t>No restraining orders against children under 10</w:t>
      </w:r>
      <w:bookmarkEnd w:id="191"/>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92" w:name="_Toc119492747"/>
      <w:r>
        <w:rPr>
          <w:rStyle w:val="CharSectno"/>
        </w:rPr>
        <w:t>50A</w:t>
      </w:r>
      <w:r>
        <w:t>.</w:t>
      </w:r>
      <w:r>
        <w:tab/>
        <w:t>Restraining order against child not to exceed 6 months</w:t>
      </w:r>
      <w:bookmarkEnd w:id="19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193" w:name="_Toc119492748"/>
      <w:r>
        <w:rPr>
          <w:rStyle w:val="CharSectno"/>
        </w:rPr>
        <w:t>50B</w:t>
      </w:r>
      <w:r>
        <w:t>.</w:t>
      </w:r>
      <w:r>
        <w:tab/>
        <w:t>Child welfare laws not affected</w:t>
      </w:r>
      <w:bookmarkEnd w:id="19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lastRenderedPageBreak/>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194" w:name="_Toc119492749"/>
      <w:r>
        <w:rPr>
          <w:rStyle w:val="CharSectno"/>
        </w:rPr>
        <w:t>50C</w:t>
      </w:r>
      <w:r>
        <w:t>.</w:t>
      </w:r>
      <w:r>
        <w:tab/>
        <w:t>CEO (child welfare) to be notified before certain FVROs or VROs are made</w:t>
      </w:r>
      <w:bookmarkEnd w:id="194"/>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195" w:name="_Toc119492750"/>
      <w:r>
        <w:rPr>
          <w:rStyle w:val="CharSectno"/>
        </w:rPr>
        <w:lastRenderedPageBreak/>
        <w:t>50D</w:t>
      </w:r>
      <w:r>
        <w:t>.</w:t>
      </w:r>
      <w:r>
        <w:tab/>
        <w:t>Intervention by CEO (child welfare)</w:t>
      </w:r>
      <w:bookmarkEnd w:id="195"/>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196" w:name="_Toc119492751"/>
      <w:r>
        <w:rPr>
          <w:rStyle w:val="CharSectno"/>
        </w:rPr>
        <w:t>51</w:t>
      </w:r>
      <w:r>
        <w:rPr>
          <w:snapToGrid w:val="0"/>
        </w:rPr>
        <w:t>.</w:t>
      </w:r>
      <w:r>
        <w:rPr>
          <w:snapToGrid w:val="0"/>
        </w:rPr>
        <w:tab/>
        <w:t>Responsible adult to attend</w:t>
      </w:r>
      <w:bookmarkEnd w:id="196"/>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97" w:name="_Toc119492752"/>
      <w:r>
        <w:rPr>
          <w:rStyle w:val="CharSectno"/>
        </w:rPr>
        <w:t>52</w:t>
      </w:r>
      <w:r>
        <w:rPr>
          <w:snapToGrid w:val="0"/>
        </w:rPr>
        <w:t>.</w:t>
      </w:r>
      <w:r>
        <w:rPr>
          <w:snapToGrid w:val="0"/>
        </w:rPr>
        <w:tab/>
        <w:t>Transfer between courts</w:t>
      </w:r>
      <w:bookmarkEnd w:id="197"/>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lastRenderedPageBreak/>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198" w:name="_Toc119492753"/>
      <w:r>
        <w:rPr>
          <w:rStyle w:val="CharSectno"/>
        </w:rPr>
        <w:t>53</w:t>
      </w:r>
      <w:r>
        <w:rPr>
          <w:snapToGrid w:val="0"/>
        </w:rPr>
        <w:t>.</w:t>
      </w:r>
      <w:r>
        <w:rPr>
          <w:snapToGrid w:val="0"/>
        </w:rPr>
        <w:tab/>
        <w:t>Telephone order made against child</w:t>
      </w:r>
      <w:bookmarkEnd w:id="19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99" w:name="_Toc119492754"/>
      <w:r>
        <w:rPr>
          <w:rStyle w:val="CharSectno"/>
        </w:rPr>
        <w:lastRenderedPageBreak/>
        <w:t>53A</w:t>
      </w:r>
      <w:r>
        <w:t>.</w:t>
      </w:r>
      <w:r>
        <w:tab/>
        <w:t>Children not to give oral evidence without leave of court, other than in Children’s Court</w:t>
      </w:r>
      <w:bookmarkEnd w:id="199"/>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200" w:name="_Toc119492755"/>
      <w:r>
        <w:rPr>
          <w:rStyle w:val="CharSectno"/>
        </w:rPr>
        <w:t>53B</w:t>
      </w:r>
      <w:r>
        <w:t>.</w:t>
      </w:r>
      <w:r>
        <w:tab/>
        <w:t>Evidence of children</w:t>
      </w:r>
      <w:bookmarkEnd w:id="200"/>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201" w:name="_Toc119492756"/>
      <w:r>
        <w:rPr>
          <w:rStyle w:val="CharSectno"/>
        </w:rPr>
        <w:lastRenderedPageBreak/>
        <w:t>53C</w:t>
      </w:r>
      <w:r>
        <w:t>.</w:t>
      </w:r>
      <w:r>
        <w:tab/>
        <w:t>Child who gives evidence entitled to support</w:t>
      </w:r>
      <w:bookmarkEnd w:id="201"/>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202" w:name="_Toc119492757"/>
      <w:r>
        <w:rPr>
          <w:rStyle w:val="CharSectno"/>
        </w:rPr>
        <w:t>53D</w:t>
      </w:r>
      <w:r>
        <w:t>.</w:t>
      </w:r>
      <w:r>
        <w:tab/>
        <w:t>Cross</w:t>
      </w:r>
      <w:r>
        <w:noBreakHyphen/>
        <w:t>examination of child by unrepresented person</w:t>
      </w:r>
      <w:bookmarkEnd w:id="202"/>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203" w:name="_Toc119492758"/>
      <w:r>
        <w:rPr>
          <w:rStyle w:val="CharSectno"/>
        </w:rPr>
        <w:t>53E</w:t>
      </w:r>
      <w:r>
        <w:t>.</w:t>
      </w:r>
      <w:r>
        <w:tab/>
        <w:t>Admissibility of evidence of representations made by children</w:t>
      </w:r>
      <w:bookmarkEnd w:id="203"/>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lastRenderedPageBreak/>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204" w:name="_Toc119492759"/>
      <w:r>
        <w:rPr>
          <w:rStyle w:val="CharSectno"/>
        </w:rPr>
        <w:t>53F</w:t>
      </w:r>
      <w:r>
        <w:t>.</w:t>
      </w:r>
      <w:r>
        <w:tab/>
        <w:t>Summonsing of children</w:t>
      </w:r>
      <w:bookmarkEnd w:id="204"/>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205" w:name="_Toc119492760"/>
      <w:r>
        <w:rPr>
          <w:rStyle w:val="CharSectno"/>
        </w:rPr>
        <w:t>53G</w:t>
      </w:r>
      <w:r>
        <w:t>.</w:t>
      </w:r>
      <w:r>
        <w:tab/>
        <w:t>Arrangements for care and wellbeing of children bound by restraining orders</w:t>
      </w:r>
      <w:bookmarkEnd w:id="205"/>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206" w:name="_Toc119414005"/>
      <w:bookmarkStart w:id="207" w:name="_Toc119415661"/>
      <w:bookmarkStart w:id="208" w:name="_Toc119492761"/>
      <w:r>
        <w:rPr>
          <w:rStyle w:val="CharDivNo"/>
        </w:rPr>
        <w:lastRenderedPageBreak/>
        <w:t>Division 2</w:t>
      </w:r>
      <w:r>
        <w:rPr>
          <w:snapToGrid w:val="0"/>
        </w:rPr>
        <w:t> — </w:t>
      </w:r>
      <w:r>
        <w:rPr>
          <w:rStyle w:val="CharDivText"/>
        </w:rPr>
        <w:t>Service</w:t>
      </w:r>
      <w:bookmarkEnd w:id="206"/>
      <w:bookmarkEnd w:id="207"/>
      <w:bookmarkEnd w:id="208"/>
      <w:r>
        <w:rPr>
          <w:rStyle w:val="CharDivText"/>
        </w:rPr>
        <w:t xml:space="preserve"> </w:t>
      </w:r>
    </w:p>
    <w:p>
      <w:pPr>
        <w:pStyle w:val="Heading5"/>
        <w:rPr>
          <w:snapToGrid w:val="0"/>
        </w:rPr>
      </w:pPr>
      <w:bookmarkStart w:id="209" w:name="_Toc119492762"/>
      <w:r>
        <w:rPr>
          <w:rStyle w:val="CharSectno"/>
        </w:rPr>
        <w:t>54</w:t>
      </w:r>
      <w:r>
        <w:rPr>
          <w:snapToGrid w:val="0"/>
        </w:rPr>
        <w:t>.</w:t>
      </w:r>
      <w:r>
        <w:rPr>
          <w:snapToGrid w:val="0"/>
        </w:rPr>
        <w:tab/>
        <w:t>Service of summons</w:t>
      </w:r>
      <w:bookmarkEnd w:id="209"/>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210" w:name="_Toc119492763"/>
      <w:r>
        <w:rPr>
          <w:rStyle w:val="CharSectno"/>
        </w:rPr>
        <w:t>55</w:t>
      </w:r>
      <w:r>
        <w:rPr>
          <w:snapToGrid w:val="0"/>
        </w:rPr>
        <w:t>.</w:t>
      </w:r>
      <w:r>
        <w:rPr>
          <w:snapToGrid w:val="0"/>
        </w:rPr>
        <w:tab/>
        <w:t>Service of restraining order</w:t>
      </w:r>
      <w:bookmarkEnd w:id="210"/>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lastRenderedPageBreak/>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lastRenderedPageBreak/>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211" w:name="_Toc119492764"/>
      <w:r>
        <w:rPr>
          <w:rStyle w:val="CharSectno"/>
        </w:rPr>
        <w:t>56</w:t>
      </w:r>
      <w:r>
        <w:rPr>
          <w:snapToGrid w:val="0"/>
        </w:rPr>
        <w:t>.</w:t>
      </w:r>
      <w:r>
        <w:rPr>
          <w:snapToGrid w:val="0"/>
        </w:rPr>
        <w:tab/>
        <w:t>Delivery or notification</w:t>
      </w:r>
      <w:bookmarkEnd w:id="211"/>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12" w:name="_Toc119492765"/>
      <w:r>
        <w:rPr>
          <w:rStyle w:val="CharSectno"/>
        </w:rPr>
        <w:t>57</w:t>
      </w:r>
      <w:r>
        <w:rPr>
          <w:snapToGrid w:val="0"/>
        </w:rPr>
        <w:t>.</w:t>
      </w:r>
      <w:r>
        <w:rPr>
          <w:snapToGrid w:val="0"/>
        </w:rPr>
        <w:tab/>
        <w:t>Copy of document sufficient for service</w:t>
      </w:r>
      <w:bookmarkEnd w:id="212"/>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213" w:name="_Toc119492766"/>
      <w:r>
        <w:rPr>
          <w:rStyle w:val="CharSectno"/>
        </w:rPr>
        <w:lastRenderedPageBreak/>
        <w:t>58</w:t>
      </w:r>
      <w:r>
        <w:rPr>
          <w:snapToGrid w:val="0"/>
        </w:rPr>
        <w:t>.</w:t>
      </w:r>
      <w:r>
        <w:rPr>
          <w:snapToGrid w:val="0"/>
        </w:rPr>
        <w:tab/>
        <w:t>Proof of service</w:t>
      </w:r>
      <w:bookmarkEnd w:id="213"/>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214" w:name="_Toc119492767"/>
      <w:r>
        <w:rPr>
          <w:rStyle w:val="CharSectno"/>
        </w:rPr>
        <w:lastRenderedPageBreak/>
        <w:t>59</w:t>
      </w:r>
      <w:r>
        <w:t>.</w:t>
      </w:r>
      <w:r>
        <w:tab/>
        <w:t>Service of restraining order, certain people to be notified of</w:t>
      </w:r>
      <w:bookmarkEnd w:id="214"/>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215" w:name="_Toc119492768"/>
      <w:r>
        <w:rPr>
          <w:rStyle w:val="CharSectno"/>
        </w:rPr>
        <w:t>60</w:t>
      </w:r>
      <w:r>
        <w:rPr>
          <w:snapToGrid w:val="0"/>
        </w:rPr>
        <w:t>.</w:t>
      </w:r>
      <w:r>
        <w:rPr>
          <w:snapToGrid w:val="0"/>
        </w:rPr>
        <w:tab/>
        <w:t>Substituted service</w:t>
      </w:r>
      <w:bookmarkEnd w:id="215"/>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lastRenderedPageBreak/>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216" w:name="_Toc119414013"/>
      <w:bookmarkStart w:id="217" w:name="_Toc119415669"/>
      <w:bookmarkStart w:id="218" w:name="_Toc119492769"/>
      <w:r>
        <w:rPr>
          <w:rStyle w:val="CharDivNo"/>
        </w:rPr>
        <w:lastRenderedPageBreak/>
        <w:t>Division 3</w:t>
      </w:r>
      <w:r>
        <w:rPr>
          <w:snapToGrid w:val="0"/>
        </w:rPr>
        <w:t> — </w:t>
      </w:r>
      <w:r>
        <w:rPr>
          <w:rStyle w:val="CharDivText"/>
        </w:rPr>
        <w:t>Breach of restraining order or police order</w:t>
      </w:r>
      <w:bookmarkEnd w:id="216"/>
      <w:bookmarkEnd w:id="217"/>
      <w:bookmarkEnd w:id="218"/>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219" w:name="_Toc119492770"/>
      <w:r>
        <w:rPr>
          <w:rStyle w:val="CharSectno"/>
        </w:rPr>
        <w:t>61</w:t>
      </w:r>
      <w:r>
        <w:rPr>
          <w:snapToGrid w:val="0"/>
        </w:rPr>
        <w:t>.</w:t>
      </w:r>
      <w:r>
        <w:rPr>
          <w:snapToGrid w:val="0"/>
        </w:rPr>
        <w:tab/>
        <w:t>Breach of restraining order</w:t>
      </w:r>
      <w:bookmarkEnd w:id="219"/>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lastRenderedPageBreak/>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220" w:name="_Toc119492771"/>
      <w:r>
        <w:rPr>
          <w:rStyle w:val="CharSectno"/>
        </w:rPr>
        <w:t>61A</w:t>
      </w:r>
      <w:r>
        <w:t>.</w:t>
      </w:r>
      <w:r>
        <w:tab/>
        <w:t>Penalty for repeated breach of restraining order</w:t>
      </w:r>
      <w:bookmarkEnd w:id="220"/>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lastRenderedPageBreak/>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lastRenderedPageBreak/>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221" w:name="_Toc119492772"/>
      <w:r>
        <w:rPr>
          <w:rStyle w:val="CharSectno"/>
        </w:rPr>
        <w:t>61B</w:t>
      </w:r>
      <w:r>
        <w:t>.</w:t>
      </w:r>
      <w:r>
        <w:tab/>
        <w:t>Protected person aiding breach of restraining order or police order</w:t>
      </w:r>
      <w:bookmarkEnd w:id="221"/>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lastRenderedPageBreak/>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222" w:name="_Toc119492773"/>
      <w:r>
        <w:rPr>
          <w:rStyle w:val="CharSectno"/>
        </w:rPr>
        <w:t>61C</w:t>
      </w:r>
      <w:r>
        <w:t>.</w:t>
      </w:r>
      <w:r>
        <w:tab/>
        <w:t>Report under s. 10V to be considered in sentencing for breach of FVRO</w:t>
      </w:r>
      <w:bookmarkEnd w:id="222"/>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223" w:name="_Toc119492774"/>
      <w:r>
        <w:rPr>
          <w:rStyle w:val="CharSectno"/>
        </w:rPr>
        <w:t>62</w:t>
      </w:r>
      <w:r>
        <w:t>.</w:t>
      </w:r>
      <w:r>
        <w:tab/>
        <w:t>Defence</w:t>
      </w:r>
      <w:bookmarkEnd w:id="22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lastRenderedPageBreak/>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224" w:name="_Toc119414019"/>
      <w:bookmarkStart w:id="225" w:name="_Toc119415675"/>
      <w:bookmarkStart w:id="226" w:name="_Toc119492775"/>
      <w:r>
        <w:rPr>
          <w:rStyle w:val="CharDivNo"/>
        </w:rPr>
        <w:t>Division 3A</w:t>
      </w:r>
      <w:r>
        <w:t> — </w:t>
      </w:r>
      <w:r>
        <w:rPr>
          <w:rStyle w:val="CharDivText"/>
        </w:rPr>
        <w:t>Police functions</w:t>
      </w:r>
      <w:bookmarkEnd w:id="224"/>
      <w:bookmarkEnd w:id="225"/>
      <w:bookmarkEnd w:id="226"/>
    </w:p>
    <w:p>
      <w:pPr>
        <w:pStyle w:val="Footnoteheading"/>
        <w:tabs>
          <w:tab w:val="left" w:pos="851"/>
        </w:tabs>
      </w:pPr>
      <w:r>
        <w:tab/>
        <w:t>[Heading inserted: No. 38 of 2004 s. 43(1).]</w:t>
      </w:r>
    </w:p>
    <w:p>
      <w:pPr>
        <w:pStyle w:val="Heading5"/>
      </w:pPr>
      <w:bookmarkStart w:id="227" w:name="_Toc119492776"/>
      <w:r>
        <w:rPr>
          <w:rStyle w:val="CharSectno"/>
        </w:rPr>
        <w:t>62A</w:t>
      </w:r>
      <w:r>
        <w:t>.</w:t>
      </w:r>
      <w:r>
        <w:tab/>
        <w:t>Investigation of suspected family violence</w:t>
      </w:r>
      <w:bookmarkEnd w:id="227"/>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228" w:name="_Toc119492777"/>
      <w:r>
        <w:rPr>
          <w:rStyle w:val="CharSectno"/>
        </w:rPr>
        <w:t>62B</w:t>
      </w:r>
      <w:r>
        <w:t>.</w:t>
      </w:r>
      <w:r>
        <w:tab/>
        <w:t>Entry and search of premises if family violence suspected</w:t>
      </w:r>
      <w:bookmarkEnd w:id="228"/>
    </w:p>
    <w:p>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w:t>
      </w:r>
      <w:r>
        <w:lastRenderedPageBreak/>
        <w:t xml:space="preserve">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lastRenderedPageBreak/>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229" w:name="_Toc119492778"/>
      <w:r>
        <w:rPr>
          <w:rStyle w:val="CharSectno"/>
        </w:rPr>
        <w:t>62C</w:t>
      </w:r>
      <w:r>
        <w:t>.</w:t>
      </w:r>
      <w:r>
        <w:tab/>
        <w:t>Action to be taken by police officer after investigating suspected family violence</w:t>
      </w:r>
      <w:bookmarkEnd w:id="229"/>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lastRenderedPageBreak/>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230" w:name="_Toc119492779"/>
      <w:r>
        <w:rPr>
          <w:rStyle w:val="CharSectno"/>
        </w:rPr>
        <w:t>62D</w:t>
      </w:r>
      <w:r>
        <w:t>.</w:t>
      </w:r>
      <w:r>
        <w:tab/>
        <w:t>Approval of senior officer</w:t>
      </w:r>
      <w:bookmarkEnd w:id="230"/>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lastRenderedPageBreak/>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231" w:name="_Toc119492780"/>
      <w:r>
        <w:rPr>
          <w:rStyle w:val="CharSectno"/>
        </w:rPr>
        <w:t>62E</w:t>
      </w:r>
      <w:r>
        <w:t>.</w:t>
      </w:r>
      <w:r>
        <w:tab/>
      </w:r>
      <w:r>
        <w:rPr>
          <w:snapToGrid w:val="0"/>
        </w:rPr>
        <w:t>Seizure of firearm items and explosives</w:t>
      </w:r>
      <w:bookmarkEnd w:id="231"/>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tab/>
        <w:t>(b)</w:t>
      </w:r>
      <w:r>
        <w:tab/>
        <w:t>a firearms authorisation held by the person,</w:t>
      </w:r>
    </w:p>
    <w:p>
      <w:pPr>
        <w:pStyle w:val="Subsection"/>
      </w:pPr>
      <w:r>
        <w:tab/>
      </w:r>
      <w:r>
        <w:tab/>
        <w:t>is reasonably suspected to be, and search for and seize the firearm item or firearms authorisation.</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lastRenderedPageBreak/>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232" w:name="_Toc119492781"/>
      <w:r>
        <w:rPr>
          <w:rStyle w:val="CharSectno"/>
        </w:rPr>
        <w:t>62F</w:t>
      </w:r>
      <w:r>
        <w:t>.</w:t>
      </w:r>
      <w:r>
        <w:tab/>
        <w:t>Detention of respondent during telephone hearing or while police order is being made</w:t>
      </w:r>
      <w:bookmarkEnd w:id="232"/>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w:t>
      </w:r>
      <w:r>
        <w:lastRenderedPageBreak/>
        <w:t xml:space="preserve">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lastRenderedPageBreak/>
        <w:tab/>
        <w:t>[Section 62F. Modifications to be applied in order to give effect to Cross-border Justice Act 2008: section altered 1 Nov 2009. See endnote 1M.]</w:t>
      </w:r>
    </w:p>
    <w:p>
      <w:pPr>
        <w:pStyle w:val="Heading5"/>
      </w:pPr>
      <w:bookmarkStart w:id="233" w:name="_Toc119492782"/>
      <w:r>
        <w:rPr>
          <w:rStyle w:val="CharSectno"/>
        </w:rPr>
        <w:t>62G</w:t>
      </w:r>
      <w:r>
        <w:t>.</w:t>
      </w:r>
      <w:r>
        <w:tab/>
        <w:t>Police officer may conduct hearing for applicant</w:t>
      </w:r>
      <w:bookmarkEnd w:id="233"/>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234" w:name="_Toc119414027"/>
      <w:bookmarkStart w:id="235" w:name="_Toc119415683"/>
      <w:bookmarkStart w:id="236" w:name="_Toc119492783"/>
      <w:r>
        <w:rPr>
          <w:rStyle w:val="CharDivNo"/>
        </w:rPr>
        <w:t>Division 4</w:t>
      </w:r>
      <w:r>
        <w:rPr>
          <w:snapToGrid w:val="0"/>
        </w:rPr>
        <w:t> — </w:t>
      </w:r>
      <w:r>
        <w:rPr>
          <w:rStyle w:val="CharDivText"/>
        </w:rPr>
        <w:t>General</w:t>
      </w:r>
      <w:bookmarkEnd w:id="234"/>
      <w:bookmarkEnd w:id="235"/>
      <w:bookmarkEnd w:id="236"/>
      <w:r>
        <w:rPr>
          <w:rStyle w:val="CharDivText"/>
        </w:rPr>
        <w:t xml:space="preserve"> </w:t>
      </w:r>
    </w:p>
    <w:p>
      <w:pPr>
        <w:pStyle w:val="Heading5"/>
        <w:rPr>
          <w:snapToGrid w:val="0"/>
        </w:rPr>
      </w:pPr>
      <w:bookmarkStart w:id="237" w:name="_Toc119492784"/>
      <w:r>
        <w:rPr>
          <w:rStyle w:val="CharSectno"/>
        </w:rPr>
        <w:t>63</w:t>
      </w:r>
      <w:r>
        <w:rPr>
          <w:snapToGrid w:val="0"/>
        </w:rPr>
        <w:t>.</w:t>
      </w:r>
      <w:r>
        <w:rPr>
          <w:snapToGrid w:val="0"/>
        </w:rPr>
        <w:tab/>
        <w:t>Making restraining orders during other proceedings</w:t>
      </w:r>
      <w:bookmarkEnd w:id="237"/>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keepNext/>
        <w:spacing w:before="70"/>
      </w:pPr>
      <w:r>
        <w:lastRenderedPageBreak/>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keepNext/>
      </w:pPr>
      <w:r>
        <w:lastRenderedPageBreak/>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lastRenderedPageBreak/>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238" w:name="_Toc119492785"/>
      <w:r>
        <w:rPr>
          <w:rStyle w:val="CharSectno"/>
        </w:rPr>
        <w:lastRenderedPageBreak/>
        <w:t>63A</w:t>
      </w:r>
      <w:r>
        <w:t>.</w:t>
      </w:r>
      <w:r>
        <w:tab/>
        <w:t>FVRO or VRO made if certain violent personal offences committed</w:t>
      </w:r>
      <w:bookmarkEnd w:id="238"/>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lastRenderedPageBreak/>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239" w:name="_Toc119492786"/>
      <w:r>
        <w:rPr>
          <w:rStyle w:val="CharSectno"/>
        </w:rPr>
        <w:t>63B</w:t>
      </w:r>
      <w:r>
        <w:t>.</w:t>
      </w:r>
      <w:r>
        <w:tab/>
        <w:t>Circumstances to be taken into account when sentencing for certain offences</w:t>
      </w:r>
      <w:bookmarkEnd w:id="239"/>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 xml:space="preserve">Nothing in subsection (2) affects the discretion of a court to decide whether or not a circumstance set out in that subsection </w:t>
      </w:r>
      <w:r>
        <w:lastRenderedPageBreak/>
        <w:t>is a circumstance to take into account in sentencing an offender for any other offence.</w:t>
      </w:r>
    </w:p>
    <w:p>
      <w:pPr>
        <w:pStyle w:val="Footnotesection"/>
      </w:pPr>
      <w:r>
        <w:tab/>
        <w:t>[Section 63B inserted: No. 49 of 2016 s. 71; amended: No. 30 of 2020 s. 79.]</w:t>
      </w:r>
    </w:p>
    <w:p>
      <w:pPr>
        <w:pStyle w:val="Heading5"/>
      </w:pPr>
      <w:bookmarkStart w:id="240" w:name="_Toc119492787"/>
      <w:r>
        <w:rPr>
          <w:rStyle w:val="CharSectno"/>
        </w:rPr>
        <w:t>63C</w:t>
      </w:r>
      <w:r>
        <w:t>.</w:t>
      </w:r>
      <w:r>
        <w:tab/>
        <w:t>Criminal and civil liability not affected by restraining orders</w:t>
      </w:r>
      <w:bookmarkEnd w:id="240"/>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241" w:name="_Toc119492788"/>
      <w:r>
        <w:rPr>
          <w:rStyle w:val="CharSectno"/>
        </w:rPr>
        <w:t>63D</w:t>
      </w:r>
      <w:r>
        <w:t>.</w:t>
      </w:r>
      <w:r>
        <w:tab/>
        <w:t>Court to give reasons for certain decisions</w:t>
      </w:r>
      <w:bookmarkEnd w:id="241"/>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242" w:name="_Toc119492789"/>
      <w:r>
        <w:rPr>
          <w:rStyle w:val="CharSectno"/>
        </w:rPr>
        <w:t>64</w:t>
      </w:r>
      <w:r>
        <w:rPr>
          <w:snapToGrid w:val="0"/>
        </w:rPr>
        <w:t>.</w:t>
      </w:r>
      <w:r>
        <w:rPr>
          <w:snapToGrid w:val="0"/>
        </w:rPr>
        <w:tab/>
        <w:t>Appeals</w:t>
      </w:r>
      <w:bookmarkEnd w:id="242"/>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lastRenderedPageBreak/>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lastRenderedPageBreak/>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243" w:name="_Toc119492790"/>
      <w:r>
        <w:rPr>
          <w:rStyle w:val="CharSectno"/>
        </w:rPr>
        <w:t>65</w:t>
      </w:r>
      <w:r>
        <w:rPr>
          <w:snapToGrid w:val="0"/>
        </w:rPr>
        <w:t>.</w:t>
      </w:r>
      <w:r>
        <w:rPr>
          <w:snapToGrid w:val="0"/>
        </w:rPr>
        <w:tab/>
        <w:t>Orders not to conflict with certain family orders</w:t>
      </w:r>
      <w:bookmarkEnd w:id="243"/>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244" w:name="_Toc119492791"/>
      <w:r>
        <w:rPr>
          <w:rStyle w:val="CharSectno"/>
        </w:rPr>
        <w:t>66</w:t>
      </w:r>
      <w:r>
        <w:t>.</w:t>
      </w:r>
      <w:r>
        <w:tab/>
        <w:t>Information about family orders</w:t>
      </w:r>
      <w:bookmarkEnd w:id="244"/>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lastRenderedPageBreak/>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245" w:name="_Toc119492792"/>
      <w:r>
        <w:rPr>
          <w:rStyle w:val="CharSectno"/>
        </w:rPr>
        <w:lastRenderedPageBreak/>
        <w:t>67</w:t>
      </w:r>
      <w:r>
        <w:t>.</w:t>
      </w:r>
      <w:r>
        <w:tab/>
        <w:t>Adjournments</w:t>
      </w:r>
      <w:bookmarkEnd w:id="245"/>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246" w:name="_Toc119492793"/>
      <w:r>
        <w:rPr>
          <w:rStyle w:val="CharSectno"/>
        </w:rPr>
        <w:t>68</w:t>
      </w:r>
      <w:r>
        <w:rPr>
          <w:snapToGrid w:val="0"/>
        </w:rPr>
        <w:t>.</w:t>
      </w:r>
      <w:r>
        <w:rPr>
          <w:snapToGrid w:val="0"/>
        </w:rPr>
        <w:tab/>
        <w:t>Orders may be extended to apply to other people</w:t>
      </w:r>
      <w:bookmarkEnd w:id="246"/>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xml:space="preserve">) if it is satisfied that it would have been able to make the order in </w:t>
      </w:r>
      <w:r>
        <w:lastRenderedPageBreak/>
        <w:t>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247" w:name="_Toc119492794"/>
      <w:r>
        <w:rPr>
          <w:rStyle w:val="CharSectno"/>
        </w:rPr>
        <w:t>69</w:t>
      </w:r>
      <w:r>
        <w:rPr>
          <w:snapToGrid w:val="0"/>
        </w:rPr>
        <w:t>.</w:t>
      </w:r>
      <w:r>
        <w:rPr>
          <w:snapToGrid w:val="0"/>
        </w:rPr>
        <w:tab/>
        <w:t>Costs</w:t>
      </w:r>
      <w:bookmarkEnd w:id="247"/>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248" w:name="_Toc119492795"/>
      <w:r>
        <w:rPr>
          <w:rStyle w:val="CharSectno"/>
        </w:rPr>
        <w:t>70</w:t>
      </w:r>
      <w:r>
        <w:t>.</w:t>
      </w:r>
      <w:r>
        <w:tab/>
        <w:t>Information on identity of certain person restricted</w:t>
      </w:r>
      <w:bookmarkEnd w:id="248"/>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lastRenderedPageBreak/>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lastRenderedPageBreak/>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249" w:name="_Toc119492796"/>
      <w:r>
        <w:rPr>
          <w:rStyle w:val="CharSectno"/>
        </w:rPr>
        <w:t>70A</w:t>
      </w:r>
      <w:r>
        <w:t>.</w:t>
      </w:r>
      <w:r>
        <w:tab/>
        <w:t>Exchange of information</w:t>
      </w:r>
      <w:bookmarkEnd w:id="249"/>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lastRenderedPageBreak/>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250" w:name="_Toc119492797"/>
      <w:r>
        <w:rPr>
          <w:rStyle w:val="CharSectno"/>
        </w:rPr>
        <w:lastRenderedPageBreak/>
        <w:t>71</w:t>
      </w:r>
      <w:r>
        <w:rPr>
          <w:snapToGrid w:val="0"/>
        </w:rPr>
        <w:t>.</w:t>
      </w:r>
      <w:r>
        <w:rPr>
          <w:snapToGrid w:val="0"/>
        </w:rPr>
        <w:tab/>
        <w:t>Notification when firearms order made</w:t>
      </w:r>
      <w:bookmarkEnd w:id="25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w:t>
      </w:r>
      <w:bookmarkStart w:id="251" w:name="_Hlk119414721"/>
      <w:r>
        <w:t>firearms authorisation</w:t>
      </w:r>
      <w:bookmarkEnd w:id="251"/>
      <w:r>
        <w:t xml:space="preserve">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lastRenderedPageBreak/>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 xml:space="preserve">that the order prohibits the restrained person from being in possession of a </w:t>
      </w:r>
      <w:r>
        <w:t xml:space="preserve">firearm item </w:t>
      </w:r>
      <w:r>
        <w:rPr>
          <w:snapToGrid w:val="0"/>
        </w:rPr>
        <w:t xml:space="preserve">(or if the court acted under section 14(5), that the restrained person is prohibited from being in possession of a </w:t>
      </w:r>
      <w:r>
        <w:t xml:space="preserve">firearm item </w:t>
      </w:r>
      <w:r>
        <w:rPr>
          <w:snapToGrid w:val="0"/>
        </w:rPr>
        <w:t>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lastRenderedPageBreak/>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except as permitted under the firearms order,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w:t>
      </w:r>
    </w:p>
    <w:p>
      <w:pPr>
        <w:pStyle w:val="Heading5"/>
        <w:rPr>
          <w:snapToGrid w:val="0"/>
        </w:rPr>
      </w:pPr>
      <w:bookmarkStart w:id="252" w:name="_Toc119492798"/>
      <w:r>
        <w:rPr>
          <w:rStyle w:val="CharSectno"/>
        </w:rPr>
        <w:t>72</w:t>
      </w:r>
      <w:r>
        <w:rPr>
          <w:snapToGrid w:val="0"/>
        </w:rPr>
        <w:t>.</w:t>
      </w:r>
      <w:r>
        <w:rPr>
          <w:snapToGrid w:val="0"/>
        </w:rPr>
        <w:tab/>
        <w:t>Practice and procedure generally</w:t>
      </w:r>
      <w:bookmarkEnd w:id="252"/>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lastRenderedPageBreak/>
        <w:tab/>
        <w:t>[(2)</w:t>
      </w:r>
      <w:r>
        <w:tab/>
        <w:t>deleted]</w:t>
      </w:r>
    </w:p>
    <w:p>
      <w:pPr>
        <w:pStyle w:val="Footnotesection"/>
      </w:pPr>
      <w:r>
        <w:tab/>
        <w:t xml:space="preserve">[Section 72 amended: No. 59 of 2004 s. 124.] </w:t>
      </w:r>
    </w:p>
    <w:p>
      <w:pPr>
        <w:pStyle w:val="Heading5"/>
      </w:pPr>
      <w:bookmarkStart w:id="253" w:name="_Toc119492799"/>
      <w:r>
        <w:rPr>
          <w:rStyle w:val="CharSectno"/>
        </w:rPr>
        <w:t>72A</w:t>
      </w:r>
      <w:r>
        <w:t>.</w:t>
      </w:r>
      <w:r>
        <w:tab/>
        <w:t>Forms</w:t>
      </w:r>
      <w:bookmarkEnd w:id="253"/>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254" w:name="_Toc119492800"/>
      <w:r>
        <w:rPr>
          <w:rStyle w:val="CharSectno"/>
        </w:rPr>
        <w:t>73</w:t>
      </w:r>
      <w:r>
        <w:rPr>
          <w:snapToGrid w:val="0"/>
        </w:rPr>
        <w:t>.</w:t>
      </w:r>
      <w:r>
        <w:rPr>
          <w:snapToGrid w:val="0"/>
        </w:rPr>
        <w:tab/>
        <w:t>Regulation making power</w:t>
      </w:r>
      <w:bookmarkEnd w:id="254"/>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lastRenderedPageBreak/>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255" w:name="_Toc119492801"/>
      <w:r>
        <w:rPr>
          <w:rStyle w:val="CharSectno"/>
        </w:rPr>
        <w:t>73A</w:t>
      </w:r>
      <w:r>
        <w:t>.</w:t>
      </w:r>
      <w:r>
        <w:tab/>
        <w:t>Review of certain amendments relating to FVROs</w:t>
      </w:r>
      <w:bookmarkEnd w:id="255"/>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256" w:name="_Toc119414046"/>
      <w:bookmarkStart w:id="257" w:name="_Toc119415702"/>
      <w:bookmarkStart w:id="258" w:name="_Toc119492802"/>
      <w:r>
        <w:rPr>
          <w:rStyle w:val="CharPartNo"/>
        </w:rPr>
        <w:lastRenderedPageBreak/>
        <w:t>Part 7</w:t>
      </w:r>
      <w:r>
        <w:rPr>
          <w:rStyle w:val="CharDivNo"/>
        </w:rPr>
        <w:t> </w:t>
      </w:r>
      <w:r>
        <w:t>—</w:t>
      </w:r>
      <w:r>
        <w:rPr>
          <w:rStyle w:val="CharDivText"/>
        </w:rPr>
        <w:t> </w:t>
      </w:r>
      <w:r>
        <w:rPr>
          <w:rStyle w:val="CharPartText"/>
        </w:rPr>
        <w:t>Interstate restraining orders</w:t>
      </w:r>
      <w:bookmarkEnd w:id="256"/>
      <w:bookmarkEnd w:id="257"/>
      <w:bookmarkEnd w:id="258"/>
      <w:r>
        <w:rPr>
          <w:rStyle w:val="CharPartText"/>
        </w:rPr>
        <w:t xml:space="preserve"> </w:t>
      </w:r>
    </w:p>
    <w:p>
      <w:pPr>
        <w:pStyle w:val="Heading5"/>
        <w:rPr>
          <w:snapToGrid w:val="0"/>
        </w:rPr>
      </w:pPr>
      <w:bookmarkStart w:id="259" w:name="_Toc119492803"/>
      <w:r>
        <w:rPr>
          <w:rStyle w:val="CharSectno"/>
        </w:rPr>
        <w:t>74</w:t>
      </w:r>
      <w:r>
        <w:rPr>
          <w:snapToGrid w:val="0"/>
        </w:rPr>
        <w:t>.</w:t>
      </w:r>
      <w:r>
        <w:rPr>
          <w:snapToGrid w:val="0"/>
        </w:rPr>
        <w:tab/>
        <w:t>Terms used</w:t>
      </w:r>
      <w:bookmarkEnd w:id="25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260" w:name="_Toc119492804"/>
      <w:r>
        <w:rPr>
          <w:rStyle w:val="CharSectno"/>
        </w:rPr>
        <w:t>74A</w:t>
      </w:r>
      <w:r>
        <w:t>.</w:t>
      </w:r>
      <w:r>
        <w:tab/>
        <w:t xml:space="preserve">Interstate DVOs under </w:t>
      </w:r>
      <w:r>
        <w:rPr>
          <w:i/>
        </w:rPr>
        <w:t xml:space="preserve">Domestic Violence Orders (National Recognition) Act 2017 </w:t>
      </w:r>
      <w:r>
        <w:t>cannot be registered</w:t>
      </w:r>
      <w:bookmarkEnd w:id="260"/>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261" w:name="_Toc119492805"/>
      <w:r>
        <w:rPr>
          <w:rStyle w:val="CharSectno"/>
        </w:rPr>
        <w:t>74B</w:t>
      </w:r>
      <w:r>
        <w:t>.</w:t>
      </w:r>
      <w:r>
        <w:tab/>
        <w:t xml:space="preserve">Interstate orders registered before commencement of </w:t>
      </w:r>
      <w:r>
        <w:rPr>
          <w:i/>
        </w:rPr>
        <w:t>Domestic Violence Orders (National Recognition) Act 2017</w:t>
      </w:r>
      <w:bookmarkEnd w:id="261"/>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lastRenderedPageBreak/>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262" w:name="_Toc119492806"/>
      <w:r>
        <w:rPr>
          <w:rStyle w:val="CharSectno"/>
        </w:rPr>
        <w:t>75</w:t>
      </w:r>
      <w:r>
        <w:rPr>
          <w:snapToGrid w:val="0"/>
        </w:rPr>
        <w:t>.</w:t>
      </w:r>
      <w:r>
        <w:rPr>
          <w:snapToGrid w:val="0"/>
        </w:rPr>
        <w:tab/>
        <w:t>Application for registration of interstate order</w:t>
      </w:r>
      <w:bookmarkEnd w:id="262"/>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lastRenderedPageBreak/>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63" w:name="_Toc119492807"/>
      <w:r>
        <w:rPr>
          <w:rStyle w:val="CharSectno"/>
        </w:rPr>
        <w:t>76</w:t>
      </w:r>
      <w:r>
        <w:rPr>
          <w:snapToGrid w:val="0"/>
        </w:rPr>
        <w:t>.</w:t>
      </w:r>
      <w:r>
        <w:rPr>
          <w:snapToGrid w:val="0"/>
        </w:rPr>
        <w:tab/>
        <w:t>Registration</w:t>
      </w:r>
      <w:bookmarkEnd w:id="263"/>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264" w:name="_Toc119492808"/>
      <w:r>
        <w:rPr>
          <w:rStyle w:val="CharSectno"/>
        </w:rPr>
        <w:lastRenderedPageBreak/>
        <w:t>77</w:t>
      </w:r>
      <w:r>
        <w:rPr>
          <w:snapToGrid w:val="0"/>
        </w:rPr>
        <w:t>.</w:t>
      </w:r>
      <w:r>
        <w:rPr>
          <w:snapToGrid w:val="0"/>
        </w:rPr>
        <w:tab/>
        <w:t>Effect of registration</w:t>
      </w:r>
      <w:bookmarkEnd w:id="264"/>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265" w:name="_Toc119492809"/>
      <w:r>
        <w:rPr>
          <w:rStyle w:val="CharSectno"/>
        </w:rPr>
        <w:t>78</w:t>
      </w:r>
      <w:r>
        <w:rPr>
          <w:snapToGrid w:val="0"/>
        </w:rPr>
        <w:t>.</w:t>
      </w:r>
      <w:r>
        <w:rPr>
          <w:snapToGrid w:val="0"/>
        </w:rPr>
        <w:tab/>
        <w:t>Variation or cancellation in another State or Territory</w:t>
      </w:r>
      <w:bookmarkEnd w:id="26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lastRenderedPageBreak/>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266" w:name="_Toc119492810"/>
      <w:r>
        <w:rPr>
          <w:rStyle w:val="CharSectno"/>
        </w:rPr>
        <w:t>79</w:t>
      </w:r>
      <w:r>
        <w:t>.</w:t>
      </w:r>
      <w:r>
        <w:tab/>
        <w:t>Variation or cancellation in this State</w:t>
      </w:r>
      <w:bookmarkEnd w:id="266"/>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lastRenderedPageBreak/>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67" w:name="_Toc119414055"/>
      <w:bookmarkStart w:id="268" w:name="_Toc119415711"/>
      <w:bookmarkStart w:id="269" w:name="_Toc119492811"/>
      <w:r>
        <w:rPr>
          <w:rStyle w:val="CharPartNo"/>
        </w:rPr>
        <w:lastRenderedPageBreak/>
        <w:t>Part 7A</w:t>
      </w:r>
      <w:r>
        <w:rPr>
          <w:rStyle w:val="CharDivNo"/>
        </w:rPr>
        <w:t xml:space="preserve"> </w:t>
      </w:r>
      <w:r>
        <w:t>—</w:t>
      </w:r>
      <w:r>
        <w:rPr>
          <w:rStyle w:val="CharDivText"/>
        </w:rPr>
        <w:t xml:space="preserve"> </w:t>
      </w:r>
      <w:r>
        <w:rPr>
          <w:rStyle w:val="CharPartText"/>
        </w:rPr>
        <w:t>Foreign restraining orders</w:t>
      </w:r>
      <w:bookmarkEnd w:id="267"/>
      <w:bookmarkEnd w:id="268"/>
      <w:bookmarkEnd w:id="269"/>
    </w:p>
    <w:p>
      <w:pPr>
        <w:pStyle w:val="Footnoteheading"/>
      </w:pPr>
      <w:r>
        <w:tab/>
        <w:t>[Heading inserted: No. 11 of 1999 s. 7.]</w:t>
      </w:r>
    </w:p>
    <w:p>
      <w:pPr>
        <w:pStyle w:val="Heading5"/>
        <w:spacing w:before="120"/>
      </w:pPr>
      <w:bookmarkStart w:id="270" w:name="_Toc119492812"/>
      <w:r>
        <w:rPr>
          <w:rStyle w:val="CharSectno"/>
        </w:rPr>
        <w:t>79A</w:t>
      </w:r>
      <w:r>
        <w:t>.</w:t>
      </w:r>
      <w:r>
        <w:tab/>
        <w:t>Recognition of foreign restraining orders</w:t>
      </w:r>
      <w:bookmarkEnd w:id="270"/>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271" w:name="_Toc119492813"/>
      <w:r>
        <w:rPr>
          <w:rStyle w:val="CharSectno"/>
        </w:rPr>
        <w:t>79B</w:t>
      </w:r>
      <w:r>
        <w:t>.</w:t>
      </w:r>
      <w:r>
        <w:tab/>
        <w:t>Applying for registration of foreign restraining orders</w:t>
      </w:r>
      <w:bookmarkEnd w:id="271"/>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272" w:name="_Toc119492814"/>
      <w:r>
        <w:rPr>
          <w:rStyle w:val="CharSectno"/>
        </w:rPr>
        <w:lastRenderedPageBreak/>
        <w:t>79C</w:t>
      </w:r>
      <w:r>
        <w:t>.</w:t>
      </w:r>
      <w:r>
        <w:tab/>
        <w:t>Registration of foreign restraining orders</w:t>
      </w:r>
      <w:bookmarkEnd w:id="272"/>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273" w:name="_Toc119492815"/>
      <w:r>
        <w:rPr>
          <w:rStyle w:val="CharSectno"/>
        </w:rPr>
        <w:t>79D</w:t>
      </w:r>
      <w:r>
        <w:t>.</w:t>
      </w:r>
      <w:r>
        <w:tab/>
        <w:t>Effect of registration</w:t>
      </w:r>
      <w:bookmarkEnd w:id="273"/>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lastRenderedPageBreak/>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274" w:name="_Toc119492816"/>
      <w:r>
        <w:rPr>
          <w:rStyle w:val="CharSectno"/>
        </w:rPr>
        <w:t>79E</w:t>
      </w:r>
      <w:r>
        <w:t>.</w:t>
      </w:r>
      <w:r>
        <w:tab/>
        <w:t>Variation or cancellation in foreign country</w:t>
      </w:r>
      <w:bookmarkEnd w:id="274"/>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lastRenderedPageBreak/>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275" w:name="_Toc119492817"/>
      <w:r>
        <w:rPr>
          <w:rStyle w:val="CharSectno"/>
        </w:rPr>
        <w:t>79F</w:t>
      </w:r>
      <w:r>
        <w:t>.</w:t>
      </w:r>
      <w:r>
        <w:tab/>
        <w:t>Variation or cancellation in this State</w:t>
      </w:r>
      <w:bookmarkEnd w:id="275"/>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76" w:name="_Toc119414062"/>
      <w:bookmarkStart w:id="277" w:name="_Toc119415718"/>
      <w:bookmarkStart w:id="278" w:name="_Toc119492818"/>
      <w:r>
        <w:lastRenderedPageBreak/>
        <w:t>Notes</w:t>
      </w:r>
      <w:bookmarkEnd w:id="276"/>
      <w:bookmarkEnd w:id="277"/>
      <w:bookmarkEnd w:id="278"/>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9" w:name="_Toc119492819"/>
      <w:r>
        <w:t>Compilation table</w:t>
      </w:r>
      <w:bookmarkEnd w:id="279"/>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lastRenderedPageBreak/>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lastRenderedPageBreak/>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single" w:sz="4" w:space="0" w:color="auto"/>
            </w:tcBorders>
            <w:shd w:val="clear" w:color="auto" w:fill="auto"/>
          </w:tcPr>
          <w:p>
            <w:pPr>
              <w:pStyle w:val="nTable"/>
              <w:spacing w:after="40"/>
            </w:pPr>
            <w:r>
              <w:t>13 of 2022</w:t>
            </w:r>
          </w:p>
        </w:tc>
        <w:tc>
          <w:tcPr>
            <w:tcW w:w="1134" w:type="dxa"/>
            <w:tcBorders>
              <w:top w:val="nil"/>
              <w:bottom w:val="single" w:sz="4" w:space="0" w:color="auto"/>
            </w:tcBorders>
            <w:shd w:val="clear" w:color="auto" w:fill="auto"/>
          </w:tcPr>
          <w:p>
            <w:pPr>
              <w:pStyle w:val="nTable"/>
              <w:spacing w:after="40"/>
            </w:pPr>
            <w:r>
              <w:t>18 May 2022</w:t>
            </w:r>
          </w:p>
        </w:tc>
        <w:tc>
          <w:tcPr>
            <w:tcW w:w="2552" w:type="dxa"/>
            <w:tcBorders>
              <w:top w:val="nil"/>
              <w:bottom w:val="single" w:sz="4" w:space="0" w:color="auto"/>
              <w:right w:val="nil"/>
            </w:tcBorders>
            <w:shd w:val="clear" w:color="auto" w:fill="auto"/>
          </w:tcPr>
          <w:p>
            <w:pPr>
              <w:pStyle w:val="nTable"/>
              <w:spacing w:after="40"/>
              <w:rPr>
                <w:snapToGrid w:val="0"/>
              </w:rPr>
            </w:pPr>
            <w:r>
              <w:rPr>
                <w:snapToGrid w:val="0"/>
              </w:rPr>
              <w:t>19 Nov 2022 (see s. 2(c) and SL 2022/186 cl. 2)</w:t>
            </w:r>
          </w:p>
        </w:tc>
      </w:tr>
    </w:tbl>
    <w:p>
      <w:pPr>
        <w:pStyle w:val="nHeading3"/>
      </w:pPr>
      <w:bookmarkStart w:id="280" w:name="_Toc119492820"/>
      <w:r>
        <w:lastRenderedPageBreak/>
        <w:t>Uncommenced provisions table</w:t>
      </w:r>
      <w:bookmarkEnd w:id="280"/>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single" w:sz="4" w:space="0" w:color="auto"/>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single" w:sz="4" w:space="0" w:color="auto"/>
            </w:tcBorders>
          </w:tcPr>
          <w:p>
            <w:pPr>
              <w:pStyle w:val="nTable"/>
              <w:spacing w:after="40"/>
            </w:pPr>
            <w:r>
              <w:t>20 of 2013</w:t>
            </w:r>
          </w:p>
        </w:tc>
        <w:tc>
          <w:tcPr>
            <w:tcW w:w="1230" w:type="dxa"/>
            <w:tcBorders>
              <w:top w:val="single" w:sz="4" w:space="0" w:color="auto"/>
              <w:bottom w:val="single" w:sz="4" w:space="0" w:color="auto"/>
            </w:tcBorders>
          </w:tcPr>
          <w:p>
            <w:pPr>
              <w:pStyle w:val="nTable"/>
              <w:spacing w:after="40"/>
            </w:pPr>
            <w:r>
              <w:t>4 Nov 2013</w:t>
            </w:r>
          </w:p>
        </w:tc>
        <w:tc>
          <w:tcPr>
            <w:tcW w:w="2534" w:type="dxa"/>
            <w:tcBorders>
              <w:top w:val="single" w:sz="4" w:space="0" w:color="auto"/>
              <w:bottom w:val="single" w:sz="4" w:space="0" w:color="auto"/>
            </w:tcBorders>
          </w:tcPr>
          <w:p>
            <w:pPr>
              <w:pStyle w:val="nTable"/>
              <w:spacing w:after="40"/>
              <w:rPr>
                <w:snapToGrid w:val="0"/>
              </w:rPr>
            </w:pPr>
            <w:r>
              <w:rPr>
                <w:snapToGrid w:val="0"/>
              </w:rPr>
              <w:t>To be proclaimed (see s. 2(b))</w:t>
            </w:r>
          </w:p>
        </w:tc>
      </w:tr>
    </w:tbl>
    <w:p>
      <w:pPr>
        <w:pStyle w:val="nHeading3"/>
      </w:pPr>
      <w:bookmarkStart w:id="281" w:name="_Toc119492821"/>
      <w:r>
        <w:t>Other notes</w:t>
      </w:r>
      <w:bookmarkEnd w:id="281"/>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83" w:name="_Toc119492822"/>
      <w:r>
        <w:rPr>
          <w:sz w:val="28"/>
        </w:rPr>
        <w:lastRenderedPageBreak/>
        <w:t>Defined terms</w:t>
      </w:r>
      <w:bookmarkEnd w:id="2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affidavit</w:t>
      </w:r>
      <w:r>
        <w:tab/>
        <w:t>3(1)</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10P(1)</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10H(4),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10O(1)</w:t>
      </w:r>
    </w:p>
    <w:p>
      <w:pPr>
        <w:pStyle w:val="DefinedTerms"/>
      </w:pPr>
      <w:r>
        <w:t>explosive</w:t>
      </w:r>
      <w:r>
        <w:tab/>
        <w:t>3(1)</w:t>
      </w:r>
    </w:p>
    <w:p>
      <w:pPr>
        <w:pStyle w:val="DefinedTerms"/>
      </w:pPr>
      <w:r>
        <w:t>explosives licence</w:t>
      </w:r>
      <w:r>
        <w:tab/>
        <w:t>3(1)</w:t>
      </w:r>
    </w:p>
    <w:p>
      <w:pPr>
        <w:pStyle w:val="DefinedTerms"/>
      </w:pPr>
      <w:r>
        <w:t>exposed</w:t>
      </w:r>
      <w:r>
        <w:tab/>
        <w:t>3(1), 6(1)</w:t>
      </w:r>
    </w:p>
    <w:p>
      <w:pPr>
        <w:pStyle w:val="DefinedTerms"/>
      </w:pPr>
      <w:r>
        <w:t>family court proceedings</w:t>
      </w:r>
      <w:r>
        <w:tab/>
        <w:t>2(1)</w:t>
      </w:r>
    </w:p>
    <w:p>
      <w:pPr>
        <w:pStyle w:val="DefinedTerms"/>
      </w:pPr>
      <w:r>
        <w:t>family member</w:t>
      </w:r>
      <w:r>
        <w:tab/>
        <w:t>3(1), 4(2)</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lastRenderedPageBreak/>
        <w:t>final order hearing</w:t>
      </w:r>
      <w:r>
        <w:tab/>
        <w:t>3(1)</w:t>
      </w:r>
    </w:p>
    <w:p>
      <w:pPr>
        <w:pStyle w:val="DefinedTerms"/>
      </w:pPr>
      <w:r>
        <w:t>firearm item</w:t>
      </w:r>
      <w:r>
        <w:tab/>
        <w:t>3(1)</w:t>
      </w:r>
    </w:p>
    <w:p>
      <w:pPr>
        <w:pStyle w:val="DefinedTerms"/>
      </w:pPr>
      <w:r>
        <w:t>firearms authorisation</w:t>
      </w:r>
      <w:r>
        <w:tab/>
        <w:t>3(1)</w:t>
      </w:r>
    </w:p>
    <w:p>
      <w:pPr>
        <w:pStyle w:val="DefinedTerms"/>
      </w:pPr>
      <w:r>
        <w:t>firearms order</w:t>
      </w:r>
      <w:r>
        <w:tab/>
        <w:t>71(1)</w:t>
      </w:r>
    </w:p>
    <w:p>
      <w:pPr>
        <w:pStyle w:val="DefinedTerms"/>
      </w:pPr>
      <w:r>
        <w:t>fix a hearing</w:t>
      </w:r>
      <w:r>
        <w:tab/>
        <w:t>2(1)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personal violence</w:t>
      </w:r>
      <w:r>
        <w:tab/>
        <w:t>2(1), 6(2)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relevant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2(1)</w:t>
      </w:r>
    </w:p>
    <w:p>
      <w:pPr>
        <w:pStyle w:val="DefinedTerms"/>
      </w:pPr>
      <w:r>
        <w:t>protected person</w:t>
      </w:r>
      <w:r>
        <w:tab/>
        <w:t>61B(1)</w:t>
      </w:r>
    </w:p>
    <w:p>
      <w:pPr>
        <w:pStyle w:val="DefinedTerms"/>
      </w:pPr>
      <w:r>
        <w:t>Public Advocate</w:t>
      </w:r>
      <w:r>
        <w:tab/>
        <w:t>3(1)</w:t>
      </w:r>
    </w:p>
    <w:p>
      <w:pPr>
        <w:pStyle w:val="DefinedTerms"/>
      </w:pPr>
      <w:r>
        <w:t>qualifying relevant offence</w:t>
      </w:r>
      <w:r>
        <w:tab/>
        <w:t>61A(2)</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61A(1)</w:t>
      </w:r>
    </w:p>
    <w:p>
      <w:pPr>
        <w:pStyle w:val="DefinedTerms"/>
      </w:pPr>
      <w:r>
        <w:t>remote communication</w:t>
      </w:r>
      <w:r>
        <w:tab/>
        <w:t>62D(8)</w:t>
      </w:r>
    </w:p>
    <w:p>
      <w:pPr>
        <w:pStyle w:val="DefinedTerms"/>
      </w:pPr>
      <w:r>
        <w:t>representation</w:t>
      </w:r>
      <w:r>
        <w:tab/>
        <w:t>44A(3), 53E(4)</w:t>
      </w:r>
    </w:p>
    <w:p>
      <w:pPr>
        <w:pStyle w:val="DefinedTerms"/>
      </w:pPr>
      <w:r>
        <w:t>respondent</w:t>
      </w:r>
      <w:r>
        <w:tab/>
        <w:t>3(1), 30I(3), 43A(1)</w:t>
      </w:r>
    </w:p>
    <w:p>
      <w:pPr>
        <w:pStyle w:val="DefinedTerms"/>
      </w:pPr>
      <w:r>
        <w:t>responsible person</w:t>
      </w:r>
      <w:r>
        <w:tab/>
        <w:t>71(1)</w:t>
      </w:r>
    </w:p>
    <w:p>
      <w:pPr>
        <w:pStyle w:val="DefinedTerms"/>
      </w:pPr>
      <w:r>
        <w:t>restrained person</w:t>
      </w:r>
      <w:r>
        <w:tab/>
        <w:t>71(1)</w:t>
      </w:r>
    </w:p>
    <w:p>
      <w:pPr>
        <w:pStyle w:val="DefinedTerms"/>
      </w:pPr>
      <w:r>
        <w:t>restraining order</w:t>
      </w:r>
      <w:r>
        <w:tab/>
        <w:t>3(1)</w:t>
      </w:r>
    </w:p>
    <w:p>
      <w:pPr>
        <w:pStyle w:val="DefinedTerms"/>
      </w:pPr>
      <w:r>
        <w:lastRenderedPageBreak/>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2(1)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4" w:name="DefinedTerms"/>
    <w:bookmarkEnd w:id="2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40942"/>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C08EA-5FBA-439E-9EB5-AECF48E94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42455</Words>
  <Characters>196568</Characters>
  <Application>Microsoft Office Word</Application>
  <DocSecurity>0</DocSecurity>
  <Lines>5312</Lines>
  <Paragraphs>3186</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235837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1997 - 05-l0-00</dc:title>
  <dc:subject/>
  <dc:creator/>
  <cp:keywords/>
  <dc:description/>
  <cp:lastModifiedBy>Master Repository Process</cp:lastModifiedBy>
  <cp:revision>4</cp:revision>
  <cp:lastPrinted>2019-02-27T04:33:00Z</cp:lastPrinted>
  <dcterms:created xsi:type="dcterms:W3CDTF">2022-11-17T07:13:00Z</dcterms:created>
  <dcterms:modified xsi:type="dcterms:W3CDTF">2022-11-17T07:13:00Z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19 Nov 2022</vt:lpwstr>
  </property>
  <property fmtid="{D5CDD505-2E9C-101B-9397-08002B2CF9AE}" pid="8" name="Suffix">
    <vt:lpwstr>05-l0-00</vt:lpwstr>
  </property>
  <property fmtid="{D5CDD505-2E9C-101B-9397-08002B2CF9AE}" pid="9" name="CommencementDate">
    <vt:lpwstr>20221119</vt:lpwstr>
  </property>
</Properties>
</file>