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rPr>
          <w:noProof/>
        </w:rPr>
        <w:br/>
        <w:t>Government Railways Act 1904</w:t>
      </w:r>
      <w:r>
        <w:rPr>
          <w:noProof/>
        </w:rPr>
        <w:b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_Toc119574657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_Toc119574658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_Toc119574659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_Toc119574660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4A.</w:t>
      </w:r>
      <w:r>
        <w:tab/>
        <w:t>Use of ticket may be subject to conditions</w:t>
      </w:r>
      <w:r>
        <w:tab/>
      </w:r>
      <w:r>
        <w:fldChar w:fldCharType="begin"/>
      </w:r>
      <w:r>
        <w:instrText xml:space="preserve"> PAGEREF _Toc119574662 \h </w:instrText>
      </w:r>
      <w:r>
        <w:fldChar w:fldCharType="separate"/>
      </w:r>
      <w:r>
        <w:t>3</w:t>
      </w:r>
      <w:r>
        <w:fldChar w:fldCharType="end"/>
      </w:r>
    </w:p>
    <w:p>
      <w:pPr>
        <w:pStyle w:val="TOC8"/>
        <w:rPr>
          <w:rFonts w:asciiTheme="minorHAnsi" w:eastAsiaTheme="minorEastAsia" w:hAnsiTheme="minorHAnsi" w:cstheme="minorBidi"/>
          <w:szCs w:val="22"/>
        </w:rPr>
      </w:pPr>
      <w:r>
        <w:t>5.</w:t>
      </w:r>
      <w:r>
        <w:tab/>
        <w:t>Validity of ticket for journey</w:t>
      </w:r>
      <w:r>
        <w:tab/>
      </w:r>
      <w:r>
        <w:fldChar w:fldCharType="begin"/>
      </w:r>
      <w:r>
        <w:instrText xml:space="preserve"> PAGEREF _Toc119574663 \h </w:instrText>
      </w:r>
      <w:r>
        <w:fldChar w:fldCharType="separate"/>
      </w:r>
      <w:r>
        <w:t>3</w:t>
      </w:r>
      <w:r>
        <w:fldChar w:fldCharType="end"/>
      </w:r>
    </w:p>
    <w:p>
      <w:pPr>
        <w:pStyle w:val="TOC8"/>
        <w:rPr>
          <w:rFonts w:asciiTheme="minorHAnsi" w:eastAsiaTheme="minorEastAsia" w:hAnsiTheme="minorHAnsi" w:cstheme="minorBidi"/>
          <w:szCs w:val="22"/>
        </w:rPr>
      </w:pPr>
      <w:r>
        <w:t>6.</w:t>
      </w:r>
      <w:r>
        <w:tab/>
        <w:t>Making a journey without a valid ticket</w:t>
      </w:r>
      <w:r>
        <w:tab/>
      </w:r>
      <w:r>
        <w:fldChar w:fldCharType="begin"/>
      </w:r>
      <w:r>
        <w:instrText xml:space="preserve"> PAGEREF _Toc119574664 \h </w:instrText>
      </w:r>
      <w:r>
        <w:fldChar w:fldCharType="separate"/>
      </w:r>
      <w:r>
        <w:t>4</w:t>
      </w:r>
      <w:r>
        <w:fldChar w:fldCharType="end"/>
      </w:r>
    </w:p>
    <w:p>
      <w:pPr>
        <w:pStyle w:val="TOC8"/>
        <w:rPr>
          <w:rFonts w:asciiTheme="minorHAnsi" w:eastAsiaTheme="minorEastAsia" w:hAnsiTheme="minorHAnsi" w:cstheme="minorBidi"/>
          <w:szCs w:val="22"/>
        </w:rPr>
      </w:pPr>
      <w:r>
        <w:t>6A.</w:t>
      </w:r>
      <w:r>
        <w:tab/>
        <w:t>Being within a closed area without a valid ticket</w:t>
      </w:r>
      <w:r>
        <w:tab/>
      </w:r>
      <w:r>
        <w:fldChar w:fldCharType="begin"/>
      </w:r>
      <w:r>
        <w:instrText xml:space="preserve"> PAGEREF _Toc119574665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_Toc119574667 \h </w:instrText>
      </w:r>
      <w:r>
        <w:fldChar w:fldCharType="separate"/>
      </w:r>
      <w:r>
        <w:t>7</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_Toc119574668 \h </w:instrText>
      </w:r>
      <w:r>
        <w:fldChar w:fldCharType="separate"/>
      </w:r>
      <w:r>
        <w:t>7</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_Toc119574669 \h </w:instrText>
      </w:r>
      <w:r>
        <w:fldChar w:fldCharType="separate"/>
      </w:r>
      <w:r>
        <w:t>7</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_Toc119574670 \h </w:instrText>
      </w:r>
      <w:r>
        <w:fldChar w:fldCharType="separate"/>
      </w:r>
      <w:r>
        <w:t>8</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_Toc119574671 \h </w:instrText>
      </w:r>
      <w:r>
        <w:fldChar w:fldCharType="separate"/>
      </w:r>
      <w:r>
        <w:t>8</w:t>
      </w:r>
      <w:r>
        <w:fldChar w:fldCharType="end"/>
      </w:r>
    </w:p>
    <w:p>
      <w:pPr>
        <w:pStyle w:val="TOC8"/>
        <w:rPr>
          <w:rFonts w:asciiTheme="minorHAnsi" w:eastAsiaTheme="minorEastAsia" w:hAnsiTheme="minorHAnsi" w:cstheme="minorBidi"/>
          <w:szCs w:val="22"/>
        </w:rPr>
      </w:pPr>
      <w:r>
        <w:t>12.</w:t>
      </w:r>
      <w:r>
        <w:tab/>
        <w:t>Consumption of liquor</w:t>
      </w:r>
      <w:r>
        <w:tab/>
      </w:r>
      <w:r>
        <w:fldChar w:fldCharType="begin"/>
      </w:r>
      <w:r>
        <w:instrText xml:space="preserve"> PAGEREF _Toc119574672 \h </w:instrText>
      </w:r>
      <w:r>
        <w:fldChar w:fldCharType="separate"/>
      </w:r>
      <w:r>
        <w:t>9</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_Toc119574673 \h </w:instrText>
      </w:r>
      <w:r>
        <w:fldChar w:fldCharType="separate"/>
      </w:r>
      <w:r>
        <w:t>10</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_Toc119574674 \h </w:instrText>
      </w:r>
      <w:r>
        <w:fldChar w:fldCharType="separate"/>
      </w:r>
      <w:r>
        <w:t>10</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_Toc119574675 \h </w:instrText>
      </w:r>
      <w:r>
        <w:fldChar w:fldCharType="separate"/>
      </w:r>
      <w:r>
        <w:t>10</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_Toc119574676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_Toc119574677 \h </w:instrText>
      </w:r>
      <w:r>
        <w:fldChar w:fldCharType="separate"/>
      </w:r>
      <w:r>
        <w:t>11</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_Toc119574678 \h </w:instrText>
      </w:r>
      <w:r>
        <w:fldChar w:fldCharType="separate"/>
      </w:r>
      <w:r>
        <w:t>12</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_Toc119574679 \h </w:instrText>
      </w:r>
      <w:r>
        <w:fldChar w:fldCharType="separate"/>
      </w:r>
      <w:r>
        <w:t>12</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_Toc119574680 \h </w:instrText>
      </w:r>
      <w:r>
        <w:fldChar w:fldCharType="separate"/>
      </w:r>
      <w:r>
        <w:t>12</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_Toc119574681 \h </w:instrText>
      </w:r>
      <w:r>
        <w:fldChar w:fldCharType="separate"/>
      </w:r>
      <w:r>
        <w:t>13</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_Toc119574682 \h </w:instrText>
      </w:r>
      <w:r>
        <w:fldChar w:fldCharType="separate"/>
      </w:r>
      <w:r>
        <w:t>14</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_Toc119574683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_Toc119574685 \h </w:instrText>
      </w:r>
      <w:r>
        <w:fldChar w:fldCharType="separate"/>
      </w:r>
      <w:r>
        <w:t>15</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_Toc119574686 \h </w:instrText>
      </w:r>
      <w:r>
        <w:fldChar w:fldCharType="separate"/>
      </w:r>
      <w:r>
        <w:t>16</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_Toc119574687 \h </w:instrText>
      </w:r>
      <w:r>
        <w:fldChar w:fldCharType="separate"/>
      </w:r>
      <w:r>
        <w:t>16</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_Toc119574688 \h </w:instrText>
      </w:r>
      <w:r>
        <w:fldChar w:fldCharType="separate"/>
      </w:r>
      <w:r>
        <w:t>16</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_Toc119574689 \h </w:instrText>
      </w:r>
      <w:r>
        <w:fldChar w:fldCharType="separate"/>
      </w:r>
      <w:r>
        <w:t>17</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_Toc119574690 \h </w:instrText>
      </w:r>
      <w:r>
        <w:fldChar w:fldCharType="separate"/>
      </w:r>
      <w:r>
        <w:t>17</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_Toc119574691 \h </w:instrText>
      </w:r>
      <w:r>
        <w:fldChar w:fldCharType="separate"/>
      </w:r>
      <w:r>
        <w:t>18</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_Toc119574692 \h </w:instrText>
      </w:r>
      <w:r>
        <w:fldChar w:fldCharType="separate"/>
      </w:r>
      <w:r>
        <w:t>18</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_Toc119574693 \h </w:instrText>
      </w:r>
      <w:r>
        <w:fldChar w:fldCharType="separate"/>
      </w:r>
      <w:r>
        <w:t>19</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_Toc119574694 \h </w:instrText>
      </w:r>
      <w:r>
        <w:fldChar w:fldCharType="separate"/>
      </w:r>
      <w:r>
        <w:t>19</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_Toc119574695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_Toc119574697 \h </w:instrText>
      </w:r>
      <w:r>
        <w:fldChar w:fldCharType="separate"/>
      </w:r>
      <w:r>
        <w:t>21</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_Toc119574698 \h </w:instrText>
      </w:r>
      <w:r>
        <w:fldChar w:fldCharType="separate"/>
      </w:r>
      <w:r>
        <w:t>21</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_Toc119574699 \h </w:instrText>
      </w:r>
      <w:r>
        <w:fldChar w:fldCharType="separate"/>
      </w:r>
      <w:r>
        <w:t>21</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_Toc119574700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_Toc119574702 \h </w:instrText>
      </w:r>
      <w:r>
        <w:fldChar w:fldCharType="separate"/>
      </w:r>
      <w:r>
        <w:t>24</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_Toc119574703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36.</w:t>
      </w:r>
      <w:r>
        <w:tab/>
        <w:t>Disposal of an estate in land other than Crown land without the Minister’s approval: section 16 of the Act</w:t>
      </w:r>
      <w:r>
        <w:tab/>
      </w:r>
      <w:r>
        <w:fldChar w:fldCharType="begin"/>
      </w:r>
      <w:r>
        <w:instrText xml:space="preserve"> PAGEREF _Toc119574704 \h </w:instrText>
      </w:r>
      <w:r>
        <w:fldChar w:fldCharType="separate"/>
      </w:r>
      <w:r>
        <w:t>25</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_Toc119574705 \h </w:instrText>
      </w:r>
      <w:r>
        <w:fldChar w:fldCharType="separate"/>
      </w:r>
      <w:r>
        <w:t>25</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_Toc119574706 \h </w:instrText>
      </w:r>
      <w:r>
        <w:fldChar w:fldCharType="separate"/>
      </w:r>
      <w:r>
        <w:t>26</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_Toc119574707 \h </w:instrText>
      </w:r>
      <w:r>
        <w:fldChar w:fldCharType="separate"/>
      </w:r>
      <w:r>
        <w:t>26</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_Toc119574708 \h </w:instrText>
      </w:r>
      <w:r>
        <w:fldChar w:fldCharType="separate"/>
      </w:r>
      <w:r>
        <w:t>27</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_Toc119574709 \h </w:instrText>
      </w:r>
      <w:r>
        <w:fldChar w:fldCharType="separate"/>
      </w:r>
      <w:r>
        <w:t>27</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_Toc119574710 \h </w:instrText>
      </w:r>
      <w:r>
        <w:fldChar w:fldCharType="separate"/>
      </w:r>
      <w:r>
        <w:t>29</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_Toc119574711 \h </w:instrText>
      </w:r>
      <w:r>
        <w:fldChar w:fldCharType="separate"/>
      </w:r>
      <w:r>
        <w:t>29</w:t>
      </w:r>
      <w:r>
        <w:fldChar w:fldCharType="end"/>
      </w:r>
    </w:p>
    <w:p>
      <w:pPr>
        <w:pStyle w:val="TOC8"/>
        <w:rPr>
          <w:rFonts w:asciiTheme="minorHAnsi" w:eastAsiaTheme="minorEastAsia" w:hAnsiTheme="minorHAnsi" w:cstheme="minorBidi"/>
          <w:szCs w:val="22"/>
        </w:rPr>
      </w:pPr>
      <w:r>
        <w:t>44.</w:t>
      </w:r>
      <w:r>
        <w:tab/>
        <w:t>Powers of authorised persons to inspect and retain tickets</w:t>
      </w:r>
      <w:r>
        <w:tab/>
      </w:r>
      <w:r>
        <w:fldChar w:fldCharType="begin"/>
      </w:r>
      <w:r>
        <w:instrText xml:space="preserve"> PAGEREF _Toc119574712 \h </w:instrText>
      </w:r>
      <w:r>
        <w:fldChar w:fldCharType="separate"/>
      </w:r>
      <w:r>
        <w:t>31</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_Toc119574713 \h </w:instrText>
      </w:r>
      <w:r>
        <w:fldChar w:fldCharType="separate"/>
      </w:r>
      <w:r>
        <w:t>32</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_Toc119574714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_Toc119574718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_Toc119574719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3" w:name="_Toc119498969"/>
      <w:bookmarkStart w:id="4" w:name="_Toc119499820"/>
      <w:bookmarkStart w:id="5" w:name="_Toc11957465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9574657"/>
      <w:r>
        <w:rPr>
          <w:rStyle w:val="CharSectno"/>
        </w:rPr>
        <w:t>1</w:t>
      </w:r>
      <w:r>
        <w:t>.</w:t>
      </w:r>
      <w:r>
        <w:tab/>
        <w:t>Citation</w:t>
      </w:r>
      <w:bookmarkEnd w:id="6"/>
    </w:p>
    <w:p>
      <w:pPr>
        <w:pStyle w:val="Subsection"/>
      </w:pPr>
      <w:r>
        <w:tab/>
      </w:r>
      <w:r>
        <w:tab/>
      </w:r>
      <w:bookmarkStart w:id="7" w:name="Start_Cursor"/>
      <w:bookmarkEnd w:id="7"/>
      <w:r>
        <w:t xml:space="preserve">These regulations may be cited as the </w:t>
      </w:r>
      <w:r>
        <w:rPr>
          <w:i/>
        </w:rPr>
        <w:t>Public Transport Authority Regulations 2003</w:t>
      </w:r>
      <w:r>
        <w:t>.</w:t>
      </w:r>
    </w:p>
    <w:p>
      <w:pPr>
        <w:pStyle w:val="Heading5"/>
        <w:rPr>
          <w:spacing w:val="-2"/>
        </w:rPr>
      </w:pPr>
      <w:bookmarkStart w:id="8" w:name="_Toc119574658"/>
      <w:r>
        <w:rPr>
          <w:rStyle w:val="CharSectno"/>
        </w:rPr>
        <w:t>2</w:t>
      </w:r>
      <w:r>
        <w:t>.</w:t>
      </w:r>
      <w:r>
        <w:tab/>
        <w:t>Commencement</w:t>
      </w:r>
      <w:bookmarkEnd w:id="8"/>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9" w:name="_Toc119574659"/>
      <w:r>
        <w:rPr>
          <w:rStyle w:val="CharSectno"/>
        </w:rPr>
        <w:t>3</w:t>
      </w:r>
      <w:r>
        <w:t>.</w:t>
      </w:r>
      <w:r>
        <w:tab/>
        <w:t>Terms used in these regulations</w:t>
      </w:r>
      <w:bookmarkEnd w:id="9"/>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a physical data storage device or a software application that — </w:t>
      </w:r>
    </w:p>
    <w:p>
      <w:pPr>
        <w:pStyle w:val="Defpara"/>
      </w:pPr>
      <w:r>
        <w:tab/>
        <w:t>(a)</w:t>
      </w:r>
      <w:r>
        <w:tab/>
        <w:t xml:space="preserve">is issued or approved by the Authority; and </w:t>
      </w:r>
    </w:p>
    <w:p>
      <w:pPr>
        <w:pStyle w:val="Defpara"/>
      </w:pPr>
      <w:r>
        <w:lastRenderedPageBreak/>
        <w:tab/>
        <w:t>(b)</w:t>
      </w:r>
      <w:r>
        <w:tab/>
        <w:t>holds data that, alone or in conjunction with other data, evidences a person’s authorisation to make a journey; and</w:t>
      </w:r>
    </w:p>
    <w:p>
      <w:pPr>
        <w:pStyle w:val="Defpara"/>
        <w:rPr>
          <w:b/>
        </w:rPr>
      </w:pPr>
      <w:r>
        <w:tab/>
        <w:t>(c)</w:t>
      </w:r>
      <w:r>
        <w:tab/>
        <w:t>at the start and end of the journey and at all times during the journey, is capable of being electronically read by the Authority’s reading apparatus;</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sign</w:t>
      </w:r>
      <w:r>
        <w:t xml:space="preserve"> includes a marking on the ground or other surface;</w:t>
      </w:r>
    </w:p>
    <w:p>
      <w:pPr>
        <w:pStyle w:val="Defstart"/>
      </w:pPr>
      <w:r>
        <w:tab/>
      </w:r>
      <w:r>
        <w:rPr>
          <w:rStyle w:val="CharDefText"/>
        </w:rPr>
        <w:t>ticket</w:t>
      </w:r>
      <w:r>
        <w:t xml:space="preserve"> means — </w:t>
      </w:r>
    </w:p>
    <w:p>
      <w:pPr>
        <w:pStyle w:val="Defpara"/>
      </w:pPr>
      <w:r>
        <w:tab/>
        <w:t>(a)</w:t>
      </w:r>
      <w:r>
        <w:tab/>
        <w:t>a paper ticket; or</w:t>
      </w:r>
    </w:p>
    <w:p>
      <w:pPr>
        <w:pStyle w:val="Defpara"/>
      </w:pPr>
      <w:r>
        <w:tab/>
        <w:t>(b)</w:t>
      </w:r>
      <w:r>
        <w:tab/>
        <w:t>an electronic ticket.</w:t>
      </w:r>
    </w:p>
    <w:p>
      <w:pPr>
        <w:pStyle w:val="Footnotesection"/>
      </w:pPr>
      <w:r>
        <w:tab/>
        <w:t>[Regulation 3 amended: Gazette 5 Nov 2013 p. 4950; SL 2020/183 r. 4.]</w:t>
      </w:r>
    </w:p>
    <w:p>
      <w:pPr>
        <w:pStyle w:val="Heading5"/>
      </w:pPr>
      <w:bookmarkStart w:id="10" w:name="_Toc119574660"/>
      <w:r>
        <w:rPr>
          <w:rStyle w:val="CharSectno"/>
        </w:rPr>
        <w:t>4</w:t>
      </w:r>
      <w:r>
        <w:t>.</w:t>
      </w:r>
      <w:r>
        <w:tab/>
        <w:t>Offences prescribed as infringement notice offences</w:t>
      </w:r>
      <w:bookmarkEnd w:id="10"/>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1" w:name="_Toc119498974"/>
      <w:bookmarkStart w:id="12" w:name="_Toc119499825"/>
      <w:bookmarkStart w:id="13" w:name="_Toc119574661"/>
      <w:r>
        <w:rPr>
          <w:rStyle w:val="CharPartNo"/>
        </w:rPr>
        <w:lastRenderedPageBreak/>
        <w:t>Part 2</w:t>
      </w:r>
      <w:r>
        <w:rPr>
          <w:rStyle w:val="CharDivNo"/>
        </w:rPr>
        <w:t> </w:t>
      </w:r>
      <w:r>
        <w:rPr>
          <w:sz w:val="24"/>
        </w:rPr>
        <w:t>—</w:t>
      </w:r>
      <w:r>
        <w:rPr>
          <w:rStyle w:val="CharDivText"/>
        </w:rPr>
        <w:t> </w:t>
      </w:r>
      <w:r>
        <w:rPr>
          <w:rStyle w:val="CharPartText"/>
        </w:rPr>
        <w:t>Tickets</w:t>
      </w:r>
      <w:bookmarkEnd w:id="11"/>
      <w:bookmarkEnd w:id="12"/>
      <w:bookmarkEnd w:id="13"/>
    </w:p>
    <w:p>
      <w:pPr>
        <w:pStyle w:val="Heading5"/>
      </w:pPr>
      <w:bookmarkStart w:id="14" w:name="_Toc119574662"/>
      <w:r>
        <w:rPr>
          <w:rStyle w:val="CharSectno"/>
        </w:rPr>
        <w:t>4A</w:t>
      </w:r>
      <w:r>
        <w:t>.</w:t>
      </w:r>
      <w:r>
        <w:tab/>
        <w:t>Use of ticket may be subject to conditions</w:t>
      </w:r>
      <w:bookmarkEnd w:id="14"/>
    </w:p>
    <w:p>
      <w:pPr>
        <w:pStyle w:val="Subsection"/>
      </w:pPr>
      <w:r>
        <w:tab/>
      </w:r>
      <w:r>
        <w:tab/>
        <w:t xml:space="preserve">The Authority may issue or approve a ticket subject to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w:t>
      </w:r>
    </w:p>
    <w:p>
      <w:pPr>
        <w:pStyle w:val="Heading5"/>
      </w:pPr>
      <w:bookmarkStart w:id="15" w:name="_Toc119574663"/>
      <w:r>
        <w:rPr>
          <w:rStyle w:val="CharSectno"/>
        </w:rPr>
        <w:t>5</w:t>
      </w:r>
      <w:r>
        <w:t>.</w:t>
      </w:r>
      <w:r>
        <w:tab/>
        <w:t>Validity of ticket for journey</w:t>
      </w:r>
      <w:bookmarkEnd w:id="15"/>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lastRenderedPageBreak/>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pPr>
      <w:r>
        <w:tab/>
        <w:t>(2)</w:t>
      </w:r>
      <w:r>
        <w:tab/>
        <w:t xml:space="preserve">An electronic ticket is valid for a journey if it holds data that, alone or in conjunction with other data, evidences authorisation to make the journey, unless — </w:t>
      </w:r>
    </w:p>
    <w:p>
      <w:pPr>
        <w:pStyle w:val="Indenta"/>
      </w:pPr>
      <w:r>
        <w:tab/>
        <w:t>(a)</w:t>
      </w:r>
      <w:r>
        <w:tab/>
        <w:t>the person using the ticket is required, before or at the start of the journey, to obtain confirmation from the Authority’s reading apparatus of authorisation to make the journey, and the reading apparatus has not confirmed authorisation to make the journey; or</w:t>
      </w:r>
    </w:p>
    <w:p>
      <w:pPr>
        <w:pStyle w:val="Indenta"/>
      </w:pPr>
      <w:r>
        <w:tab/>
        <w:t>(b)</w:t>
      </w:r>
      <w:r>
        <w:tab/>
        <w:t>it is not being used in accordance with any condition on which it was issued or approved; or</w:t>
      </w:r>
    </w:p>
    <w:p>
      <w:pPr>
        <w:pStyle w:val="Indenta"/>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w:t>
      </w:r>
    </w:p>
    <w:p>
      <w:pPr>
        <w:pStyle w:val="Heading5"/>
      </w:pPr>
      <w:bookmarkStart w:id="16" w:name="_Toc119574664"/>
      <w:r>
        <w:rPr>
          <w:rStyle w:val="CharSectno"/>
        </w:rPr>
        <w:t>6</w:t>
      </w:r>
      <w:r>
        <w:t>.</w:t>
      </w:r>
      <w:r>
        <w:tab/>
        <w:t>Making a journey without a valid ticket</w:t>
      </w:r>
      <w:bookmarkEnd w:id="16"/>
    </w:p>
    <w:p>
      <w:pPr>
        <w:pStyle w:val="Subsection"/>
      </w:pPr>
      <w:r>
        <w:tab/>
        <w:t>(1)</w:t>
      </w:r>
      <w:r>
        <w:tab/>
        <w:t xml:space="preserve">A person who — </w:t>
      </w:r>
    </w:p>
    <w:p>
      <w:pPr>
        <w:pStyle w:val="Indenta"/>
      </w:pPr>
      <w:r>
        <w:tab/>
        <w:t>(a)</w:t>
      </w:r>
      <w:r>
        <w:tab/>
        <w:t>starts or makes a journey; or</w:t>
      </w:r>
    </w:p>
    <w:p>
      <w:pPr>
        <w:pStyle w:val="Indenta"/>
      </w:pPr>
      <w:r>
        <w:tab/>
        <w:t>(b)</w:t>
      </w:r>
      <w:r>
        <w:tab/>
        <w:t>leaves or ends a journey,</w:t>
      </w:r>
    </w:p>
    <w:p>
      <w:pPr>
        <w:pStyle w:val="Subsection"/>
      </w:pPr>
      <w:r>
        <w:tab/>
      </w:r>
      <w:r>
        <w:tab/>
        <w:t>and who is not in possession of a ticket that is valid for the journey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lastRenderedPageBreak/>
        <w:tab/>
        <w:t>(1A)</w:t>
      </w:r>
      <w:r>
        <w:tab/>
        <w:t xml:space="preserve">In proceedings for an offence under subregulation (1), the accused is taken not to have been in possession of a ticket that is valid for the journey (unless the contrary is proved) if — </w:t>
      </w:r>
    </w:p>
    <w:p>
      <w:pPr>
        <w:pStyle w:val="Indenta"/>
      </w:pPr>
      <w:r>
        <w:tab/>
        <w:t>(a)</w:t>
      </w:r>
      <w:r>
        <w:tab/>
        <w:t>it is proved that the accused did not produce a ticket valid for the journey to a driver, master or authorised person on demand made at the start or end of the journey or at any time during the journey; or</w:t>
      </w:r>
    </w:p>
    <w:p>
      <w:pPr>
        <w:pStyle w:val="Indenta"/>
      </w:pPr>
      <w:r>
        <w:tab/>
        <w:t>(b)</w:t>
      </w:r>
      <w:r>
        <w:tab/>
        <w:t>it is proved that the accused used or attempted to make use of a ticket in connection with the journey that was not valid for the journey.</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w:t>
      </w:r>
    </w:p>
    <w:p>
      <w:pPr>
        <w:pStyle w:val="Heading5"/>
      </w:pPr>
      <w:bookmarkStart w:id="17" w:name="_Toc119574665"/>
      <w:r>
        <w:rPr>
          <w:rStyle w:val="CharSectno"/>
        </w:rPr>
        <w:t>6A</w:t>
      </w:r>
      <w:r>
        <w:t>.</w:t>
      </w:r>
      <w:r>
        <w:tab/>
        <w:t>Being within a closed area without a valid ticket</w:t>
      </w:r>
      <w:bookmarkEnd w:id="17"/>
    </w:p>
    <w:p>
      <w:pPr>
        <w:pStyle w:val="Subsection"/>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lastRenderedPageBreak/>
        <w:tab/>
        <w:t>(2)</w:t>
      </w:r>
      <w:r>
        <w:tab/>
        <w:t>A person who is within the closed area of a railway station and is not in possession of an appropriate ticket commits an offence.</w:t>
      </w:r>
    </w:p>
    <w:p>
      <w:pPr>
        <w:pStyle w:val="Penstart"/>
      </w:pPr>
      <w:r>
        <w:tab/>
        <w:t>Modified penalty for this subregulation: a fine of $100.</w:t>
      </w:r>
    </w:p>
    <w:p>
      <w:pPr>
        <w:pStyle w:val="Penstart"/>
      </w:pPr>
      <w:r>
        <w:tab/>
        <w:t>Penalty for this subregulation: a fine of $500.</w:t>
      </w:r>
    </w:p>
    <w:p>
      <w:pPr>
        <w:pStyle w:val="Subsection"/>
      </w:pPr>
      <w:r>
        <w:tab/>
        <w:t>(3)</w:t>
      </w:r>
      <w:r>
        <w:tab/>
        <w:t xml:space="preserve">In proceedings for an offence under subregulation (2), the accused is taken not to have been in possession of an appropriate ticket (unless the contrary is proved) if — </w:t>
      </w:r>
    </w:p>
    <w:p>
      <w:pPr>
        <w:pStyle w:val="Indenta"/>
      </w:pPr>
      <w:r>
        <w:tab/>
        <w:t>(a)</w:t>
      </w:r>
      <w:r>
        <w:tab/>
        <w:t>it is proved that the accused did not produce an appropriate ticket to an authorised person on demand made when the accused entered or exited the closed area, or at any time while the accused was within the closed area; or</w:t>
      </w:r>
    </w:p>
    <w:p>
      <w:pPr>
        <w:pStyle w:val="Indenta"/>
      </w:pPr>
      <w:r>
        <w:tab/>
        <w:t>(b)</w:t>
      </w:r>
      <w:r>
        <w:tab/>
        <w:t>it is proved that, when entering or exiting the closed area, the accused used or attempted to make use of a ticket that was not an appropriate ticket.</w:t>
      </w:r>
    </w:p>
    <w:p>
      <w:pPr>
        <w:pStyle w:val="Subsection"/>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w:t>
      </w:r>
    </w:p>
    <w:p>
      <w:pPr>
        <w:pStyle w:val="Heading2"/>
      </w:pPr>
      <w:bookmarkStart w:id="18" w:name="_Toc119498979"/>
      <w:bookmarkStart w:id="19" w:name="_Toc119499830"/>
      <w:bookmarkStart w:id="20" w:name="_Toc119574666"/>
      <w:r>
        <w:rPr>
          <w:rStyle w:val="CharPartNo"/>
        </w:rPr>
        <w:lastRenderedPageBreak/>
        <w:t>Part 3</w:t>
      </w:r>
      <w:r>
        <w:rPr>
          <w:rStyle w:val="CharDivNo"/>
        </w:rPr>
        <w:t> </w:t>
      </w:r>
      <w:r>
        <w:t>—</w:t>
      </w:r>
      <w:r>
        <w:rPr>
          <w:rStyle w:val="CharDivText"/>
        </w:rPr>
        <w:t> </w:t>
      </w:r>
      <w:r>
        <w:rPr>
          <w:rStyle w:val="CharPartText"/>
        </w:rPr>
        <w:t>Conduct in relation to Authority property</w:t>
      </w:r>
      <w:bookmarkEnd w:id="18"/>
      <w:bookmarkEnd w:id="19"/>
      <w:bookmarkEnd w:id="20"/>
    </w:p>
    <w:p>
      <w:pPr>
        <w:pStyle w:val="Heading5"/>
      </w:pPr>
      <w:bookmarkStart w:id="21" w:name="_Toc119574667"/>
      <w:r>
        <w:rPr>
          <w:rStyle w:val="CharSectno"/>
        </w:rPr>
        <w:t>7</w:t>
      </w:r>
      <w:r>
        <w:t>.</w:t>
      </w:r>
      <w:r>
        <w:tab/>
        <w:t>Interference with property</w:t>
      </w:r>
      <w:bookmarkEnd w:id="21"/>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22" w:name="_Toc119574668"/>
      <w:r>
        <w:rPr>
          <w:rStyle w:val="CharSectno"/>
        </w:rPr>
        <w:t>8</w:t>
      </w:r>
      <w:r>
        <w:t>.</w:t>
      </w:r>
      <w:r>
        <w:tab/>
        <w:t>Travelling on part of conveyance not intended for conveyance of passengers</w:t>
      </w:r>
      <w:bookmarkEnd w:id="22"/>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23" w:name="_Toc119574669"/>
      <w:r>
        <w:rPr>
          <w:rStyle w:val="CharSectno"/>
        </w:rPr>
        <w:t>9</w:t>
      </w:r>
      <w:r>
        <w:t>.</w:t>
      </w:r>
      <w:r>
        <w:tab/>
        <w:t>Entering or leaving a conveyance other than through a door</w:t>
      </w:r>
      <w:bookmarkEnd w:id="23"/>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 Gazette 5 Nov 2013 p. 4954.]</w:t>
      </w:r>
    </w:p>
    <w:p>
      <w:pPr>
        <w:pStyle w:val="Heading5"/>
      </w:pPr>
      <w:bookmarkStart w:id="24" w:name="_Toc119574670"/>
      <w:r>
        <w:rPr>
          <w:rStyle w:val="CharSectno"/>
        </w:rPr>
        <w:lastRenderedPageBreak/>
        <w:t>10</w:t>
      </w:r>
      <w:r>
        <w:t>.</w:t>
      </w:r>
      <w:r>
        <w:tab/>
        <w:t>No standing allowed in certain areas on a conveyance</w:t>
      </w:r>
      <w:bookmarkEnd w:id="24"/>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25" w:name="_Toc119574671"/>
      <w:r>
        <w:rPr>
          <w:rStyle w:val="CharSectno"/>
        </w:rPr>
        <w:t>11</w:t>
      </w:r>
      <w:r>
        <w:t>.</w:t>
      </w:r>
      <w:r>
        <w:tab/>
        <w:t>Smoking prohibited</w:t>
      </w:r>
      <w:bookmarkEnd w:id="25"/>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keepNext/>
      </w:pPr>
      <w:r>
        <w:lastRenderedPageBreak/>
        <w:tab/>
        <w:t>(2)</w:t>
      </w:r>
      <w:r>
        <w:tab/>
        <w:t>A person who smokes in or on a facility in respect of which a notice is displayed that smoking is prohibited commits an offence.</w:t>
      </w:r>
    </w:p>
    <w:p>
      <w:pPr>
        <w:pStyle w:val="Penstart"/>
        <w:keepNex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1</w:t>
      </w:r>
      <w:r>
        <w:t>.</w:t>
      </w:r>
    </w:p>
    <w:p>
      <w:pPr>
        <w:pStyle w:val="Footnotesection"/>
      </w:pPr>
      <w:r>
        <w:tab/>
        <w:t>[Regulation 11 amended: Gazette 24 Jul 2009 p. 2953-4; 5 Nov 2013 p. 4954; SL 2020/183 r. 8.]</w:t>
      </w:r>
    </w:p>
    <w:p>
      <w:pPr>
        <w:pStyle w:val="Heading5"/>
      </w:pPr>
      <w:bookmarkStart w:id="26" w:name="_Toc119574672"/>
      <w:r>
        <w:rPr>
          <w:rStyle w:val="CharSectno"/>
        </w:rPr>
        <w:t>12</w:t>
      </w:r>
      <w:r>
        <w:t>.</w:t>
      </w:r>
      <w:r>
        <w:tab/>
        <w:t>Consumption of liquor</w:t>
      </w:r>
      <w:bookmarkEnd w:id="26"/>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Subsection"/>
      </w:pPr>
      <w:r>
        <w:tab/>
        <w:t>(4)</w:t>
      </w:r>
      <w:r>
        <w:tab/>
        <w:t>If a person is contravening this regulation an authorised person may seize an open container of liquor in the person’s possession.</w:t>
      </w:r>
    </w:p>
    <w:p>
      <w:pPr>
        <w:pStyle w:val="Subsection"/>
        <w:keepNext/>
      </w:pPr>
      <w:r>
        <w:lastRenderedPageBreak/>
        <w:tab/>
        <w:t>(5)</w:t>
      </w:r>
      <w:r>
        <w:tab/>
        <w:t>An authorised person who seizes a container of liquor under subregulation (4) must dispose of it as soon as practicable after it is seized.</w:t>
      </w:r>
    </w:p>
    <w:p>
      <w:pPr>
        <w:pStyle w:val="Footnotesection"/>
      </w:pPr>
      <w:r>
        <w:tab/>
        <w:t>[Regulation 12 amended: Gazette 24 Jul 2009 p. 2954; 5 Nov 2013 p. 4954; SL 2020/183 r. 9.]</w:t>
      </w:r>
    </w:p>
    <w:p>
      <w:pPr>
        <w:pStyle w:val="Heading5"/>
        <w:spacing w:before="200"/>
      </w:pPr>
      <w:bookmarkStart w:id="27" w:name="_Toc119574673"/>
      <w:r>
        <w:rPr>
          <w:rStyle w:val="CharSectno"/>
        </w:rPr>
        <w:t>13</w:t>
      </w:r>
      <w:r>
        <w:t>.</w:t>
      </w:r>
      <w:r>
        <w:tab/>
        <w:t>Nuisance</w:t>
      </w:r>
      <w:bookmarkEnd w:id="27"/>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 Gazette 24 Jul 2009 p. 2954; 5 Nov 2013 p. 4954.]</w:t>
      </w:r>
    </w:p>
    <w:p>
      <w:pPr>
        <w:pStyle w:val="Heading5"/>
        <w:spacing w:before="200"/>
      </w:pPr>
      <w:bookmarkStart w:id="28" w:name="_Toc119574674"/>
      <w:r>
        <w:rPr>
          <w:rStyle w:val="CharSectno"/>
        </w:rPr>
        <w:t>14</w:t>
      </w:r>
      <w:r>
        <w:t>.</w:t>
      </w:r>
      <w:r>
        <w:tab/>
        <w:t>Begging and busking prohibited</w:t>
      </w:r>
      <w:bookmarkEnd w:id="28"/>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 Gazette 24 Jul 2009 p. 2954; 5 Nov 2013 p. 4954.]</w:t>
      </w:r>
    </w:p>
    <w:p>
      <w:pPr>
        <w:pStyle w:val="Heading5"/>
        <w:spacing w:before="200"/>
      </w:pPr>
      <w:bookmarkStart w:id="29" w:name="_Toc119574675"/>
      <w:r>
        <w:rPr>
          <w:rStyle w:val="CharSectno"/>
        </w:rPr>
        <w:t>15</w:t>
      </w:r>
      <w:r>
        <w:t>.</w:t>
      </w:r>
      <w:r>
        <w:tab/>
        <w:t>Damage to a conveyance or facility</w:t>
      </w:r>
      <w:bookmarkEnd w:id="29"/>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 Gazette 5 Nov 2013 p. 4954.]</w:t>
      </w:r>
    </w:p>
    <w:p>
      <w:pPr>
        <w:pStyle w:val="Heading5"/>
        <w:spacing w:before="200"/>
      </w:pPr>
      <w:bookmarkStart w:id="30" w:name="_Toc119574676"/>
      <w:r>
        <w:rPr>
          <w:rStyle w:val="CharSectno"/>
        </w:rPr>
        <w:lastRenderedPageBreak/>
        <w:t>16</w:t>
      </w:r>
      <w:r>
        <w:t>.</w:t>
      </w:r>
      <w:r>
        <w:tab/>
        <w:t>Audible devices</w:t>
      </w:r>
      <w:bookmarkEnd w:id="30"/>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 Gazette 24 Jul 2009 p. 2954; 5 Nov 2013 p. 4954-5.]</w:t>
      </w:r>
    </w:p>
    <w:p>
      <w:pPr>
        <w:pStyle w:val="Heading5"/>
      </w:pPr>
      <w:bookmarkStart w:id="31" w:name="_Toc119574677"/>
      <w:r>
        <w:rPr>
          <w:rStyle w:val="CharSectno"/>
        </w:rPr>
        <w:t>17</w:t>
      </w:r>
      <w:r>
        <w:t>.</w:t>
      </w:r>
      <w:r>
        <w:tab/>
        <w:t>Selling things or services or distributing handbills etc. prohibited</w:t>
      </w:r>
      <w:bookmarkEnd w:id="31"/>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 Gazette 24 Jul 2009 p. 2954-5; 5 Nov 2013 p. 4954-5.]</w:t>
      </w:r>
    </w:p>
    <w:p>
      <w:pPr>
        <w:pStyle w:val="Heading5"/>
      </w:pPr>
      <w:bookmarkStart w:id="32" w:name="_Toc119574678"/>
      <w:r>
        <w:rPr>
          <w:rStyle w:val="CharSectno"/>
        </w:rPr>
        <w:lastRenderedPageBreak/>
        <w:t>18</w:t>
      </w:r>
      <w:r>
        <w:t>.</w:t>
      </w:r>
      <w:r>
        <w:tab/>
        <w:t>Food and drink</w:t>
      </w:r>
      <w:bookmarkEnd w:id="32"/>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 Gazette 24 Jul 2009 p. 2955; 5 Nov 2013 p. 4954-5.]</w:t>
      </w:r>
    </w:p>
    <w:p>
      <w:pPr>
        <w:pStyle w:val="Heading5"/>
      </w:pPr>
      <w:bookmarkStart w:id="33" w:name="_Toc119574679"/>
      <w:r>
        <w:rPr>
          <w:rStyle w:val="CharSectno"/>
        </w:rPr>
        <w:t>19</w:t>
      </w:r>
      <w:r>
        <w:t>.</w:t>
      </w:r>
      <w:r>
        <w:tab/>
        <w:t>Feet not to be placed on seats</w:t>
      </w:r>
      <w:bookmarkEnd w:id="33"/>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 Gazette 24 Jul 2009 p. 2955; 5 Nov 2013 p. 4954-5.]</w:t>
      </w:r>
    </w:p>
    <w:p>
      <w:pPr>
        <w:pStyle w:val="Heading5"/>
      </w:pPr>
      <w:bookmarkStart w:id="34" w:name="_Toc119574680"/>
      <w:r>
        <w:rPr>
          <w:rStyle w:val="CharSectno"/>
        </w:rPr>
        <w:t>20</w:t>
      </w:r>
      <w:r>
        <w:t>.</w:t>
      </w:r>
      <w:r>
        <w:tab/>
        <w:t>Luggage not to obstruct or endanger passengers</w:t>
      </w:r>
      <w:bookmarkEnd w:id="34"/>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 Gazette 24 Jul 2009 p. 2955; 5 Nov 2013 p. 4954-5.]</w:t>
      </w:r>
    </w:p>
    <w:p>
      <w:pPr>
        <w:pStyle w:val="Heading5"/>
      </w:pPr>
      <w:bookmarkStart w:id="35" w:name="_Toc119574681"/>
      <w:r>
        <w:rPr>
          <w:rStyle w:val="CharSectno"/>
        </w:rPr>
        <w:lastRenderedPageBreak/>
        <w:t>21</w:t>
      </w:r>
      <w:r>
        <w:t>.</w:t>
      </w:r>
      <w:r>
        <w:tab/>
        <w:t>Possessing certain things prohibited</w:t>
      </w:r>
      <w:bookmarkEnd w:id="35"/>
    </w:p>
    <w:p>
      <w:pPr>
        <w:pStyle w:val="Subsection"/>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bookmarkStart w:id="36" w:name="_Hlk119499175"/>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bookmarkEnd w:id="36"/>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 Gazette 24 Jul 2009 p. 2955; 5 Nov 2013 p. 4950-1; SL 2022/192 r. 4.]</w:t>
      </w:r>
    </w:p>
    <w:p>
      <w:pPr>
        <w:pStyle w:val="Heading5"/>
      </w:pPr>
      <w:bookmarkStart w:id="37" w:name="_Toc119574682"/>
      <w:r>
        <w:rPr>
          <w:rStyle w:val="CharSectno"/>
        </w:rPr>
        <w:lastRenderedPageBreak/>
        <w:t>22</w:t>
      </w:r>
      <w:r>
        <w:t>.</w:t>
      </w:r>
      <w:r>
        <w:tab/>
        <w:t>Goods likely to spill, stain, or damage a conveyance</w:t>
      </w:r>
      <w:bookmarkEnd w:id="37"/>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keepNext/>
      </w:pPr>
      <w:r>
        <w:tab/>
        <w:t>Modified penalty: a fine of $100.</w:t>
      </w:r>
    </w:p>
    <w:p>
      <w:pPr>
        <w:pStyle w:val="Penstart"/>
      </w:pPr>
      <w:r>
        <w:tab/>
        <w:t>Penalty: a fine of $500.</w:t>
      </w:r>
    </w:p>
    <w:p>
      <w:pPr>
        <w:pStyle w:val="Footnotesection"/>
      </w:pPr>
      <w:r>
        <w:tab/>
        <w:t>[Regulation 22 amended: Gazette 24 Jul 2009 p. 2955; 5 Nov 2013 p. 4954-5.]</w:t>
      </w:r>
    </w:p>
    <w:p>
      <w:pPr>
        <w:pStyle w:val="Heading5"/>
      </w:pPr>
      <w:bookmarkStart w:id="38" w:name="_Toc119574683"/>
      <w:r>
        <w:rPr>
          <w:rStyle w:val="CharSectno"/>
        </w:rPr>
        <w:t>23</w:t>
      </w:r>
      <w:r>
        <w:t>.</w:t>
      </w:r>
      <w:r>
        <w:tab/>
        <w:t>Persons to stay inside conveyance</w:t>
      </w:r>
      <w:bookmarkEnd w:id="38"/>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 Gazette 24 Jul 2009 p. 2956; 5 Nov 2013 p. 4954-5.]</w:t>
      </w:r>
    </w:p>
    <w:p>
      <w:pPr>
        <w:pStyle w:val="Heading2"/>
      </w:pPr>
      <w:bookmarkStart w:id="39" w:name="_Toc119498997"/>
      <w:bookmarkStart w:id="40" w:name="_Toc119499848"/>
      <w:bookmarkStart w:id="41" w:name="_Toc119574684"/>
      <w:r>
        <w:rPr>
          <w:rStyle w:val="CharPartNo"/>
        </w:rPr>
        <w:lastRenderedPageBreak/>
        <w:t>Part 4</w:t>
      </w:r>
      <w:r>
        <w:rPr>
          <w:rStyle w:val="CharDivNo"/>
        </w:rPr>
        <w:t> </w:t>
      </w:r>
      <w:r>
        <w:t>—</w:t>
      </w:r>
      <w:r>
        <w:rPr>
          <w:rStyle w:val="CharDivText"/>
        </w:rPr>
        <w:t> </w:t>
      </w:r>
      <w:r>
        <w:rPr>
          <w:rStyle w:val="CharPartText"/>
        </w:rPr>
        <w:t>Regulation of persons and vehicles on Authority property</w:t>
      </w:r>
      <w:bookmarkEnd w:id="39"/>
      <w:bookmarkEnd w:id="40"/>
      <w:bookmarkEnd w:id="41"/>
    </w:p>
    <w:p>
      <w:pPr>
        <w:pStyle w:val="Heading5"/>
        <w:spacing w:before="240"/>
      </w:pPr>
      <w:bookmarkStart w:id="42" w:name="_Toc119574685"/>
      <w:r>
        <w:rPr>
          <w:rStyle w:val="CharSectno"/>
        </w:rPr>
        <w:t>24</w:t>
      </w:r>
      <w:r>
        <w:t>.</w:t>
      </w:r>
      <w:r>
        <w:tab/>
        <w:t>Terms used in this Part</w:t>
      </w:r>
      <w:bookmarkEnd w:id="42"/>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43" w:name="_Toc119574686"/>
      <w:r>
        <w:rPr>
          <w:rStyle w:val="CharSectno"/>
        </w:rPr>
        <w:lastRenderedPageBreak/>
        <w:t>24A</w:t>
      </w:r>
      <w:r>
        <w:t>.</w:t>
      </w:r>
      <w:r>
        <w:tab/>
        <w:t>Government railways parking stations</w:t>
      </w:r>
      <w:bookmarkEnd w:id="43"/>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44" w:name="_Toc119574687"/>
      <w:r>
        <w:rPr>
          <w:rStyle w:val="CharSectno"/>
        </w:rPr>
        <w:t>25</w:t>
      </w:r>
      <w:r>
        <w:t>.</w:t>
      </w:r>
      <w:r>
        <w:tab/>
        <w:t>Regulation of persons and vehicles on Authority property</w:t>
      </w:r>
      <w:bookmarkEnd w:id="44"/>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 Gazette 5 Nov 2013 p. 4951-2 and 4954-5.]</w:t>
      </w:r>
    </w:p>
    <w:p>
      <w:pPr>
        <w:pStyle w:val="Heading5"/>
      </w:pPr>
      <w:bookmarkStart w:id="45" w:name="_Toc119574688"/>
      <w:r>
        <w:rPr>
          <w:rStyle w:val="CharSectno"/>
        </w:rPr>
        <w:t>26</w:t>
      </w:r>
      <w:r>
        <w:t>.</w:t>
      </w:r>
      <w:r>
        <w:tab/>
        <w:t>Obstruction</w:t>
      </w:r>
      <w:bookmarkEnd w:id="45"/>
    </w:p>
    <w:p>
      <w:pPr>
        <w:pStyle w:val="Subsection"/>
      </w:pPr>
      <w:r>
        <w:tab/>
      </w:r>
      <w:r>
        <w:tab/>
      </w:r>
      <w:r>
        <w:rPr>
          <w:snapToGrid w:val="0"/>
        </w:rPr>
        <w:t xml:space="preserve">A person must not stand a vehicle so as to obstruct an entrance to, an exit from, or a roadway within, Authority property or </w:t>
      </w:r>
      <w:r>
        <w:rPr>
          <w:snapToGrid w:val="0"/>
        </w:rPr>
        <w:lastRenderedPageBreak/>
        <w:t>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46" w:name="_Toc119574689"/>
      <w:r>
        <w:rPr>
          <w:rStyle w:val="CharSectno"/>
        </w:rPr>
        <w:t>27</w:t>
      </w:r>
      <w:r>
        <w:t>.</w:t>
      </w:r>
      <w:r>
        <w:tab/>
        <w:t>Direction not to park in area</w:t>
      </w:r>
      <w:bookmarkEnd w:id="46"/>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47" w:name="_Toc119574690"/>
      <w:r>
        <w:rPr>
          <w:rStyle w:val="CharSectno"/>
        </w:rPr>
        <w:t>28</w:t>
      </w:r>
      <w:r>
        <w:t>.</w:t>
      </w:r>
      <w:r>
        <w:tab/>
        <w:t>Loading zone</w:t>
      </w:r>
      <w:bookmarkEnd w:id="47"/>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w:t>
      </w:r>
    </w:p>
    <w:p>
      <w:pPr>
        <w:pStyle w:val="Heading5"/>
      </w:pPr>
      <w:bookmarkStart w:id="48" w:name="_Toc119574691"/>
      <w:r>
        <w:rPr>
          <w:rStyle w:val="CharSectno"/>
        </w:rPr>
        <w:lastRenderedPageBreak/>
        <w:t>29</w:t>
      </w:r>
      <w:r>
        <w:t>.</w:t>
      </w:r>
      <w:r>
        <w:tab/>
        <w:t>Designation of parking spaces for vehicles of persons with disability</w:t>
      </w:r>
      <w:bookmarkEnd w:id="48"/>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49" w:name="_Toc119574692"/>
      <w:r>
        <w:rPr>
          <w:rStyle w:val="CharSectno"/>
        </w:rPr>
        <w:t>30</w:t>
      </w:r>
      <w:r>
        <w:t>.</w:t>
      </w:r>
      <w:r>
        <w:tab/>
      </w:r>
      <w:r>
        <w:rPr>
          <w:snapToGrid w:val="0"/>
        </w:rPr>
        <w:t>Disabled parking</w:t>
      </w:r>
      <w:bookmarkEnd w:id="49"/>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50" w:name="_Toc119574693"/>
      <w:r>
        <w:rPr>
          <w:rStyle w:val="CharSectno"/>
        </w:rPr>
        <w:lastRenderedPageBreak/>
        <w:t>31</w:t>
      </w:r>
      <w:r>
        <w:t>.</w:t>
      </w:r>
      <w:r>
        <w:tab/>
      </w:r>
      <w:r>
        <w:rPr>
          <w:snapToGrid w:val="0"/>
        </w:rPr>
        <w:t>Vehicles</w:t>
      </w:r>
      <w:r>
        <w:t xml:space="preserve"> and parking</w:t>
      </w:r>
      <w:bookmarkEnd w:id="50"/>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51" w:name="_Toc119574694"/>
      <w:r>
        <w:rPr>
          <w:rStyle w:val="CharSectno"/>
        </w:rPr>
        <w:t>32</w:t>
      </w:r>
      <w:r>
        <w:t>.</w:t>
      </w:r>
      <w:r>
        <w:tab/>
        <w:t>Parking charges</w:t>
      </w:r>
      <w:bookmarkEnd w:id="51"/>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w:t>
      </w:r>
      <w:r>
        <w:lastRenderedPageBreak/>
        <w:t xml:space="preserve">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52" w:name="_Toc119574695"/>
      <w:r>
        <w:rPr>
          <w:rStyle w:val="CharSectno"/>
        </w:rPr>
        <w:t>33</w:t>
      </w:r>
      <w:r>
        <w:t>.</w:t>
      </w:r>
      <w:r>
        <w:tab/>
        <w:t>Removing vehicle from secured parking facility</w:t>
      </w:r>
      <w:bookmarkEnd w:id="52"/>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53" w:name="_Toc119499009"/>
      <w:bookmarkStart w:id="54" w:name="_Toc119499860"/>
      <w:bookmarkStart w:id="55" w:name="_Toc119574696"/>
      <w:r>
        <w:rPr>
          <w:rStyle w:val="CharPartNo"/>
        </w:rPr>
        <w:lastRenderedPageBreak/>
        <w:t>Part 4A</w:t>
      </w:r>
      <w:r>
        <w:rPr>
          <w:b w:val="0"/>
        </w:rPr>
        <w:t> </w:t>
      </w:r>
      <w:r>
        <w:t>—</w:t>
      </w:r>
      <w:r>
        <w:rPr>
          <w:b w:val="0"/>
        </w:rPr>
        <w:t> </w:t>
      </w:r>
      <w:r>
        <w:rPr>
          <w:rStyle w:val="CharPartText"/>
        </w:rPr>
        <w:t>Bicycles on passenger trains</w:t>
      </w:r>
      <w:bookmarkEnd w:id="53"/>
      <w:bookmarkEnd w:id="54"/>
      <w:bookmarkEnd w:id="55"/>
    </w:p>
    <w:p>
      <w:pPr>
        <w:pStyle w:val="Footnoteheading"/>
      </w:pPr>
      <w:r>
        <w:tab/>
        <w:t>[Heading inserted: Gazette 11 Feb 2005 p. 697.]</w:t>
      </w:r>
    </w:p>
    <w:p>
      <w:pPr>
        <w:pStyle w:val="Heading5"/>
        <w:spacing w:before="260"/>
      </w:pPr>
      <w:bookmarkStart w:id="56" w:name="_Toc119574697"/>
      <w:r>
        <w:rPr>
          <w:rStyle w:val="CharSectno"/>
        </w:rPr>
        <w:t>33A</w:t>
      </w:r>
      <w:r>
        <w:t>.</w:t>
      </w:r>
      <w:r>
        <w:tab/>
        <w:t>Terms used in this Part</w:t>
      </w:r>
      <w:bookmarkEnd w:id="56"/>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57" w:name="_Toc119574698"/>
      <w:r>
        <w:rPr>
          <w:rStyle w:val="CharSectno"/>
        </w:rPr>
        <w:t>33B</w:t>
      </w:r>
      <w:r>
        <w:t>.</w:t>
      </w:r>
      <w:r>
        <w:tab/>
        <w:t>Bikes on trains generally</w:t>
      </w:r>
      <w:bookmarkEnd w:id="57"/>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58" w:name="_Toc119574699"/>
      <w:r>
        <w:rPr>
          <w:rStyle w:val="CharSectno"/>
        </w:rPr>
        <w:t>33C</w:t>
      </w:r>
      <w:r>
        <w:t>.</w:t>
      </w:r>
      <w:r>
        <w:tab/>
        <w:t>Bikes on trains in peak times</w:t>
      </w:r>
      <w:bookmarkEnd w:id="58"/>
    </w:p>
    <w:p>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w:t>
      </w:r>
      <w:r>
        <w:lastRenderedPageBreak/>
        <w:t>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w:t>
      </w:r>
    </w:p>
    <w:p>
      <w:pPr>
        <w:pStyle w:val="Heading5"/>
      </w:pPr>
      <w:bookmarkStart w:id="59" w:name="_Toc119574700"/>
      <w:r>
        <w:rPr>
          <w:rStyle w:val="CharSectno"/>
        </w:rPr>
        <w:t>33D</w:t>
      </w:r>
      <w:r>
        <w:t>.</w:t>
      </w:r>
      <w:r>
        <w:tab/>
        <w:t>Special events</w:t>
      </w:r>
      <w:bookmarkEnd w:id="59"/>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lastRenderedPageBreak/>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 Gazette 11 Feb 2005 p. 698; amended: Gazette 24 Jul 2009 p. 2956; 5 Nov 2013 p. 4954</w:t>
      </w:r>
      <w:r>
        <w:noBreakHyphen/>
        <w:t>5.]</w:t>
      </w:r>
    </w:p>
    <w:p>
      <w:pPr>
        <w:pStyle w:val="Heading2"/>
      </w:pPr>
      <w:bookmarkStart w:id="60" w:name="_Toc119499014"/>
      <w:bookmarkStart w:id="61" w:name="_Toc119499865"/>
      <w:bookmarkStart w:id="62" w:name="_Toc119574701"/>
      <w:r>
        <w:rPr>
          <w:rStyle w:val="CharPartNo"/>
        </w:rPr>
        <w:lastRenderedPageBreak/>
        <w:t>Part 5</w:t>
      </w:r>
      <w:r>
        <w:rPr>
          <w:rStyle w:val="CharDivNo"/>
        </w:rPr>
        <w:t> </w:t>
      </w:r>
      <w:r>
        <w:t>—</w:t>
      </w:r>
      <w:r>
        <w:rPr>
          <w:rStyle w:val="CharDivText"/>
        </w:rPr>
        <w:t> </w:t>
      </w:r>
      <w:r>
        <w:rPr>
          <w:rStyle w:val="CharPartText"/>
        </w:rPr>
        <w:t>Miscellaneous</w:t>
      </w:r>
      <w:bookmarkEnd w:id="60"/>
      <w:bookmarkEnd w:id="61"/>
      <w:bookmarkEnd w:id="62"/>
    </w:p>
    <w:p>
      <w:pPr>
        <w:pStyle w:val="Heading5"/>
      </w:pPr>
      <w:bookmarkStart w:id="63" w:name="_Toc119574702"/>
      <w:r>
        <w:rPr>
          <w:rStyle w:val="CharSectno"/>
        </w:rPr>
        <w:t>34</w:t>
      </w:r>
      <w:r>
        <w:t>.</w:t>
      </w:r>
      <w:r>
        <w:tab/>
        <w:t>Secondary functions: section 12(3) of the Act</w:t>
      </w:r>
      <w:bookmarkEnd w:id="63"/>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64" w:name="_Toc119574703"/>
      <w:r>
        <w:rPr>
          <w:rStyle w:val="CharSectno"/>
        </w:rPr>
        <w:t>35</w:t>
      </w:r>
      <w:r>
        <w:t>.</w:t>
      </w:r>
      <w:r>
        <w:tab/>
        <w:t>Criteria for Minister’s approval not being required under section 15 of the Act</w:t>
      </w:r>
      <w:bookmarkEnd w:id="64"/>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65" w:name="_Toc119574704"/>
      <w:r>
        <w:rPr>
          <w:rStyle w:val="CharSectno"/>
        </w:rPr>
        <w:lastRenderedPageBreak/>
        <w:t>36</w:t>
      </w:r>
      <w:r>
        <w:t>.</w:t>
      </w:r>
      <w:r>
        <w:tab/>
        <w:t>Disposal of an estate in land other than Crown land without the Minister’s approval: section 16 of the Act</w:t>
      </w:r>
      <w:bookmarkEnd w:id="65"/>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66" w:name="_Toc119574705"/>
      <w:r>
        <w:rPr>
          <w:rStyle w:val="CharSectno"/>
        </w:rPr>
        <w:t>37</w:t>
      </w:r>
      <w:r>
        <w:t>.</w:t>
      </w:r>
      <w:r>
        <w:tab/>
        <w:t>Crossings by traction engines and large vehicles</w:t>
      </w:r>
      <w:bookmarkEnd w:id="66"/>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keepLines/>
      </w:pPr>
      <w:r>
        <w:lastRenderedPageBreak/>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w:t>
      </w:r>
    </w:p>
    <w:p>
      <w:pPr>
        <w:pStyle w:val="Heading5"/>
      </w:pPr>
      <w:bookmarkStart w:id="67" w:name="_Toc119574706"/>
      <w:r>
        <w:rPr>
          <w:rStyle w:val="CharSectno"/>
        </w:rPr>
        <w:t>38</w:t>
      </w:r>
      <w:r>
        <w:t>.</w:t>
      </w:r>
      <w:r>
        <w:tab/>
        <w:t>Sewage etc.</w:t>
      </w:r>
      <w:bookmarkEnd w:id="67"/>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68" w:name="_Toc119574707"/>
      <w:r>
        <w:rPr>
          <w:rStyle w:val="CharSectno"/>
        </w:rPr>
        <w:t>39</w:t>
      </w:r>
      <w:r>
        <w:t>.</w:t>
      </w:r>
      <w:r>
        <w:tab/>
        <w:t>Animals</w:t>
      </w:r>
      <w:bookmarkEnd w:id="68"/>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69" w:name="_Toc119574708"/>
      <w:r>
        <w:rPr>
          <w:rStyle w:val="CharSectno"/>
        </w:rPr>
        <w:lastRenderedPageBreak/>
        <w:t>40</w:t>
      </w:r>
      <w:r>
        <w:t>.</w:t>
      </w:r>
      <w:r>
        <w:tab/>
        <w:t>Obstructing an authorised person</w:t>
      </w:r>
      <w:bookmarkEnd w:id="69"/>
    </w:p>
    <w:p>
      <w:pPr>
        <w:pStyle w:val="Subsection"/>
      </w:pPr>
      <w:r>
        <w:tab/>
      </w:r>
      <w:r>
        <w:tab/>
        <w:t>A person who obstructs, hinders, impedes or attempts to obstruct, hinder, or impede an authorised person or a security officer in the course of his or her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w:t>
      </w:r>
    </w:p>
    <w:p>
      <w:pPr>
        <w:pStyle w:val="Heading5"/>
      </w:pPr>
      <w:bookmarkStart w:id="70" w:name="_Toc119574709"/>
      <w:r>
        <w:rPr>
          <w:rStyle w:val="CharSectno"/>
        </w:rPr>
        <w:t>41</w:t>
      </w:r>
      <w:r>
        <w:t>.</w:t>
      </w:r>
      <w:r>
        <w:tab/>
        <w:t>Refusal of passage</w:t>
      </w:r>
      <w:bookmarkEnd w:id="70"/>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lastRenderedPageBreak/>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w:t>
      </w:r>
    </w:p>
    <w:p>
      <w:pPr>
        <w:pStyle w:val="Heading5"/>
      </w:pPr>
      <w:bookmarkStart w:id="71" w:name="_Toc119574710"/>
      <w:r>
        <w:rPr>
          <w:rStyle w:val="CharSectno"/>
        </w:rPr>
        <w:lastRenderedPageBreak/>
        <w:t>42</w:t>
      </w:r>
      <w:r>
        <w:t>.</w:t>
      </w:r>
      <w:r>
        <w:tab/>
        <w:t>Failure to comply with refusal of travel</w:t>
      </w:r>
      <w:bookmarkEnd w:id="71"/>
    </w:p>
    <w:p>
      <w:pPr>
        <w:pStyle w:val="Subsection"/>
        <w:keepNext/>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w:t>
      </w:r>
    </w:p>
    <w:p>
      <w:pPr>
        <w:pStyle w:val="Heading5"/>
      </w:pPr>
      <w:bookmarkStart w:id="72" w:name="_Toc119574711"/>
      <w:r>
        <w:rPr>
          <w:rStyle w:val="CharSectno"/>
        </w:rPr>
        <w:t>43</w:t>
      </w:r>
      <w:r>
        <w:t>.</w:t>
      </w:r>
      <w:r>
        <w:tab/>
        <w:t>Ejecting people from Authority property: section 65 of the Act</w:t>
      </w:r>
      <w:bookmarkEnd w:id="72"/>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lastRenderedPageBreak/>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pPr>
      <w:r>
        <w:lastRenderedPageBreak/>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w:t>
      </w:r>
    </w:p>
    <w:p>
      <w:pPr>
        <w:pStyle w:val="Ednotesection"/>
      </w:pPr>
      <w:r>
        <w:t>[</w:t>
      </w:r>
      <w:r>
        <w:rPr>
          <w:b/>
          <w:bCs/>
        </w:rPr>
        <w:t>43A, 43B.</w:t>
      </w:r>
      <w:r>
        <w:rPr>
          <w:b/>
          <w:bCs/>
        </w:rPr>
        <w:tab/>
      </w:r>
      <w:r>
        <w:t>Deleted: Gazette 27 Mar 2009 p. 932.]</w:t>
      </w:r>
    </w:p>
    <w:p>
      <w:pPr>
        <w:pStyle w:val="Heading5"/>
      </w:pPr>
      <w:bookmarkStart w:id="73" w:name="_Toc119574712"/>
      <w:r>
        <w:rPr>
          <w:rStyle w:val="CharSectno"/>
        </w:rPr>
        <w:t>44</w:t>
      </w:r>
      <w:r>
        <w:t>.</w:t>
      </w:r>
      <w:r>
        <w:tab/>
        <w:t>Powers of authorised persons to inspect and retain tickets</w:t>
      </w:r>
      <w:bookmarkEnd w:id="73"/>
    </w:p>
    <w:p>
      <w:pPr>
        <w:pStyle w:val="Subsection"/>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pPr>
      <w:r>
        <w:tab/>
        <w:t>(3)</w:t>
      </w:r>
      <w:r>
        <w:tab/>
        <w:t xml:space="preserve">A driver, master or authorised person may retain an electronic ticket that is produced to the driver, master or authorised person under regulation 6 or 6A if — </w:t>
      </w:r>
    </w:p>
    <w:p>
      <w:pPr>
        <w:pStyle w:val="Indenta"/>
      </w:pPr>
      <w:r>
        <w:tab/>
        <w:t>(a)</w:t>
      </w:r>
      <w:r>
        <w:tab/>
        <w:t>it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t>(4)</w:t>
      </w:r>
      <w:r>
        <w:tab/>
        <w:t xml:space="preserve">If an electronic ticket produced to a driver, master or authorised person under regulation 6 or 6A is not valid under regulation 5(2)(b) because it is not being used in accordance with a condition that it be used only by the person to whom it </w:t>
      </w:r>
      <w:r>
        <w:lastRenderedPageBreak/>
        <w:t>was issued, the driver, master or authorised person may retain the ticket.</w:t>
      </w:r>
    </w:p>
    <w:p>
      <w:pPr>
        <w:pStyle w:val="Footnotesection"/>
      </w:pPr>
      <w:r>
        <w:tab/>
        <w:t>[Regulation 44 inserted: SL 2020/183 r. 14.]</w:t>
      </w:r>
    </w:p>
    <w:p>
      <w:pPr>
        <w:pStyle w:val="Heading5"/>
      </w:pPr>
      <w:bookmarkStart w:id="74" w:name="_Toc119574713"/>
      <w:r>
        <w:rPr>
          <w:rStyle w:val="CharSectno"/>
        </w:rPr>
        <w:t>45</w:t>
      </w:r>
      <w:r>
        <w:t>.</w:t>
      </w:r>
      <w:r>
        <w:tab/>
        <w:t>Infringement notice</w:t>
      </w:r>
      <w:bookmarkEnd w:id="74"/>
    </w:p>
    <w:p>
      <w:pPr>
        <w:pStyle w:val="Subsection"/>
      </w:pPr>
      <w:r>
        <w:tab/>
      </w:r>
      <w:r>
        <w:tab/>
        <w:t>Schedule 2 Form 1 is prescribed, under section 45(1) of the Act, as the form of infringement notice.</w:t>
      </w:r>
    </w:p>
    <w:p>
      <w:pPr>
        <w:pStyle w:val="Heading5"/>
      </w:pPr>
      <w:bookmarkStart w:id="75" w:name="_Toc119574714"/>
      <w:r>
        <w:rPr>
          <w:rStyle w:val="CharSectno"/>
        </w:rPr>
        <w:t>46</w:t>
      </w:r>
      <w:r>
        <w:t>.</w:t>
      </w:r>
      <w:r>
        <w:tab/>
        <w:t>Withdrawal of infringement notice</w:t>
      </w:r>
      <w:bookmarkEnd w:id="75"/>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6" w:name="_Toc119499028"/>
      <w:bookmarkStart w:id="77" w:name="_Toc119499879"/>
      <w:bookmarkStart w:id="78" w:name="_Toc119574715"/>
      <w:r>
        <w:rPr>
          <w:rStyle w:val="CharSchNo"/>
        </w:rPr>
        <w:lastRenderedPageBreak/>
        <w:t>Schedule 1</w:t>
      </w:r>
      <w:r>
        <w:t> — </w:t>
      </w:r>
      <w:r>
        <w:rPr>
          <w:rStyle w:val="CharSchText"/>
        </w:rPr>
        <w:t>Charges</w:t>
      </w:r>
      <w:bookmarkEnd w:id="76"/>
      <w:bookmarkEnd w:id="77"/>
      <w:bookmarkEnd w:id="78"/>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79" w:name="_Toc119499029"/>
      <w:bookmarkStart w:id="80" w:name="_Toc119499880"/>
      <w:bookmarkStart w:id="81" w:name="_Toc119574716"/>
      <w:r>
        <w:rPr>
          <w:rStyle w:val="CharSchNo"/>
        </w:rPr>
        <w:lastRenderedPageBreak/>
        <w:t>Schedule 2</w:t>
      </w:r>
      <w:r>
        <w:t> — </w:t>
      </w:r>
      <w:r>
        <w:rPr>
          <w:rStyle w:val="CharSchText"/>
        </w:rPr>
        <w:t>Forms</w:t>
      </w:r>
      <w:bookmarkEnd w:id="79"/>
      <w:bookmarkEnd w:id="80"/>
      <w:bookmarkEnd w:id="81"/>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keepNext/>
        <w:keepLines/>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lastRenderedPageBreak/>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 Gazette 5 Nov 2013 p. 4953-4; 13 Jun 2014 p. 1902.]</w:t>
      </w:r>
    </w:p>
    <w:p>
      <w:pPr>
        <w:pStyle w:val="yMiscellaneousHeading"/>
        <w:keepNext w:val="0"/>
        <w:pageBreakBefore/>
        <w:spacing w:before="120"/>
        <w:rPr>
          <w:b/>
        </w:rPr>
      </w:pPr>
      <w:r>
        <w:rPr>
          <w:b/>
        </w:rPr>
        <w:lastRenderedPageBreak/>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83" w:name="_Toc119499030"/>
      <w:bookmarkStart w:id="84" w:name="_Toc119499881"/>
      <w:bookmarkStart w:id="85" w:name="_Toc119574717"/>
      <w:r>
        <w:lastRenderedPageBreak/>
        <w:t>Notes</w:t>
      </w:r>
      <w:bookmarkEnd w:id="83"/>
      <w:bookmarkEnd w:id="84"/>
      <w:bookmarkEnd w:id="85"/>
    </w:p>
    <w:p>
      <w:pPr>
        <w:pStyle w:val="nStatement"/>
      </w:pPr>
      <w:r>
        <w:rPr>
          <w:snapToGrid w:val="0"/>
        </w:rPr>
        <w:t xml:space="preserve">This is a compilation of the </w:t>
      </w:r>
      <w:r>
        <w:rPr>
          <w:i/>
          <w:noProof/>
        </w:rPr>
        <w:t>Public Transport Authority Regulations 2003</w:t>
      </w:r>
      <w:r>
        <w:rPr>
          <w:snapToGrid w:val="0"/>
        </w:rPr>
        <w:t xml:space="preserve"> and includes amendments made by other written laws. For provisions that have come into operation, and for information about any reprints, see the compilation table.</w:t>
      </w:r>
    </w:p>
    <w:p>
      <w:pPr>
        <w:pStyle w:val="nHeading3"/>
      </w:pPr>
      <w:bookmarkStart w:id="86" w:name="_Toc119574718"/>
      <w:r>
        <w:t>Compilation table</w:t>
      </w:r>
      <w:bookmarkEnd w:id="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(No. 2) 2022</w:t>
            </w:r>
          </w:p>
        </w:tc>
        <w:tc>
          <w:tcPr>
            <w:tcW w:w="1276" w:type="dxa"/>
            <w:tcBorders>
              <w:bottom w:val="single" w:sz="4" w:space="0" w:color="auto"/>
            </w:tcBorders>
          </w:tcPr>
          <w:p>
            <w:pPr>
              <w:pStyle w:val="nTable"/>
              <w:spacing w:after="40"/>
            </w:pPr>
            <w:r>
              <w:t>SL 2022/192 18 Nov 2022</w:t>
            </w:r>
          </w:p>
        </w:tc>
        <w:tc>
          <w:tcPr>
            <w:tcW w:w="2693" w:type="dxa"/>
            <w:tcBorders>
              <w:bottom w:val="single" w:sz="4" w:space="0" w:color="auto"/>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bl>
    <w:p>
      <w:pPr>
        <w:pStyle w:val="nHeading3"/>
      </w:pPr>
      <w:bookmarkStart w:id="87" w:name="_Toc119574719"/>
      <w:r>
        <w:rPr>
          <w:rStyle w:val="CharPartText"/>
        </w:rPr>
        <w:t>Other notes</w:t>
      </w:r>
      <w:bookmarkEnd w:id="87"/>
    </w:p>
    <w:p>
      <w:pPr>
        <w:pStyle w:val="nNote"/>
      </w:pPr>
      <w:r>
        <w:rPr>
          <w:vertAlign w:val="superscript"/>
        </w:rPr>
        <w:t>1</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89" w:name="_Toc119499033"/>
      <w:bookmarkStart w:id="90" w:name="_Toc119499884"/>
      <w:bookmarkStart w:id="91" w:name="_Toc119574720"/>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appropriate ticket</w:t>
      </w:r>
      <w:r>
        <w:tab/>
        <w:t>6A(1)</w:t>
      </w:r>
    </w:p>
    <w:p>
      <w:pPr>
        <w:pStyle w:val="DefinedTerms"/>
      </w:pPr>
      <w:r>
        <w:t>closed area</w:t>
      </w:r>
      <w:r>
        <w:tab/>
        <w:t>6A(1)</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w:t>
      </w:r>
      <w:r>
        <w:noBreakHyphen/>
        <w:t>cigarette</w:t>
      </w:r>
      <w:r>
        <w:tab/>
        <w:t>11(1A)</w:t>
      </w:r>
    </w:p>
    <w:p>
      <w:pPr>
        <w:pStyle w:val="DefinedTerms"/>
      </w:pPr>
      <w:r>
        <w:t>electronic ticket</w:t>
      </w:r>
      <w:r>
        <w:tab/>
        <w:t>3</w:t>
      </w:r>
    </w:p>
    <w:p>
      <w:pPr>
        <w:pStyle w:val="DefinedTerms"/>
      </w:pPr>
      <w:r>
        <w:t>facility</w:t>
      </w:r>
      <w:r>
        <w:tab/>
        <w:t>3</w:t>
      </w:r>
    </w:p>
    <w:p>
      <w:pPr>
        <w:pStyle w:val="DefinedTerms"/>
      </w:pPr>
      <w:r>
        <w:t>goods</w:t>
      </w:r>
      <w:r>
        <w:tab/>
        <w:t>28(2)</w:t>
      </w:r>
    </w:p>
    <w:p>
      <w:pPr>
        <w:pStyle w:val="DefinedTerms"/>
      </w:pPr>
      <w:r>
        <w:t>journey</w:t>
      </w:r>
      <w:r>
        <w:tab/>
        <w:t>3</w:t>
      </w:r>
    </w:p>
    <w:p>
      <w:pPr>
        <w:pStyle w:val="DefinedTerms"/>
      </w:pPr>
      <w:r>
        <w:t>liquor</w:t>
      </w:r>
      <w:r>
        <w:tab/>
        <w:t>12(1A)</w:t>
      </w:r>
    </w:p>
    <w:p>
      <w:pPr>
        <w:pStyle w:val="DefinedTerms"/>
      </w:pPr>
      <w:r>
        <w:t>master</w:t>
      </w:r>
      <w:r>
        <w:tab/>
        <w:t>3</w:t>
      </w:r>
    </w:p>
    <w:p>
      <w:pPr>
        <w:pStyle w:val="DefinedTerms"/>
      </w:pPr>
      <w:r>
        <w:t>paper ticket</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smoke</w:t>
      </w:r>
      <w:r>
        <w:tab/>
        <w:t>11(1A)</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tobacco product</w:t>
      </w:r>
      <w:r>
        <w:tab/>
        <w:t>11(1A)</w:t>
      </w:r>
    </w:p>
    <w:p>
      <w:pPr>
        <w:pStyle w:val="DefinedTerms"/>
      </w:pPr>
      <w:r>
        <w:t>working day</w:t>
      </w:r>
      <w:r>
        <w:tab/>
        <w:t>33A</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2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34432"/>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62904-6059-43AD-8FC5-E7619135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9214</Words>
  <Characters>44596</Characters>
  <Application>Microsoft Office Word</Application>
  <DocSecurity>0</DocSecurity>
  <Lines>1351</Lines>
  <Paragraphs>912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52898</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2003 - 01-j0-00</dc:title>
  <dc:subject/>
  <dc:creator/>
  <cp:keywords/>
  <dc:description/>
  <cp:lastModifiedBy>Master Repository Process</cp:lastModifiedBy>
  <cp:revision>4</cp:revision>
  <cp:lastPrinted>2019-02-19T06:48:00Z</cp:lastPrinted>
  <dcterms:created xsi:type="dcterms:W3CDTF">2022-11-17T07:19:00Z</dcterms:created>
  <dcterms:modified xsi:type="dcterms:W3CDTF">2022-11-17T07:19:00Z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19 Nov 2022</vt:lpwstr>
  </property>
  <property fmtid="{D5CDD505-2E9C-101B-9397-08002B2CF9AE}" pid="7" name="Suffix">
    <vt:lpwstr>01-j0-00</vt:lpwstr>
  </property>
  <property fmtid="{D5CDD505-2E9C-101B-9397-08002B2CF9AE}" pid="8" name="CommencementDate">
    <vt:lpwstr>20221119</vt:lpwstr>
  </property>
</Properties>
</file>