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_Toc119499986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_Toc119499987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_Toc119499988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_Toc119499989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 items and other weapons</w:t>
      </w:r>
    </w:p>
    <w:p>
      <w:pPr>
        <w:pStyle w:val="TOC8"/>
        <w:rPr>
          <w:rFonts w:asciiTheme="minorHAnsi" w:eastAsiaTheme="minorEastAsia" w:hAnsiTheme="minorHAnsi" w:cstheme="minorBidi"/>
          <w:szCs w:val="22"/>
        </w:rPr>
      </w:pPr>
      <w:r>
        <w:t>4</w:t>
      </w:r>
      <w:r>
        <w:rPr>
          <w:snapToGrid w:val="0"/>
        </w:rPr>
        <w:t>.</w:t>
      </w:r>
      <w:r>
        <w:rPr>
          <w:snapToGrid w:val="0"/>
        </w:rPr>
        <w:tab/>
      </w:r>
      <w:r>
        <w:t>Giving up possession of firearm items</w:t>
      </w:r>
      <w:r>
        <w:tab/>
      </w:r>
      <w:r>
        <w:fldChar w:fldCharType="begin"/>
      </w:r>
      <w:r>
        <w:instrText xml:space="preserve"> PAGEREF _Toc119499991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Dealing with firearm items surrendered (Act s. 14) or seized (Act s. 62E)</w:t>
      </w:r>
      <w:r>
        <w:tab/>
      </w:r>
      <w:r>
        <w:fldChar w:fldCharType="begin"/>
      </w:r>
      <w:r>
        <w:instrText xml:space="preserve"> PAGEREF _Toc119499992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 items seized (Act s. 62B(2)(c))</w:t>
      </w:r>
      <w:r>
        <w:tab/>
      </w:r>
      <w:r>
        <w:fldChar w:fldCharType="begin"/>
      </w:r>
      <w:r>
        <w:instrText xml:space="preserve"> PAGEREF _Toc119499993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_Toc119499994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Explosives</w:t>
      </w:r>
    </w:p>
    <w:p>
      <w:pPr>
        <w:pStyle w:val="TOC8"/>
        <w:rPr>
          <w:rFonts w:asciiTheme="minorHAnsi" w:eastAsiaTheme="minorEastAsia" w:hAnsiTheme="minorHAnsi" w:cstheme="minorBidi"/>
          <w:szCs w:val="22"/>
        </w:rPr>
      </w:pPr>
      <w:r>
        <w:t>5C.</w:t>
      </w:r>
      <w:r>
        <w:tab/>
        <w:t>Terms used</w:t>
      </w:r>
      <w:r>
        <w:tab/>
      </w:r>
      <w:r>
        <w:fldChar w:fldCharType="begin"/>
      </w:r>
      <w:r>
        <w:instrText xml:space="preserve"> PAGEREF _Toc119499996 \h </w:instrText>
      </w:r>
      <w:r>
        <w:fldChar w:fldCharType="separate"/>
      </w:r>
      <w:r>
        <w:t>6</w:t>
      </w:r>
      <w:r>
        <w:fldChar w:fldCharType="end"/>
      </w:r>
    </w:p>
    <w:p>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_Toc119499997 \h </w:instrText>
      </w:r>
      <w:r>
        <w:fldChar w:fldCharType="separate"/>
      </w:r>
      <w:r>
        <w:t>6</w:t>
      </w:r>
      <w:r>
        <w:fldChar w:fldCharType="end"/>
      </w:r>
    </w:p>
    <w:p>
      <w:pPr>
        <w:pStyle w:val="TOC8"/>
        <w:rPr>
          <w:rFonts w:asciiTheme="minorHAnsi" w:eastAsiaTheme="minorEastAsia" w:hAnsiTheme="minorHAnsi" w:cstheme="minorBidi"/>
          <w:szCs w:val="22"/>
        </w:rPr>
      </w:pPr>
      <w:r>
        <w:t>5E.</w:t>
      </w:r>
      <w:r>
        <w:tab/>
        <w:t>Dealing with explosives surrendered (Act s. 14A) or seized (Act s. 62E)</w:t>
      </w:r>
      <w:r>
        <w:tab/>
      </w:r>
      <w:r>
        <w:fldChar w:fldCharType="begin"/>
      </w:r>
      <w:r>
        <w:instrText xml:space="preserve"> PAGEREF _Toc119499998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_Toc119500000 \h </w:instrText>
      </w:r>
      <w:r>
        <w:fldChar w:fldCharType="separate"/>
      </w:r>
      <w:r>
        <w:t>8</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_Toc119500001 \h </w:instrText>
      </w:r>
      <w:r>
        <w:fldChar w:fldCharType="separate"/>
      </w:r>
      <w:r>
        <w:t>9</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_Toc119500002 \h </w:instrText>
      </w:r>
      <w:r>
        <w:fldChar w:fldCharType="separate"/>
      </w:r>
      <w:r>
        <w:t>9</w:t>
      </w:r>
      <w:r>
        <w:fldChar w:fldCharType="end"/>
      </w:r>
    </w:p>
    <w:p>
      <w:pPr>
        <w:pStyle w:val="TOC8"/>
        <w:rPr>
          <w:rFonts w:asciiTheme="minorHAnsi" w:eastAsiaTheme="minorEastAsia" w:hAnsiTheme="minorHAnsi" w:cstheme="minorBidi"/>
          <w:szCs w:val="22"/>
        </w:rPr>
      </w:pPr>
      <w:r>
        <w:lastRenderedPageBreak/>
        <w:t>6D.</w:t>
      </w:r>
      <w:r>
        <w:tab/>
        <w:t>Certificate to effect that person who is bound by restraining order was present in court when order was made (Act s. 55(3a))</w:t>
      </w:r>
      <w:r>
        <w:tab/>
      </w:r>
      <w:r>
        <w:fldChar w:fldCharType="begin"/>
      </w:r>
      <w:r>
        <w:instrText xml:space="preserve"> PAGEREF _Toc119500003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_Toc119500004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_Toc119500005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_Toc119500006 \h </w:instrText>
      </w:r>
      <w:r>
        <w:fldChar w:fldCharType="separate"/>
      </w:r>
      <w:r>
        <w:t>11</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_Toc119500007 \h </w:instrText>
      </w:r>
      <w:r>
        <w:fldChar w:fldCharType="separate"/>
      </w:r>
      <w:r>
        <w:t>12</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_Toc119500008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_Toc119500009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_Toc119500011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_Toc119500013 \h </w:instrText>
      </w:r>
      <w:r>
        <w:fldChar w:fldCharType="separate"/>
      </w:r>
      <w:r>
        <w:t>16</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_Toc119500014 \h </w:instrText>
      </w:r>
      <w:r>
        <w:fldChar w:fldCharType="separate"/>
      </w:r>
      <w:r>
        <w:t>16</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_Toc119500015 \h </w:instrText>
      </w:r>
      <w:r>
        <w:fldChar w:fldCharType="separate"/>
      </w:r>
      <w:r>
        <w:t>17</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_Toc119500016 \h </w:instrText>
      </w:r>
      <w:r>
        <w:fldChar w:fldCharType="separate"/>
      </w:r>
      <w:r>
        <w:t>17</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_Toc119500017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_Toc119500020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_Toc119500021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3" w:name="_Toc119496277"/>
      <w:bookmarkStart w:id="4" w:name="_Toc119498312"/>
      <w:bookmarkStart w:id="5" w:name="_Toc1194999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949998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7" w:name="_Toc11949998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8" w:name="_Toc119499988"/>
      <w:r>
        <w:rPr>
          <w:rStyle w:val="CharSectno"/>
        </w:rPr>
        <w:t>2A</w:t>
      </w:r>
      <w:r>
        <w:t>.</w:t>
      </w:r>
      <w:r>
        <w:tab/>
        <w:t>Terms used</w:t>
      </w:r>
      <w:bookmarkEnd w:id="8"/>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9" w:name="_Toc119499989"/>
      <w:r>
        <w:rPr>
          <w:rStyle w:val="CharSectno"/>
        </w:rPr>
        <w:lastRenderedPageBreak/>
        <w:t>3</w:t>
      </w:r>
      <w:r>
        <w:rPr>
          <w:snapToGrid w:val="0"/>
        </w:rPr>
        <w:t>.</w:t>
      </w:r>
      <w:r>
        <w:rPr>
          <w:snapToGrid w:val="0"/>
        </w:rPr>
        <w:tab/>
        <w:t>Forms (Sch. 1)</w:t>
      </w:r>
      <w:bookmarkEnd w:id="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0" w:name="_Toc119496282"/>
      <w:bookmarkStart w:id="11" w:name="_Toc119498317"/>
      <w:bookmarkStart w:id="12" w:name="_Toc119499990"/>
      <w:r>
        <w:rPr>
          <w:rStyle w:val="CharPartNo"/>
        </w:rPr>
        <w:lastRenderedPageBreak/>
        <w:t>Part 2</w:t>
      </w:r>
      <w:r>
        <w:rPr>
          <w:rStyle w:val="CharDivNo"/>
        </w:rPr>
        <w:t> </w:t>
      </w:r>
      <w:r>
        <w:t>—</w:t>
      </w:r>
      <w:r>
        <w:rPr>
          <w:rStyle w:val="CharDivText"/>
        </w:rPr>
        <w:t> </w:t>
      </w:r>
      <w:r>
        <w:rPr>
          <w:szCs w:val="30"/>
        </w:rPr>
        <w:t>Firearm items</w:t>
      </w:r>
      <w:r>
        <w:rPr>
          <w:rStyle w:val="CharPartText"/>
        </w:rPr>
        <w:t xml:space="preserve"> and other weapons</w:t>
      </w:r>
      <w:bookmarkEnd w:id="10"/>
      <w:bookmarkEnd w:id="11"/>
      <w:bookmarkEnd w:id="12"/>
    </w:p>
    <w:p>
      <w:pPr>
        <w:pStyle w:val="Footnoteheading"/>
        <w:tabs>
          <w:tab w:val="left" w:pos="851"/>
        </w:tabs>
      </w:pPr>
      <w:r>
        <w:tab/>
        <w:t>[Heading amended: Gazette 26 Nov 2004 p. 5260; SL 2022/189 r. 8.]</w:t>
      </w:r>
    </w:p>
    <w:p>
      <w:pPr>
        <w:pStyle w:val="Heading5"/>
        <w:rPr>
          <w:snapToGrid w:val="0"/>
        </w:rPr>
      </w:pPr>
      <w:bookmarkStart w:id="13" w:name="_Toc119499991"/>
      <w:r>
        <w:rPr>
          <w:rStyle w:val="CharSectno"/>
        </w:rPr>
        <w:t>4</w:t>
      </w:r>
      <w:r>
        <w:rPr>
          <w:snapToGrid w:val="0"/>
        </w:rPr>
        <w:t>.</w:t>
      </w:r>
      <w:r>
        <w:rPr>
          <w:snapToGrid w:val="0"/>
        </w:rPr>
        <w:tab/>
      </w:r>
      <w:r>
        <w:t>Giving up possession of firearm items</w:t>
      </w:r>
      <w:bookmarkEnd w:id="13"/>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14" w:name="_Toc119499992"/>
      <w:r>
        <w:rPr>
          <w:rStyle w:val="CharSectno"/>
        </w:rPr>
        <w:t>5</w:t>
      </w:r>
      <w:r>
        <w:rPr>
          <w:snapToGrid w:val="0"/>
        </w:rPr>
        <w:t>.</w:t>
      </w:r>
      <w:r>
        <w:rPr>
          <w:snapToGrid w:val="0"/>
        </w:rPr>
        <w:tab/>
      </w:r>
      <w:r>
        <w:t>Dealing with firearm items surrendered (Act s. 14) or seized (Act s. 62E)</w:t>
      </w:r>
      <w:bookmarkEnd w:id="14"/>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firearm item</w:t>
      </w:r>
      <w:r>
        <w:rPr>
          <w:snapToGrid w:val="0"/>
        </w:rPr>
        <w:t xml:space="preserve"> or firearms </w:t>
      </w:r>
      <w:r>
        <w:t>authorisation</w:t>
      </w:r>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 item</w:t>
      </w:r>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r>
        <w:t>authorisation</w:t>
      </w:r>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r>
        <w:t>authorisation</w:t>
      </w:r>
      <w:r>
        <w:rPr>
          <w:snapToGrid w:val="0"/>
        </w:rPr>
        <w:t xml:space="preserve"> be cancelled.</w:t>
      </w:r>
    </w:p>
    <w:p>
      <w:pPr>
        <w:pStyle w:val="Subsection"/>
        <w:rPr>
          <w:snapToGrid w:val="0"/>
        </w:rPr>
      </w:pPr>
      <w:r>
        <w:rPr>
          <w:snapToGrid w:val="0"/>
        </w:rPr>
        <w:lastRenderedPageBreak/>
        <w:tab/>
        <w:t>(5)</w:t>
      </w:r>
      <w:r>
        <w:rPr>
          <w:snapToGrid w:val="0"/>
        </w:rPr>
        <w:tab/>
        <w:t xml:space="preserve">Where the Commissioner is holding a </w:t>
      </w:r>
      <w:r>
        <w:t>firearm item</w:t>
      </w:r>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 SL 2022/189 r. 9.]</w:t>
      </w:r>
    </w:p>
    <w:p>
      <w:pPr>
        <w:pStyle w:val="Heading5"/>
      </w:pPr>
      <w:bookmarkStart w:id="15" w:name="_Toc119499993"/>
      <w:r>
        <w:rPr>
          <w:rStyle w:val="CharSectno"/>
        </w:rPr>
        <w:t>5A</w:t>
      </w:r>
      <w:r>
        <w:t>.</w:t>
      </w:r>
      <w:r>
        <w:tab/>
        <w:t>Dealing with firearm items seized (Act s. 62B(2)(c))</w:t>
      </w:r>
      <w:bookmarkEnd w:id="15"/>
    </w:p>
    <w:p>
      <w:pPr>
        <w:pStyle w:val="Subsection"/>
      </w:pPr>
      <w:r>
        <w:tab/>
      </w:r>
      <w:r>
        <w:tab/>
        <w:t xml:space="preserve">A firearm item seized under section 62B(2)(c) of the Act is to be dealt with in the same manner as a firearm item seized under section 24(2) of the </w:t>
      </w:r>
      <w:r>
        <w:rPr>
          <w:i/>
        </w:rPr>
        <w:t>Firearms Act 1973</w:t>
      </w:r>
      <w:r>
        <w:t>.</w:t>
      </w:r>
    </w:p>
    <w:p>
      <w:pPr>
        <w:pStyle w:val="Footnotesection"/>
      </w:pPr>
      <w:r>
        <w:tab/>
        <w:t>[Regulation 5A inserted: Gazette 26 Nov 2004 p. 5261; amended: SL 2022/189 r. 9.]</w:t>
      </w:r>
    </w:p>
    <w:p>
      <w:pPr>
        <w:pStyle w:val="Heading5"/>
      </w:pPr>
      <w:bookmarkStart w:id="16" w:name="_Toc119499994"/>
      <w:r>
        <w:rPr>
          <w:rStyle w:val="CharSectno"/>
        </w:rPr>
        <w:t>5B</w:t>
      </w:r>
      <w:r>
        <w:t>.</w:t>
      </w:r>
      <w:r>
        <w:tab/>
        <w:t>Dealing with other weapons seized (Act s. 62B(2)(c))</w:t>
      </w:r>
      <w:bookmarkEnd w:id="16"/>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17" w:name="_Toc119496287"/>
      <w:bookmarkStart w:id="18" w:name="_Toc119498322"/>
      <w:bookmarkStart w:id="19" w:name="_Toc119499995"/>
      <w:r>
        <w:rPr>
          <w:rStyle w:val="CharPartNo"/>
        </w:rPr>
        <w:lastRenderedPageBreak/>
        <w:t>Part 2A</w:t>
      </w:r>
      <w:r>
        <w:t> — </w:t>
      </w:r>
      <w:r>
        <w:rPr>
          <w:rStyle w:val="CharPartText"/>
        </w:rPr>
        <w:t>Explosives</w:t>
      </w:r>
      <w:bookmarkEnd w:id="17"/>
      <w:bookmarkEnd w:id="18"/>
      <w:bookmarkEnd w:id="19"/>
    </w:p>
    <w:p>
      <w:pPr>
        <w:pStyle w:val="Footnoteheading"/>
      </w:pPr>
      <w:r>
        <w:tab/>
        <w:t>[Heading inserted: SL 2020/258 r. 5.]</w:t>
      </w:r>
    </w:p>
    <w:p>
      <w:pPr>
        <w:pStyle w:val="Heading5"/>
      </w:pPr>
      <w:bookmarkStart w:id="20" w:name="_Toc119499996"/>
      <w:r>
        <w:rPr>
          <w:rStyle w:val="CharSectno"/>
        </w:rPr>
        <w:t>5C</w:t>
      </w:r>
      <w:r>
        <w:t>.</w:t>
      </w:r>
      <w:r>
        <w:tab/>
        <w:t>Terms used</w:t>
      </w:r>
      <w:bookmarkEnd w:id="20"/>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21" w:name="_Toc119499997"/>
      <w:r>
        <w:rPr>
          <w:rStyle w:val="CharSectno"/>
        </w:rPr>
        <w:t>5D</w:t>
      </w:r>
      <w:r>
        <w:t>.</w:t>
      </w:r>
      <w:r>
        <w:tab/>
        <w:t>Giving up possession of explosives</w:t>
      </w:r>
      <w:bookmarkEnd w:id="21"/>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22" w:name="_Toc119499998"/>
      <w:r>
        <w:rPr>
          <w:rStyle w:val="CharSectno"/>
        </w:rPr>
        <w:t>5E</w:t>
      </w:r>
      <w:r>
        <w:t>.</w:t>
      </w:r>
      <w:r>
        <w:tab/>
        <w:t>Dealing with explosives surrendered (Act s. 14A) or seized (Act s. 62E)</w:t>
      </w:r>
      <w:bookmarkEnd w:id="22"/>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lastRenderedPageBreak/>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23" w:name="_Toc119496291"/>
      <w:bookmarkStart w:id="24" w:name="_Toc119498326"/>
      <w:bookmarkStart w:id="25" w:name="_Toc119499999"/>
      <w:r>
        <w:rPr>
          <w:rStyle w:val="CharPartNo"/>
        </w:rPr>
        <w:lastRenderedPageBreak/>
        <w:t>Part 3</w:t>
      </w:r>
      <w:r>
        <w:rPr>
          <w:rStyle w:val="CharDivNo"/>
        </w:rPr>
        <w:t> </w:t>
      </w:r>
      <w:r>
        <w:t>—</w:t>
      </w:r>
      <w:r>
        <w:rPr>
          <w:rStyle w:val="CharDivText"/>
        </w:rPr>
        <w:t> </w:t>
      </w:r>
      <w:r>
        <w:rPr>
          <w:rStyle w:val="CharPartText"/>
        </w:rPr>
        <w:t>Practice and procedure</w:t>
      </w:r>
      <w:bookmarkEnd w:id="23"/>
      <w:bookmarkEnd w:id="24"/>
      <w:bookmarkEnd w:id="25"/>
    </w:p>
    <w:p>
      <w:pPr>
        <w:pStyle w:val="Ednotesection"/>
      </w:pPr>
      <w:r>
        <w:t>[</w:t>
      </w:r>
      <w:r>
        <w:rPr>
          <w:b/>
        </w:rPr>
        <w:t>6</w:t>
      </w:r>
      <w:r>
        <w:t>.</w:t>
      </w:r>
      <w:r>
        <w:tab/>
        <w:t>Deleted: Gazette 7 Feb 2017 p. 1164.]</w:t>
      </w:r>
    </w:p>
    <w:p>
      <w:pPr>
        <w:pStyle w:val="Heading5"/>
      </w:pPr>
      <w:bookmarkStart w:id="26" w:name="_Toc119500000"/>
      <w:r>
        <w:rPr>
          <w:rStyle w:val="CharSectno"/>
        </w:rPr>
        <w:t>6A</w:t>
      </w:r>
      <w:r>
        <w:t>.</w:t>
      </w:r>
      <w:r>
        <w:tab/>
        <w:t>Application to correct minor error in restraining orders (Act s. 49A)</w:t>
      </w:r>
      <w:bookmarkEnd w:id="26"/>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27" w:name="_Toc119500001"/>
      <w:r>
        <w:rPr>
          <w:rStyle w:val="CharSectno"/>
        </w:rPr>
        <w:t>6B</w:t>
      </w:r>
      <w:r>
        <w:t>.</w:t>
      </w:r>
      <w:r>
        <w:tab/>
        <w:t>Order that child be allowed to give oral evidence (Act s. 53A)</w:t>
      </w:r>
      <w:bookmarkEnd w:id="27"/>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8" w:name="_Toc119500002"/>
      <w:r>
        <w:rPr>
          <w:rStyle w:val="CharSectno"/>
        </w:rPr>
        <w:t>6C</w:t>
      </w:r>
      <w:r>
        <w:t>.</w:t>
      </w:r>
      <w:r>
        <w:tab/>
        <w:t>Attendance at hearings</w:t>
      </w:r>
      <w:bookmarkEnd w:id="28"/>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keepNext/>
      </w:pPr>
      <w:r>
        <w:lastRenderedPageBreak/>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29" w:name="_Toc119500003"/>
      <w:r>
        <w:rPr>
          <w:rStyle w:val="CharSectno"/>
        </w:rPr>
        <w:t>6D</w:t>
      </w:r>
      <w:r>
        <w:t>.</w:t>
      </w:r>
      <w:r>
        <w:tab/>
        <w:t>Certificate to effect that person who is bound by restraining order was present in court when order was made (Act s. 55(3a))</w:t>
      </w:r>
      <w:bookmarkEnd w:id="29"/>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30" w:name="_Toc119500004"/>
      <w:r>
        <w:rPr>
          <w:rStyle w:val="CharSectno"/>
        </w:rPr>
        <w:t>7</w:t>
      </w:r>
      <w:r>
        <w:rPr>
          <w:snapToGrid w:val="0"/>
        </w:rPr>
        <w:t>.</w:t>
      </w:r>
      <w:r>
        <w:rPr>
          <w:snapToGrid w:val="0"/>
        </w:rPr>
        <w:tab/>
        <w:t>Telephone applications, adjournment of</w:t>
      </w:r>
      <w:bookmarkEnd w:id="30"/>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31" w:name="_Toc119500005"/>
      <w:r>
        <w:rPr>
          <w:rStyle w:val="CharSectno"/>
        </w:rPr>
        <w:lastRenderedPageBreak/>
        <w:t>8</w:t>
      </w:r>
      <w:r>
        <w:rPr>
          <w:snapToGrid w:val="0"/>
        </w:rPr>
        <w:t>.</w:t>
      </w:r>
      <w:r>
        <w:rPr>
          <w:snapToGrid w:val="0"/>
        </w:rPr>
        <w:tab/>
        <w:t>Procedure when restraining order made during bail hearing (Act s. 63)</w:t>
      </w:r>
      <w:bookmarkEnd w:id="31"/>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32" w:name="_Toc119500006"/>
      <w:r>
        <w:rPr>
          <w:rStyle w:val="CharSectno"/>
        </w:rPr>
        <w:t>9</w:t>
      </w:r>
      <w:r>
        <w:rPr>
          <w:snapToGrid w:val="0"/>
        </w:rPr>
        <w:t>.</w:t>
      </w:r>
      <w:r>
        <w:rPr>
          <w:snapToGrid w:val="0"/>
        </w:rPr>
        <w:tab/>
        <w:t>Procedure when restraining order made during other proceedings (Act s. 63)</w:t>
      </w:r>
      <w:bookmarkEnd w:id="3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33" w:name="_Toc119500007"/>
      <w:r>
        <w:rPr>
          <w:rStyle w:val="CharSectno"/>
        </w:rPr>
        <w:t>9A</w:t>
      </w:r>
      <w:r>
        <w:t>.</w:t>
      </w:r>
      <w:r>
        <w:tab/>
        <w:t>Procedure for applying for oral or substituted service (Act s. 55(2) and 60(1))</w:t>
      </w:r>
      <w:bookmarkEnd w:id="33"/>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34" w:name="_Toc119500008"/>
      <w:r>
        <w:rPr>
          <w:rStyle w:val="CharSectno"/>
        </w:rPr>
        <w:lastRenderedPageBreak/>
        <w:t>9B</w:t>
      </w:r>
      <w:r>
        <w:t>.</w:t>
      </w:r>
      <w:r>
        <w:tab/>
        <w:t>Procedure for effecting substituted service of FVRO without court order (Act s. 60(1A)(b) and (2)(b))</w:t>
      </w:r>
      <w:bookmarkEnd w:id="34"/>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35" w:name="_Toc119500009"/>
      <w:r>
        <w:rPr>
          <w:rStyle w:val="CharSectno"/>
        </w:rPr>
        <w:t>10</w:t>
      </w:r>
      <w:r>
        <w:rPr>
          <w:snapToGrid w:val="0"/>
        </w:rPr>
        <w:t>.</w:t>
      </w:r>
      <w:r>
        <w:rPr>
          <w:snapToGrid w:val="0"/>
        </w:rPr>
        <w:tab/>
        <w:t>Service of documents</w:t>
      </w:r>
      <w:bookmarkEnd w:id="35"/>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lastRenderedPageBreak/>
        <w:tab/>
        <w:t>(2)</w:t>
      </w:r>
      <w:r>
        <w:tab/>
        <w:t>If a document is given to a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w:t>
      </w:r>
    </w:p>
    <w:p>
      <w:pPr>
        <w:pStyle w:val="Ednotesection"/>
      </w:pPr>
      <w:r>
        <w:t>[</w:t>
      </w:r>
      <w:r>
        <w:rPr>
          <w:b/>
        </w:rPr>
        <w:t>10A.</w:t>
      </w:r>
      <w:r>
        <w:tab/>
        <w:t>Deleted: SL 2020/258 r. 6.]</w:t>
      </w:r>
    </w:p>
    <w:p>
      <w:pPr>
        <w:pStyle w:val="Heading2"/>
      </w:pPr>
      <w:bookmarkStart w:id="36" w:name="_Toc119496302"/>
      <w:bookmarkStart w:id="37" w:name="_Toc119498337"/>
      <w:bookmarkStart w:id="38" w:name="_Toc119500010"/>
      <w:r>
        <w:rPr>
          <w:rStyle w:val="CharPartNo"/>
        </w:rPr>
        <w:lastRenderedPageBreak/>
        <w:t>Part 4</w:t>
      </w:r>
      <w:r>
        <w:rPr>
          <w:rStyle w:val="CharDivNo"/>
        </w:rPr>
        <w:t> </w:t>
      </w:r>
      <w:r>
        <w:t>—</w:t>
      </w:r>
      <w:r>
        <w:rPr>
          <w:rStyle w:val="CharDivText"/>
        </w:rPr>
        <w:t> </w:t>
      </w:r>
      <w:r>
        <w:rPr>
          <w:rStyle w:val="CharPartText"/>
        </w:rPr>
        <w:t>Interstate restraining orders</w:t>
      </w:r>
      <w:bookmarkEnd w:id="36"/>
      <w:bookmarkEnd w:id="37"/>
      <w:bookmarkEnd w:id="38"/>
    </w:p>
    <w:p>
      <w:pPr>
        <w:pStyle w:val="Ednotesection"/>
      </w:pPr>
      <w:r>
        <w:t>[</w:t>
      </w:r>
      <w:r>
        <w:rPr>
          <w:b/>
        </w:rPr>
        <w:t>11.</w:t>
      </w:r>
      <w:r>
        <w:tab/>
        <w:t>Deleted: Gazette 26 Nov 2004 p. 5264.]</w:t>
      </w:r>
    </w:p>
    <w:p>
      <w:pPr>
        <w:pStyle w:val="Heading5"/>
        <w:rPr>
          <w:snapToGrid w:val="0"/>
        </w:rPr>
      </w:pPr>
      <w:bookmarkStart w:id="39" w:name="_Toc119500011"/>
      <w:r>
        <w:rPr>
          <w:rStyle w:val="CharSectno"/>
        </w:rPr>
        <w:t>12</w:t>
      </w:r>
      <w:r>
        <w:rPr>
          <w:snapToGrid w:val="0"/>
        </w:rPr>
        <w:t>.</w:t>
      </w:r>
      <w:r>
        <w:rPr>
          <w:snapToGrid w:val="0"/>
        </w:rPr>
        <w:tab/>
        <w:t>Application for registration of interstate order</w:t>
      </w:r>
      <w:bookmarkEnd w:id="39"/>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40" w:name="_Toc119496304"/>
      <w:bookmarkStart w:id="41" w:name="_Toc119498339"/>
      <w:bookmarkStart w:id="42" w:name="_Toc119500012"/>
      <w:r>
        <w:rPr>
          <w:rStyle w:val="CharPartNo"/>
        </w:rPr>
        <w:lastRenderedPageBreak/>
        <w:t>Part 5</w:t>
      </w:r>
      <w:r>
        <w:rPr>
          <w:b w:val="0"/>
        </w:rPr>
        <w:t> </w:t>
      </w:r>
      <w:r>
        <w:t>—</w:t>
      </w:r>
      <w:r>
        <w:rPr>
          <w:b w:val="0"/>
        </w:rPr>
        <w:t> </w:t>
      </w:r>
      <w:r>
        <w:rPr>
          <w:rStyle w:val="CharPartText"/>
        </w:rPr>
        <w:t>General</w:t>
      </w:r>
      <w:bookmarkEnd w:id="40"/>
      <w:bookmarkEnd w:id="41"/>
      <w:bookmarkEnd w:id="42"/>
    </w:p>
    <w:p>
      <w:pPr>
        <w:pStyle w:val="Footnoteheading"/>
        <w:tabs>
          <w:tab w:val="left" w:pos="851"/>
        </w:tabs>
      </w:pPr>
      <w:r>
        <w:tab/>
        <w:t>[Heading inserted: Gazette 26 Nov 2004 p. 5264.]</w:t>
      </w:r>
    </w:p>
    <w:p>
      <w:pPr>
        <w:pStyle w:val="Heading5"/>
      </w:pPr>
      <w:bookmarkStart w:id="43" w:name="_Toc119500013"/>
      <w:r>
        <w:rPr>
          <w:rStyle w:val="CharSectno"/>
        </w:rPr>
        <w:t>13</w:t>
      </w:r>
      <w:r>
        <w:t>.</w:t>
      </w:r>
      <w:r>
        <w:tab/>
        <w:t>Property that may be recovered when FVRO or VRO made (Act s. 10G(5) or 13(5))</w:t>
      </w:r>
      <w:bookmarkEnd w:id="43"/>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44" w:name="_Toc119500014"/>
      <w:r>
        <w:rPr>
          <w:rStyle w:val="CharSectno"/>
        </w:rPr>
        <w:t>14</w:t>
      </w:r>
      <w:r>
        <w:t>.</w:t>
      </w:r>
      <w:r>
        <w:tab/>
        <w:t>Procedures for recovering property under terms of FVRO or VRO (Act s. 10G(5)(b) or 13(5)(b))</w:t>
      </w:r>
      <w:bookmarkEnd w:id="44"/>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5" w:name="_Toc119500015"/>
      <w:r>
        <w:rPr>
          <w:rStyle w:val="CharSectno"/>
        </w:rPr>
        <w:t>14A</w:t>
      </w:r>
      <w:r>
        <w:t>.</w:t>
      </w:r>
      <w:r>
        <w:tab/>
        <w:t>Prescribed persons for disclosure of information (s. 70(1A))</w:t>
      </w:r>
      <w:bookmarkEnd w:id="45"/>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46" w:name="_Toc119500016"/>
      <w:r>
        <w:rPr>
          <w:rStyle w:val="CharSectno"/>
        </w:rPr>
        <w:t>15</w:t>
      </w:r>
      <w:r>
        <w:t>.</w:t>
      </w:r>
      <w:r>
        <w:tab/>
        <w:t>Exchange of information (Act s. 70A)</w:t>
      </w:r>
      <w:bookmarkEnd w:id="46"/>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lastRenderedPageBreak/>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7" w:name="_Toc119500017"/>
      <w:r>
        <w:rPr>
          <w:rStyle w:val="CharSectno"/>
        </w:rPr>
        <w:t>16</w:t>
      </w:r>
      <w:r>
        <w:t>.</w:t>
      </w:r>
      <w:r>
        <w:tab/>
        <w:t>Prescribed countries (Act s. 79A)</w:t>
      </w:r>
      <w:bookmarkEnd w:id="47"/>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8" w:name="_Toc119496310"/>
      <w:bookmarkStart w:id="49" w:name="_Toc119498345"/>
      <w:bookmarkStart w:id="50" w:name="_Toc119500018"/>
      <w:r>
        <w:rPr>
          <w:rStyle w:val="CharSchNo"/>
        </w:rPr>
        <w:lastRenderedPageBreak/>
        <w:t>Schedule 1 </w:t>
      </w:r>
      <w:r>
        <w:t xml:space="preserve">— </w:t>
      </w:r>
      <w:r>
        <w:rPr>
          <w:rStyle w:val="CharSchText"/>
        </w:rPr>
        <w:t>Forms</w:t>
      </w:r>
      <w:bookmarkEnd w:id="48"/>
      <w:bookmarkEnd w:id="49"/>
      <w:bookmarkEnd w:id="50"/>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lastRenderedPageBreak/>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lastRenderedPageBreak/>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lastRenderedPageBreak/>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2" w:name="_Toc119496311"/>
      <w:bookmarkStart w:id="53" w:name="_Toc119498346"/>
      <w:bookmarkStart w:id="54" w:name="_Toc119500019"/>
      <w:r>
        <w:lastRenderedPageBreak/>
        <w:t>Notes</w:t>
      </w:r>
      <w:bookmarkEnd w:id="52"/>
      <w:bookmarkEnd w:id="53"/>
      <w:bookmarkEnd w:id="54"/>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55" w:name="_Toc119500020"/>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lastRenderedPageBreak/>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bottom w:val="single" w:sz="8" w:space="0" w:color="auto"/>
            </w:tcBorders>
            <w:shd w:val="clear" w:color="auto" w:fill="auto"/>
          </w:tcPr>
          <w:p>
            <w:pPr>
              <w:pStyle w:val="nTable"/>
              <w:keepNext/>
              <w:spacing w:before="60" w:after="60"/>
            </w:pPr>
            <w:r>
              <w:t>SL 2022/189 18 Nov 2022</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19 Nov 2022 (see r. 2(b))</w:t>
            </w:r>
          </w:p>
        </w:tc>
      </w:tr>
    </w:tbl>
    <w:p>
      <w:pPr>
        <w:pStyle w:val="nHeading3"/>
      </w:pPr>
      <w:bookmarkStart w:id="56" w:name="_Toc119500021"/>
      <w:r>
        <w:t>Other notes</w:t>
      </w:r>
      <w:bookmarkEnd w:id="56"/>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8" w:name="_Toc119496314"/>
      <w:bookmarkStart w:id="59" w:name="_Toc119498349"/>
      <w:bookmarkStart w:id="60" w:name="_Toc119500022"/>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Dangerous Goods Officer</w:t>
      </w:r>
      <w:r>
        <w:tab/>
        <w:t>2A</w:t>
      </w:r>
    </w:p>
    <w:p>
      <w:pPr>
        <w:pStyle w:val="DefinedTerms"/>
      </w:pPr>
      <w:r>
        <w:t>explosives order</w:t>
      </w:r>
      <w:r>
        <w:tab/>
        <w:t>5C</w:t>
      </w:r>
    </w:p>
    <w:p>
      <w:pPr>
        <w:pStyle w:val="DefinedTerms"/>
      </w:pPr>
      <w:r>
        <w:t>form</w:t>
      </w:r>
      <w:r>
        <w:tab/>
        <w:t>2A</w:t>
      </w:r>
    </w:p>
    <w:p>
      <w:pPr>
        <w:pStyle w:val="DefinedTerms"/>
      </w:pPr>
      <w:r>
        <w:t>latest attempt</w:t>
      </w:r>
      <w:r>
        <w:tab/>
        <w:t>9B(2)</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0236"/>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6305</Words>
  <Characters>29702</Characters>
  <Application>Microsoft Office Word</Application>
  <DocSecurity>0</DocSecurity>
  <Lines>900</Lines>
  <Paragraphs>521</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1997 - 03-h0-00</dc:title>
  <dc:subject/>
  <dc:creator/>
  <cp:keywords/>
  <dc:description/>
  <cp:lastModifiedBy>Master Repository Process</cp:lastModifiedBy>
  <cp:revision>4</cp:revision>
  <cp:lastPrinted>2017-06-27T06:08:00Z</cp:lastPrinted>
  <dcterms:created xsi:type="dcterms:W3CDTF">2022-11-17T07:21:00Z</dcterms:created>
  <dcterms:modified xsi:type="dcterms:W3CDTF">2022-11-17T07:21:00Z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19 Nov 2022</vt:lpwstr>
  </property>
  <property fmtid="{D5CDD505-2E9C-101B-9397-08002B2CF9AE}" pid="8" name="Suffix">
    <vt:lpwstr>03-h0-00</vt:lpwstr>
  </property>
  <property fmtid="{D5CDD505-2E9C-101B-9397-08002B2CF9AE}" pid="9" name="CommencementDate">
    <vt:lpwstr>20221119</vt:lpwstr>
  </property>
</Properties>
</file>