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_Toc119578417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_Toc119578418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Reference in declaration or statement to district includes reference to whole of State electorate</w:t>
      </w:r>
      <w:r>
        <w:tab/>
      </w:r>
      <w:r>
        <w:fldChar w:fldCharType="begin"/>
      </w:r>
      <w:r>
        <w:instrText xml:space="preserve"> PAGEREF _Toc119578419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 apply to more than one election held on same day</w:t>
      </w:r>
      <w:r>
        <w:tab/>
      </w:r>
      <w:r>
        <w:fldChar w:fldCharType="begin"/>
      </w:r>
      <w:r>
        <w:instrText xml:space="preserve"> PAGEREF _Toc119578420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Charges and forms</w:t>
      </w:r>
    </w:p>
    <w:p>
      <w:pPr>
        <w:pStyle w:val="TOC8"/>
        <w:rPr>
          <w:rFonts w:asciiTheme="minorHAnsi" w:eastAsiaTheme="minorEastAsia" w:hAnsiTheme="minorHAnsi" w:cstheme="minorBidi"/>
          <w:szCs w:val="22"/>
        </w:rPr>
      </w:pPr>
      <w:r>
        <w:t>6</w:t>
      </w:r>
      <w:r>
        <w:rPr>
          <w:snapToGrid w:val="0"/>
        </w:rPr>
        <w:t>.</w:t>
      </w:r>
      <w:r>
        <w:rPr>
          <w:snapToGrid w:val="0"/>
        </w:rPr>
        <w:tab/>
        <w:t>Certain declarations and appointments, forms of etc. (Sch. 2)</w:t>
      </w:r>
      <w:r>
        <w:tab/>
      </w:r>
      <w:r>
        <w:fldChar w:fldCharType="begin"/>
      </w:r>
      <w:r>
        <w:instrText xml:space="preserve"> PAGEREF _Toc119578422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 prescribed etc. (Sch. 3)</w:t>
      </w:r>
      <w:r>
        <w:tab/>
      </w:r>
      <w:r>
        <w:fldChar w:fldCharType="begin"/>
      </w:r>
      <w:r>
        <w:instrText xml:space="preserve"> PAGEREF _Toc119578423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Rolls</w:t>
      </w:r>
    </w:p>
    <w:p>
      <w:pPr>
        <w:pStyle w:val="TOC8"/>
        <w:rPr>
          <w:rFonts w:asciiTheme="minorHAnsi" w:eastAsiaTheme="minorEastAsia" w:hAnsiTheme="minorHAnsi" w:cstheme="minorBidi"/>
          <w:szCs w:val="22"/>
        </w:rPr>
      </w:pPr>
      <w:r>
        <w:t>8</w:t>
      </w:r>
      <w:r>
        <w:rPr>
          <w:snapToGrid w:val="0"/>
        </w:rPr>
        <w:t>.</w:t>
      </w:r>
      <w:r>
        <w:rPr>
          <w:snapToGrid w:val="0"/>
        </w:rPr>
        <w:tab/>
        <w:t>Content of rolls; when information may be omitted</w:t>
      </w:r>
      <w:r>
        <w:tab/>
      </w:r>
      <w:r>
        <w:fldChar w:fldCharType="begin"/>
      </w:r>
      <w:r>
        <w:instrText xml:space="preserve"> PAGEREF _Toc119578425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Manner of marking roll prescribed (Act s. 47(3)(g))</w:t>
      </w:r>
      <w:r>
        <w:tab/>
      </w:r>
      <w:r>
        <w:fldChar w:fldCharType="begin"/>
      </w:r>
      <w:r>
        <w:instrText xml:space="preserve"> PAGEREF _Toc119578426 \h </w:instrText>
      </w:r>
      <w:r>
        <w:fldChar w:fldCharType="separate"/>
      </w:r>
      <w:r>
        <w:t>5</w:t>
      </w:r>
      <w:r>
        <w:fldChar w:fldCharType="end"/>
      </w:r>
    </w:p>
    <w:p>
      <w:pPr>
        <w:pStyle w:val="TOC8"/>
        <w:rPr>
          <w:rFonts w:asciiTheme="minorHAnsi" w:eastAsiaTheme="minorEastAsia" w:hAnsiTheme="minorHAnsi" w:cstheme="minorBidi"/>
          <w:szCs w:val="22"/>
        </w:rPr>
      </w:pPr>
      <w:r>
        <w:t>10A.</w:t>
      </w:r>
      <w:r>
        <w:tab/>
        <w:t>Manner prescribed of recording on roll the issue of ballot paper (Act s. 126(1))</w:t>
      </w:r>
      <w:r>
        <w:tab/>
      </w:r>
      <w:r>
        <w:fldChar w:fldCharType="begin"/>
      </w:r>
      <w:r>
        <w:instrText xml:space="preserve"> PAGEREF _Toc119578427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Early, absent and provisional voting</w:t>
      </w:r>
    </w:p>
    <w:p>
      <w:pPr>
        <w:pStyle w:val="TOC8"/>
        <w:rPr>
          <w:rFonts w:asciiTheme="minorHAnsi" w:eastAsiaTheme="minorEastAsia" w:hAnsiTheme="minorHAnsi" w:cstheme="minorBidi"/>
          <w:szCs w:val="22"/>
        </w:rPr>
      </w:pPr>
      <w:r>
        <w:t>11</w:t>
      </w:r>
      <w:r>
        <w:rPr>
          <w:snapToGrid w:val="0"/>
        </w:rPr>
        <w:t>.</w:t>
      </w:r>
      <w:r>
        <w:rPr>
          <w:snapToGrid w:val="0"/>
        </w:rPr>
        <w:tab/>
        <w:t>Application for early ballot paper, matters prescribed for (Act s. 90)</w:t>
      </w:r>
      <w:r>
        <w:tab/>
      </w:r>
      <w:r>
        <w:fldChar w:fldCharType="begin"/>
      </w:r>
      <w:r>
        <w:instrText xml:space="preserve"> PAGEREF _Toc119578429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Early ballot paper posted etc. to returning officer etc., how to be dealt with (Act s. 92(4a))</w:t>
      </w:r>
      <w:r>
        <w:tab/>
      </w:r>
      <w:r>
        <w:fldChar w:fldCharType="begin"/>
      </w:r>
      <w:r>
        <w:instrText xml:space="preserve"> PAGEREF _Toc119578430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Absent vote, how to be taken</w:t>
      </w:r>
      <w:r>
        <w:tab/>
      </w:r>
      <w:r>
        <w:fldChar w:fldCharType="begin"/>
      </w:r>
      <w:r>
        <w:instrText xml:space="preserve"> PAGEREF _Toc119578431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vote, how to be taken</w:t>
      </w:r>
      <w:r>
        <w:tab/>
      </w:r>
      <w:r>
        <w:fldChar w:fldCharType="begin"/>
      </w:r>
      <w:r>
        <w:instrText xml:space="preserve"> PAGEREF _Toc119578432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Records of early, absent and provisional votes, presiding officer’s duties as to</w:t>
      </w:r>
      <w:r>
        <w:tab/>
      </w:r>
      <w:r>
        <w:fldChar w:fldCharType="begin"/>
      </w:r>
      <w:r>
        <w:instrText xml:space="preserve"> PAGEREF _Toc119578433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Early, absent and provisional votes in ballot box, how to be dealt with</w:t>
      </w:r>
      <w:r>
        <w:tab/>
      </w:r>
      <w:r>
        <w:fldChar w:fldCharType="begin"/>
      </w:r>
      <w:r>
        <w:instrText xml:space="preserve"> PAGEREF _Toc119578434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Early, absent and provisional votes and records, returning officer to forward to Electoral Commissioner</w:t>
      </w:r>
      <w:r>
        <w:tab/>
      </w:r>
      <w:r>
        <w:fldChar w:fldCharType="begin"/>
      </w:r>
      <w:r>
        <w:instrText xml:space="preserve"> PAGEREF _Toc119578435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Declarations as to early ballot papers and counting of votes, scrutiny of etc.</w:t>
      </w:r>
      <w:r>
        <w:tab/>
      </w:r>
      <w:r>
        <w:fldChar w:fldCharType="begin"/>
      </w:r>
      <w:r>
        <w:instrText xml:space="preserve"> PAGEREF _Toc119578436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Declarations as to and counting of absent votes and provisional votes, scrutiny of</w:t>
      </w:r>
      <w:r>
        <w:tab/>
      </w:r>
      <w:r>
        <w:fldChar w:fldCharType="begin"/>
      </w:r>
      <w:r>
        <w:instrText xml:space="preserve"> PAGEREF _Toc119578437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Ballot paper in envelope to be rejected if not ballot paper for relevant election</w:t>
      </w:r>
      <w:r>
        <w:tab/>
      </w:r>
      <w:r>
        <w:fldChar w:fldCharType="begin"/>
      </w:r>
      <w:r>
        <w:instrText xml:space="preserve"> PAGEREF _Toc119578438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22</w:t>
      </w:r>
      <w:r>
        <w:rPr>
          <w:snapToGrid w:val="0"/>
        </w:rPr>
        <w:t>.</w:t>
      </w:r>
      <w:r>
        <w:rPr>
          <w:snapToGrid w:val="0"/>
        </w:rPr>
        <w:tab/>
        <w:t>Enrolment procedure; person not enrolled, Commissioner’s powers as to etc.</w:t>
      </w:r>
      <w:r>
        <w:tab/>
      </w:r>
      <w:r>
        <w:fldChar w:fldCharType="begin"/>
      </w:r>
      <w:r>
        <w:instrText xml:space="preserve"> PAGEREF _Toc119578440 \h </w:instrText>
      </w:r>
      <w:r>
        <w:fldChar w:fldCharType="separate"/>
      </w:r>
      <w:r>
        <w:t>14</w:t>
      </w:r>
      <w:r>
        <w:fldChar w:fldCharType="end"/>
      </w:r>
    </w:p>
    <w:p>
      <w:pPr>
        <w:pStyle w:val="TOC8"/>
        <w:rPr>
          <w:rFonts w:asciiTheme="minorHAnsi" w:eastAsiaTheme="minorEastAsia" w:hAnsiTheme="minorHAnsi" w:cstheme="minorBidi"/>
          <w:szCs w:val="22"/>
        </w:rPr>
      </w:pPr>
      <w:r>
        <w:t>22A.</w:t>
      </w:r>
      <w:r>
        <w:tab/>
        <w:t>Procedure if same person relied on as member by 2 or more political parties (Act s. 62CA)</w:t>
      </w:r>
      <w:r>
        <w:tab/>
      </w:r>
      <w:r>
        <w:fldChar w:fldCharType="begin"/>
      </w:r>
      <w:r>
        <w:instrText xml:space="preserve"> PAGEREF _Toc119578441 \h </w:instrText>
      </w:r>
      <w:r>
        <w:fldChar w:fldCharType="separate"/>
      </w:r>
      <w:r>
        <w:t>15</w:t>
      </w:r>
      <w:r>
        <w:fldChar w:fldCharType="end"/>
      </w:r>
    </w:p>
    <w:p>
      <w:pPr>
        <w:pStyle w:val="TOC8"/>
        <w:rPr>
          <w:rFonts w:asciiTheme="minorHAnsi" w:eastAsiaTheme="minorEastAsia" w:hAnsiTheme="minorHAnsi" w:cstheme="minorBidi"/>
          <w:szCs w:val="22"/>
        </w:rPr>
      </w:pPr>
      <w:r>
        <w:t>22B.</w:t>
      </w:r>
      <w:r>
        <w:tab/>
        <w:t>Manner of deposit (Act s. 81(1)(b))</w:t>
      </w:r>
      <w:r>
        <w:tab/>
      </w:r>
      <w:r>
        <w:fldChar w:fldCharType="begin"/>
      </w:r>
      <w:r>
        <w:instrText xml:space="preserve"> PAGEREF _Toc119578442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 not voting, matters prescribed in relation to (Act s. 156)</w:t>
      </w:r>
      <w:r>
        <w:tab/>
      </w:r>
      <w:r>
        <w:fldChar w:fldCharType="begin"/>
      </w:r>
      <w:r>
        <w:instrText xml:space="preserve"> PAGEREF _Toc119578443 \h </w:instrText>
      </w:r>
      <w:r>
        <w:fldChar w:fldCharType="separate"/>
      </w:r>
      <w:r>
        <w:t>16</w:t>
      </w:r>
      <w:r>
        <w:fldChar w:fldCharType="end"/>
      </w:r>
    </w:p>
    <w:p>
      <w:pPr>
        <w:pStyle w:val="TOC8"/>
        <w:rPr>
          <w:rFonts w:asciiTheme="minorHAnsi" w:eastAsiaTheme="minorEastAsia" w:hAnsiTheme="minorHAnsi" w:cstheme="minorBidi"/>
          <w:szCs w:val="22"/>
        </w:rPr>
      </w:pPr>
      <w:r>
        <w:t>24.</w:t>
      </w:r>
      <w:r>
        <w:tab/>
        <w:t>Appointment of scrutineer (Act s. 137 and 146C)</w:t>
      </w:r>
      <w:r>
        <w:tab/>
      </w:r>
      <w:r>
        <w:fldChar w:fldCharType="begin"/>
      </w:r>
      <w:r>
        <w:instrText xml:space="preserve"> PAGEREF _Toc119578444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Manner prescribed of verifying nomination made by message sent electronically (Act s. 156C)</w:t>
      </w:r>
      <w:r>
        <w:tab/>
      </w:r>
      <w:r>
        <w:fldChar w:fldCharType="begin"/>
      </w:r>
      <w:r>
        <w:instrText xml:space="preserve"> PAGEREF _Toc119578445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Manner prescribed of declaring election after re</w:t>
      </w:r>
      <w:r>
        <w:rPr>
          <w:snapToGrid w:val="0"/>
        </w:rPr>
        <w:noBreakHyphen/>
        <w:t>count (Act s. 156D(8))</w:t>
      </w:r>
      <w:r>
        <w:tab/>
      </w:r>
      <w:r>
        <w:fldChar w:fldCharType="begin"/>
      </w:r>
      <w:r>
        <w:instrText xml:space="preserve"> PAGEREF _Toc119578446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Officer prescribed (Act s. 162(1)(ca))</w:t>
      </w:r>
      <w:r>
        <w:tab/>
      </w:r>
      <w:r>
        <w:fldChar w:fldCharType="begin"/>
      </w:r>
      <w:r>
        <w:instrText xml:space="preserve"> PAGEREF _Toc119578447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Public employee etc. standing for election to take leave etc.</w:t>
      </w:r>
      <w:r>
        <w:tab/>
      </w:r>
      <w:r>
        <w:fldChar w:fldCharType="begin"/>
      </w:r>
      <w:r>
        <w:instrText xml:space="preserve"> PAGEREF _Toc119578448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Transmission and destruction of records of election</w:t>
      </w:r>
      <w:r>
        <w:tab/>
      </w:r>
      <w:r>
        <w:fldChar w:fldCharType="begin"/>
      </w:r>
      <w:r>
        <w:instrText xml:space="preserve"> PAGEREF _Toc119578449 \h </w:instrText>
      </w:r>
      <w:r>
        <w:fldChar w:fldCharType="separate"/>
      </w:r>
      <w:r>
        <w:t>20</w:t>
      </w:r>
      <w:r>
        <w:fldChar w:fldCharType="end"/>
      </w:r>
    </w:p>
    <w:p>
      <w:pPr>
        <w:pStyle w:val="TOC8"/>
        <w:rPr>
          <w:rFonts w:asciiTheme="minorHAnsi" w:eastAsiaTheme="minorEastAsia" w:hAnsiTheme="minorHAnsi" w:cstheme="minorBidi"/>
          <w:szCs w:val="22"/>
        </w:rPr>
      </w:pPr>
      <w:r>
        <w:t>29A.</w:t>
      </w:r>
      <w:r>
        <w:tab/>
        <w:t>Articles prescribed that can be used for electoral advertising (Act s. 187(2)(d))</w:t>
      </w:r>
      <w:r>
        <w:tab/>
      </w:r>
      <w:r>
        <w:fldChar w:fldCharType="begin"/>
      </w:r>
      <w:r>
        <w:instrText xml:space="preserve"> PAGEREF _Toc119578450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w:t>
      </w:r>
    </w:p>
    <w:p>
      <w:pPr>
        <w:pStyle w:val="TOC8"/>
        <w:rPr>
          <w:rFonts w:asciiTheme="minorHAnsi" w:eastAsiaTheme="minorEastAsia" w:hAnsiTheme="minorHAnsi" w:cstheme="minorBidi"/>
          <w:szCs w:val="22"/>
        </w:rPr>
      </w:pPr>
      <w:r>
        <w:t>31.</w:t>
      </w:r>
      <w:r>
        <w:tab/>
        <w:t xml:space="preserve">Transitional provision for </w:t>
      </w:r>
      <w:r>
        <w:rPr>
          <w:i/>
        </w:rPr>
        <w:t>Electoral Amendment Regulations 2022</w:t>
      </w:r>
      <w:r>
        <w:tab/>
      </w:r>
      <w:r>
        <w:fldChar w:fldCharType="begin"/>
      </w:r>
      <w:r>
        <w:instrText xml:space="preserve"> PAGEREF _Toc119578452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_Toc119578456 \h </w:instrText>
      </w:r>
      <w:r>
        <w:fldChar w:fldCharType="separate"/>
      </w:r>
      <w:r>
        <w:t>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_Toc119578457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3" w:name="_Toc119422717"/>
      <w:bookmarkStart w:id="4" w:name="_Toc119483826"/>
      <w:bookmarkStart w:id="5" w:name="_Toc1195784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9578417"/>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w:t>
      </w:r>
    </w:p>
    <w:p>
      <w:pPr>
        <w:pStyle w:val="Heading5"/>
        <w:rPr>
          <w:snapToGrid w:val="0"/>
        </w:rPr>
      </w:pPr>
      <w:bookmarkStart w:id="7" w:name="_Toc119578418"/>
      <w:r>
        <w:rPr>
          <w:rStyle w:val="CharSectno"/>
        </w:rPr>
        <w:t>2</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lastRenderedPageBreak/>
        <w:tab/>
        <w:t>[Regulation 2 amended: Gazette 10 Nov 2000 p. 6164; 11 May 2007 p. 1995.]</w:t>
      </w:r>
    </w:p>
    <w:p>
      <w:pPr>
        <w:pStyle w:val="Heading5"/>
        <w:rPr>
          <w:snapToGrid w:val="0"/>
        </w:rPr>
      </w:pPr>
      <w:bookmarkStart w:id="8" w:name="_Toc119578419"/>
      <w:r>
        <w:rPr>
          <w:rStyle w:val="CharSectno"/>
        </w:rPr>
        <w:t>3</w:t>
      </w:r>
      <w:r>
        <w:rPr>
          <w:snapToGrid w:val="0"/>
        </w:rPr>
        <w:t>.</w:t>
      </w:r>
      <w:r>
        <w:rPr>
          <w:snapToGrid w:val="0"/>
        </w:rPr>
        <w:tab/>
        <w:t>Reference in declaration or statement to district includes reference to whole of State electorate</w:t>
      </w:r>
      <w:bookmarkEnd w:id="8"/>
    </w:p>
    <w:p>
      <w:pPr>
        <w:pStyle w:val="Subsection"/>
        <w:rPr>
          <w:snapToGrid w:val="0"/>
        </w:rPr>
      </w:pPr>
      <w:r>
        <w:rPr>
          <w:snapToGrid w:val="0"/>
        </w:rPr>
        <w:tab/>
      </w:r>
      <w:r>
        <w:rPr>
          <w:snapToGrid w:val="0"/>
        </w:rPr>
        <w:tab/>
        <w:t xml:space="preserve">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w:t>
      </w:r>
      <w:r>
        <w:t>whole of State electorate.</w:t>
      </w:r>
    </w:p>
    <w:p>
      <w:pPr>
        <w:pStyle w:val="Footnotesection"/>
      </w:pPr>
      <w:r>
        <w:tab/>
        <w:t>[Regulation 3 amended: SL 2022/195 r. 4.]</w:t>
      </w:r>
    </w:p>
    <w:p>
      <w:pPr>
        <w:pStyle w:val="Heading5"/>
        <w:rPr>
          <w:snapToGrid w:val="0"/>
        </w:rPr>
      </w:pPr>
      <w:bookmarkStart w:id="9" w:name="_Toc119578420"/>
      <w:r>
        <w:rPr>
          <w:rStyle w:val="CharSectno"/>
        </w:rPr>
        <w:t>4</w:t>
      </w:r>
      <w:r>
        <w:rPr>
          <w:snapToGrid w:val="0"/>
        </w:rPr>
        <w:t>.</w:t>
      </w:r>
      <w:r>
        <w:rPr>
          <w:snapToGrid w:val="0"/>
        </w:rPr>
        <w:tab/>
        <w:t>Regulations apply to more than one election held on same day</w:t>
      </w:r>
      <w:bookmarkEnd w:id="9"/>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on the same day as to any other election.</w:t>
      </w:r>
    </w:p>
    <w:p>
      <w:pPr>
        <w:pStyle w:val="Footnotesection"/>
      </w:pPr>
      <w:bookmarkStart w:id="10" w:name="_Toc119422722"/>
      <w:r>
        <w:tab/>
        <w:t>[Regulation 4 amended: SL 2022/195 r. 5.]</w:t>
      </w:r>
    </w:p>
    <w:p>
      <w:pPr>
        <w:pStyle w:val="Heading2"/>
      </w:pPr>
      <w:bookmarkStart w:id="11" w:name="_Toc119483831"/>
      <w:bookmarkStart w:id="12" w:name="_Toc119578421"/>
      <w:r>
        <w:rPr>
          <w:rStyle w:val="CharPartNo"/>
        </w:rPr>
        <w:lastRenderedPageBreak/>
        <w:t>Part 2</w:t>
      </w:r>
      <w:r>
        <w:rPr>
          <w:rStyle w:val="CharDivNo"/>
        </w:rPr>
        <w:t> </w:t>
      </w:r>
      <w:r>
        <w:t>—</w:t>
      </w:r>
      <w:r>
        <w:rPr>
          <w:rStyle w:val="CharDivText"/>
        </w:rPr>
        <w:t> </w:t>
      </w:r>
      <w:r>
        <w:rPr>
          <w:rStyle w:val="CharPartText"/>
        </w:rPr>
        <w:t>Charges and forms</w:t>
      </w:r>
      <w:bookmarkEnd w:id="10"/>
      <w:bookmarkEnd w:id="11"/>
      <w:bookmarkEnd w:id="12"/>
    </w:p>
    <w:p>
      <w:pPr>
        <w:pStyle w:val="Ednotesection"/>
      </w:pPr>
      <w:r>
        <w:t>[</w:t>
      </w:r>
      <w:r>
        <w:rPr>
          <w:b/>
        </w:rPr>
        <w:t>5</w:t>
      </w:r>
      <w:r>
        <w:rPr>
          <w:b/>
          <w:bCs/>
        </w:rPr>
        <w:t>.</w:t>
      </w:r>
      <w:r>
        <w:tab/>
        <w:t>Deleted: Gazette 20 Oct 2000 p. 5927.]</w:t>
      </w:r>
    </w:p>
    <w:p>
      <w:pPr>
        <w:pStyle w:val="Heading5"/>
        <w:rPr>
          <w:snapToGrid w:val="0"/>
        </w:rPr>
      </w:pPr>
      <w:bookmarkStart w:id="13" w:name="_Toc119578422"/>
      <w:r>
        <w:rPr>
          <w:rStyle w:val="CharSectno"/>
        </w:rPr>
        <w:t>6</w:t>
      </w:r>
      <w:r>
        <w:rPr>
          <w:snapToGrid w:val="0"/>
        </w:rPr>
        <w:t>.</w:t>
      </w:r>
      <w:r>
        <w:rPr>
          <w:snapToGrid w:val="0"/>
        </w:rPr>
        <w:tab/>
        <w:t>Certain declarations and appointments, forms of etc. (Sch. 2)</w:t>
      </w:r>
      <w:bookmarkEnd w:id="13"/>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Gazette 8 Nov 1996 p. 6267.]</w:t>
      </w:r>
    </w:p>
    <w:p>
      <w:pPr>
        <w:pStyle w:val="Heading5"/>
        <w:rPr>
          <w:snapToGrid w:val="0"/>
        </w:rPr>
      </w:pPr>
      <w:bookmarkStart w:id="14" w:name="_Toc119578423"/>
      <w:r>
        <w:rPr>
          <w:rStyle w:val="CharSectno"/>
        </w:rPr>
        <w:t>7</w:t>
      </w:r>
      <w:r>
        <w:rPr>
          <w:snapToGrid w:val="0"/>
        </w:rPr>
        <w:t>.</w:t>
      </w:r>
      <w:r>
        <w:rPr>
          <w:snapToGrid w:val="0"/>
        </w:rPr>
        <w:tab/>
        <w:t>Forms prescribed etc. (Sch. 3)</w:t>
      </w:r>
      <w:bookmarkEnd w:id="14"/>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15" w:name="_Toc119422725"/>
      <w:bookmarkStart w:id="16" w:name="_Toc119483834"/>
      <w:bookmarkStart w:id="17" w:name="_Toc119578424"/>
      <w:r>
        <w:rPr>
          <w:rStyle w:val="CharPartNo"/>
        </w:rPr>
        <w:lastRenderedPageBreak/>
        <w:t>Part 3</w:t>
      </w:r>
      <w:r>
        <w:rPr>
          <w:rStyle w:val="CharDivNo"/>
        </w:rPr>
        <w:t> </w:t>
      </w:r>
      <w:r>
        <w:t>—</w:t>
      </w:r>
      <w:r>
        <w:rPr>
          <w:rStyle w:val="CharDivText"/>
        </w:rPr>
        <w:t> </w:t>
      </w:r>
      <w:r>
        <w:rPr>
          <w:rStyle w:val="CharPartText"/>
        </w:rPr>
        <w:t>Rolls</w:t>
      </w:r>
      <w:bookmarkEnd w:id="15"/>
      <w:bookmarkEnd w:id="16"/>
      <w:bookmarkEnd w:id="17"/>
    </w:p>
    <w:p>
      <w:pPr>
        <w:pStyle w:val="Heading5"/>
        <w:rPr>
          <w:snapToGrid w:val="0"/>
        </w:rPr>
      </w:pPr>
      <w:bookmarkStart w:id="18" w:name="_Toc119578425"/>
      <w:r>
        <w:rPr>
          <w:rStyle w:val="CharSectno"/>
        </w:rPr>
        <w:t>8</w:t>
      </w:r>
      <w:r>
        <w:rPr>
          <w:snapToGrid w:val="0"/>
        </w:rPr>
        <w:t>.</w:t>
      </w:r>
      <w:r>
        <w:rPr>
          <w:snapToGrid w:val="0"/>
        </w:rPr>
        <w:tab/>
        <w:t>Content of rolls; when information may be omitted</w:t>
      </w:r>
      <w:bookmarkEnd w:id="18"/>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Gazette 8 Nov 1996 p. 6267; 20 Oct 2000 p. 5928; 11 May 2007 p. 1995</w:t>
      </w:r>
      <w:r>
        <w:noBreakHyphen/>
        <w:t>6.]</w:t>
      </w:r>
    </w:p>
    <w:p>
      <w:pPr>
        <w:pStyle w:val="Ednotesection"/>
      </w:pPr>
      <w:r>
        <w:t>[</w:t>
      </w:r>
      <w:r>
        <w:rPr>
          <w:b/>
          <w:bCs/>
        </w:rPr>
        <w:t>9.</w:t>
      </w:r>
      <w:r>
        <w:tab/>
        <w:t>Deleted: Gazette 10 Nov 2000 p. 6164.]</w:t>
      </w:r>
    </w:p>
    <w:p>
      <w:pPr>
        <w:pStyle w:val="Heading5"/>
        <w:rPr>
          <w:snapToGrid w:val="0"/>
        </w:rPr>
      </w:pPr>
      <w:bookmarkStart w:id="19" w:name="_Toc119578426"/>
      <w:r>
        <w:rPr>
          <w:rStyle w:val="CharSectno"/>
        </w:rPr>
        <w:lastRenderedPageBreak/>
        <w:t>10</w:t>
      </w:r>
      <w:r>
        <w:rPr>
          <w:snapToGrid w:val="0"/>
        </w:rPr>
        <w:t>.</w:t>
      </w:r>
      <w:r>
        <w:rPr>
          <w:snapToGrid w:val="0"/>
        </w:rPr>
        <w:tab/>
        <w:t>Manner of marking roll prescribed (Act s. 47(3)(g))</w:t>
      </w:r>
      <w:bookmarkEnd w:id="19"/>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Gazette 10 Nov 2000 p. 6164.]</w:t>
      </w:r>
    </w:p>
    <w:p>
      <w:pPr>
        <w:pStyle w:val="Heading5"/>
      </w:pPr>
      <w:bookmarkStart w:id="20" w:name="_Toc119578427"/>
      <w:r>
        <w:rPr>
          <w:rStyle w:val="CharSectno"/>
        </w:rPr>
        <w:t>10A</w:t>
      </w:r>
      <w:r>
        <w:t>.</w:t>
      </w:r>
      <w:r>
        <w:tab/>
        <w:t>Manner prescribed of recording on roll the issue of ballot paper (Act s. 126(1))</w:t>
      </w:r>
      <w:bookmarkEnd w:id="20"/>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Gazette 20 Oct 2000 p. 5928</w:t>
      </w:r>
      <w:r>
        <w:noBreakHyphen/>
        <w:t>9.]</w:t>
      </w:r>
    </w:p>
    <w:p>
      <w:pPr>
        <w:pStyle w:val="Heading2"/>
        <w:rPr>
          <w:b w:val="0"/>
        </w:rPr>
      </w:pPr>
      <w:bookmarkStart w:id="21" w:name="_Toc119422729"/>
      <w:bookmarkStart w:id="22" w:name="_Toc119483838"/>
      <w:bookmarkStart w:id="23" w:name="_Toc119578428"/>
      <w:r>
        <w:rPr>
          <w:rStyle w:val="CharPartNo"/>
        </w:rPr>
        <w:lastRenderedPageBreak/>
        <w:t>Part 4</w:t>
      </w:r>
      <w:r>
        <w:rPr>
          <w:rStyle w:val="CharDivNo"/>
        </w:rPr>
        <w:t> </w:t>
      </w:r>
      <w:r>
        <w:t>—</w:t>
      </w:r>
      <w:r>
        <w:rPr>
          <w:rStyle w:val="CharDivText"/>
        </w:rPr>
        <w:t> </w:t>
      </w:r>
      <w:r>
        <w:rPr>
          <w:rStyle w:val="CharPartText"/>
        </w:rPr>
        <w:t>Early, absent and provisional voting</w:t>
      </w:r>
      <w:bookmarkEnd w:id="21"/>
      <w:bookmarkEnd w:id="22"/>
      <w:bookmarkEnd w:id="23"/>
    </w:p>
    <w:p>
      <w:pPr>
        <w:pStyle w:val="Footnoteheading"/>
        <w:spacing w:before="80"/>
      </w:pPr>
      <w:r>
        <w:tab/>
        <w:t>[Heading amended: Gazette 10 Nov 2000 p. 6164.]</w:t>
      </w:r>
    </w:p>
    <w:p>
      <w:pPr>
        <w:pStyle w:val="Heading5"/>
        <w:spacing w:before="200"/>
        <w:rPr>
          <w:snapToGrid w:val="0"/>
        </w:rPr>
      </w:pPr>
      <w:bookmarkStart w:id="24" w:name="_Toc119578429"/>
      <w:r>
        <w:rPr>
          <w:rStyle w:val="CharSectno"/>
        </w:rPr>
        <w:t>11</w:t>
      </w:r>
      <w:r>
        <w:rPr>
          <w:snapToGrid w:val="0"/>
        </w:rPr>
        <w:t>.</w:t>
      </w:r>
      <w:r>
        <w:rPr>
          <w:snapToGrid w:val="0"/>
        </w:rPr>
        <w:tab/>
        <w:t>Application for early ballot paper, matters prescribed for (Act s. 90)</w:t>
      </w:r>
      <w:bookmarkEnd w:id="24"/>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 Gazette 10 Nov 2000 p. 6165; 11 May 2007 p. 1996.]</w:t>
      </w:r>
    </w:p>
    <w:p>
      <w:pPr>
        <w:pStyle w:val="Ednotesection"/>
        <w:spacing w:before="200"/>
      </w:pPr>
      <w:r>
        <w:t>[</w:t>
      </w:r>
      <w:r>
        <w:rPr>
          <w:b/>
        </w:rPr>
        <w:t>12.</w:t>
      </w:r>
      <w:r>
        <w:tab/>
        <w:t>Deleted: Gazette 18 Apr 2000 p. 1976.]</w:t>
      </w:r>
    </w:p>
    <w:p>
      <w:pPr>
        <w:pStyle w:val="Heading5"/>
        <w:spacing w:before="200"/>
        <w:rPr>
          <w:snapToGrid w:val="0"/>
        </w:rPr>
      </w:pPr>
      <w:bookmarkStart w:id="25" w:name="_Toc119578430"/>
      <w:r>
        <w:rPr>
          <w:rStyle w:val="CharSectno"/>
        </w:rPr>
        <w:t>13</w:t>
      </w:r>
      <w:r>
        <w:rPr>
          <w:snapToGrid w:val="0"/>
        </w:rPr>
        <w:t>.</w:t>
      </w:r>
      <w:r>
        <w:rPr>
          <w:snapToGrid w:val="0"/>
        </w:rPr>
        <w:tab/>
        <w:t>Early ballot paper posted etc. to returning officer etc., how to be dealt with (Act s. 92(4a))</w:t>
      </w:r>
      <w:bookmarkEnd w:id="25"/>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 Gazette 10 Nov 2000 p. 6165.]</w:t>
      </w:r>
    </w:p>
    <w:p>
      <w:pPr>
        <w:pStyle w:val="Heading5"/>
        <w:spacing w:before="200"/>
        <w:rPr>
          <w:snapToGrid w:val="0"/>
        </w:rPr>
      </w:pPr>
      <w:bookmarkStart w:id="26" w:name="_Toc119578431"/>
      <w:r>
        <w:rPr>
          <w:rStyle w:val="CharSectno"/>
        </w:rPr>
        <w:t>14</w:t>
      </w:r>
      <w:r>
        <w:rPr>
          <w:snapToGrid w:val="0"/>
        </w:rPr>
        <w:t>.</w:t>
      </w:r>
      <w:r>
        <w:rPr>
          <w:snapToGrid w:val="0"/>
        </w:rPr>
        <w:tab/>
        <w:t>Absent vote, how to be taken</w:t>
      </w:r>
      <w:bookmarkEnd w:id="26"/>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lastRenderedPageBreak/>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 xml:space="preserve">the ballot paper issued to an elector for the purposes of absent voting is to contain the particulars relevant to a ballot paper in relation to the </w:t>
      </w:r>
      <w:r>
        <w:t>election in</w:t>
      </w:r>
      <w:r>
        <w:rPr>
          <w:snapToGrid w:val="0"/>
        </w:rPr>
        <w:t xml:space="preserve">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w:t>
      </w:r>
      <w:r>
        <w:t>their</w:t>
      </w:r>
      <w:r>
        <w:rPr>
          <w:snapToGrid w:val="0"/>
          <w:spacing w:val="-4"/>
        </w:rPr>
        <w:t xml:space="preserve">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 and</w:t>
      </w:r>
    </w:p>
    <w:p>
      <w:pPr>
        <w:pStyle w:val="Indenta"/>
        <w:spacing w:before="70"/>
      </w:pPr>
      <w:r>
        <w:tab/>
        <w:t>(b)</w:t>
      </w:r>
      <w:r>
        <w:tab/>
        <w:t>the authorised person is to give the elector an envelope bearing the name of the district in respect of which the ballot paper is issued or the words “whole of State electorate”, as the case requires; and</w:t>
      </w:r>
    </w:p>
    <w:p>
      <w:pPr>
        <w:pStyle w:val="Indenta"/>
        <w:spacing w:before="70"/>
      </w:pPr>
      <w:r>
        <w:tab/>
        <w:t>(c)</w:t>
      </w:r>
      <w:r>
        <w:tab/>
        <w:t xml:space="preserve">the elector is to indicate their vote on the ballot paper in the manner prescribed by section 128 of the Act, fold the ballot paper, put it in the envelope and deposit the </w:t>
      </w:r>
      <w:r>
        <w:lastRenderedPageBreak/>
        <w:t>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 Gazette 10 Nov 2000 p. 6165</w:t>
      </w:r>
      <w:r>
        <w:noBreakHyphen/>
        <w:t>6; 11 May 2007 p. 1996; SL 2022/195 r. 6.]</w:t>
      </w:r>
    </w:p>
    <w:p>
      <w:pPr>
        <w:pStyle w:val="Heading5"/>
        <w:rPr>
          <w:snapToGrid w:val="0"/>
        </w:rPr>
      </w:pPr>
      <w:bookmarkStart w:id="27" w:name="_Toc119578432"/>
      <w:r>
        <w:rPr>
          <w:rStyle w:val="CharSectno"/>
        </w:rPr>
        <w:t>15</w:t>
      </w:r>
      <w:r>
        <w:rPr>
          <w:snapToGrid w:val="0"/>
        </w:rPr>
        <w:t>.</w:t>
      </w:r>
      <w:r>
        <w:rPr>
          <w:snapToGrid w:val="0"/>
        </w:rPr>
        <w:tab/>
        <w:t>Provisional vote, how to be taken</w:t>
      </w:r>
      <w:bookmarkEnd w:id="27"/>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 xml:space="preserve">the ballot paper issued for the purposes of provisional voting is to contain the particulars relevant to the </w:t>
      </w:r>
      <w:r>
        <w:t>election in</w:t>
      </w:r>
      <w:r>
        <w:rPr>
          <w:snapToGrid w:val="0"/>
        </w:rPr>
        <w:t xml:space="preserve">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w:t>
      </w:r>
      <w:r>
        <w:t>their</w:t>
      </w:r>
      <w:r>
        <w:rPr>
          <w:snapToGrid w:val="0"/>
        </w:rPr>
        <w:t xml:space="preserve">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 Gazette 10 Nov 2000 p. 6166</w:t>
      </w:r>
      <w:r>
        <w:noBreakHyphen/>
        <w:t>7; SL 2022/195 r. 7.]</w:t>
      </w:r>
    </w:p>
    <w:p>
      <w:pPr>
        <w:pStyle w:val="Heading5"/>
        <w:rPr>
          <w:snapToGrid w:val="0"/>
        </w:rPr>
      </w:pPr>
      <w:bookmarkStart w:id="28" w:name="_Toc119578433"/>
      <w:r>
        <w:rPr>
          <w:rStyle w:val="CharSectno"/>
        </w:rPr>
        <w:lastRenderedPageBreak/>
        <w:t>16</w:t>
      </w:r>
      <w:r>
        <w:rPr>
          <w:snapToGrid w:val="0"/>
        </w:rPr>
        <w:t>.</w:t>
      </w:r>
      <w:r>
        <w:rPr>
          <w:snapToGrid w:val="0"/>
        </w:rPr>
        <w:tab/>
        <w:t>Records of early, absent and provisional votes, presiding officer’s duties as to</w:t>
      </w:r>
      <w:bookmarkEnd w:id="28"/>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 xml:space="preserve">to the returning officer for the district or </w:t>
      </w:r>
      <w:r>
        <w:t xml:space="preserve">the whole of State electorate, </w:t>
      </w:r>
      <w:r>
        <w:rPr>
          <w:snapToGrid w:val="0"/>
        </w:rPr>
        <w:t>as the case requires; or</w:t>
      </w:r>
    </w:p>
    <w:p>
      <w:pPr>
        <w:pStyle w:val="Indenta"/>
        <w:rPr>
          <w:snapToGrid w:val="0"/>
        </w:rPr>
      </w:pPr>
      <w:r>
        <w:rPr>
          <w:snapToGrid w:val="0"/>
        </w:rPr>
        <w:tab/>
        <w:t>(b)</w:t>
      </w:r>
      <w:r>
        <w:rPr>
          <w:snapToGrid w:val="0"/>
        </w:rPr>
        <w:tab/>
        <w:t xml:space="preserve">if so directed by the Electoral Commissioner or the returning officer for the district or </w:t>
      </w:r>
      <w:r>
        <w:t xml:space="preserve">the whole of State electorate, </w:t>
      </w:r>
      <w:r>
        <w:rPr>
          <w:snapToGrid w:val="0"/>
        </w:rPr>
        <w:t>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Gazette 10 Nov 2000 p. 6167; 11 May 2007 p. 1996; 4 Dec 2012 p. 5910; SL 2022/195 r. 8.]</w:t>
      </w:r>
    </w:p>
    <w:p>
      <w:pPr>
        <w:pStyle w:val="Heading5"/>
        <w:rPr>
          <w:snapToGrid w:val="0"/>
        </w:rPr>
      </w:pPr>
      <w:bookmarkStart w:id="29" w:name="_Toc119578434"/>
      <w:r>
        <w:rPr>
          <w:rStyle w:val="CharSectno"/>
        </w:rPr>
        <w:t>17</w:t>
      </w:r>
      <w:r>
        <w:rPr>
          <w:snapToGrid w:val="0"/>
        </w:rPr>
        <w:t>.</w:t>
      </w:r>
      <w:r>
        <w:rPr>
          <w:snapToGrid w:val="0"/>
        </w:rPr>
        <w:tab/>
        <w:t>Early, absent and provisional votes in ballot box, how to be dealt with</w:t>
      </w:r>
      <w:bookmarkEnd w:id="29"/>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xml:space="preserve">, absent votes or provisional votes to be separated from the other ballot papers contained in the ballot </w:t>
      </w:r>
      <w:r>
        <w:t>box; and</w:t>
      </w:r>
    </w:p>
    <w:p>
      <w:pPr>
        <w:pStyle w:val="Indenta"/>
        <w:rPr>
          <w:snapToGrid w:val="0"/>
        </w:rPr>
      </w:pPr>
      <w:r>
        <w:rPr>
          <w:snapToGrid w:val="0"/>
        </w:rPr>
        <w:tab/>
        <w:t>(b)</w:t>
      </w:r>
      <w:r>
        <w:rPr>
          <w:snapToGrid w:val="0"/>
        </w:rPr>
        <w:tab/>
        <w:t xml:space="preserve">cause the envelopes to be sorted into their respective </w:t>
      </w:r>
      <w:r>
        <w:t>districts.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 xml:space="preserve">to the returning officer for the district or </w:t>
      </w:r>
      <w:r>
        <w:t xml:space="preserve">the whole of State electorate, </w:t>
      </w:r>
      <w:r>
        <w:rPr>
          <w:snapToGrid w:val="0"/>
        </w:rPr>
        <w:t>as the case requires; or</w:t>
      </w:r>
    </w:p>
    <w:p>
      <w:pPr>
        <w:pStyle w:val="Indenta"/>
        <w:keepNext/>
        <w:rPr>
          <w:snapToGrid w:val="0"/>
        </w:rPr>
      </w:pPr>
      <w:r>
        <w:rPr>
          <w:snapToGrid w:val="0"/>
        </w:rPr>
        <w:lastRenderedPageBreak/>
        <w:tab/>
        <w:t>(b)</w:t>
      </w:r>
      <w:r>
        <w:rPr>
          <w:snapToGrid w:val="0"/>
        </w:rPr>
        <w:tab/>
        <w:t xml:space="preserve">if so directed by the Electoral Commissioner or the returning officer for the district or </w:t>
      </w:r>
      <w:r>
        <w:t xml:space="preserve">the whole of State electorate, </w:t>
      </w:r>
      <w:r>
        <w:rPr>
          <w:snapToGrid w:val="0"/>
        </w:rPr>
        <w:t>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Gazette 10 Nov 2000 p. 6167; SL 2022/195 r. 9.]</w:t>
      </w:r>
    </w:p>
    <w:p>
      <w:pPr>
        <w:pStyle w:val="Heading5"/>
        <w:rPr>
          <w:snapToGrid w:val="0"/>
        </w:rPr>
      </w:pPr>
      <w:bookmarkStart w:id="30" w:name="_Toc119578435"/>
      <w:r>
        <w:rPr>
          <w:rStyle w:val="CharSectno"/>
        </w:rPr>
        <w:t>18</w:t>
      </w:r>
      <w:r>
        <w:rPr>
          <w:snapToGrid w:val="0"/>
        </w:rPr>
        <w:t>.</w:t>
      </w:r>
      <w:r>
        <w:rPr>
          <w:snapToGrid w:val="0"/>
        </w:rPr>
        <w:tab/>
        <w:t>Early, absent and provisional votes and records, returning officer to forward to Electoral Commissioner</w:t>
      </w:r>
      <w:bookmarkEnd w:id="30"/>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Gazette 10 Nov 2000 p. 6167; 4 Dec 2012 p. 5910.]</w:t>
      </w:r>
    </w:p>
    <w:p>
      <w:pPr>
        <w:pStyle w:val="Heading5"/>
        <w:rPr>
          <w:snapToGrid w:val="0"/>
        </w:rPr>
      </w:pPr>
      <w:bookmarkStart w:id="31" w:name="_Toc119578436"/>
      <w:r>
        <w:rPr>
          <w:rStyle w:val="CharSectno"/>
        </w:rPr>
        <w:t>19</w:t>
      </w:r>
      <w:r>
        <w:rPr>
          <w:snapToGrid w:val="0"/>
        </w:rPr>
        <w:t>.</w:t>
      </w:r>
      <w:r>
        <w:rPr>
          <w:snapToGrid w:val="0"/>
        </w:rPr>
        <w:tab/>
        <w:t>Declarations as to early ballot papers and counting of votes, scrutiny of etc.</w:t>
      </w:r>
      <w:bookmarkEnd w:id="31"/>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lastRenderedPageBreak/>
        <w:tab/>
        <w:t>(ii)</w:t>
      </w:r>
      <w:r>
        <w:tab/>
        <w:t>open the ballot paper envelope, remove the ballot paper contained in it and place the ballot paper, without inspection, in a ballot box or packet for the relevant district or the whole of State electorate, as the case requires,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Gazette 10 Nov 2000 p. 6167</w:t>
      </w:r>
      <w:r>
        <w:noBreakHyphen/>
        <w:t>8; 11 May 2007 p. 1997; 4 Dec 2012 p. 5910</w:t>
      </w:r>
      <w:r>
        <w:noBreakHyphen/>
        <w:t>11; SL 2022/195 r. 10.]</w:t>
      </w:r>
    </w:p>
    <w:p>
      <w:pPr>
        <w:pStyle w:val="Heading5"/>
        <w:rPr>
          <w:snapToGrid w:val="0"/>
        </w:rPr>
      </w:pPr>
      <w:bookmarkStart w:id="32" w:name="_Toc119578437"/>
      <w:r>
        <w:rPr>
          <w:rStyle w:val="CharSectno"/>
        </w:rPr>
        <w:t>20</w:t>
      </w:r>
      <w:r>
        <w:rPr>
          <w:snapToGrid w:val="0"/>
        </w:rPr>
        <w:t>.</w:t>
      </w:r>
      <w:r>
        <w:rPr>
          <w:snapToGrid w:val="0"/>
        </w:rPr>
        <w:tab/>
        <w:t>Declarations as to and counting of absent votes and provisional votes, scrutiny of</w:t>
      </w:r>
      <w:bookmarkEnd w:id="32"/>
    </w:p>
    <w:p>
      <w:pPr>
        <w:pStyle w:val="Subsection"/>
        <w:rPr>
          <w:snapToGrid w:val="0"/>
        </w:rPr>
      </w:pPr>
      <w:r>
        <w:rPr>
          <w:snapToGrid w:val="0"/>
        </w:rPr>
        <w:tab/>
        <w:t>(1)</w:t>
      </w:r>
      <w:r>
        <w:rPr>
          <w:snapToGrid w:val="0"/>
        </w:rPr>
        <w:tab/>
        <w:t>The officer concerned with the scrutiny of declarations made under section 119(4), 122(1) or 122A(1) of the Act</w:t>
      </w:r>
      <w:r>
        <w:t xml:space="preserve">, or </w:t>
      </w:r>
      <w:r>
        <w:lastRenderedPageBreak/>
        <w:t>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 and</w:t>
      </w:r>
    </w:p>
    <w:p>
      <w:pPr>
        <w:pStyle w:val="Indenta"/>
        <w:rPr>
          <w:snapToGrid w:val="0"/>
        </w:rPr>
      </w:pPr>
      <w:r>
        <w:rPr>
          <w:snapToGrid w:val="0"/>
        </w:rPr>
        <w:tab/>
        <w:t>(b)</w:t>
      </w:r>
      <w:r>
        <w:rPr>
          <w:snapToGrid w:val="0"/>
        </w:rPr>
        <w:tab/>
        <w:t>examine the roll to ensure that the name of the person claiming to vote is enrolled; and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ballot box or packet for the relevant district or the whole of State electorate, as the case requires,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Gazette 10 Nov 2000 p. 6168</w:t>
      </w:r>
      <w:r>
        <w:noBreakHyphen/>
        <w:t>9; 11 May 2007 p. 1997; 4 Dec 2012 p. 5911; SL 2022/195 r. 11.]</w:t>
      </w:r>
    </w:p>
    <w:p>
      <w:pPr>
        <w:pStyle w:val="Heading5"/>
        <w:rPr>
          <w:snapToGrid w:val="0"/>
        </w:rPr>
      </w:pPr>
      <w:bookmarkStart w:id="33" w:name="_Toc119578438"/>
      <w:r>
        <w:rPr>
          <w:rStyle w:val="CharSectno"/>
        </w:rPr>
        <w:lastRenderedPageBreak/>
        <w:t>21</w:t>
      </w:r>
      <w:r>
        <w:rPr>
          <w:snapToGrid w:val="0"/>
        </w:rPr>
        <w:t>.</w:t>
      </w:r>
      <w:r>
        <w:rPr>
          <w:snapToGrid w:val="0"/>
        </w:rPr>
        <w:tab/>
        <w:t>Ballot paper in envelope to be rejected if not ballot paper for relevant election</w:t>
      </w:r>
      <w:bookmarkEnd w:id="33"/>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w:t>
      </w:r>
      <w:r>
        <w:t>election</w:t>
      </w:r>
      <w:r>
        <w:rPr>
          <w:snapToGrid w:val="0"/>
        </w:rPr>
        <w:t xml:space="preserve"> in relation to which the ballot paper was cast the ballot paper is to be rejected.</w:t>
      </w:r>
    </w:p>
    <w:p>
      <w:pPr>
        <w:pStyle w:val="Footnotesection"/>
      </w:pPr>
      <w:r>
        <w:tab/>
        <w:t>[Regulation 21 amended: Gazette 10 Nov 2000 p. 6169; SL 2022/195 r. 12.]</w:t>
      </w:r>
    </w:p>
    <w:p>
      <w:pPr>
        <w:pStyle w:val="Heading2"/>
      </w:pPr>
      <w:bookmarkStart w:id="34" w:name="_Toc119422740"/>
      <w:bookmarkStart w:id="35" w:name="_Toc119483849"/>
      <w:bookmarkStart w:id="36" w:name="_Toc119578439"/>
      <w:r>
        <w:rPr>
          <w:rStyle w:val="CharPartNo"/>
        </w:rPr>
        <w:lastRenderedPageBreak/>
        <w:t>Part 5</w:t>
      </w:r>
      <w:r>
        <w:rPr>
          <w:rStyle w:val="CharDivNo"/>
        </w:rPr>
        <w:t> </w:t>
      </w:r>
      <w:r>
        <w:t>—</w:t>
      </w:r>
      <w:r>
        <w:rPr>
          <w:rStyle w:val="CharDivText"/>
        </w:rPr>
        <w:t> </w:t>
      </w:r>
      <w:r>
        <w:rPr>
          <w:rStyle w:val="CharPartText"/>
        </w:rPr>
        <w:t>Miscellaneous</w:t>
      </w:r>
      <w:bookmarkEnd w:id="34"/>
      <w:bookmarkEnd w:id="35"/>
      <w:bookmarkEnd w:id="36"/>
    </w:p>
    <w:p>
      <w:pPr>
        <w:pStyle w:val="Heading5"/>
        <w:rPr>
          <w:snapToGrid w:val="0"/>
        </w:rPr>
      </w:pPr>
      <w:bookmarkStart w:id="37" w:name="_Toc119578440"/>
      <w:r>
        <w:rPr>
          <w:rStyle w:val="CharSectno"/>
        </w:rPr>
        <w:t>22</w:t>
      </w:r>
      <w:r>
        <w:rPr>
          <w:snapToGrid w:val="0"/>
        </w:rPr>
        <w:t>.</w:t>
      </w:r>
      <w:r>
        <w:rPr>
          <w:snapToGrid w:val="0"/>
        </w:rPr>
        <w:tab/>
        <w:t>Enrolment procedure; person not enrolled, Commissioner’s powers as to etc.</w:t>
      </w:r>
      <w:bookmarkEnd w:id="37"/>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w:t>
      </w:r>
      <w:r>
        <w:rPr>
          <w:snapToGrid w:val="0"/>
        </w:rPr>
        <w:lastRenderedPageBreak/>
        <w:t>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provide a copy of Form 4 in Schedule 3 to the person and inform the person of </w:t>
      </w:r>
      <w:r>
        <w:t>their</w:t>
      </w:r>
      <w:r>
        <w:rPr>
          <w:snapToGrid w:val="0"/>
        </w:rPr>
        <w:t xml:space="preserve">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Gazette 10 Nov 2000 p. 6169; 11 May 2007 p. 1997; SL 2022/195 r. 13.]</w:t>
      </w:r>
    </w:p>
    <w:p>
      <w:pPr>
        <w:pStyle w:val="Heading5"/>
      </w:pPr>
      <w:bookmarkStart w:id="38" w:name="_Toc116656853"/>
      <w:bookmarkStart w:id="39" w:name="_Toc119409801"/>
      <w:bookmarkStart w:id="40" w:name="_Toc119578441"/>
      <w:r>
        <w:rPr>
          <w:rStyle w:val="CharSectno"/>
        </w:rPr>
        <w:t>22A</w:t>
      </w:r>
      <w:r>
        <w:t>.</w:t>
      </w:r>
      <w:r>
        <w:tab/>
        <w:t>Procedure if same person relied on as member by 2 or more political parties (Act s. 62CA)</w:t>
      </w:r>
      <w:bookmarkEnd w:id="38"/>
      <w:bookmarkEnd w:id="39"/>
      <w:bookmarkEnd w:id="40"/>
    </w:p>
    <w:p>
      <w:pPr>
        <w:pStyle w:val="Subsection"/>
      </w:pPr>
      <w:r>
        <w:tab/>
        <w:t>(1)</w:t>
      </w:r>
      <w:r>
        <w:tab/>
        <w:t xml:space="preserve">This regulation applies if 2 or more political parties purport to rely on the same person (the </w:t>
      </w:r>
      <w:r>
        <w:rPr>
          <w:rStyle w:val="CharDefText"/>
        </w:rPr>
        <w:t>relevant person</w:t>
      </w:r>
      <w:r>
        <w:t>) as a member for the purpose described in section 62CA(1) of the Act.</w:t>
      </w:r>
    </w:p>
    <w:p>
      <w:pPr>
        <w:pStyle w:val="Subsection"/>
      </w:pPr>
      <w:r>
        <w:tab/>
        <w:t>(2)</w:t>
      </w:r>
      <w:r>
        <w:tab/>
        <w:t xml:space="preserve">The Electoral Commissioner must, in writing — </w:t>
      </w:r>
    </w:p>
    <w:p>
      <w:pPr>
        <w:pStyle w:val="Indenta"/>
      </w:pPr>
      <w:r>
        <w:tab/>
        <w:t>(a)</w:t>
      </w:r>
      <w:r>
        <w:tab/>
        <w:t>request the relevant person to nominate, within 30 days after receiving the request, the political party entitled to rely on the relevant person as a member; and</w:t>
      </w:r>
    </w:p>
    <w:p>
      <w:pPr>
        <w:pStyle w:val="Indenta"/>
      </w:pPr>
      <w:r>
        <w:tab/>
        <w:t>(b)</w:t>
      </w:r>
      <w:r>
        <w:tab/>
        <w:t>advise the political parties that the Electoral Commissioner has made the request.</w:t>
      </w:r>
    </w:p>
    <w:p>
      <w:pPr>
        <w:pStyle w:val="Subsection"/>
      </w:pPr>
      <w:r>
        <w:lastRenderedPageBreak/>
        <w:tab/>
        <w:t>(3)</w:t>
      </w:r>
      <w:r>
        <w:tab/>
        <w:t xml:space="preserve">If, as a result of a nomination made by the relevant person or a failure by the relevant person to make a nomination, a political party ceases to qualify as an eligible political party, the Electoral Commissioner must — </w:t>
      </w:r>
    </w:p>
    <w:p>
      <w:pPr>
        <w:pStyle w:val="Indenta"/>
      </w:pPr>
      <w:r>
        <w:tab/>
        <w:t>(a)</w:t>
      </w:r>
      <w:r>
        <w:tab/>
        <w:t>in writing, advise the political party of that fact; and</w:t>
      </w:r>
    </w:p>
    <w:p>
      <w:pPr>
        <w:pStyle w:val="Indenta"/>
      </w:pPr>
      <w:r>
        <w:tab/>
        <w:t>(b)</w:t>
      </w:r>
      <w:r>
        <w:tab/>
        <w:t>give the political party at least 60 days in which to provide the name, address and declaration as to membership of any additional member of the party on whom it relies for the purpose of qualifying as an eligible political party.</w:t>
      </w:r>
    </w:p>
    <w:p>
      <w:pPr>
        <w:pStyle w:val="Footnotesection"/>
      </w:pPr>
      <w:bookmarkStart w:id="41" w:name="_Toc116567104"/>
      <w:bookmarkStart w:id="42" w:name="_Toc116656854"/>
      <w:bookmarkStart w:id="43" w:name="_Toc119409802"/>
      <w:r>
        <w:tab/>
        <w:t>[Regulation 22A inserted: SL 2022/195 r. 14.]</w:t>
      </w:r>
    </w:p>
    <w:p>
      <w:pPr>
        <w:pStyle w:val="Heading5"/>
      </w:pPr>
      <w:bookmarkStart w:id="44" w:name="_Toc119578442"/>
      <w:r>
        <w:rPr>
          <w:rStyle w:val="CharSectno"/>
        </w:rPr>
        <w:t>22B</w:t>
      </w:r>
      <w:r>
        <w:t>.</w:t>
      </w:r>
      <w:r>
        <w:tab/>
        <w:t>Manner of deposit (Act s. 81(1)(b))</w:t>
      </w:r>
      <w:bookmarkEnd w:id="41"/>
      <w:bookmarkEnd w:id="42"/>
      <w:bookmarkEnd w:id="43"/>
      <w:bookmarkEnd w:id="44"/>
    </w:p>
    <w:p>
      <w:pPr>
        <w:pStyle w:val="Subsection"/>
      </w:pPr>
      <w:r>
        <w:tab/>
      </w:r>
      <w:r>
        <w:tab/>
        <w:t>For the purposes of section 81(1)(b) of the Act, the required deposit may be made by electronic funds transfer.</w:t>
      </w:r>
    </w:p>
    <w:p>
      <w:pPr>
        <w:pStyle w:val="Footnotesection"/>
        <w:keepNext/>
      </w:pPr>
      <w:r>
        <w:tab/>
        <w:t>[Regulation 22B inserted: SL 2022/195 r. 14.]</w:t>
      </w:r>
    </w:p>
    <w:p>
      <w:pPr>
        <w:pStyle w:val="Heading5"/>
        <w:rPr>
          <w:snapToGrid w:val="0"/>
        </w:rPr>
      </w:pPr>
      <w:bookmarkStart w:id="45" w:name="_Toc119578443"/>
      <w:r>
        <w:rPr>
          <w:rStyle w:val="CharSectno"/>
        </w:rPr>
        <w:t>23</w:t>
      </w:r>
      <w:r>
        <w:rPr>
          <w:snapToGrid w:val="0"/>
        </w:rPr>
        <w:t>.</w:t>
      </w:r>
      <w:r>
        <w:rPr>
          <w:snapToGrid w:val="0"/>
        </w:rPr>
        <w:tab/>
        <w:t>Person not voting, matters prescribed in relation to (Act s. 156)</w:t>
      </w:r>
      <w:bookmarkEnd w:id="45"/>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 Gazette 4 Dec 2012 p. 5911.]</w:t>
      </w:r>
    </w:p>
    <w:p>
      <w:pPr>
        <w:pStyle w:val="Heading5"/>
      </w:pPr>
      <w:bookmarkStart w:id="46" w:name="_Toc119578444"/>
      <w:r>
        <w:rPr>
          <w:rStyle w:val="CharSectno"/>
        </w:rPr>
        <w:lastRenderedPageBreak/>
        <w:t>24</w:t>
      </w:r>
      <w:r>
        <w:t>.</w:t>
      </w:r>
      <w:r>
        <w:tab/>
        <w:t>Appointment of scrutineer (Act s. 137 and 146C)</w:t>
      </w:r>
      <w:bookmarkEnd w:id="46"/>
    </w:p>
    <w:p>
      <w:pPr>
        <w:pStyle w:val="Subsection"/>
        <w:keepNext/>
      </w:pPr>
      <w:r>
        <w:tab/>
      </w:r>
      <w:r>
        <w:tab/>
        <w:t xml:space="preserve">The appointment of a scrutineer under section 137 or 146C must be signed — </w:t>
      </w:r>
    </w:p>
    <w:p>
      <w:pPr>
        <w:pStyle w:val="Indenta"/>
      </w:pPr>
      <w:r>
        <w:tab/>
        <w:t>(a)</w:t>
      </w:r>
      <w:r>
        <w:tab/>
        <w:t>by the person by whom the scrutineer is appointed; or</w:t>
      </w:r>
    </w:p>
    <w:p>
      <w:pPr>
        <w:pStyle w:val="Indenta"/>
      </w:pPr>
      <w:r>
        <w:tab/>
        <w:t>(b)</w:t>
      </w:r>
      <w:r>
        <w:tab/>
        <w:t>if the scrutineer is appointed by a group — by any of the candidates in the group.</w:t>
      </w:r>
    </w:p>
    <w:p>
      <w:pPr>
        <w:pStyle w:val="Footnotesection"/>
      </w:pPr>
      <w:r>
        <w:tab/>
        <w:t>[Regulation 24 inserted: Gazette 16 Aug 2016 p. 3470.]</w:t>
      </w:r>
    </w:p>
    <w:p>
      <w:pPr>
        <w:pStyle w:val="Heading5"/>
        <w:spacing w:before="260"/>
        <w:rPr>
          <w:snapToGrid w:val="0"/>
        </w:rPr>
      </w:pPr>
      <w:bookmarkStart w:id="47" w:name="_Toc119578445"/>
      <w:r>
        <w:rPr>
          <w:rStyle w:val="CharSectno"/>
        </w:rPr>
        <w:t>25</w:t>
      </w:r>
      <w:r>
        <w:rPr>
          <w:snapToGrid w:val="0"/>
        </w:rPr>
        <w:t>.</w:t>
      </w:r>
      <w:r>
        <w:rPr>
          <w:snapToGrid w:val="0"/>
        </w:rPr>
        <w:tab/>
        <w:t>Manner prescribed of verifying nomination made by message sent electronically (Act s. 156C)</w:t>
      </w:r>
      <w:bookmarkEnd w:id="47"/>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 xml:space="preserve">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w:t>
      </w:r>
      <w:r>
        <w:t>Council election;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Footnotesection"/>
      </w:pPr>
      <w:r>
        <w:tab/>
        <w:t>[Regulation 25 amended: SL 2022/195 r. 15.]</w:t>
      </w:r>
    </w:p>
    <w:p>
      <w:pPr>
        <w:pStyle w:val="Heading5"/>
        <w:spacing w:before="260"/>
        <w:rPr>
          <w:snapToGrid w:val="0"/>
        </w:rPr>
      </w:pPr>
      <w:bookmarkStart w:id="48" w:name="_Toc119578446"/>
      <w:r>
        <w:rPr>
          <w:rStyle w:val="CharSectno"/>
        </w:rPr>
        <w:t>26</w:t>
      </w:r>
      <w:r>
        <w:rPr>
          <w:snapToGrid w:val="0"/>
        </w:rPr>
        <w:t>.</w:t>
      </w:r>
      <w:r>
        <w:rPr>
          <w:snapToGrid w:val="0"/>
        </w:rPr>
        <w:tab/>
        <w:t>Manner prescribed of declaring election after re</w:t>
      </w:r>
      <w:r>
        <w:rPr>
          <w:snapToGrid w:val="0"/>
        </w:rPr>
        <w:noBreakHyphen/>
        <w:t>count (Act s. 156D(8))</w:t>
      </w:r>
      <w:bookmarkEnd w:id="48"/>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49" w:name="_Toc119578447"/>
      <w:r>
        <w:rPr>
          <w:rStyle w:val="CharSectno"/>
        </w:rPr>
        <w:lastRenderedPageBreak/>
        <w:t>27</w:t>
      </w:r>
      <w:r>
        <w:rPr>
          <w:snapToGrid w:val="0"/>
        </w:rPr>
        <w:t>.</w:t>
      </w:r>
      <w:r>
        <w:rPr>
          <w:snapToGrid w:val="0"/>
        </w:rPr>
        <w:tab/>
        <w:t>Officer prescribed (Act s. 162(1)(ca))</w:t>
      </w:r>
      <w:bookmarkEnd w:id="49"/>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50" w:name="_Toc119578448"/>
      <w:r>
        <w:rPr>
          <w:rStyle w:val="CharSectno"/>
        </w:rPr>
        <w:t>28</w:t>
      </w:r>
      <w:r>
        <w:rPr>
          <w:snapToGrid w:val="0"/>
        </w:rPr>
        <w:t>.</w:t>
      </w:r>
      <w:r>
        <w:rPr>
          <w:snapToGrid w:val="0"/>
        </w:rPr>
        <w:tab/>
        <w:t>Public employee etc. standing for election to take leave etc.</w:t>
      </w:r>
      <w:bookmarkEnd w:id="50"/>
    </w:p>
    <w:p>
      <w:pPr>
        <w:pStyle w:val="Subsection"/>
        <w:keepNext/>
        <w:rPr>
          <w:snapToGrid w:val="0"/>
        </w:rPr>
      </w:pPr>
      <w:r>
        <w:rPr>
          <w:snapToGrid w:val="0"/>
        </w:rPr>
        <w:tab/>
        <w:t>(1)</w:t>
      </w:r>
      <w:r>
        <w:rPr>
          <w:snapToGrid w:val="0"/>
        </w:rPr>
        <w:tab/>
        <w:t>In this regulation, unless the contrary intention appears —</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51" w:name="endcomma"/>
      <w:bookmarkEnd w:id="51"/>
      <w:r>
        <w:rPr>
          <w:rStyle w:val="CharDefText"/>
        </w:rPr>
        <w:t>public employee</w:t>
      </w:r>
      <w:r>
        <w:t xml:space="preserve"> </w:t>
      </w:r>
      <w:bookmarkStart w:id="52" w:name="comma"/>
      <w:bookmarkEnd w:id="52"/>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lastRenderedPageBreak/>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 xml:space="preserve">without contravening subregulation (6) is sufficient cause for a duly appointed or elected deputy as alternate of that member to </w:t>
      </w:r>
      <w:r>
        <w:rPr>
          <w:snapToGrid w:val="0"/>
        </w:rPr>
        <w:lastRenderedPageBreak/>
        <w:t>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Gazette 8 Nov 1996 p. 6267; 20 Oct 2000 p. 5929; SL 2022/195 r. 16.]</w:t>
      </w:r>
    </w:p>
    <w:p>
      <w:pPr>
        <w:pStyle w:val="Heading5"/>
        <w:rPr>
          <w:snapToGrid w:val="0"/>
        </w:rPr>
      </w:pPr>
      <w:bookmarkStart w:id="53" w:name="_Toc119578449"/>
      <w:r>
        <w:rPr>
          <w:rStyle w:val="CharSectno"/>
        </w:rPr>
        <w:t>29</w:t>
      </w:r>
      <w:r>
        <w:rPr>
          <w:snapToGrid w:val="0"/>
        </w:rPr>
        <w:t>.</w:t>
      </w:r>
      <w:r>
        <w:rPr>
          <w:snapToGrid w:val="0"/>
        </w:rPr>
        <w:tab/>
        <w:t>Transmission and destruction of records of election</w:t>
      </w:r>
      <w:bookmarkEnd w:id="53"/>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Gazette 4 Dec 2012 p. 5911.]</w:t>
      </w:r>
    </w:p>
    <w:p>
      <w:pPr>
        <w:pStyle w:val="Heading5"/>
      </w:pPr>
      <w:bookmarkStart w:id="54" w:name="_Toc119578450"/>
      <w:r>
        <w:rPr>
          <w:rStyle w:val="CharSectno"/>
        </w:rPr>
        <w:t>29A</w:t>
      </w:r>
      <w:r>
        <w:t>.</w:t>
      </w:r>
      <w:r>
        <w:tab/>
        <w:t>Articles prescribed that can be used for electoral advertising (Act s. 187(2)(d))</w:t>
      </w:r>
      <w:bookmarkEnd w:id="54"/>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keepNext/>
      </w:pPr>
      <w:r>
        <w:lastRenderedPageBreak/>
        <w:tab/>
        <w:t>(b)</w:t>
      </w:r>
      <w:r>
        <w:tab/>
        <w:t>articles in the nature of dress or personal accessories.</w:t>
      </w:r>
    </w:p>
    <w:p>
      <w:pPr>
        <w:pStyle w:val="Footnotesection"/>
        <w:keepNext/>
      </w:pPr>
      <w:r>
        <w:tab/>
        <w:t>[Regulation 29A inserted: Gazette 10 Nov 2000 p. 6170.]</w:t>
      </w:r>
    </w:p>
    <w:p>
      <w:pPr>
        <w:pStyle w:val="Ednotesection"/>
      </w:pPr>
      <w:r>
        <w:t>[</w:t>
      </w:r>
      <w:r>
        <w:rPr>
          <w:b/>
          <w:bCs/>
        </w:rPr>
        <w:t>30.</w:t>
      </w:r>
      <w:r>
        <w:tab/>
        <w:t>Omitted under the Reprints Act 1984 s. 7(4)(f).]</w:t>
      </w:r>
    </w:p>
    <w:p>
      <w:pPr>
        <w:pStyle w:val="Heading2"/>
      </w:pPr>
      <w:bookmarkStart w:id="55" w:name="_Toc113008836"/>
      <w:bookmarkStart w:id="56" w:name="_Toc113009910"/>
      <w:bookmarkStart w:id="57" w:name="_Toc116656858"/>
      <w:bookmarkStart w:id="58" w:name="_Toc119409806"/>
      <w:bookmarkStart w:id="59" w:name="_Toc119483861"/>
      <w:bookmarkStart w:id="60" w:name="_Toc119578451"/>
      <w:r>
        <w:rPr>
          <w:rStyle w:val="CharPartNo"/>
        </w:rPr>
        <w:lastRenderedPageBreak/>
        <w:t>Part 6</w:t>
      </w:r>
      <w:r>
        <w:t> — </w:t>
      </w:r>
      <w:r>
        <w:rPr>
          <w:rStyle w:val="CharPartText"/>
        </w:rPr>
        <w:t>Transitional</w:t>
      </w:r>
      <w:bookmarkEnd w:id="55"/>
      <w:bookmarkEnd w:id="56"/>
      <w:bookmarkEnd w:id="57"/>
      <w:bookmarkEnd w:id="58"/>
      <w:bookmarkEnd w:id="59"/>
      <w:bookmarkEnd w:id="60"/>
    </w:p>
    <w:p>
      <w:pPr>
        <w:pStyle w:val="Footnoteheading"/>
      </w:pPr>
      <w:bookmarkStart w:id="61" w:name="_Toc116656859"/>
      <w:bookmarkStart w:id="62" w:name="_Toc119409807"/>
      <w:r>
        <w:tab/>
        <w:t>[Heading inserted: SL 2022/195 r. 17.]</w:t>
      </w:r>
    </w:p>
    <w:p>
      <w:pPr>
        <w:pStyle w:val="Heading5"/>
      </w:pPr>
      <w:bookmarkStart w:id="63" w:name="_Toc119578452"/>
      <w:r>
        <w:rPr>
          <w:rStyle w:val="CharSectno"/>
        </w:rPr>
        <w:t>31</w:t>
      </w:r>
      <w:r>
        <w:t>.</w:t>
      </w:r>
      <w:r>
        <w:tab/>
        <w:t xml:space="preserve">Transitional provision for </w:t>
      </w:r>
      <w:r>
        <w:rPr>
          <w:i/>
        </w:rPr>
        <w:t>Electoral Amendment Regulations 2022</w:t>
      </w:r>
      <w:bookmarkEnd w:id="61"/>
      <w:bookmarkEnd w:id="62"/>
      <w:bookmarkEnd w:id="6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Electoral Amendment Regulations 2022</w:t>
      </w:r>
      <w:r>
        <w:t xml:space="preserve"> regulation 19(14) and (15) come into operation.</w:t>
      </w:r>
    </w:p>
    <w:p>
      <w:pPr>
        <w:pStyle w:val="Subsection"/>
      </w:pPr>
      <w:r>
        <w:tab/>
        <w:t>(2)</w:t>
      </w:r>
      <w:r>
        <w:tab/>
        <w:t xml:space="preserve">Despite the amendments made by the </w:t>
      </w:r>
      <w:r>
        <w:rPr>
          <w:i/>
        </w:rPr>
        <w:t>Electoral Amendment Regulations 2022</w:t>
      </w:r>
      <w:r>
        <w:t xml:space="preserve"> regulation 19(14) and (15), Schedule 3 Forms 35 and 36 as in force immediately before commencement day continue to apply in respect of the filling of a vacancy in the Council under sections 156C and 156D of the Act before 22 May 2025.</w:t>
      </w:r>
    </w:p>
    <w:p>
      <w:pPr>
        <w:pStyle w:val="Footnotesection"/>
      </w:pPr>
      <w:r>
        <w:tab/>
        <w:t>[Regulation 31 inserted: SL 2022/195 r. 17.]</w:t>
      </w:r>
    </w:p>
    <w:p>
      <w:pPr>
        <w:pStyle w:val="yEdnoteschedule"/>
        <w:rPr>
          <w:sz w:val="24"/>
          <w:szCs w:val="24"/>
        </w:rPr>
      </w:pPr>
      <w:r>
        <w:rPr>
          <w:sz w:val="24"/>
          <w:szCs w:val="24"/>
        </w:rPr>
        <w:t>[Schedule 1 deleted: Gazette 20 Oct 2000 p. 5929.]</w:t>
      </w:r>
    </w:p>
    <w:p>
      <w:pPr>
        <w:rPr>
          <w:szCs w:val="24"/>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64" w:name="_Toc119422750"/>
      <w:bookmarkStart w:id="65" w:name="_Toc119483863"/>
      <w:bookmarkStart w:id="66" w:name="_Toc119578453"/>
      <w:r>
        <w:rPr>
          <w:rStyle w:val="CharSchNo"/>
        </w:rPr>
        <w:lastRenderedPageBreak/>
        <w:t>Schedule 2</w:t>
      </w:r>
      <w:bookmarkEnd w:id="64"/>
      <w:bookmarkEnd w:id="65"/>
      <w:bookmarkEnd w:id="66"/>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 xml:space="preserve">any person who has nominated as a candidate for an election in a district or </w:t>
      </w:r>
      <w:r>
        <w:rPr>
          <w:szCs w:val="22"/>
        </w:rPr>
        <w:t xml:space="preserve">the whole of State electorate in respect of which </w:t>
      </w:r>
      <w:r>
        <w:rPr>
          <w:snapToGrid w:val="0"/>
        </w:rPr>
        <w:t>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Gazette 8 Nov 1996 p. 6268; amended: SL 2022/195 r. 18(1).]</w:t>
      </w:r>
    </w:p>
    <w:p>
      <w:pPr>
        <w:pStyle w:val="yFootnotesection"/>
      </w:pPr>
      <w:r>
        <w:t>[Form 2 deleted: Gazette 8 Nov 1996 p. 6268.]</w:t>
      </w:r>
    </w:p>
    <w:p>
      <w:pPr>
        <w:pStyle w:val="yTable"/>
        <w:pageBreakBefore/>
        <w:jc w:val="center"/>
      </w:pPr>
      <w:r>
        <w:rPr>
          <w:rStyle w:val="CharSClsNo"/>
          <w:b/>
        </w:rPr>
        <w:lastRenderedPageBreak/>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zCs w:val="22"/>
        </w:rPr>
        <w:t>a candidate/the official agent of a candidate*</w:t>
      </w:r>
      <w:r>
        <w:rPr>
          <w:snapToGrid w:val="0"/>
        </w:rPr>
        <w:t xml:space="preserve"> for the ................................................................ </w:t>
      </w:r>
      <w:r>
        <w:rPr>
          <w:szCs w:val="22"/>
        </w:rPr>
        <w:t xml:space="preserve">District/whole of State electorate* </w:t>
      </w:r>
      <w:r>
        <w:rPr>
          <w:snapToGrid w:val="0"/>
        </w:rPr>
        <w:t xml:space="preserve">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rPr>
          <w:snapToGrid w:val="0"/>
        </w:rPr>
      </w:pPr>
      <w:r>
        <w:rPr>
          <w:snapToGrid w:val="0"/>
        </w:rPr>
        <w:t>*Strike out whichever is not applicable.</w:t>
      </w:r>
    </w:p>
    <w:p>
      <w:pPr>
        <w:pStyle w:val="yFootnotesection"/>
      </w:pPr>
      <w:r>
        <w:tab/>
        <w:t>[Form 3 amended: Gazette 16 Aug 2016 p. 3470; SL 2022/195 r. 18(2).]</w:t>
      </w:r>
    </w:p>
    <w:p>
      <w:pPr>
        <w:pStyle w:val="yTable"/>
        <w:pageBreakBefore/>
        <w:spacing w:before="0"/>
        <w:jc w:val="center"/>
        <w:rPr>
          <w:b/>
          <w:snapToGrid w:val="0"/>
        </w:rPr>
      </w:pPr>
      <w:r>
        <w:rPr>
          <w:rStyle w:val="CharSClsNo"/>
          <w:b/>
        </w:rPr>
        <w:lastRenderedPageBreak/>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67" w:name="_Toc119422751"/>
      <w:bookmarkStart w:id="68" w:name="_Toc119483864"/>
      <w:bookmarkStart w:id="69" w:name="_Toc119578454"/>
      <w:r>
        <w:rPr>
          <w:rStyle w:val="CharSchNo"/>
        </w:rPr>
        <w:lastRenderedPageBreak/>
        <w:t>Schedule 3</w:t>
      </w:r>
      <w:bookmarkEnd w:id="67"/>
      <w:bookmarkEnd w:id="68"/>
      <w:bookmarkEnd w:id="69"/>
    </w:p>
    <w:p>
      <w:pPr>
        <w:pStyle w:val="yTable"/>
        <w:jc w:val="center"/>
        <w:rPr>
          <w:b/>
          <w:snapToGrid w:val="0"/>
        </w:rPr>
      </w:pPr>
      <w:r>
        <w:rPr>
          <w:rStyle w:val="CharSClsNo"/>
          <w:b/>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Gazette 8 Nov 1996 p. 6269; 20 Oct 2000 p. 5929; 11 May 2007 p. 1997; SL 2022/195 r. 19(1).]</w:t>
      </w:r>
    </w:p>
    <w:p>
      <w:pPr>
        <w:pStyle w:val="yTable"/>
        <w:pageBreakBefore/>
        <w:spacing w:before="0"/>
        <w:jc w:val="center"/>
        <w:rPr>
          <w:b/>
          <w:bCs/>
        </w:rPr>
      </w:pPr>
      <w:r>
        <w:rPr>
          <w:rStyle w:val="CharSClsNo"/>
          <w:b/>
        </w:rPr>
        <w:lastRenderedPageBreak/>
        <w:t>Form 2</w:t>
      </w:r>
    </w:p>
    <w:p>
      <w:pPr>
        <w:pStyle w:val="yMiscellaneousHeading"/>
        <w:spacing w:before="60"/>
        <w:rPr>
          <w:bCs/>
        </w:rPr>
      </w:pPr>
      <w:r>
        <w:rPr>
          <w:bCs/>
        </w:rPr>
        <w:t>Western Australia</w:t>
      </w:r>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11"/>
        <w:gridCol w:w="1275"/>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4"/>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4"/>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4"/>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4"/>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4"/>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5"/>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r>
              <w:rPr>
                <w:sz w:val="20"/>
              </w:rPr>
              <w:t>Mobile</w:t>
            </w:r>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4"/>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4"/>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2"/>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4"/>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2"/>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3"/>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3"/>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2"/>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gridSpan w:val="2"/>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4"/>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4"/>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2"/>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3"/>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3"/>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2"/>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4"/>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4"/>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4"/>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4"/>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4"/>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4"/>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4"/>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4"/>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7"/>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the applicant is unable to sign their name.</w:t>
            </w:r>
          </w:p>
        </w:tc>
      </w:tr>
      <w:tr>
        <w:trPr>
          <w:cantSplit/>
          <w:trHeight w:val="312"/>
        </w:trPr>
        <w:tc>
          <w:tcPr>
            <w:tcW w:w="3542" w:type="dxa"/>
            <w:gridSpan w:val="8"/>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8"/>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r>
        <w:trPr>
          <w:cantSplit/>
          <w:trHeight w:val="646"/>
        </w:trPr>
        <w:tc>
          <w:tcPr>
            <w:tcW w:w="3542" w:type="dxa"/>
            <w:gridSpan w:val="8"/>
            <w:vMerge w:val="restart"/>
            <w:tcBorders>
              <w:top w:val="nil"/>
              <w:bottom w:val="nil"/>
            </w:tcBorders>
          </w:tcPr>
          <w:p>
            <w:pPr>
              <w:pStyle w:val="yTableNAm"/>
              <w:spacing w:before="0"/>
              <w:rPr>
                <w:i/>
                <w:sz w:val="20"/>
              </w:rPr>
            </w:pPr>
            <w:r>
              <w:rPr>
                <w:sz w:val="20"/>
              </w:rPr>
              <w:lastRenderedPageBreak/>
              <w:t xml:space="preserve">The declaration at question 15 </w:t>
            </w:r>
            <w:r>
              <w:rPr>
                <w:b/>
                <w:sz w:val="20"/>
              </w:rPr>
              <w:t>must</w:t>
            </w:r>
            <w:r>
              <w:rPr>
                <w:sz w:val="20"/>
              </w:rPr>
              <w:t xml:space="preserve"> be completed if the applicant has made a mark because the applicant is unable to sign their name</w:t>
            </w:r>
            <w:r>
              <w:rPr>
                <w:i/>
                <w:sz w:val="20"/>
              </w:rPr>
              <w:t>.</w:t>
            </w:r>
          </w:p>
        </w:tc>
        <w:tc>
          <w:tcPr>
            <w:tcW w:w="540" w:type="dxa"/>
            <w:gridSpan w:val="3"/>
            <w:vMerge w:val="restart"/>
            <w:tcBorders>
              <w:top w:val="nil"/>
              <w:left w:val="nil"/>
              <w:bottom w:val="nil"/>
              <w:right w:val="nil"/>
            </w:tcBorders>
          </w:tcPr>
          <w:p>
            <w:pPr>
              <w:pStyle w:val="yTableNAm"/>
              <w:spacing w:before="0"/>
              <w:rPr>
                <w:sz w:val="20"/>
              </w:rPr>
            </w:pPr>
          </w:p>
        </w:tc>
        <w:tc>
          <w:tcPr>
            <w:tcW w:w="3006" w:type="dxa"/>
            <w:gridSpan w:val="11"/>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8"/>
            <w:vMerge/>
            <w:tcBorders>
              <w:top w:val="nil"/>
              <w:bottom w:val="nil"/>
            </w:tcBorders>
          </w:tcPr>
          <w:p>
            <w:pPr>
              <w:pStyle w:val="yTableNAm"/>
              <w:spacing w:before="0"/>
              <w:rPr>
                <w:sz w:val="20"/>
              </w:rPr>
            </w:pPr>
          </w:p>
        </w:tc>
        <w:tc>
          <w:tcPr>
            <w:tcW w:w="540" w:type="dxa"/>
            <w:gridSpan w:val="3"/>
            <w:vMerge/>
            <w:tcBorders>
              <w:top w:val="nil"/>
              <w:left w:val="nil"/>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gridSpan w:val="3"/>
          </w:tcPr>
          <w:p>
            <w:pPr>
              <w:pStyle w:val="yTableNAm"/>
              <w:spacing w:before="0" w:after="40"/>
              <w:rPr>
                <w:sz w:val="20"/>
              </w:rPr>
            </w:pPr>
          </w:p>
        </w:tc>
        <w:tc>
          <w:tcPr>
            <w:tcW w:w="2862" w:type="dxa"/>
            <w:gridSpan w:val="5"/>
            <w:tcBorders>
              <w:right w:val="nil"/>
            </w:tcBorders>
          </w:tcPr>
          <w:p>
            <w:pPr>
              <w:pStyle w:val="yTableNAm"/>
              <w:spacing w:before="0" w:after="40"/>
              <w:rPr>
                <w:sz w:val="20"/>
              </w:rPr>
            </w:pPr>
          </w:p>
        </w:tc>
        <w:tc>
          <w:tcPr>
            <w:tcW w:w="540" w:type="dxa"/>
            <w:gridSpan w:val="3"/>
            <w:tcBorders>
              <w:top w:val="nil"/>
              <w:left w:val="nil"/>
              <w:bottom w:val="nil"/>
              <w:right w:val="single" w:sz="4" w:space="0" w:color="auto"/>
            </w:tcBorders>
          </w:tcPr>
          <w:p>
            <w:pPr>
              <w:pStyle w:val="yTableNAm"/>
              <w:spacing w:before="0" w:after="40"/>
              <w:rPr>
                <w:sz w:val="20"/>
              </w:rPr>
            </w:pPr>
          </w:p>
        </w:tc>
        <w:tc>
          <w:tcPr>
            <w:tcW w:w="3006" w:type="dxa"/>
            <w:gridSpan w:val="11"/>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gridSpan w:val="3"/>
            <w:tcBorders>
              <w:bottom w:val="nil"/>
            </w:tcBorders>
          </w:tcPr>
          <w:p>
            <w:pPr>
              <w:pStyle w:val="yTableNAm"/>
              <w:spacing w:before="0" w:after="40"/>
              <w:rPr>
                <w:sz w:val="20"/>
              </w:rPr>
            </w:pPr>
          </w:p>
        </w:tc>
        <w:tc>
          <w:tcPr>
            <w:tcW w:w="2862" w:type="dxa"/>
            <w:gridSpan w:val="5"/>
            <w:tcBorders>
              <w:bottom w:val="nil"/>
              <w:right w:val="nil"/>
            </w:tcBorders>
          </w:tcPr>
          <w:p>
            <w:pPr>
              <w:pStyle w:val="yTableNAm"/>
              <w:spacing w:before="0" w:after="40"/>
              <w:rPr>
                <w:sz w:val="20"/>
              </w:rPr>
            </w:pPr>
          </w:p>
        </w:tc>
        <w:tc>
          <w:tcPr>
            <w:tcW w:w="540" w:type="dxa"/>
            <w:gridSpan w:val="3"/>
            <w:tcBorders>
              <w:top w:val="nil"/>
              <w:left w:val="nil"/>
              <w:bottom w:val="nil"/>
              <w:right w:val="single" w:sz="4" w:space="0" w:color="auto"/>
            </w:tcBorders>
          </w:tcPr>
          <w:p>
            <w:pPr>
              <w:pStyle w:val="yTableNAm"/>
              <w:spacing w:before="0" w:after="40"/>
              <w:rPr>
                <w:sz w:val="20"/>
              </w:rPr>
            </w:pPr>
          </w:p>
        </w:tc>
        <w:tc>
          <w:tcPr>
            <w:tcW w:w="3006" w:type="dxa"/>
            <w:gridSpan w:val="11"/>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Gazette 4 Dec 2012 p. 5912</w:t>
      </w:r>
      <w:r>
        <w:noBreakHyphen/>
        <w:t>13; amended: SL 2022/195 r. 19(2).]</w:t>
      </w:r>
    </w:p>
    <w:p>
      <w:pPr>
        <w:pStyle w:val="yTable"/>
        <w:pageBreakBefore/>
        <w:spacing w:before="0"/>
        <w:jc w:val="center"/>
        <w:rPr>
          <w:b/>
          <w:snapToGrid w:val="0"/>
        </w:rPr>
      </w:pPr>
      <w:r>
        <w:rPr>
          <w:rStyle w:val="CharSClsNo"/>
          <w:b/>
        </w:rPr>
        <w:lastRenderedPageBreak/>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w:t>
      </w:r>
      <w:r>
        <w:rPr>
          <w:szCs w:val="22"/>
        </w:rPr>
        <w:t>.................................... District</w:t>
      </w:r>
      <w:r>
        <w:rPr>
          <w:snapToGrid w:val="0"/>
        </w:rPr>
        <w:t xml:space="preserve">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Gazette 10 Nov 2000 p. 6170</w:t>
      </w:r>
      <w:r>
        <w:noBreakHyphen/>
        <w:t>1; amended: SL 2022/195 r. 19(3).]</w:t>
      </w:r>
    </w:p>
    <w:p>
      <w:pPr>
        <w:pStyle w:val="yTable"/>
        <w:pageBreakBefore/>
        <w:spacing w:before="0"/>
        <w:jc w:val="center"/>
        <w:rPr>
          <w:b/>
          <w:snapToGrid w:val="0"/>
        </w:rPr>
      </w:pPr>
      <w:r>
        <w:rPr>
          <w:rStyle w:val="CharSClsNo"/>
          <w:b/>
        </w:rPr>
        <w:lastRenderedPageBreak/>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lastRenderedPageBreak/>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Gazette 10 Nov 2000 p. 6171.]</w:t>
      </w:r>
    </w:p>
    <w:p>
      <w:pPr>
        <w:pStyle w:val="yTable"/>
        <w:pageBreakBefore/>
        <w:spacing w:before="0"/>
        <w:jc w:val="center"/>
        <w:rPr>
          <w:b/>
          <w:snapToGrid w:val="0"/>
        </w:rPr>
      </w:pPr>
      <w:r>
        <w:rPr>
          <w:rStyle w:val="CharSClsNo"/>
          <w:b/>
        </w:rPr>
        <w:lastRenderedPageBreak/>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Gazette 10 Nov 2000 p. 6172.]</w:t>
      </w:r>
    </w:p>
    <w:p>
      <w:pPr>
        <w:pStyle w:val="yTable"/>
        <w:pageBreakBefore/>
        <w:spacing w:before="0"/>
        <w:jc w:val="center"/>
        <w:rPr>
          <w:b/>
          <w:snapToGrid w:val="0"/>
        </w:rPr>
      </w:pPr>
      <w:r>
        <w:rPr>
          <w:rStyle w:val="CharSClsNo"/>
          <w:b/>
        </w:rPr>
        <w:lastRenderedPageBreak/>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Gazette 10 Nov 2000 p. 6173.]</w:t>
      </w:r>
    </w:p>
    <w:p>
      <w:pPr>
        <w:pStyle w:val="yTable"/>
        <w:pageBreakBefore/>
        <w:spacing w:before="0"/>
        <w:jc w:val="center"/>
        <w:rPr>
          <w:b/>
          <w:snapToGrid w:val="0"/>
        </w:rPr>
      </w:pPr>
      <w:r>
        <w:rPr>
          <w:rStyle w:val="CharSClsNo"/>
          <w:b/>
        </w:rPr>
        <w:lastRenderedPageBreak/>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Gazette 10 Nov 2000 p. 6174.]</w:t>
      </w:r>
    </w:p>
    <w:p>
      <w:pPr>
        <w:pStyle w:val="yTable"/>
        <w:pageBreakBefore/>
        <w:spacing w:before="0"/>
        <w:jc w:val="center"/>
        <w:rPr>
          <w:b/>
          <w:snapToGrid w:val="0"/>
        </w:rPr>
      </w:pPr>
      <w:r>
        <w:rPr>
          <w:rStyle w:val="CharSClsNo"/>
          <w:b/>
        </w:rPr>
        <w:lastRenderedPageBreak/>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Gazette 10 Nov 2000 p. 6175.]</w:t>
      </w:r>
    </w:p>
    <w:p>
      <w:pPr>
        <w:pStyle w:val="yTable"/>
        <w:pageBreakBefore/>
        <w:spacing w:before="0"/>
        <w:jc w:val="center"/>
        <w:rPr>
          <w:b/>
          <w:snapToGrid w:val="0"/>
        </w:rPr>
      </w:pPr>
      <w:r>
        <w:rPr>
          <w:rStyle w:val="CharSClsNo"/>
          <w:b/>
        </w:rPr>
        <w:lastRenderedPageBreak/>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r>
        <w:rPr>
          <w:b/>
          <w:snapToGrid w:val="0"/>
        </w:rPr>
        <w:t>REQUEST BY AN ELECTOR FOR ADDRESS NOT TO BE SHOWN ON ELECTORAL ROLL</w:t>
      </w:r>
    </w:p>
    <w:p>
      <w:pPr>
        <w:pStyle w:val="yTable"/>
        <w:jc w:val="center"/>
        <w:rPr>
          <w:snapToGrid w:val="0"/>
        </w:rPr>
      </w:pPr>
      <w:r>
        <w:rPr>
          <w:snapToGrid w:val="0"/>
        </w:rPr>
        <w:t>Please do not show my address on the electoral roll</w:t>
      </w:r>
    </w:p>
    <w:p>
      <w:pPr>
        <w:pStyle w:val="yTable"/>
        <w:tabs>
          <w:tab w:val="left" w:pos="3402"/>
        </w:tabs>
        <w:spacing w:before="0"/>
        <w:rPr>
          <w:snapToGrid w:val="0"/>
        </w:rPr>
      </w:pPr>
    </w:p>
    <w:tbl>
      <w:tblPr>
        <w:tblW w:w="7377" w:type="dxa"/>
        <w:tblInd w:w="84" w:type="dxa"/>
        <w:tblLayout w:type="fixed"/>
        <w:tblCellMar>
          <w:left w:w="84" w:type="dxa"/>
          <w:right w:w="84" w:type="dxa"/>
        </w:tblCellMar>
        <w:tblLook w:val="0000" w:firstRow="0" w:lastRow="0" w:firstColumn="0" w:lastColumn="0" w:noHBand="0" w:noVBand="0"/>
      </w:tblPr>
      <w:tblGrid>
        <w:gridCol w:w="426"/>
        <w:gridCol w:w="3402"/>
        <w:gridCol w:w="3543"/>
        <w:gridCol w:w="6"/>
      </w:tblGrid>
      <w:tr>
        <w:trPr>
          <w:gridAfter w:val="1"/>
          <w:wAfter w:w="6" w:type="dxa"/>
        </w:trP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rPr>
          <w:gridAfter w:val="1"/>
          <w:wAfter w:w="6" w:type="dxa"/>
        </w:trP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rPr>
          <w:gridAfter w:val="1"/>
          <w:wAfter w:w="6" w:type="dxa"/>
        </w:trP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rPr>
          <w:gridAfter w:val="1"/>
          <w:wAfter w:w="6" w:type="dxa"/>
        </w:trP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rPr>
          <w:gridAfter w:val="1"/>
          <w:wAfter w:w="6" w:type="dxa"/>
        </w:trP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rPr>
          <w:gridAfter w:val="1"/>
          <w:wAfter w:w="6" w:type="dxa"/>
        </w:trPr>
        <w:tc>
          <w:tcPr>
            <w:tcW w:w="426" w:type="dxa"/>
          </w:tcPr>
          <w:p>
            <w:pPr>
              <w:pStyle w:val="yTable"/>
              <w:keepNext/>
              <w:rPr>
                <w:sz w:val="18"/>
              </w:rPr>
            </w:pPr>
            <w:r>
              <w:rPr>
                <w:color w:val="FFFFFF"/>
                <w:sz w:val="18"/>
                <w:shd w:val="clear" w:color="auto" w:fill="000000"/>
              </w:rPr>
              <w:lastRenderedPageBreak/>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rPr>
          <w:gridAfter w:val="1"/>
          <w:wAfter w:w="6" w:type="dxa"/>
        </w:trP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rPr>
          <w:gridAfter w:val="1"/>
          <w:wAfter w:w="6" w:type="dxa"/>
        </w:trPr>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7" w:type="dxa"/>
            <w:gridSpan w:val="4"/>
            <w:noWrap/>
          </w:tcPr>
          <w:p>
            <w:pPr>
              <w:pStyle w:val="yMiscellaneousBody"/>
              <w:keepNext/>
              <w:rPr>
                <w:b/>
              </w:rPr>
            </w:pPr>
            <w:r>
              <w:br w:type="page"/>
            </w:r>
            <w:r>
              <w:br w:type="page"/>
            </w:r>
            <w:r>
              <w:br w:type="page"/>
            </w:r>
            <w:r>
              <w:br w:type="page"/>
            </w:r>
            <w:r>
              <w:br w:type="page"/>
            </w:r>
            <w:r>
              <w:br w:type="page"/>
            </w:r>
            <w:r>
              <w:rPr>
                <w:b/>
              </w:rPr>
              <w:t>Statutory declaration as to risk</w:t>
            </w:r>
          </w:p>
          <w:p>
            <w:pPr>
              <w:pStyle w:val="yMiscellaneousBody"/>
              <w:keepNext/>
              <w:rPr>
                <w:b/>
                <w:sz w:val="18"/>
                <w:szCs w:val="18"/>
              </w:rPr>
            </w:pPr>
            <w:r>
              <w:rPr>
                <w:sz w:val="18"/>
                <w:szCs w:val="18"/>
              </w:rPr>
              <w:t>I [</w:t>
            </w:r>
            <w:r>
              <w:rPr>
                <w:i/>
                <w:sz w:val="18"/>
                <w:szCs w:val="18"/>
              </w:rPr>
              <w:t>name, address and occupation of person making the declaration</w:t>
            </w:r>
            <w:r>
              <w:rPr>
                <w:sz w:val="18"/>
                <w:szCs w:val="18"/>
              </w:rPr>
              <w:t xml:space="preserve">] sincerely declare that the risk referred to in </w:t>
            </w:r>
            <w:r>
              <w:rPr>
                <w:sz w:val="18"/>
                <w:szCs w:val="18"/>
                <w:shd w:val="pct95" w:color="auto" w:fill="FFFFFF"/>
              </w:rPr>
              <w:t> 8 </w:t>
            </w:r>
            <w:r>
              <w:rPr>
                <w:sz w:val="18"/>
                <w:szCs w:val="18"/>
              </w:rPr>
              <w:t xml:space="preserve"> above is as follows:</w:t>
            </w:r>
          </w:p>
          <w:p>
            <w:pPr>
              <w:pStyle w:val="yMiscellaneousBody"/>
              <w:keepNext/>
              <w:rPr>
                <w:b/>
                <w:sz w:val="18"/>
                <w:szCs w:val="18"/>
              </w:rPr>
            </w:pPr>
            <w:r>
              <w:rPr>
                <w:sz w:val="18"/>
                <w:szCs w:val="18"/>
              </w:rPr>
              <w:t>.....................................................................................................................................................</w:t>
            </w:r>
          </w:p>
          <w:p>
            <w:pPr>
              <w:pStyle w:val="yMiscellaneousBody"/>
              <w:keepNext/>
              <w:spacing w:before="0"/>
              <w:rPr>
                <w:b/>
                <w:sz w:val="18"/>
                <w:szCs w:val="18"/>
              </w:rPr>
            </w:pPr>
            <w:r>
              <w:rPr>
                <w:sz w:val="18"/>
                <w:szCs w:val="18"/>
              </w:rPr>
              <w:t>.....................................................................................................................................................</w:t>
            </w:r>
          </w:p>
          <w:p>
            <w:pPr>
              <w:pStyle w:val="yMiscellaneousBody"/>
              <w:keepNext/>
              <w:spacing w:before="0"/>
              <w:rPr>
                <w:b/>
                <w:sz w:val="18"/>
                <w:szCs w:val="18"/>
              </w:rPr>
            </w:pPr>
            <w:r>
              <w:rPr>
                <w:sz w:val="18"/>
                <w:szCs w:val="18"/>
              </w:rPr>
              <w:t>.....................................................................................................................................................</w:t>
            </w:r>
          </w:p>
          <w:p>
            <w:pPr>
              <w:pStyle w:val="yMiscellaneousBody"/>
              <w:keepNext/>
              <w:spacing w:before="0"/>
              <w:rPr>
                <w:b/>
                <w:sz w:val="18"/>
                <w:szCs w:val="18"/>
              </w:rPr>
            </w:pPr>
            <w:r>
              <w:rPr>
                <w:sz w:val="18"/>
                <w:szCs w:val="18"/>
              </w:rPr>
              <w:t>.....................................................................................................................................................</w:t>
            </w:r>
          </w:p>
          <w:p>
            <w:pPr>
              <w:pStyle w:val="yMiscellaneousBody"/>
              <w:keepNext/>
              <w:rPr>
                <w:b/>
                <w:sz w:val="18"/>
                <w:szCs w:val="18"/>
              </w:rPr>
            </w:pPr>
            <w:r>
              <w:rPr>
                <w:sz w:val="18"/>
                <w:szCs w:val="18"/>
              </w:rPr>
              <w:t>This declaration is true and I know that it is an offence to make a declaration knowing that it is false in a material particular.</w:t>
            </w:r>
          </w:p>
          <w:p>
            <w:pPr>
              <w:pStyle w:val="yMiscellaneousBody"/>
              <w:keepNext/>
              <w:rPr>
                <w:b/>
                <w:sz w:val="18"/>
                <w:szCs w:val="18"/>
              </w:rPr>
            </w:pPr>
            <w:r>
              <w:rPr>
                <w:sz w:val="18"/>
                <w:szCs w:val="18"/>
              </w:rPr>
              <w:t xml:space="preserve">This declaration is made under the </w:t>
            </w:r>
            <w:r>
              <w:rPr>
                <w:i/>
                <w:sz w:val="18"/>
                <w:szCs w:val="18"/>
              </w:rPr>
              <w:t>Oaths, Affidavits and Statutory Declarations Act 2005</w:t>
            </w:r>
            <w:r>
              <w:rPr>
                <w:sz w:val="18"/>
                <w:szCs w:val="18"/>
              </w:rPr>
              <w:t xml:space="preserve"> at [</w:t>
            </w:r>
            <w:r>
              <w:rPr>
                <w:i/>
                <w:sz w:val="18"/>
                <w:szCs w:val="18"/>
              </w:rPr>
              <w:t>place</w:t>
            </w:r>
            <w:r>
              <w:rPr>
                <w:sz w:val="18"/>
                <w:szCs w:val="18"/>
              </w:rPr>
              <w:t>] on [</w:t>
            </w:r>
            <w:r>
              <w:rPr>
                <w:i/>
                <w:sz w:val="18"/>
                <w:szCs w:val="18"/>
              </w:rPr>
              <w:t>date</w:t>
            </w:r>
            <w:r>
              <w:rPr>
                <w:sz w:val="18"/>
                <w:szCs w:val="18"/>
              </w:rPr>
              <w:t xml:space="preserve">] by — </w:t>
            </w:r>
          </w:p>
          <w:p>
            <w:pPr>
              <w:pStyle w:val="yMiscellaneousBody"/>
              <w:keepNext/>
              <w:rPr>
                <w:b/>
                <w:sz w:val="18"/>
                <w:szCs w:val="18"/>
              </w:rPr>
            </w:pPr>
            <w:r>
              <w:rPr>
                <w:sz w:val="18"/>
                <w:szCs w:val="18"/>
              </w:rPr>
              <w:t>[</w:t>
            </w:r>
            <w:r>
              <w:rPr>
                <w:i/>
                <w:sz w:val="18"/>
                <w:szCs w:val="18"/>
              </w:rPr>
              <w:t>Signature of person making the declaration</w:t>
            </w:r>
            <w:r>
              <w:rPr>
                <w:sz w:val="18"/>
                <w:szCs w:val="18"/>
              </w:rPr>
              <w:t>]</w:t>
            </w:r>
          </w:p>
          <w:p>
            <w:pPr>
              <w:pStyle w:val="yMiscellaneousBody"/>
              <w:keepNext/>
              <w:rPr>
                <w:b/>
                <w:sz w:val="18"/>
                <w:szCs w:val="18"/>
              </w:rPr>
            </w:pPr>
            <w:r>
              <w:rPr>
                <w:sz w:val="18"/>
                <w:szCs w:val="18"/>
              </w:rPr>
              <w:t xml:space="preserve">in the presence of — </w:t>
            </w:r>
          </w:p>
          <w:p>
            <w:pPr>
              <w:pStyle w:val="yMiscellaneousBody"/>
              <w:keepNext/>
              <w:rPr>
                <w:b/>
                <w:sz w:val="18"/>
                <w:szCs w:val="18"/>
              </w:rPr>
            </w:pPr>
            <w:r>
              <w:rPr>
                <w:sz w:val="18"/>
                <w:szCs w:val="18"/>
              </w:rPr>
              <w:t>[</w:t>
            </w:r>
            <w:r>
              <w:rPr>
                <w:i/>
                <w:sz w:val="18"/>
                <w:szCs w:val="18"/>
              </w:rPr>
              <w:t>Signature of authorised witness</w:t>
            </w:r>
            <w:r>
              <w:rPr>
                <w:sz w:val="18"/>
                <w:szCs w:val="18"/>
              </w:rPr>
              <w:t>]</w:t>
            </w:r>
          </w:p>
          <w:p>
            <w:pPr>
              <w:pStyle w:val="yMiscellaneousBody"/>
              <w:keepNext/>
              <w:rPr>
                <w:b/>
                <w:sz w:val="18"/>
                <w:szCs w:val="18"/>
              </w:rPr>
            </w:pPr>
            <w:r>
              <w:rPr>
                <w:sz w:val="18"/>
                <w:szCs w:val="18"/>
              </w:rPr>
              <w:t>[</w:t>
            </w:r>
            <w:r>
              <w:rPr>
                <w:i/>
                <w:sz w:val="18"/>
                <w:szCs w:val="18"/>
              </w:rPr>
              <w:t>Name of authorised witness and qualification as such a witness</w:t>
            </w:r>
            <w:r>
              <w:rPr>
                <w:sz w:val="18"/>
                <w:szCs w:val="18"/>
              </w:rPr>
              <w:t>]</w:t>
            </w:r>
          </w:p>
          <w:p>
            <w:pPr>
              <w:pStyle w:val="yMiscellaneousBody"/>
              <w:spacing w:after="120"/>
              <w:rPr>
                <w:sz w:val="16"/>
                <w:szCs w:val="16"/>
              </w:rPr>
            </w:pPr>
            <w:r>
              <w:rPr>
                <w:sz w:val="16"/>
                <w:szCs w:val="16"/>
              </w:rPr>
              <w:t xml:space="preserve">For a list of people who are authorised to witness statutory declarations, see the </w:t>
            </w:r>
            <w:r>
              <w:rPr>
                <w:i/>
                <w:sz w:val="16"/>
                <w:szCs w:val="16"/>
              </w:rPr>
              <w:t>Oaths, Affidavits and Statutory Declarations Act 2005</w:t>
            </w:r>
            <w:r>
              <w:rPr>
                <w:sz w:val="16"/>
                <w:szCs w:val="16"/>
              </w:rPr>
              <w:t xml:space="preserve"> Schedule 2.</w:t>
            </w:r>
          </w:p>
        </w:tc>
      </w:tr>
    </w:tbl>
    <w:p>
      <w:pPr>
        <w:pStyle w:val="yFootnotesection"/>
      </w:pPr>
      <w:r>
        <w:tab/>
        <w:t>[Form 10 amended: Gazette 10 Nov 2000 p. 6176</w:t>
      </w:r>
      <w:r>
        <w:noBreakHyphen/>
        <w:t>7; 11 May 2007 p. 1998; SL 2022/195 r. 19(4).]</w:t>
      </w:r>
    </w:p>
    <w:p>
      <w:pPr>
        <w:pStyle w:val="yTable"/>
        <w:pageBreakBefore/>
        <w:spacing w:before="0"/>
        <w:jc w:val="center"/>
        <w:rPr>
          <w:b/>
          <w:snapToGrid w:val="0"/>
        </w:rPr>
      </w:pPr>
      <w:r>
        <w:rPr>
          <w:rStyle w:val="CharSClsNo"/>
          <w:b/>
        </w:rPr>
        <w:lastRenderedPageBreak/>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Gazette 10 Nov 2000 p. 6175.]</w:t>
      </w:r>
    </w:p>
    <w:p>
      <w:pPr>
        <w:pStyle w:val="yEdnotesection"/>
      </w:pPr>
      <w:r>
        <w:t>[Form 12 deleted: Gazette 10 Nov 2000 p. 6175.]</w:t>
      </w:r>
    </w:p>
    <w:p>
      <w:pPr>
        <w:pStyle w:val="yEdnotesection"/>
      </w:pPr>
      <w:r>
        <w:t>[Form 13 deleted: Gazette 12 Dec 1997 p. 7259.]</w:t>
      </w:r>
    </w:p>
    <w:p>
      <w:pPr>
        <w:pStyle w:val="yEdnotedivision"/>
      </w:pPr>
      <w:r>
        <w:t>[Forms 14 and 15 deleted: Gazette 11 May 2007 p. 1998.]</w:t>
      </w:r>
    </w:p>
    <w:p>
      <w:pPr>
        <w:pStyle w:val="yTable"/>
        <w:pageBreakBefore/>
        <w:spacing w:before="0"/>
        <w:jc w:val="center"/>
        <w:rPr>
          <w:b/>
          <w:snapToGrid w:val="0"/>
        </w:rPr>
      </w:pPr>
      <w:r>
        <w:rPr>
          <w:rStyle w:val="CharSClsNo"/>
          <w:b/>
        </w:rPr>
        <w:lastRenderedPageBreak/>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Gazette 20 Oct 2000 p. 5930</w:t>
      </w:r>
      <w:r>
        <w:noBreakHyphen/>
        <w:t>1; amended: Gazette 4 Dec 2012 p. 5913.]</w:t>
      </w:r>
    </w:p>
    <w:p>
      <w:pPr>
        <w:pStyle w:val="yTable"/>
        <w:pageBreakBefore/>
        <w:spacing w:before="0"/>
        <w:jc w:val="center"/>
        <w:rPr>
          <w:b/>
          <w:snapToGrid w:val="0"/>
        </w:rPr>
      </w:pPr>
      <w:r>
        <w:rPr>
          <w:rStyle w:val="CharSClsNo"/>
          <w:b/>
        </w:rPr>
        <w:lastRenderedPageBreak/>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w:t>
      </w:r>
      <w:r>
        <w:rPr>
          <w:b/>
          <w:sz w:val="26"/>
          <w:szCs w:val="26"/>
        </w:rPr>
        <w:t>an election in the whole of State electorate</w:t>
      </w:r>
      <w:r>
        <w:rPr>
          <w:b/>
          <w:snapToGrid w:val="0"/>
          <w:sz w:val="26"/>
        </w:rPr>
        <w:t xml:space="preserve">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w:t>
      </w:r>
      <w:r>
        <w:rPr>
          <w:szCs w:val="22"/>
        </w:rPr>
        <w:t>an election in the whole of State electorate to elect 37 members of the Legislative Council.</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MiscellaneousBody"/>
      </w:pPr>
      <w:r>
        <w:t>I certify that the result of the election held under this writ was as follows:</w:t>
      </w:r>
    </w:p>
    <w:p>
      <w:pPr>
        <w:pStyle w:val="yMiscellaneousBody"/>
      </w:pPr>
      <w:r>
        <w:t>Elected candidates</w:t>
      </w:r>
      <w:r>
        <w:tab/>
      </w:r>
      <w:r>
        <w:tab/>
        <w:t>Date of declaration</w:t>
      </w:r>
    </w:p>
    <w:p>
      <w:pPr>
        <w:pStyle w:val="yMiscellaneousBody"/>
        <w:ind w:left="2694" w:hanging="2694"/>
      </w:pPr>
      <w:r>
        <w:t>.......................................</w:t>
      </w:r>
      <w:r>
        <w:tab/>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Gazette 20 Oct 2000 p. 5931</w:t>
      </w:r>
      <w:r>
        <w:noBreakHyphen/>
        <w:t>2; amended: Gazette 21 Nov 2008 p. 4922; 4 Dec 2012 p. 5913; SL 2022/195 r. 19(5).]</w:t>
      </w:r>
    </w:p>
    <w:p>
      <w:pPr>
        <w:pStyle w:val="yTable"/>
        <w:pageBreakBefore/>
        <w:spacing w:before="0"/>
        <w:jc w:val="center"/>
        <w:rPr>
          <w:b/>
          <w:snapToGrid w:val="0"/>
        </w:rPr>
      </w:pPr>
      <w:r>
        <w:rPr>
          <w:rStyle w:val="CharSClsNo"/>
          <w:b/>
        </w:rPr>
        <w:lastRenderedPageBreak/>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Gazette 20 Oct 2000 p. 5933</w:t>
      </w:r>
      <w:r>
        <w:noBreakHyphen/>
        <w:t>4.]</w:t>
      </w:r>
    </w:p>
    <w:p>
      <w:pPr>
        <w:pStyle w:val="yTable"/>
        <w:pageBreakBefore/>
        <w:spacing w:before="0"/>
        <w:jc w:val="center"/>
        <w:rPr>
          <w:b/>
          <w:snapToGrid w:val="0"/>
        </w:rPr>
      </w:pPr>
      <w:r>
        <w:rPr>
          <w:rStyle w:val="CharSClsNo"/>
          <w:b/>
        </w:rPr>
        <w:lastRenderedPageBreak/>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Gazette 20 Oct 2000 p. 5934</w:t>
      </w:r>
      <w:r>
        <w:noBreakHyphen/>
        <w:t>5.]</w:t>
      </w:r>
    </w:p>
    <w:p>
      <w:pPr>
        <w:pStyle w:val="yTable"/>
        <w:pageBreakBefore/>
        <w:spacing w:before="0"/>
        <w:jc w:val="center"/>
        <w:rPr>
          <w:b/>
          <w:snapToGrid w:val="0"/>
        </w:rPr>
      </w:pPr>
      <w:r>
        <w:rPr>
          <w:rStyle w:val="CharSClsNo"/>
          <w:b/>
        </w:rPr>
        <w:lastRenderedPageBreak/>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Gazette 20 Oct 2000 p. 5935</w:t>
      </w:r>
      <w:r>
        <w:noBreakHyphen/>
        <w:t>6.]</w:t>
      </w:r>
    </w:p>
    <w:p>
      <w:pPr>
        <w:pStyle w:val="yTable"/>
        <w:pageBreakBefore/>
        <w:spacing w:before="0"/>
        <w:jc w:val="center"/>
        <w:rPr>
          <w:b/>
          <w:snapToGrid w:val="0"/>
        </w:rPr>
      </w:pPr>
      <w:r>
        <w:rPr>
          <w:rStyle w:val="CharSClsNo"/>
          <w:b/>
        </w:rPr>
        <w:lastRenderedPageBreak/>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an election in </w:t>
      </w:r>
      <w:r>
        <w:rPr>
          <w:b/>
          <w:sz w:val="26"/>
        </w:rPr>
        <w:t>the whole of State electorate</w:t>
      </w:r>
      <w:r>
        <w:rPr>
          <w:b/>
          <w:snapToGrid w:val="0"/>
          <w:sz w:val="26"/>
        </w:rPr>
        <w:t xml:space="preserve">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an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Gazette 20 Oct 2000 p. 5936</w:t>
      </w:r>
      <w:r>
        <w:noBreakHyphen/>
        <w:t>7; amended: SL 2022/195 r. 19(6).]</w:t>
      </w:r>
    </w:p>
    <w:p>
      <w:pPr>
        <w:pStyle w:val="yTable"/>
        <w:pageBreakBefore/>
        <w:spacing w:before="0"/>
        <w:jc w:val="center"/>
        <w:rPr>
          <w:b/>
          <w:snapToGrid w:val="0"/>
        </w:rPr>
      </w:pPr>
      <w:r>
        <w:rPr>
          <w:rStyle w:val="CharSClsNo"/>
          <w:b/>
        </w:rPr>
        <w:lastRenderedPageBreak/>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Gazette 20 Oct 2000 p. 5938</w:t>
      </w:r>
      <w:r>
        <w:noBreakHyphen/>
        <w:t>9.]</w:t>
      </w:r>
    </w:p>
    <w:p>
      <w:pPr>
        <w:pStyle w:val="yTable"/>
        <w:pageBreakBefore/>
        <w:spacing w:before="0"/>
        <w:jc w:val="center"/>
        <w:rPr>
          <w:b/>
          <w:snapToGrid w:val="0"/>
        </w:rPr>
      </w:pPr>
      <w:r>
        <w:rPr>
          <w:rStyle w:val="CharSClsNo"/>
          <w:b/>
        </w:rPr>
        <w:lastRenderedPageBreak/>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in place of the election fixed for ................................... 20..........., you proceed with a new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 xml:space="preserve">Elected </w:t>
      </w:r>
      <w:r>
        <w:rPr>
          <w:szCs w:val="22"/>
        </w:rPr>
        <w:t>candidate</w:t>
      </w:r>
      <w:r>
        <w:tab/>
      </w:r>
      <w:r>
        <w:tab/>
        <w:t>Date of declaration</w:t>
      </w:r>
    </w:p>
    <w:p>
      <w:pPr>
        <w:pStyle w:val="yTable"/>
        <w:tabs>
          <w:tab w:val="left" w:pos="2552"/>
          <w:tab w:val="left" w:pos="5103"/>
        </w:tabs>
        <w:spacing w:before="120"/>
      </w:pPr>
      <w:r>
        <w:t>.....................................</w:t>
      </w:r>
      <w:r>
        <w:tab/>
      </w:r>
      <w:r>
        <w:tab/>
        <w:t>...................................</w:t>
      </w:r>
      <w:r>
        <w:br/>
      </w: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Gazette 20 Oct 2000 p. 5939</w:t>
      </w:r>
      <w:r>
        <w:noBreakHyphen/>
        <w:t>40; amended: SL 2022/195 r. 19(7).]</w:t>
      </w:r>
    </w:p>
    <w:p>
      <w:pPr>
        <w:pStyle w:val="yTable"/>
        <w:pageBreakBefore/>
        <w:spacing w:before="0"/>
        <w:jc w:val="center"/>
        <w:rPr>
          <w:b/>
          <w:snapToGrid w:val="0"/>
        </w:rPr>
      </w:pPr>
      <w:r>
        <w:rPr>
          <w:rStyle w:val="CharSClsNo"/>
          <w:b/>
        </w:rPr>
        <w:lastRenderedPageBreak/>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Gazette 20 Oct 2000 p. 5940</w:t>
      </w:r>
      <w:r>
        <w:noBreakHyphen/>
        <w:t>1.]</w:t>
      </w:r>
    </w:p>
    <w:p>
      <w:pPr>
        <w:pStyle w:val="yTable"/>
        <w:pageBreakBefore/>
        <w:spacing w:before="0"/>
        <w:jc w:val="center"/>
        <w:rPr>
          <w:b/>
          <w:snapToGrid w:val="0"/>
        </w:rPr>
      </w:pPr>
      <w:r>
        <w:rPr>
          <w:rStyle w:val="CharSClsNo"/>
          <w:b/>
        </w:rPr>
        <w:lastRenderedPageBreak/>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failure of the election fixed for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Gazette 20 Oct 2000 p. 5941</w:t>
      </w:r>
      <w:r>
        <w:noBreakHyphen/>
        <w:t>2; amended: SL 2022/195 r. 19(8).]</w:t>
      </w:r>
    </w:p>
    <w:p>
      <w:pPr>
        <w:pStyle w:val="yTable"/>
        <w:pageBreakBefore/>
        <w:spacing w:before="0"/>
        <w:jc w:val="center"/>
        <w:rPr>
          <w:b/>
          <w:snapToGrid w:val="0"/>
        </w:rPr>
      </w:pPr>
      <w:r>
        <w:rPr>
          <w:rStyle w:val="CharSClsNo"/>
          <w:b/>
        </w:rPr>
        <w:lastRenderedPageBreak/>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partial failure of the election held on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Gazette 20 Oct 2000 p. 5943</w:t>
      </w:r>
      <w:r>
        <w:noBreakHyphen/>
        <w:t>4; amended: SL 2022/195 r. 19(9).]</w:t>
      </w:r>
    </w:p>
    <w:p>
      <w:pPr>
        <w:pStyle w:val="yTable"/>
        <w:pageBreakBefore/>
        <w:spacing w:before="0"/>
        <w:jc w:val="center"/>
        <w:rPr>
          <w:b/>
          <w:snapToGrid w:val="0"/>
        </w:rPr>
      </w:pPr>
      <w:r>
        <w:rPr>
          <w:rStyle w:val="CharSClsNo"/>
          <w:b/>
        </w:rPr>
        <w:lastRenderedPageBreak/>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Gazette 20 Oct 2000 p. 5945</w:t>
      </w:r>
      <w:r>
        <w:noBreakHyphen/>
        <w:t>6.]</w:t>
      </w:r>
    </w:p>
    <w:p>
      <w:pPr>
        <w:pStyle w:val="yTable"/>
        <w:pageBreakBefore/>
        <w:spacing w:before="0"/>
        <w:jc w:val="center"/>
        <w:rPr>
          <w:b/>
          <w:snapToGrid w:val="0"/>
        </w:rPr>
      </w:pPr>
      <w:r>
        <w:rPr>
          <w:rStyle w:val="CharSClsNo"/>
          <w:b/>
        </w:rPr>
        <w:lastRenderedPageBreak/>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election held on .................................. 20..........., being declared absolutely void, you proceed with a new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lastRenderedPageBreak/>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Gazette 20 Oct 2000 p. 5946</w:t>
      </w:r>
      <w:r>
        <w:noBreakHyphen/>
        <w:t>7; amended: SL 2022/195 r. 19(10).]</w:t>
      </w:r>
    </w:p>
    <w:p>
      <w:pPr>
        <w:pStyle w:val="yTable"/>
        <w:pageBreakBefore/>
        <w:spacing w:before="0"/>
        <w:jc w:val="center"/>
        <w:rPr>
          <w:b/>
          <w:snapToGrid w:val="0"/>
        </w:rPr>
      </w:pPr>
      <w:r>
        <w:rPr>
          <w:rStyle w:val="CharSClsNo"/>
          <w:b/>
        </w:rPr>
        <w:lastRenderedPageBreak/>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Gazette 20 Oct 2000 p. 5948.]</w:t>
      </w:r>
    </w:p>
    <w:p>
      <w:pPr>
        <w:pStyle w:val="yEdnotesection"/>
        <w:rPr>
          <w:iCs/>
        </w:rPr>
      </w:pPr>
      <w:r>
        <w:rPr>
          <w:iCs/>
        </w:rPr>
        <w:t>[Form 24 deleted: Gazette 10 Nov 2000 p. 6175.]</w:t>
      </w:r>
    </w:p>
    <w:p>
      <w:pPr>
        <w:pStyle w:val="yTable"/>
        <w:pageBreakBefore/>
        <w:spacing w:before="0"/>
        <w:jc w:val="center"/>
        <w:rPr>
          <w:b/>
          <w:snapToGrid w:val="0"/>
        </w:rPr>
      </w:pPr>
      <w:r>
        <w:rPr>
          <w:rStyle w:val="CharSClsNo"/>
          <w:b/>
        </w:rPr>
        <w:lastRenderedPageBreak/>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 xml:space="preserve">I acknowledge receipt of a deposit of </w:t>
      </w:r>
      <w:r>
        <w:t xml:space="preserve">$...... </w:t>
      </w:r>
      <w:r>
        <w:rPr>
          <w:snapToGrid w:val="0"/>
        </w:rPr>
        <w:t xml:space="preserve">cash/bank or other financial institution cheque payable to the Electoral </w:t>
      </w:r>
      <w:r>
        <w:rPr>
          <w:szCs w:val="22"/>
        </w:rPr>
        <w:t>Commissioner/electronic funds transfer*</w:t>
      </w:r>
      <w:r>
        <w:rPr>
          <w:snapToGrid w:val="0"/>
        </w:rPr>
        <w:t>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4536"/>
        </w:tabs>
        <w:spacing w:before="0"/>
        <w:rPr>
          <w:snapToGrid w:val="0"/>
        </w:rPr>
      </w:pPr>
    </w:p>
    <w:p>
      <w:pPr>
        <w:pStyle w:val="yTable"/>
        <w:rPr>
          <w:snapToGrid w:val="0"/>
        </w:rPr>
      </w:pPr>
      <w:r>
        <w:rPr>
          <w:snapToGrid w:val="0"/>
        </w:rPr>
        <w:t>* Strike out whichever is not applicable</w:t>
      </w:r>
    </w:p>
    <w:p>
      <w:pPr>
        <w:pStyle w:val="yFootnotesection"/>
      </w:pPr>
      <w:r>
        <w:tab/>
        <w:t>[Form 25 amended: Gazette 8 Nov 1996 p. 6269; 20 Nov 1998 p. 6265; SL 2022/195 r. 19(11).]</w:t>
      </w:r>
    </w:p>
    <w:p>
      <w:pPr>
        <w:pStyle w:val="yTable"/>
        <w:pageBreakBefore/>
        <w:spacing w:before="0"/>
        <w:jc w:val="center"/>
        <w:rPr>
          <w:b/>
          <w:snapToGrid w:val="0"/>
        </w:rPr>
      </w:pPr>
      <w:r>
        <w:rPr>
          <w:rStyle w:val="CharSClsNo"/>
          <w:b/>
        </w:rPr>
        <w:lastRenderedPageBreak/>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vMerge w:val="restart"/>
          </w:tcPr>
          <w:p>
            <w:pPr>
              <w:pStyle w:val="yTable"/>
            </w:pPr>
            <w:r>
              <w:t>ADDRESS AS ENROLLED OR FOR WHICH ENROLMENT IS CLAIMED</w:t>
            </w:r>
          </w:p>
        </w:tc>
        <w:tc>
          <w:tcPr>
            <w:tcW w:w="3369" w:type="dxa"/>
            <w:gridSpan w:val="4"/>
          </w:tcPr>
          <w:p>
            <w:pPr>
              <w:pStyle w:val="yTable"/>
            </w:pPr>
          </w:p>
        </w:tc>
      </w:tr>
      <w:tr>
        <w:tc>
          <w:tcPr>
            <w:tcW w:w="3927" w:type="dxa"/>
            <w:vMerge/>
          </w:tcPr>
          <w:p>
            <w:pPr>
              <w:pStyle w:val="yTable"/>
            </w:pPr>
          </w:p>
        </w:tc>
        <w:tc>
          <w:tcPr>
            <w:tcW w:w="3369" w:type="dxa"/>
            <w:gridSpan w:val="4"/>
          </w:tcPr>
          <w:p>
            <w:pPr>
              <w:pStyle w:val="yTable"/>
            </w:pPr>
          </w:p>
        </w:tc>
      </w:tr>
      <w:tr>
        <w:tc>
          <w:tcPr>
            <w:tcW w:w="3927" w:type="dxa"/>
            <w:vMerge/>
          </w:tcPr>
          <w:p>
            <w:pPr>
              <w:pStyle w:val="yTable"/>
            </w:pPr>
          </w:p>
        </w:tc>
        <w:tc>
          <w:tcPr>
            <w:tcW w:w="3369" w:type="dxa"/>
            <w:gridSpan w:val="4"/>
          </w:tcPr>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lastRenderedPageBreak/>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 Gazette 10 Nov 2000 p. 6177</w:t>
      </w:r>
      <w:r>
        <w:noBreakHyphen/>
        <w:t>8.]</w:t>
      </w:r>
    </w:p>
    <w:p>
      <w:pPr>
        <w:pStyle w:val="yTable"/>
        <w:pageBreakBefore/>
        <w:spacing w:before="0"/>
        <w:jc w:val="center"/>
        <w:rPr>
          <w:b/>
          <w:snapToGrid w:val="0"/>
        </w:rPr>
      </w:pPr>
      <w:r>
        <w:rPr>
          <w:rStyle w:val="CharSClsNo"/>
          <w:b/>
        </w:rPr>
        <w:lastRenderedPageBreak/>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Gazette 10 Nov 2000 p. 6178.]</w:t>
      </w:r>
    </w:p>
    <w:p>
      <w:pPr>
        <w:pStyle w:val="yTable"/>
        <w:pageBreakBefore/>
        <w:spacing w:before="0"/>
        <w:jc w:val="center"/>
        <w:rPr>
          <w:b/>
          <w:snapToGrid w:val="0"/>
        </w:rPr>
      </w:pPr>
      <w:r>
        <w:rPr>
          <w:rStyle w:val="CharSClsNo"/>
          <w:b/>
        </w:rPr>
        <w:lastRenderedPageBreak/>
        <w:t>Form 28</w:t>
      </w:r>
    </w:p>
    <w:p>
      <w:pPr>
        <w:pStyle w:val="yTable"/>
        <w:jc w:val="center"/>
        <w:rPr>
          <w:snapToGrid w:val="0"/>
        </w:rPr>
      </w:pPr>
      <w:r>
        <w:rPr>
          <w:snapToGrid w:val="0"/>
        </w:rPr>
        <w:t>Western Australia</w:t>
      </w:r>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 Gazette 11 May 2007 p. 1998; amended: Gazette 4 Dec 2012 p. 5914.]</w:t>
      </w:r>
    </w:p>
    <w:p>
      <w:pPr>
        <w:pStyle w:val="yTable"/>
        <w:pageBreakBefore/>
        <w:spacing w:before="0"/>
        <w:jc w:val="center"/>
        <w:rPr>
          <w:b/>
          <w:snapToGrid w:val="0"/>
        </w:rPr>
      </w:pPr>
      <w:r>
        <w:rPr>
          <w:rStyle w:val="CharSClsNo"/>
          <w:b/>
        </w:rPr>
        <w:lastRenderedPageBreak/>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I, .............................................................................................................................</w:t>
      </w:r>
    </w:p>
    <w:p>
      <w:pPr>
        <w:pStyle w:val="yTable"/>
        <w:spacing w:before="0"/>
        <w:ind w:right="-29"/>
        <w:jc w:val="center"/>
        <w:rPr>
          <w:snapToGrid w:val="0"/>
        </w:rPr>
      </w:pPr>
      <w:r>
        <w:rPr>
          <w:snapToGrid w:val="0"/>
        </w:rPr>
        <w:t>(name in full)</w:t>
      </w:r>
    </w:p>
    <w:p>
      <w:pPr>
        <w:pStyle w:val="yTable"/>
        <w:ind w:right="-29"/>
        <w:rPr>
          <w:snapToGrid w:val="0"/>
        </w:rPr>
      </w:pPr>
      <w:r>
        <w:rPr>
          <w:snapToGrid w:val="0"/>
        </w:rPr>
        <w:t>of ............................................................................................................................</w:t>
      </w:r>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Declared before me on ...........................................................................................</w:t>
      </w:r>
    </w:p>
    <w:p>
      <w:pPr>
        <w:pStyle w:val="yTable"/>
        <w:spacing w:before="0"/>
        <w:ind w:right="-29"/>
        <w:jc w:val="center"/>
        <w:rPr>
          <w:snapToGrid w:val="0"/>
        </w:rPr>
      </w:pPr>
      <w:r>
        <w:rPr>
          <w:snapToGrid w:val="0"/>
        </w:rPr>
        <w:t>(date)</w:t>
      </w:r>
    </w:p>
    <w:p>
      <w:pPr>
        <w:pStyle w:val="yTable"/>
        <w:ind w:right="-29"/>
        <w:rPr>
          <w:snapToGrid w:val="0"/>
        </w:rPr>
      </w:pPr>
      <w:r>
        <w:rPr>
          <w:snapToGrid w:val="0"/>
        </w:rPr>
        <w:t>at .......................................... polling place in the .................................... District.</w:t>
      </w: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 Gazette 10 Nov 2000 p. 6180.]</w:t>
      </w:r>
    </w:p>
    <w:p>
      <w:pPr>
        <w:pStyle w:val="yEdnotedivision"/>
      </w:pPr>
      <w:r>
        <w:t>[Form 30 deleted: Gazette 11 May 2007 p. 1998.]</w:t>
      </w:r>
    </w:p>
    <w:p>
      <w:pPr>
        <w:pStyle w:val="yTable"/>
        <w:pageBreakBefore/>
        <w:spacing w:before="0"/>
        <w:jc w:val="center"/>
        <w:rPr>
          <w:b/>
          <w:snapToGrid w:val="0"/>
        </w:rPr>
      </w:pPr>
      <w:r>
        <w:rPr>
          <w:rStyle w:val="CharSClsNo"/>
          <w:b/>
        </w:rPr>
        <w:lastRenderedPageBreak/>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sym w:font="Wingdings" w:char="F06F"/>
            </w:r>
            <w:r>
              <w:rPr>
                <w:snapToGrid w:val="0"/>
              </w:rPr>
              <w:t xml:space="preserve">  </w:t>
            </w:r>
            <w:r>
              <w:rPr>
                <w:b/>
                <w:bCs/>
                <w:snapToGrid w:val="0"/>
              </w:rPr>
              <w:t>ABSENT VOTE;</w:t>
            </w:r>
          </w:p>
          <w:p>
            <w:pPr>
              <w:pStyle w:val="yTable"/>
            </w:pPr>
            <w:r>
              <w:sym w:font="Wingdings" w:char="F06F"/>
            </w: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Gazette 11 May 2007 p. 1999; amended: Gazette 4 Dec 2012 p. 5914.]</w:t>
      </w: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570"/>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lastRenderedPageBreak/>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 xml:space="preserve">.............................................(District (or </w:t>
            </w:r>
            <w:r>
              <w:rPr>
                <w:sz w:val="16"/>
                <w:szCs w:val="16"/>
              </w:rPr>
              <w:t>Whole of State electorate))</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570"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570" w:type="dxa"/>
            <w:vMerge/>
            <w:tcBorders>
              <w:top w:val="nil"/>
              <w:left w:val="nil"/>
              <w:bottom w:val="nil"/>
              <w:right w:val="nil"/>
            </w:tcBorders>
          </w:tcPr>
          <w:p>
            <w:pPr>
              <w:pStyle w:val="yTable"/>
              <w:ind w:left="113" w:right="-51"/>
              <w:jc w:val="center"/>
              <w:rPr>
                <w:sz w:val="14"/>
              </w:rPr>
            </w:pPr>
          </w:p>
        </w:tc>
      </w:tr>
      <w:tr>
        <w:trPr>
          <w:cantSplit/>
          <w:trHeight w:val="1479"/>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570" w:type="dxa"/>
            <w:vMerge/>
            <w:tcBorders>
              <w:top w:val="nil"/>
              <w:left w:val="nil"/>
              <w:bottom w:val="nil"/>
              <w:right w:val="nil"/>
            </w:tcBorders>
            <w:textDirection w:val="btLr"/>
          </w:tcPr>
          <w:p>
            <w:pPr>
              <w:pStyle w:val="yTable"/>
              <w:ind w:left="113" w:right="-51"/>
              <w:jc w:val="center"/>
              <w:rPr>
                <w:sz w:val="14"/>
              </w:rPr>
            </w:pPr>
          </w:p>
        </w:tc>
      </w:tr>
    </w:tbl>
    <w:p>
      <w:pPr>
        <w:pStyle w:val="yFootnotesection"/>
      </w:pPr>
      <w:r>
        <w:tab/>
        <w:t>[Form 32 amended: SL 2022/195 r. 19(12).]</w:t>
      </w:r>
    </w:p>
    <w:p>
      <w:pPr>
        <w:pStyle w:val="yTable"/>
        <w:pageBreakBefore/>
        <w:spacing w:before="0"/>
        <w:jc w:val="center"/>
        <w:rPr>
          <w:b/>
        </w:rPr>
      </w:pPr>
      <w:r>
        <w:rPr>
          <w:rStyle w:val="CharSClsNo"/>
          <w:b/>
        </w:rPr>
        <w:lastRenderedPageBreak/>
        <w:t>Form 33</w:t>
      </w:r>
    </w:p>
    <w:p>
      <w:pPr>
        <w:pStyle w:val="yMiscellaneousHeading"/>
      </w:pPr>
      <w:r>
        <w:t>Western Australia</w:t>
      </w:r>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pStyle w:val="yMiscellaneousBody"/>
        <w:ind w:left="567" w:hanging="425"/>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pStyle w:val="yMiscellaneousBody"/>
        <w:ind w:left="567" w:hanging="425"/>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pStyle w:val="yMiscellaneousBody"/>
        <w:ind w:left="567" w:hanging="425"/>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lastRenderedPageBreak/>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pStyle w:val="yMiscellaneousBody"/>
        <w:spacing w:before="480"/>
        <w:ind w:left="567"/>
        <w:rPr>
          <w:b/>
          <w:bCs/>
        </w:rPr>
      </w:pPr>
      <w:r>
        <w:t xml:space="preserve">Electoral Commissioner </w:t>
      </w:r>
      <w:r>
        <w:tab/>
      </w:r>
      <w:r>
        <w:tab/>
        <w:t xml:space="preserve">Date: </w:t>
      </w:r>
      <w:r>
        <w:rPr>
          <w:i/>
          <w:iCs/>
        </w:rPr>
        <w:t>[insert date]</w:t>
      </w:r>
    </w:p>
    <w:p>
      <w:pPr>
        <w:pStyle w:val="yMiscellaneousBody"/>
        <w:spacing w:before="120"/>
        <w:jc w:val="center"/>
        <w:rPr>
          <w:b/>
        </w:rPr>
      </w:pPr>
      <w:r>
        <w:t>[Back of Form 33]</w:t>
      </w:r>
    </w:p>
    <w:tbl>
      <w:tblPr>
        <w:tblW w:w="7097" w:type="dxa"/>
        <w:tblInd w:w="-10" w:type="dxa"/>
        <w:tblLayout w:type="fixed"/>
        <w:tblCellMar>
          <w:left w:w="0" w:type="dxa"/>
          <w:right w:w="0" w:type="dxa"/>
        </w:tblCellMar>
        <w:tblLook w:val="0000" w:firstRow="0" w:lastRow="0" w:firstColumn="0" w:lastColumn="0" w:noHBand="0" w:noVBand="0"/>
      </w:tblPr>
      <w:tblGrid>
        <w:gridCol w:w="1553"/>
        <w:gridCol w:w="7"/>
        <w:gridCol w:w="5537"/>
      </w:tblGrid>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5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lastRenderedPageBreak/>
              <w:t>Part B</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97" w:type="dxa"/>
            <w:gridSpan w:val="3"/>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97" w:type="dxa"/>
            <w:gridSpan w:val="3"/>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with Australia Post</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by mail</w:t>
            </w:r>
          </w:p>
        </w:tc>
        <w:tc>
          <w:tcPr>
            <w:tcW w:w="5537" w:type="dxa"/>
            <w:tcBorders>
              <w:top w:val="single" w:sz="4" w:space="0" w:color="auto"/>
              <w:left w:val="single" w:sz="4" w:space="0" w:color="auto"/>
              <w:bottom w:val="single" w:sz="4" w:space="0" w:color="auto"/>
            </w:tcBorders>
          </w:tcPr>
          <w:p>
            <w:pPr>
              <w:pStyle w:val="yTableNAm"/>
            </w:pPr>
            <w:r>
              <w:rPr>
                <w:i/>
                <w:iCs/>
                <w:szCs w:val="24"/>
              </w:rPr>
              <w:t>[insert information about payment]</w:t>
            </w: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in person</w:t>
            </w:r>
          </w:p>
        </w:tc>
        <w:tc>
          <w:tcPr>
            <w:tcW w:w="5537" w:type="dxa"/>
            <w:tcBorders>
              <w:top w:val="single" w:sz="4" w:space="0" w:color="auto"/>
              <w:left w:val="single" w:sz="4" w:space="0" w:color="auto"/>
            </w:tcBorders>
          </w:tcPr>
          <w:p>
            <w:pPr>
              <w:pStyle w:val="yTableNAm"/>
            </w:pPr>
            <w:r>
              <w:rPr>
                <w:i/>
                <w:iCs/>
                <w:szCs w:val="24"/>
              </w:rPr>
              <w:t>[insert information about payment]</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Gazette 4 Dec 2012 p. 5914</w:t>
      </w:r>
      <w:r>
        <w:noBreakHyphen/>
        <w:t>17; amended: SL 2022/195 r. 19(13).]</w:t>
      </w:r>
    </w:p>
    <w:p>
      <w:pPr>
        <w:pStyle w:val="yTable"/>
        <w:pageBreakBefore/>
        <w:spacing w:before="0"/>
        <w:jc w:val="center"/>
        <w:rPr>
          <w:b/>
        </w:rPr>
      </w:pPr>
      <w:r>
        <w:rPr>
          <w:rStyle w:val="CharSClsNo"/>
          <w:b/>
        </w:rPr>
        <w:lastRenderedPageBreak/>
        <w:t>Form 34</w:t>
      </w:r>
    </w:p>
    <w:p>
      <w:pPr>
        <w:pStyle w:val="yMiscellaneousHeading"/>
      </w:pPr>
      <w:r>
        <w:t>Western Australia</w:t>
      </w:r>
    </w:p>
    <w:p>
      <w:pPr>
        <w:pStyle w:val="yMiscellaneousHeading"/>
      </w:pPr>
      <w:r>
        <w:rPr>
          <w:i/>
        </w:rPr>
        <w:t>Electoral Act 1907</w:t>
      </w:r>
      <w:r>
        <w:t> (s. 156(13A))</w:t>
      </w:r>
    </w:p>
    <w:p>
      <w:pPr>
        <w:pStyle w:val="yMiscellaneousHeading"/>
        <w:rPr>
          <w:b/>
        </w:rPr>
      </w:pPr>
      <w:r>
        <w:rPr>
          <w:b/>
        </w:rPr>
        <w:t>FAILURE TO VOTE — INFRINGEMENT NOTICE</w:t>
      </w:r>
    </w:p>
    <w:p>
      <w:pPr>
        <w:pStyle w:val="yMiscellaneousBody"/>
      </w:pPr>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pStyle w:val="yMiscellaneousBody"/>
        <w:ind w:left="709" w:hanging="426"/>
      </w:pPr>
      <w:r>
        <w:t>A.</w:t>
      </w:r>
      <w:r>
        <w:tab/>
        <w:t>You did not respond to that notice on or before the response date stated in the notice.</w:t>
      </w:r>
    </w:p>
    <w:p>
      <w:pPr>
        <w:pStyle w:val="yMiscellaneousBody"/>
        <w:ind w:left="709" w:hanging="426"/>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1"/>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did not vote and your reason for not doing so.  I have considered that reason but am unable to accept it as a valid and sufficient reason for not voting.</w:t>
      </w:r>
    </w:p>
    <w:p>
      <w:pPr>
        <w:pStyle w:val="yMiscellaneousBody"/>
        <w:ind w:left="426" w:hanging="426"/>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lastRenderedPageBreak/>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8"/>
        <w:gridCol w:w="5015"/>
      </w:tblGrid>
      <w:tr>
        <w:tc>
          <w:tcPr>
            <w:tcW w:w="1818" w:type="dxa"/>
            <w:tcBorders>
              <w:top w:val="single" w:sz="4" w:space="0" w:color="auto"/>
              <w:bottom w:val="single" w:sz="4" w:space="0" w:color="auto"/>
              <w:right w:val="single" w:sz="4" w:space="0" w:color="auto"/>
            </w:tcBorders>
          </w:tcPr>
          <w:p>
            <w:pPr>
              <w:pStyle w:val="yTableNAm"/>
            </w:pPr>
            <w:r>
              <w:t>Payment with Australia Post</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r>
              <w:t>Payment by BPAY</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bookmarkStart w:id="70" w:name="_Hlk119483076"/>
            <w:r>
              <w:t>Payment by mail</w:t>
            </w:r>
          </w:p>
        </w:tc>
        <w:tc>
          <w:tcPr>
            <w:tcW w:w="5015" w:type="dxa"/>
            <w:tcBorders>
              <w:top w:val="single" w:sz="4" w:space="0" w:color="auto"/>
              <w:left w:val="single" w:sz="4" w:space="0" w:color="auto"/>
              <w:bottom w:val="single" w:sz="4" w:space="0" w:color="auto"/>
            </w:tcBorders>
          </w:tcPr>
          <w:p>
            <w:pPr>
              <w:pStyle w:val="yTableNAm"/>
              <w:rPr>
                <w:i/>
                <w:iCs/>
                <w:szCs w:val="24"/>
              </w:rPr>
            </w:pPr>
            <w:r>
              <w:rPr>
                <w:i/>
                <w:iCs/>
                <w:szCs w:val="24"/>
              </w:rPr>
              <w:t>[insert information about payment]</w:t>
            </w:r>
          </w:p>
          <w:p>
            <w:pPr>
              <w:pStyle w:val="yTableNAm"/>
            </w:pPr>
          </w:p>
        </w:tc>
      </w:tr>
      <w:tr>
        <w:tc>
          <w:tcPr>
            <w:tcW w:w="1818" w:type="dxa"/>
            <w:tcBorders>
              <w:top w:val="single" w:sz="4" w:space="0" w:color="auto"/>
              <w:bottom w:val="single" w:sz="4" w:space="0" w:color="auto"/>
              <w:right w:val="single" w:sz="4" w:space="0" w:color="auto"/>
            </w:tcBorders>
          </w:tcPr>
          <w:p>
            <w:pPr>
              <w:pStyle w:val="yTableNAm"/>
            </w:pPr>
            <w:r>
              <w:t>Payment in person</w:t>
            </w:r>
          </w:p>
        </w:tc>
        <w:tc>
          <w:tcPr>
            <w:tcW w:w="5015" w:type="dxa"/>
            <w:tcBorders>
              <w:top w:val="single" w:sz="4" w:space="0" w:color="auto"/>
              <w:left w:val="single" w:sz="4" w:space="0" w:color="auto"/>
            </w:tcBorders>
          </w:tcPr>
          <w:p>
            <w:pPr>
              <w:pStyle w:val="yTableNAm"/>
              <w:rPr>
                <w:i/>
                <w:iCs/>
                <w:szCs w:val="24"/>
              </w:rPr>
            </w:pPr>
            <w:r>
              <w:rPr>
                <w:i/>
                <w:iCs/>
                <w:szCs w:val="24"/>
              </w:rPr>
              <w:t>[insert information about payment]</w:t>
            </w:r>
          </w:p>
          <w:p>
            <w:pPr>
              <w:pStyle w:val="yTableNAm"/>
            </w:pPr>
          </w:p>
        </w:tc>
      </w:tr>
    </w:tbl>
    <w:bookmarkEnd w:id="70"/>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Gazette 4 Dec 2012 p. 5917</w:t>
      </w:r>
      <w:r>
        <w:noBreakHyphen/>
        <w:t>18; amended: SL 2022/195 r. 19(13).]</w:t>
      </w:r>
    </w:p>
    <w:p>
      <w:pPr>
        <w:pStyle w:val="yTable"/>
        <w:pageBreakBefore/>
        <w:spacing w:before="0"/>
        <w:jc w:val="center"/>
        <w:rPr>
          <w:b/>
          <w:snapToGrid w:val="0"/>
        </w:rPr>
      </w:pPr>
      <w:r>
        <w:rPr>
          <w:rStyle w:val="CharSClsNo"/>
          <w:b/>
        </w:rPr>
        <w:lastRenderedPageBreak/>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to which the Hon ............................... 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Gazette 6 Dec 1996 p. 6723; amended: SL 2022/195 r. 19(14).]</w:t>
      </w:r>
    </w:p>
    <w:p>
      <w:pPr>
        <w:pStyle w:val="yTable"/>
        <w:pageBreakBefore/>
        <w:spacing w:before="0"/>
        <w:jc w:val="center"/>
        <w:rPr>
          <w:b/>
          <w:snapToGrid w:val="0"/>
        </w:rPr>
      </w:pPr>
      <w:r>
        <w:rPr>
          <w:rStyle w:val="CharSClsNo"/>
          <w:b/>
        </w:rPr>
        <w:lastRenderedPageBreak/>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w:t>
      </w:r>
      <w:r>
        <w:rPr>
          <w:szCs w:val="22"/>
        </w:rPr>
        <w:t>nominate as a candidate for the vacancy in the Legislative Council</w:t>
      </w:r>
      <w:r>
        <w:rPr>
          <w:snapToGrid w:val="0"/>
        </w:rPr>
        <w:t xml:space="preserve">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Gazette 6 Dec 1996 p. 6724; amended: SL 2022/195 r. 19(15).]</w:t>
      </w:r>
    </w:p>
    <w:p>
      <w:pPr>
        <w:pStyle w:val="yTable"/>
        <w:pageBreakBefore/>
        <w:spacing w:before="0"/>
        <w:jc w:val="center"/>
        <w:rPr>
          <w:b/>
          <w:snapToGrid w:val="0"/>
        </w:rPr>
      </w:pPr>
      <w:r>
        <w:rPr>
          <w:rStyle w:val="CharSClsNo"/>
          <w:b/>
        </w:rPr>
        <w:lastRenderedPageBreak/>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Gazette 8 Nov 1996 p. 6277.]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268" w:right="2405" w:bottom="3542" w:left="2405" w:header="706" w:footer="3380" w:gutter="0"/>
          <w:cols w:space="720"/>
          <w:noEndnote/>
          <w:docGrid w:linePitch="326"/>
        </w:sectPr>
      </w:pPr>
    </w:p>
    <w:p>
      <w:pPr>
        <w:pStyle w:val="nHeading2"/>
      </w:pPr>
      <w:bookmarkStart w:id="72" w:name="_Toc119483865"/>
      <w:bookmarkStart w:id="73" w:name="_Toc119578455"/>
      <w:bookmarkStart w:id="74" w:name="_Toc119422754"/>
      <w:r>
        <w:lastRenderedPageBreak/>
        <w:t>Notes</w:t>
      </w:r>
      <w:bookmarkEnd w:id="72"/>
      <w:bookmarkEnd w:id="73"/>
    </w:p>
    <w:p>
      <w:pPr>
        <w:pStyle w:val="nStatement"/>
      </w:pPr>
      <w:r>
        <w:t xml:space="preserve">This is a compilation of the </w:t>
      </w:r>
      <w:r>
        <w:rPr>
          <w:i/>
          <w:noProof/>
        </w:rPr>
        <w:t>Electoral Regulations 1996</w:t>
      </w:r>
      <w:r>
        <w:t xml:space="preserve"> and includes amendments made by other written laws. For provisions that have come into operation, and for information about any reprints, see the compilation table.</w:t>
      </w:r>
    </w:p>
    <w:p>
      <w:pPr>
        <w:pStyle w:val="nHeading3"/>
      </w:pPr>
      <w:bookmarkStart w:id="75" w:name="_Toc119578456"/>
      <w:r>
        <w:t>Compilation table</w:t>
      </w:r>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60" w:after="60"/>
              <w:ind w:right="113"/>
              <w:rPr>
                <w:i/>
              </w:rPr>
            </w:pPr>
            <w:r>
              <w:rPr>
                <w:i/>
              </w:rPr>
              <w:lastRenderedPageBreak/>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2016</w:t>
            </w:r>
          </w:p>
        </w:tc>
        <w:tc>
          <w:tcPr>
            <w:tcW w:w="1276" w:type="dxa"/>
            <w:tcBorders>
              <w:top w:val="nil"/>
              <w:bottom w:val="nil"/>
            </w:tcBorders>
            <w:shd w:val="clear" w:color="auto" w:fill="auto"/>
          </w:tcPr>
          <w:p>
            <w:pPr>
              <w:pStyle w:val="nTable"/>
              <w:spacing w:before="60" w:after="60"/>
            </w:pPr>
            <w:r>
              <w:t>16 Aug 2016 p. 3470</w:t>
            </w:r>
          </w:p>
        </w:tc>
        <w:tc>
          <w:tcPr>
            <w:tcW w:w="2693" w:type="dxa"/>
            <w:tcBorders>
              <w:top w:val="nil"/>
              <w:bottom w:val="nil"/>
            </w:tcBorders>
            <w:shd w:val="clear" w:color="auto" w:fill="auto"/>
          </w:tcPr>
          <w:p>
            <w:pPr>
              <w:pStyle w:val="nTable"/>
              <w:spacing w:before="60" w:after="60"/>
            </w:pPr>
            <w:r>
              <w:rPr>
                <w:snapToGrid w:val="0"/>
                <w:spacing w:val="-2"/>
              </w:rPr>
              <w:t>r. 1 and 2: 16 Aug 2016 (see r. 2(a));</w:t>
            </w:r>
            <w:r>
              <w:rPr>
                <w:snapToGrid w:val="0"/>
                <w:spacing w:val="-2"/>
              </w:rPr>
              <w:br/>
              <w:t>Regulations other than r. 1 and 2: 17 Aug 2016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before="60" w:after="60"/>
              <w:ind w:right="113"/>
              <w:rPr>
                <w:i/>
              </w:rPr>
            </w:pPr>
            <w:r>
              <w:rPr>
                <w:i/>
              </w:rPr>
              <w:t>Electoral Amendment Regulations 2022</w:t>
            </w:r>
          </w:p>
        </w:tc>
        <w:tc>
          <w:tcPr>
            <w:tcW w:w="1276" w:type="dxa"/>
            <w:tcBorders>
              <w:bottom w:val="single" w:sz="4" w:space="0" w:color="auto"/>
            </w:tcBorders>
            <w:shd w:val="clear" w:color="auto" w:fill="auto"/>
          </w:tcPr>
          <w:p>
            <w:pPr>
              <w:pStyle w:val="nTable"/>
              <w:spacing w:before="60" w:after="60"/>
            </w:pPr>
            <w:r>
              <w:t>SL 2022/195 18 Nov 2022</w:t>
            </w:r>
          </w:p>
        </w:tc>
        <w:tc>
          <w:tcPr>
            <w:tcW w:w="2693" w:type="dxa"/>
            <w:tcBorders>
              <w:bottom w:val="single" w:sz="4" w:space="0" w:color="auto"/>
            </w:tcBorders>
            <w:shd w:val="clear" w:color="auto" w:fill="auto"/>
          </w:tcPr>
          <w:p>
            <w:pPr>
              <w:pStyle w:val="nTable"/>
              <w:spacing w:before="60" w:after="60"/>
              <w:rPr>
                <w:snapToGrid w:val="0"/>
                <w:spacing w:val="-2"/>
              </w:rPr>
            </w:pPr>
            <w:r>
              <w:rPr>
                <w:snapToGrid w:val="0"/>
                <w:spacing w:val="-2"/>
              </w:rPr>
              <w:t>r. 1 and 2: 18 Nov 2022 (see r. 2(a));</w:t>
            </w:r>
            <w:r>
              <w:rPr>
                <w:snapToGrid w:val="0"/>
                <w:spacing w:val="-2"/>
              </w:rPr>
              <w:br/>
              <w:t>Regulations other than r. 1 and 2: 19 Nov 2022 (see r. 2(b))</w:t>
            </w:r>
          </w:p>
        </w:tc>
      </w:tr>
    </w:tbl>
    <w:p>
      <w:pPr>
        <w:pStyle w:val="nHeading3"/>
      </w:pPr>
      <w:bookmarkStart w:id="76" w:name="_Toc119578457"/>
      <w:r>
        <w:t>Other notes</w:t>
      </w:r>
      <w:bookmarkEnd w:id="76"/>
    </w:p>
    <w:p>
      <w:pPr>
        <w:pStyle w:val="nNote"/>
        <w:spacing w:before="100"/>
        <w:rPr>
          <w:i/>
          <w:iCs/>
        </w:rPr>
      </w:pPr>
      <w:r>
        <w:rPr>
          <w:vertAlign w:val="superscript"/>
        </w:rPr>
        <w:t>1</w:t>
      </w:r>
      <w:r>
        <w:tab/>
        <w:t xml:space="preserve">The </w:t>
      </w:r>
      <w:r>
        <w:rPr>
          <w:i/>
          <w:iCs/>
        </w:rPr>
        <w:t>Evidence Act 1906</w:t>
      </w:r>
      <w:r>
        <w:t xml:space="preserve"> s. 106 was deleted by the </w:t>
      </w:r>
      <w:r>
        <w:rPr>
          <w:i/>
          <w:iCs/>
        </w:rPr>
        <w:t xml:space="preserve">Oaths, Affidavits and Statutory Declarations (Consequential Provisions) Act 2005 </w:t>
      </w:r>
      <w:r>
        <w:t>s. 51.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8" w:name="_Toc119578458"/>
      <w:bookmarkEnd w:id="74"/>
      <w:r>
        <w:rPr>
          <w:sz w:val="28"/>
        </w:rPr>
        <w:lastRenderedPageBreak/>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ballot paper envelope</w:t>
      </w:r>
      <w:r>
        <w:tab/>
        <w:t>2</w:t>
      </w:r>
    </w:p>
    <w:p>
      <w:pPr>
        <w:pStyle w:val="DefinedTerms"/>
      </w:pPr>
      <w:r>
        <w:t>commencement day</w:t>
      </w:r>
      <w:r>
        <w:tab/>
        <w:t>31(1)</w:t>
      </w:r>
    </w:p>
    <w:p>
      <w:pPr>
        <w:pStyle w:val="DefinedTerms"/>
      </w:pPr>
      <w:r>
        <w:t>election period</w:t>
      </w:r>
      <w:r>
        <w:tab/>
        <w:t>28(1)</w:t>
      </w:r>
    </w:p>
    <w:p>
      <w:pPr>
        <w:pStyle w:val="DefinedTerms"/>
      </w:pPr>
      <w:r>
        <w:t>issuing officer</w:t>
      </w:r>
      <w:r>
        <w:tab/>
        <w:t>2</w:t>
      </w:r>
    </w:p>
    <w:p>
      <w:pPr>
        <w:pStyle w:val="DefinedTerms"/>
      </w:pPr>
      <w:r>
        <w:t>member</w:t>
      </w:r>
      <w:r>
        <w:tab/>
        <w:t>28(1)</w:t>
      </w:r>
    </w:p>
    <w:p>
      <w:pPr>
        <w:pStyle w:val="DefinedTerms"/>
      </w:pPr>
      <w:r>
        <w:t>prescribed body</w:t>
      </w:r>
      <w:r>
        <w:tab/>
        <w:t>28(1)</w:t>
      </w:r>
    </w:p>
    <w:p>
      <w:pPr>
        <w:pStyle w:val="DefinedTerms"/>
      </w:pPr>
      <w:r>
        <w:t>public employee</w:t>
      </w:r>
      <w:r>
        <w:tab/>
        <w:t>28</w:t>
      </w:r>
    </w:p>
    <w:p>
      <w:pPr>
        <w:pStyle w:val="DefinedTerms"/>
      </w:pPr>
      <w:r>
        <w:t>record</w:t>
      </w:r>
      <w:r>
        <w:tab/>
        <w:t>2</w:t>
      </w:r>
    </w:p>
    <w:p>
      <w:pPr>
        <w:pStyle w:val="DefinedTerms"/>
      </w:pPr>
      <w:r>
        <w:t>relevant person</w:t>
      </w:r>
      <w:r>
        <w:tab/>
        <w:t>22A(1)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spacing w:before="40"/>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63220"/>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 w:name="WAFER_202211151632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3220_GUID" w:val="2d177d34-bf29-4236-8ed9-5bf6ff638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B80184F0-605E-4C50-8B59-1379056F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12464</Words>
  <Characters>80771</Characters>
  <Application>Microsoft Office Word</Application>
  <DocSecurity>0</DocSecurity>
  <Lines>2524</Lines>
  <Paragraphs>1607</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91628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1996 - 03-c0-00</dc:title>
  <dc:subject/>
  <dc:creator/>
  <cp:keywords/>
  <dc:description/>
  <cp:lastModifiedBy>Master Repository Process</cp:lastModifiedBy>
  <cp:revision>4</cp:revision>
  <cp:lastPrinted>2013-01-24T02:22:00Z</cp:lastPrinted>
  <dcterms:created xsi:type="dcterms:W3CDTF">2022-11-17T07:45:00Z</dcterms:created>
  <dcterms:modified xsi:type="dcterms:W3CDTF">2022-11-17T07:45:00Z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AsAtDate">
    <vt:lpwstr>19 Nov 2022</vt:lpwstr>
  </property>
  <property fmtid="{D5CDD505-2E9C-101B-9397-08002B2CF9AE}" pid="8" name="Suffix">
    <vt:lpwstr>03-c0-00</vt:lpwstr>
  </property>
  <property fmtid="{D5CDD505-2E9C-101B-9397-08002B2CF9AE}" pid="9" name="CommencementDate">
    <vt:lpwstr>20221119</vt:lpwstr>
  </property>
</Properties>
</file>