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_Toc119915681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_Toc119915682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_Toc119915683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_Toc119915684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rPr>
          <w:vertAlign w:val="superscript"/>
        </w:rPr>
        <w:t>1M, 1MC</w:t>
      </w:r>
      <w:r>
        <w:tab/>
        <w:t>Taxable land</w:t>
      </w:r>
      <w:r>
        <w:tab/>
      </w:r>
      <w:r>
        <w:fldChar w:fldCharType="begin"/>
      </w:r>
      <w:r>
        <w:instrText xml:space="preserve"> PAGEREF _Toc119915687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_Toc119915688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_Toc119915689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_Toc119915690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_Toc119915691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_Toc119915692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_Toc119915694 \h </w:instrText>
      </w:r>
      <w:r>
        <w:fldChar w:fldCharType="separate"/>
      </w:r>
      <w:r>
        <w:t>7</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_Toc119915695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_Toc119915696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_Toc119915697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_Toc119915698 \h </w:instrText>
      </w:r>
      <w:r>
        <w:fldChar w:fldCharType="separate"/>
      </w:r>
      <w:r>
        <w:t>9</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_Toc119915699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15A.</w:t>
      </w:r>
      <w:r>
        <w:tab/>
        <w:t>Tax payable on newly subdivided dwelling or residential parks</w:t>
      </w:r>
      <w:r>
        <w:tab/>
      </w:r>
      <w:r>
        <w:fldChar w:fldCharType="begin"/>
      </w:r>
      <w:r>
        <w:instrText xml:space="preserve"> PAGEREF _Toc119915700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_Toc119915701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_Toc119915704 \h </w:instrText>
      </w:r>
      <w:r>
        <w:fldChar w:fldCharType="separate"/>
      </w:r>
      <w:r>
        <w:t>17</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_Toc119915705 \h </w:instrText>
      </w:r>
      <w:r>
        <w:fldChar w:fldCharType="separate"/>
      </w:r>
      <w:r>
        <w:t>17</w:t>
      </w:r>
      <w:r>
        <w:fldChar w:fldCharType="end"/>
      </w:r>
    </w:p>
    <w:p>
      <w:pPr>
        <w:pStyle w:val="TOC8"/>
        <w:rPr>
          <w:rFonts w:asciiTheme="minorHAnsi" w:eastAsiaTheme="minorEastAsia" w:hAnsiTheme="minorHAnsi" w:cstheme="minorBidi"/>
          <w:szCs w:val="22"/>
        </w:rPr>
      </w:pPr>
      <w:r>
        <w:t>18A.</w:t>
      </w:r>
      <w:r>
        <w:tab/>
        <w:t>Taxable value of land subject to partial exemption</w:t>
      </w:r>
      <w:r>
        <w:tab/>
      </w:r>
      <w:r>
        <w:fldChar w:fldCharType="begin"/>
      </w:r>
      <w:r>
        <w:instrText xml:space="preserve"> PAGEREF _Toc119915706 \h </w:instrText>
      </w:r>
      <w:r>
        <w:fldChar w:fldCharType="separate"/>
      </w:r>
      <w:r>
        <w:t>18</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_Toc119915707 \h </w:instrText>
      </w:r>
      <w:r>
        <w:fldChar w:fldCharType="separate"/>
      </w:r>
      <w:r>
        <w:t>19</w:t>
      </w:r>
      <w:r>
        <w:fldChar w:fldCharType="end"/>
      </w:r>
    </w:p>
    <w:p>
      <w:pPr>
        <w:pStyle w:val="TOC8"/>
        <w:rPr>
          <w:rFonts w:asciiTheme="minorHAnsi" w:eastAsiaTheme="minorEastAsia" w:hAnsiTheme="minorHAnsi" w:cstheme="minorBidi"/>
          <w:szCs w:val="22"/>
        </w:rPr>
      </w:pPr>
      <w:r>
        <w:t>20.</w:t>
      </w:r>
      <w:r>
        <w:tab/>
        <w:t>Commissioner’s power to grant exemption or concession for land</w:t>
      </w:r>
      <w:r>
        <w:tab/>
      </w:r>
      <w:r>
        <w:fldChar w:fldCharType="begin"/>
      </w:r>
      <w:r>
        <w:instrText xml:space="preserve"> PAGEREF _Toc119915708 \h </w:instrText>
      </w:r>
      <w:r>
        <w:fldChar w:fldCharType="separate"/>
      </w:r>
      <w:r>
        <w:t>20</w:t>
      </w:r>
      <w:r>
        <w:fldChar w:fldCharType="end"/>
      </w:r>
    </w:p>
    <w:p>
      <w:pPr>
        <w:pStyle w:val="TOC8"/>
        <w:rPr>
          <w:rFonts w:asciiTheme="minorHAnsi" w:eastAsiaTheme="minorEastAsia" w:hAnsiTheme="minorHAnsi" w:cstheme="minorBidi"/>
          <w:szCs w:val="22"/>
        </w:rPr>
      </w:pPr>
      <w:r>
        <w:t>20A.</w:t>
      </w:r>
      <w:r>
        <w:tab/>
        <w:t>Owner of land subject to exemption or concession may be required to notify Commissioner of event or circumstance</w:t>
      </w:r>
      <w:r>
        <w:tab/>
      </w:r>
      <w:r>
        <w:fldChar w:fldCharType="begin"/>
      </w:r>
      <w:r>
        <w:instrText xml:space="preserve"> PAGEREF _Toc119915709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6"/>
        <w:tabs>
          <w:tab w:val="right" w:leader="dot" w:pos="7077"/>
        </w:tabs>
        <w:rPr>
          <w:rFonts w:asciiTheme="minorHAnsi" w:eastAsiaTheme="minorEastAsia" w:hAnsiTheme="minorHAnsi" w:cstheme="minorBidi"/>
          <w:b w:val="0"/>
          <w:sz w:val="22"/>
          <w:szCs w:val="22"/>
        </w:rPr>
      </w:pPr>
      <w:r>
        <w:t>Subdivision 1 — Exemptions and rebates for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_Toc119915712 \h </w:instrText>
      </w:r>
      <w:r>
        <w:fldChar w:fldCharType="separate"/>
      </w:r>
      <w:r>
        <w:t>24</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_Toc119915713 \h </w:instrText>
      </w:r>
      <w:r>
        <w:fldChar w:fldCharType="separate"/>
      </w:r>
      <w:r>
        <w:t>25</w:t>
      </w:r>
      <w:r>
        <w:fldChar w:fldCharType="end"/>
      </w:r>
    </w:p>
    <w:p>
      <w:pPr>
        <w:pStyle w:val="TOC8"/>
        <w:rPr>
          <w:rFonts w:asciiTheme="minorHAnsi" w:eastAsiaTheme="minorEastAsia" w:hAnsiTheme="minorHAnsi" w:cstheme="minorBidi"/>
          <w:szCs w:val="22"/>
        </w:rPr>
      </w:pPr>
      <w:r>
        <w:t>23A.</w:t>
      </w:r>
      <w:r>
        <w:tab/>
        <w:t>Exemption for residence owned by executor or administrator if beneficiary in will has right to future ownership and is resident</w:t>
      </w:r>
      <w:r>
        <w:tab/>
      </w:r>
      <w:r>
        <w:fldChar w:fldCharType="begin"/>
      </w:r>
      <w:r>
        <w:instrText xml:space="preserve"> PAGEREF _Toc119915714 \h </w:instrText>
      </w:r>
      <w:r>
        <w:fldChar w:fldCharType="separate"/>
      </w:r>
      <w:r>
        <w:t>26</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_Toc119915715 \h </w:instrText>
      </w:r>
      <w:r>
        <w:fldChar w:fldCharType="separate"/>
      </w:r>
      <w:r>
        <w:t>26</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_Toc119915716 \h </w:instrText>
      </w:r>
      <w:r>
        <w:fldChar w:fldCharType="separate"/>
      </w:r>
      <w:r>
        <w:t>27</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_Toc119915717 \h </w:instrText>
      </w:r>
      <w:r>
        <w:fldChar w:fldCharType="separate"/>
      </w:r>
      <w:r>
        <w:t>28</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_Toc119915718 \h </w:instrText>
      </w:r>
      <w:r>
        <w:fldChar w:fldCharType="separate"/>
      </w:r>
      <w:r>
        <w:t>30</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_Toc119915719 \h </w:instrText>
      </w:r>
      <w:r>
        <w:fldChar w:fldCharType="separate"/>
      </w:r>
      <w:r>
        <w:t>31</w:t>
      </w:r>
      <w:r>
        <w:fldChar w:fldCharType="end"/>
      </w:r>
    </w:p>
    <w:p>
      <w:pPr>
        <w:pStyle w:val="TOC8"/>
        <w:rPr>
          <w:rFonts w:asciiTheme="minorHAnsi" w:eastAsiaTheme="minorEastAsia" w:hAnsiTheme="minorHAnsi" w:cstheme="minorBidi"/>
          <w:szCs w:val="22"/>
        </w:rPr>
      </w:pPr>
      <w:r>
        <w:t>26.</w:t>
      </w:r>
      <w:r>
        <w:tab/>
        <w:t>Exemption for residence of disabled person held in trust</w:t>
      </w:r>
      <w:r>
        <w:tab/>
      </w:r>
      <w:r>
        <w:fldChar w:fldCharType="begin"/>
      </w:r>
      <w:r>
        <w:instrText xml:space="preserve"> PAGEREF _Toc119915720 \h </w:instrText>
      </w:r>
      <w:r>
        <w:fldChar w:fldCharType="separate"/>
      </w:r>
      <w:r>
        <w:t>32</w:t>
      </w:r>
      <w:r>
        <w:fldChar w:fldCharType="end"/>
      </w:r>
    </w:p>
    <w:p>
      <w:pPr>
        <w:pStyle w:val="TOC8"/>
        <w:rPr>
          <w:rFonts w:asciiTheme="minorHAnsi" w:eastAsiaTheme="minorEastAsia" w:hAnsiTheme="minorHAnsi" w:cstheme="minorBidi"/>
          <w:szCs w:val="22"/>
        </w:rPr>
      </w:pPr>
      <w:r>
        <w:t>26A.</w:t>
      </w:r>
      <w:r>
        <w:tab/>
        <w:t>Exemption for residence of disabled person owned by relative</w:t>
      </w:r>
      <w:r>
        <w:tab/>
      </w:r>
      <w:r>
        <w:fldChar w:fldCharType="begin"/>
      </w:r>
      <w:r>
        <w:instrText xml:space="preserve"> PAGEREF _Toc119915721 \h </w:instrText>
      </w:r>
      <w:r>
        <w:fldChar w:fldCharType="separate"/>
      </w:r>
      <w:r>
        <w:t>32</w:t>
      </w:r>
      <w:r>
        <w:fldChar w:fldCharType="end"/>
      </w:r>
    </w:p>
    <w:p>
      <w:pPr>
        <w:pStyle w:val="TOC8"/>
        <w:rPr>
          <w:rFonts w:asciiTheme="minorHAnsi" w:eastAsiaTheme="minorEastAsia" w:hAnsiTheme="minorHAnsi" w:cstheme="minorBidi"/>
          <w:szCs w:val="22"/>
        </w:rPr>
      </w:pPr>
      <w:r>
        <w:lastRenderedPageBreak/>
        <w:t>26B.</w:t>
      </w:r>
      <w:r>
        <w:tab/>
        <w:t>Exemption for property owned by individual in care</w:t>
      </w:r>
      <w:r>
        <w:tab/>
      </w:r>
      <w:r>
        <w:fldChar w:fldCharType="begin"/>
      </w:r>
      <w:r>
        <w:instrText xml:space="preserve"> PAGEREF _Toc119915722 \h </w:instrText>
      </w:r>
      <w:r>
        <w:fldChar w:fldCharType="separate"/>
      </w:r>
      <w:r>
        <w:t>33</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_Toc119915723 \h </w:instrText>
      </w:r>
      <w:r>
        <w:fldChar w:fldCharType="separate"/>
      </w:r>
      <w:r>
        <w:t>36</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_Toc119915724 \h </w:instrText>
      </w:r>
      <w:r>
        <w:fldChar w:fldCharType="separate"/>
      </w:r>
      <w:r>
        <w:t>37</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_Toc119915725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 of private residential exemptions to subdivided land</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_Toc119915727 \h </w:instrText>
      </w:r>
      <w:r>
        <w:fldChar w:fldCharType="separate"/>
      </w:r>
      <w:r>
        <w:t>41</w:t>
      </w:r>
      <w:r>
        <w:fldChar w:fldCharType="end"/>
      </w:r>
    </w:p>
    <w:p>
      <w:pPr>
        <w:pStyle w:val="TOC8"/>
        <w:rPr>
          <w:rFonts w:asciiTheme="minorHAnsi" w:eastAsiaTheme="minorEastAsia" w:hAnsiTheme="minorHAnsi" w:cstheme="minorBidi"/>
          <w:szCs w:val="22"/>
        </w:rPr>
      </w:pPr>
      <w:r>
        <w:t>28B.</w:t>
      </w:r>
      <w:r>
        <w:tab/>
        <w:t>Application of certain private residential exemptions to property subdivided during exemption period</w:t>
      </w:r>
      <w:r>
        <w:tab/>
      </w:r>
      <w:r>
        <w:fldChar w:fldCharType="begin"/>
      </w:r>
      <w:r>
        <w:instrText xml:space="preserve"> PAGEREF _Toc119915728 \h </w:instrText>
      </w:r>
      <w:r>
        <w:fldChar w:fldCharType="separate"/>
      </w:r>
      <w:r>
        <w:t>42</w:t>
      </w:r>
      <w:r>
        <w:fldChar w:fldCharType="end"/>
      </w:r>
    </w:p>
    <w:p>
      <w:pPr>
        <w:pStyle w:val="TOC8"/>
        <w:rPr>
          <w:rFonts w:asciiTheme="minorHAnsi" w:eastAsiaTheme="minorEastAsia" w:hAnsiTheme="minorHAnsi" w:cstheme="minorBidi"/>
          <w:szCs w:val="22"/>
        </w:rPr>
      </w:pPr>
      <w:r>
        <w:t>28C.</w:t>
      </w:r>
      <w:r>
        <w:tab/>
        <w:t>Application of requirements relating to sale or disposal of subdivided property</w:t>
      </w:r>
      <w:r>
        <w:tab/>
      </w:r>
      <w:r>
        <w:fldChar w:fldCharType="begin"/>
      </w:r>
      <w:r>
        <w:instrText xml:space="preserve"> PAGEREF _Toc119915729 \h </w:instrText>
      </w:r>
      <w:r>
        <w:fldChar w:fldCharType="separate"/>
      </w:r>
      <w:r>
        <w:t>43</w:t>
      </w:r>
      <w:r>
        <w:fldChar w:fldCharType="end"/>
      </w:r>
    </w:p>
    <w:p>
      <w:pPr>
        <w:pStyle w:val="TOC8"/>
        <w:rPr>
          <w:rFonts w:asciiTheme="minorHAnsi" w:eastAsiaTheme="minorEastAsia" w:hAnsiTheme="minorHAnsi" w:cstheme="minorBidi"/>
          <w:szCs w:val="22"/>
        </w:rPr>
      </w:pPr>
      <w:r>
        <w:t>28D.</w:t>
      </w:r>
      <w:r>
        <w:tab/>
        <w:t>Application of 2</w:t>
      </w:r>
      <w:r>
        <w:noBreakHyphen/>
        <w:t>year private residential exemptions if property subdivided during first year</w:t>
      </w:r>
      <w:r>
        <w:tab/>
      </w:r>
      <w:r>
        <w:fldChar w:fldCharType="begin"/>
      </w:r>
      <w:r>
        <w:instrText xml:space="preserve"> PAGEREF _Toc119915730 \h </w:instrText>
      </w:r>
      <w:r>
        <w:fldChar w:fldCharType="separate"/>
      </w:r>
      <w:r>
        <w:t>44</w:t>
      </w:r>
      <w:r>
        <w:fldChar w:fldCharType="end"/>
      </w:r>
    </w:p>
    <w:p>
      <w:pPr>
        <w:pStyle w:val="TOC8"/>
        <w:rPr>
          <w:rFonts w:asciiTheme="minorHAnsi" w:eastAsiaTheme="minorEastAsia" w:hAnsiTheme="minorHAnsi" w:cstheme="minorBidi"/>
          <w:szCs w:val="22"/>
        </w:rPr>
      </w:pPr>
      <w:r>
        <w:t>28E.</w:t>
      </w:r>
      <w:r>
        <w:tab/>
        <w:t>Ownership of land during period when land subdivided but certificates of title not issued</w:t>
      </w:r>
      <w:r>
        <w:tab/>
      </w:r>
      <w:r>
        <w:fldChar w:fldCharType="begin"/>
      </w:r>
      <w:r>
        <w:instrText xml:space="preserve"> PAGEREF _Toc119915731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_Toc119915734 \h </w:instrText>
      </w:r>
      <w:r>
        <w:fldChar w:fldCharType="separate"/>
      </w:r>
      <w:r>
        <w:t>45</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_Toc119915735 \h </w:instrText>
      </w:r>
      <w:r>
        <w:fldChar w:fldCharType="separate"/>
      </w:r>
      <w:r>
        <w:t>46</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_Toc119915736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_Toc119915738 \h </w:instrText>
      </w:r>
      <w:r>
        <w:fldChar w:fldCharType="separate"/>
      </w:r>
      <w:r>
        <w:t>48</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_Toc119915739 \h </w:instrText>
      </w:r>
      <w:r>
        <w:fldChar w:fldCharType="separate"/>
      </w:r>
      <w:r>
        <w:t>48</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_Toc119915740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_Toc119915742 \h </w:instrText>
      </w:r>
      <w:r>
        <w:fldChar w:fldCharType="separate"/>
      </w:r>
      <w:r>
        <w:t>50</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_Toc119915743 \h </w:instrText>
      </w:r>
      <w:r>
        <w:fldChar w:fldCharType="separate"/>
      </w:r>
      <w:r>
        <w:t>50</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_Toc119915744 \h </w:instrText>
      </w:r>
      <w:r>
        <w:fldChar w:fldCharType="separate"/>
      </w:r>
      <w:r>
        <w:t>51</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_Toc119915745 \h </w:instrText>
      </w:r>
      <w:r>
        <w:fldChar w:fldCharType="separate"/>
      </w:r>
      <w:r>
        <w:t>52</w:t>
      </w:r>
      <w:r>
        <w:fldChar w:fldCharType="end"/>
      </w:r>
    </w:p>
    <w:p>
      <w:pPr>
        <w:pStyle w:val="TOC8"/>
        <w:rPr>
          <w:rFonts w:asciiTheme="minorHAnsi" w:eastAsiaTheme="minorEastAsia" w:hAnsiTheme="minorHAnsi" w:cstheme="minorBidi"/>
          <w:szCs w:val="22"/>
        </w:rPr>
      </w:pPr>
      <w:r>
        <w:lastRenderedPageBreak/>
        <w:t>30K.</w:t>
      </w:r>
      <w:r>
        <w:tab/>
        <w:t>Persons related to trustee of family trust</w:t>
      </w:r>
      <w:r>
        <w:tab/>
      </w:r>
      <w:r>
        <w:fldChar w:fldCharType="begin"/>
      </w:r>
      <w:r>
        <w:instrText xml:space="preserve"> PAGEREF _Toc119915746 \h </w:instrText>
      </w:r>
      <w:r>
        <w:fldChar w:fldCharType="separate"/>
      </w:r>
      <w:r>
        <w:t>52</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_Toc119915747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_Toc119915749 \h </w:instrText>
      </w:r>
      <w:r>
        <w:fldChar w:fldCharType="separate"/>
      </w:r>
      <w:r>
        <w:t>54</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_Toc119915750 \h </w:instrText>
      </w:r>
      <w:r>
        <w:fldChar w:fldCharType="separate"/>
      </w:r>
      <w:r>
        <w:t>55</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_Toc119915751 \h </w:instrText>
      </w:r>
      <w:r>
        <w:fldChar w:fldCharType="separate"/>
      </w:r>
      <w:r>
        <w:t>56</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_Toc119915752 \h </w:instrText>
      </w:r>
      <w:r>
        <w:fldChar w:fldCharType="separate"/>
      </w:r>
      <w:r>
        <w:t>58</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_Toc119915753 \h </w:instrText>
      </w:r>
      <w:r>
        <w:fldChar w:fldCharType="separate"/>
      </w:r>
      <w:r>
        <w:t>58</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_Toc119915754 \h </w:instrText>
      </w:r>
      <w:r>
        <w:fldChar w:fldCharType="separate"/>
      </w:r>
      <w:r>
        <w:t>58</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_Toc119915755 \h </w:instrText>
      </w:r>
      <w:r>
        <w:fldChar w:fldCharType="separate"/>
      </w:r>
      <w:r>
        <w:t>58</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_Toc119915756 \h </w:instrText>
      </w:r>
      <w:r>
        <w:fldChar w:fldCharType="separate"/>
      </w:r>
      <w:r>
        <w:t>59</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_Toc119915757 \h </w:instrText>
      </w:r>
      <w:r>
        <w:fldChar w:fldCharType="separate"/>
      </w:r>
      <w:r>
        <w:t>60</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_Toc119915758 \h </w:instrText>
      </w:r>
      <w:r>
        <w:fldChar w:fldCharType="separate"/>
      </w:r>
      <w:r>
        <w:t>61</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_Toc119915759 \h </w:instrText>
      </w:r>
      <w:r>
        <w:fldChar w:fldCharType="separate"/>
      </w:r>
      <w:r>
        <w:t>63</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_Toc119915760 \h </w:instrText>
      </w:r>
      <w:r>
        <w:fldChar w:fldCharType="separate"/>
      </w:r>
      <w:r>
        <w:t>63</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_Toc119915761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4A — Land used for dwelling or residential parks</w:t>
      </w:r>
    </w:p>
    <w:p>
      <w:pPr>
        <w:pStyle w:val="TOC8"/>
        <w:rPr>
          <w:rFonts w:asciiTheme="minorHAnsi" w:eastAsiaTheme="minorEastAsia" w:hAnsiTheme="minorHAnsi" w:cstheme="minorBidi"/>
          <w:szCs w:val="22"/>
        </w:rPr>
      </w:pPr>
      <w:r>
        <w:t>39A.</w:t>
      </w:r>
      <w:r>
        <w:tab/>
        <w:t>Terms used</w:t>
      </w:r>
      <w:r>
        <w:tab/>
      </w:r>
      <w:r>
        <w:fldChar w:fldCharType="begin"/>
      </w:r>
      <w:r>
        <w:instrText xml:space="preserve"> PAGEREF _Toc119915763 \h </w:instrText>
      </w:r>
      <w:r>
        <w:fldChar w:fldCharType="separate"/>
      </w:r>
      <w:r>
        <w:t>65</w:t>
      </w:r>
      <w:r>
        <w:fldChar w:fldCharType="end"/>
      </w:r>
    </w:p>
    <w:p>
      <w:pPr>
        <w:pStyle w:val="TOC8"/>
        <w:rPr>
          <w:rFonts w:asciiTheme="minorHAnsi" w:eastAsiaTheme="minorEastAsia" w:hAnsiTheme="minorHAnsi" w:cstheme="minorBidi"/>
          <w:szCs w:val="22"/>
        </w:rPr>
      </w:pPr>
      <w:r>
        <w:t>39B.</w:t>
      </w:r>
      <w:r>
        <w:tab/>
        <w:t>Exemption for land in dwelling or residential parks</w:t>
      </w:r>
      <w:r>
        <w:tab/>
      </w:r>
      <w:r>
        <w:fldChar w:fldCharType="begin"/>
      </w:r>
      <w:r>
        <w:instrText xml:space="preserve"> PAGEREF _Toc119915764 \h </w:instrText>
      </w:r>
      <w:r>
        <w:fldChar w:fldCharType="separate"/>
      </w:r>
      <w:r>
        <w:t>66</w:t>
      </w:r>
      <w:r>
        <w:fldChar w:fldCharType="end"/>
      </w:r>
    </w:p>
    <w:p>
      <w:pPr>
        <w:pStyle w:val="TOC8"/>
        <w:rPr>
          <w:rFonts w:asciiTheme="minorHAnsi" w:eastAsiaTheme="minorEastAsia" w:hAnsiTheme="minorHAnsi" w:cstheme="minorBidi"/>
          <w:szCs w:val="22"/>
        </w:rPr>
      </w:pPr>
      <w:r>
        <w:t>39C.</w:t>
      </w:r>
      <w:r>
        <w:tab/>
        <w:t>Calculating percentage for exemption for dwelling or residential parks</w:t>
      </w:r>
      <w:r>
        <w:tab/>
      </w:r>
      <w:r>
        <w:fldChar w:fldCharType="begin"/>
      </w:r>
      <w:r>
        <w:instrText xml:space="preserve"> PAGEREF _Toc119915765 \h </w:instrText>
      </w:r>
      <w:r>
        <w:fldChar w:fldCharType="separate"/>
      </w:r>
      <w:r>
        <w:t>67</w:t>
      </w:r>
      <w:r>
        <w:fldChar w:fldCharType="end"/>
      </w:r>
    </w:p>
    <w:p>
      <w:pPr>
        <w:pStyle w:val="TOC8"/>
        <w:rPr>
          <w:rFonts w:asciiTheme="minorHAnsi" w:eastAsiaTheme="minorEastAsia" w:hAnsiTheme="minorHAnsi" w:cstheme="minorBidi"/>
          <w:szCs w:val="22"/>
        </w:rPr>
      </w:pPr>
      <w:r>
        <w:t>39D.</w:t>
      </w:r>
      <w:r>
        <w:tab/>
        <w:t>Provisions about calculations under s. 39C</w:t>
      </w:r>
      <w:r>
        <w:tab/>
      </w:r>
      <w:r>
        <w:fldChar w:fldCharType="begin"/>
      </w:r>
      <w:r>
        <w:instrText xml:space="preserve"> PAGEREF _Toc119915766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_Toc119915768 \h </w:instrText>
      </w:r>
      <w:r>
        <w:fldChar w:fldCharType="separate"/>
      </w:r>
      <w:r>
        <w:t>70</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_Toc119915769 \h </w:instrText>
      </w:r>
      <w:r>
        <w:fldChar w:fldCharType="separate"/>
      </w:r>
      <w:r>
        <w:t>70</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_Toc119915770 \h </w:instrText>
      </w:r>
      <w:r>
        <w:fldChar w:fldCharType="separate"/>
      </w:r>
      <w:r>
        <w:t>70</w:t>
      </w:r>
      <w:r>
        <w:fldChar w:fldCharType="end"/>
      </w:r>
    </w:p>
    <w:p>
      <w:pPr>
        <w:pStyle w:val="TOC8"/>
        <w:rPr>
          <w:rFonts w:asciiTheme="minorHAnsi" w:eastAsiaTheme="minorEastAsia" w:hAnsiTheme="minorHAnsi" w:cstheme="minorBidi"/>
          <w:szCs w:val="22"/>
        </w:rPr>
      </w:pPr>
      <w:r>
        <w:t>42.</w:t>
      </w:r>
      <w:r>
        <w:tab/>
        <w:t>One year exemption for land vacated for sale by mortgagee</w:t>
      </w:r>
      <w:r>
        <w:tab/>
      </w:r>
      <w:r>
        <w:fldChar w:fldCharType="begin"/>
      </w:r>
      <w:r>
        <w:instrText xml:space="preserve"> PAGEREF _Toc119915771 \h </w:instrText>
      </w:r>
      <w:r>
        <w:fldChar w:fldCharType="separate"/>
      </w:r>
      <w:r>
        <w:t>71</w:t>
      </w:r>
      <w:r>
        <w:fldChar w:fldCharType="end"/>
      </w:r>
    </w:p>
    <w:p>
      <w:pPr>
        <w:pStyle w:val="TOC8"/>
        <w:rPr>
          <w:rFonts w:asciiTheme="minorHAnsi" w:eastAsiaTheme="minorEastAsia" w:hAnsiTheme="minorHAnsi" w:cstheme="minorBidi"/>
          <w:szCs w:val="22"/>
        </w:rPr>
      </w:pPr>
      <w:r>
        <w:lastRenderedPageBreak/>
        <w:t>43A.</w:t>
      </w:r>
      <w:r>
        <w:tab/>
        <w:t>Newly subdivided land, concession for</w:t>
      </w:r>
      <w:r>
        <w:tab/>
      </w:r>
      <w:r>
        <w:fldChar w:fldCharType="begin"/>
      </w:r>
      <w:r>
        <w:instrText xml:space="preserve"> PAGEREF _Toc119915772 \h </w:instrText>
      </w:r>
      <w:r>
        <w:fldChar w:fldCharType="separate"/>
      </w:r>
      <w:r>
        <w:t>72</w:t>
      </w:r>
      <w:r>
        <w:fldChar w:fldCharType="end"/>
      </w:r>
    </w:p>
    <w:p>
      <w:pPr>
        <w:pStyle w:val="TOC8"/>
        <w:rPr>
          <w:rFonts w:asciiTheme="minorHAnsi" w:eastAsiaTheme="minorEastAsia" w:hAnsiTheme="minorHAnsi" w:cstheme="minorBidi"/>
          <w:szCs w:val="22"/>
        </w:rPr>
      </w:pPr>
      <w:r>
        <w:t>43B.</w:t>
      </w:r>
      <w:r>
        <w:tab/>
        <w:t>Freehold reversion in parcel subdivided by leasehold scheme, exemption for</w:t>
      </w:r>
      <w:r>
        <w:tab/>
      </w:r>
      <w:r>
        <w:fldChar w:fldCharType="begin"/>
      </w:r>
      <w:r>
        <w:instrText xml:space="preserve"> PAGEREF _Toc119915773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_Toc119915775 \h </w:instrText>
      </w:r>
      <w:r>
        <w:fldChar w:fldCharType="separate"/>
      </w:r>
      <w:r>
        <w:t>75</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_Toc119915776 \h </w:instrText>
      </w:r>
      <w:r>
        <w:fldChar w:fldCharType="separate"/>
      </w:r>
      <w:r>
        <w:t>75</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_Toc119915777 \h </w:instrText>
      </w:r>
      <w:r>
        <w:fldChar w:fldCharType="separate"/>
      </w:r>
      <w:r>
        <w:t>76</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_Toc119915778 \h </w:instrText>
      </w:r>
      <w:r>
        <w:fldChar w:fldCharType="separate"/>
      </w:r>
      <w:r>
        <w:t>77</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_Toc119915779 \h </w:instrText>
      </w:r>
      <w:r>
        <w:fldChar w:fldCharType="separate"/>
      </w:r>
      <w:r>
        <w:t>78</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_Toc119915780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_Toc119915783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_Toc119915785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_Toc119915787 \h </w:instrText>
      </w:r>
      <w:r>
        <w:fldChar w:fldCharType="separate"/>
      </w:r>
      <w:r>
        <w:t>80</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_Toc119915788 \h </w:instrText>
      </w:r>
      <w:r>
        <w:fldChar w:fldCharType="separate"/>
      </w:r>
      <w:r>
        <w:t>81</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_Toc119915789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_Toc119915792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_Toc119915794 \h </w:instrText>
      </w:r>
      <w:r>
        <w:fldChar w:fldCharType="separate"/>
      </w:r>
      <w:r>
        <w:t>82</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_Toc119915795 \h </w:instrText>
      </w:r>
      <w:r>
        <w:fldChar w:fldCharType="separate"/>
      </w:r>
      <w:r>
        <w:t>83</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_Toc119915796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_Toc119915798 \h </w:instrText>
      </w:r>
      <w:r>
        <w:fldChar w:fldCharType="separate"/>
      </w:r>
      <w:r>
        <w:t>84</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_Toc119915799 \h </w:instrText>
      </w:r>
      <w:r>
        <w:fldChar w:fldCharType="separate"/>
      </w:r>
      <w:r>
        <w:t>85</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_Toc119915800 \h </w:instrText>
      </w:r>
      <w:r>
        <w:fldChar w:fldCharType="separate"/>
      </w:r>
      <w:r>
        <w:t>86</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_Toc119915801 \h </w:instrText>
      </w:r>
      <w:r>
        <w:fldChar w:fldCharType="separate"/>
      </w:r>
      <w:r>
        <w:t>86</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_Toc119915802 \h </w:instrText>
      </w:r>
      <w:r>
        <w:fldChar w:fldCharType="separate"/>
      </w:r>
      <w:r>
        <w:t>86</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_Toc119915803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_Toc119915805 \h </w:instrText>
      </w:r>
      <w:r>
        <w:fldChar w:fldCharType="separate"/>
      </w:r>
      <w:r>
        <w:t>87</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_Toc119915806 \h </w:instrText>
      </w:r>
      <w:r>
        <w:fldChar w:fldCharType="separate"/>
      </w:r>
      <w:r>
        <w:t>88</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_Toc119915807 \h </w:instrText>
      </w:r>
      <w:r>
        <w:fldChar w:fldCharType="separate"/>
      </w:r>
      <w:r>
        <w:t>89</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_Toc119915808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r>
      <w:r>
        <w:fldChar w:fldCharType="begin"/>
      </w:r>
      <w:r>
        <w:instrText xml:space="preserve"> PAGEREF _Toc119915810 \h </w:instrText>
      </w:r>
      <w:r>
        <w:fldChar w:fldCharType="separate"/>
      </w:r>
      <w:r>
        <w:t>90</w:t>
      </w:r>
      <w:r>
        <w:fldChar w:fldCharType="end"/>
      </w:r>
    </w:p>
    <w:p>
      <w:pPr>
        <w:pStyle w:val="TOC8"/>
        <w:rPr>
          <w:rFonts w:asciiTheme="minorHAnsi" w:eastAsiaTheme="minorEastAsia" w:hAnsiTheme="minorHAnsi" w:cstheme="minorBidi"/>
          <w:szCs w:val="22"/>
        </w:rPr>
      </w:pPr>
      <w:r>
        <w:t>21.</w:t>
      </w:r>
      <w:r>
        <w:tab/>
        <w:t>Application of amendments relating to subdivision of land</w:t>
      </w:r>
      <w:r>
        <w:tab/>
      </w:r>
      <w:r>
        <w:fldChar w:fldCharType="begin"/>
      </w:r>
      <w:r>
        <w:instrText xml:space="preserve"> PAGEREF _Toc119915811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 xml:space="preserve">Provisions for </w:t>
      </w:r>
      <w:r>
        <w:rPr>
          <w:i/>
        </w:rPr>
        <w:t>Land Tax Assessment Amendment Act 2022</w:t>
      </w:r>
    </w:p>
    <w:p>
      <w:pPr>
        <w:pStyle w:val="TOC8"/>
        <w:rPr>
          <w:rFonts w:asciiTheme="minorHAnsi" w:eastAsiaTheme="minorEastAsia" w:hAnsiTheme="minorHAnsi" w:cstheme="minorBidi"/>
          <w:szCs w:val="22"/>
        </w:rPr>
      </w:pPr>
      <w:r>
        <w:t>22.</w:t>
      </w:r>
      <w:r>
        <w:tab/>
        <w:t xml:space="preserve">Application of amendments made by </w:t>
      </w:r>
      <w:r>
        <w:rPr>
          <w:i/>
        </w:rPr>
        <w:t>Land Tax Assessment Amendment Act 2022</w:t>
      </w:r>
      <w:r>
        <w:t xml:space="preserve"> Part 2</w:t>
      </w:r>
      <w:r>
        <w:tab/>
      </w:r>
      <w:r>
        <w:fldChar w:fldCharType="begin"/>
      </w:r>
      <w:r>
        <w:instrText xml:space="preserve"> PAGEREF _Toc119915813 \h </w:instrText>
      </w:r>
      <w:r>
        <w:fldChar w:fldCharType="separate"/>
      </w:r>
      <w:r>
        <w:t>91</w:t>
      </w:r>
      <w:r>
        <w:fldChar w:fldCharType="end"/>
      </w:r>
    </w:p>
    <w:p>
      <w:pPr>
        <w:pStyle w:val="TOC8"/>
        <w:rPr>
          <w:rFonts w:asciiTheme="minorHAnsi" w:eastAsiaTheme="minorEastAsia" w:hAnsiTheme="minorHAnsi" w:cstheme="minorBidi"/>
          <w:szCs w:val="22"/>
        </w:rPr>
      </w:pPr>
      <w:r>
        <w:t>23.</w:t>
      </w:r>
      <w:r>
        <w:tab/>
        <w:t>Reduced exemption percentage for land used for dwelling or residential park does not apply for certain financial years</w:t>
      </w:r>
      <w:r>
        <w:tab/>
      </w:r>
      <w:r>
        <w:fldChar w:fldCharType="begin"/>
      </w:r>
      <w:r>
        <w:instrText xml:space="preserve"> PAGEREF _Toc119915814 \h </w:instrText>
      </w:r>
      <w:r>
        <w:fldChar w:fldCharType="separate"/>
      </w:r>
      <w:r>
        <w:t>91</w:t>
      </w:r>
      <w:r>
        <w:fldChar w:fldCharType="end"/>
      </w:r>
    </w:p>
    <w:p>
      <w:pPr>
        <w:pStyle w:val="TOC8"/>
        <w:rPr>
          <w:rFonts w:asciiTheme="minorHAnsi" w:eastAsiaTheme="minorEastAsia" w:hAnsiTheme="minorHAnsi" w:cstheme="minorBidi"/>
          <w:szCs w:val="22"/>
        </w:rPr>
      </w:pPr>
      <w:r>
        <w:t>24.</w:t>
      </w:r>
      <w:r>
        <w:tab/>
        <w:t>Continued application of notification requirements</w:t>
      </w:r>
      <w:r>
        <w:tab/>
      </w:r>
      <w:r>
        <w:fldChar w:fldCharType="begin"/>
      </w:r>
      <w:r>
        <w:instrText xml:space="preserve"> PAGEREF _Toc119915815 \h </w:instrText>
      </w:r>
      <w:r>
        <w:fldChar w:fldCharType="separate"/>
      </w:r>
      <w:r>
        <w:t>92</w:t>
      </w:r>
      <w:r>
        <w:fldChar w:fldCharType="end"/>
      </w:r>
    </w:p>
    <w:p>
      <w:pPr>
        <w:pStyle w:val="TOC8"/>
        <w:rPr>
          <w:rFonts w:asciiTheme="minorHAnsi" w:eastAsiaTheme="minorEastAsia" w:hAnsiTheme="minorHAnsi" w:cstheme="minorBidi"/>
          <w:szCs w:val="22"/>
        </w:rPr>
      </w:pPr>
      <w:r>
        <w:t>25.</w:t>
      </w:r>
      <w:r>
        <w:tab/>
        <w:t>Reassessment</w:t>
      </w:r>
      <w:r>
        <w:tab/>
      </w:r>
      <w:r>
        <w:fldChar w:fldCharType="begin"/>
      </w:r>
      <w:r>
        <w:instrText xml:space="preserve"> PAGEREF _Toc119915816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1M, 1MC</w:t>
      </w:r>
      <w:r>
        <w:tab/>
        <w:t>Terms used</w:t>
      </w:r>
      <w:r>
        <w:tab/>
      </w:r>
      <w:r>
        <w:fldChar w:fldCharType="begin"/>
      </w:r>
      <w:r>
        <w:instrText xml:space="preserve"> PAGEREF _Toc119915818 \h </w:instrText>
      </w:r>
      <w:r>
        <w:fldChar w:fldCharType="separate"/>
      </w:r>
      <w:r>
        <w:t>94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_Toc119915819 \h </w:instrText>
      </w:r>
      <w:r>
        <w:fldChar w:fldCharType="separate"/>
      </w:r>
      <w:r>
        <w:t>101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_Toc119915820 \h </w:instrText>
      </w:r>
      <w:r>
        <w:fldChar w:fldCharType="separate"/>
      </w:r>
      <w:r>
        <w:t>104</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_Toc119915821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_Toc119915823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_Toc119915824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119675927"/>
      <w:bookmarkStart w:id="4" w:name="_Toc119678900"/>
      <w:bookmarkStart w:id="5" w:name="_Toc11991568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11991568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7" w:name="_Toc119915682"/>
      <w:r>
        <w:rPr>
          <w:rStyle w:val="CharSectno"/>
        </w:rPr>
        <w:t>2</w:t>
      </w:r>
      <w:r>
        <w:rPr>
          <w:snapToGrid w:val="0"/>
        </w:rPr>
        <w:t>.</w:t>
      </w:r>
      <w:r>
        <w:rPr>
          <w:snapToGrid w:val="0"/>
        </w:rPr>
        <w:tab/>
        <w:t>Commencement</w:t>
      </w:r>
      <w:bookmarkEnd w:id="7"/>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8" w:name="_Toc119915683"/>
      <w:r>
        <w:rPr>
          <w:rStyle w:val="CharSectno"/>
        </w:rPr>
        <w:t>3</w:t>
      </w:r>
      <w:r>
        <w:t>.</w:t>
      </w:r>
      <w:r>
        <w:tab/>
        <w:t>Relationship with other Acts</w:t>
      </w:r>
      <w:bookmarkEnd w:id="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 w:name="_Toc119915684"/>
      <w:r>
        <w:rPr>
          <w:rStyle w:val="CharSectno"/>
        </w:rPr>
        <w:t>4</w:t>
      </w:r>
      <w:r>
        <w:t>.</w:t>
      </w:r>
      <w:r>
        <w:tab/>
        <w:t>Terms used</w:t>
      </w:r>
      <w:bookmarkEnd w:id="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Heading2"/>
      </w:pPr>
      <w:bookmarkStart w:id="10" w:name="_Toc119675932"/>
      <w:bookmarkStart w:id="11" w:name="_Toc119678905"/>
      <w:bookmarkStart w:id="12" w:name="_Toc119915685"/>
      <w:r>
        <w:rPr>
          <w:rStyle w:val="CharPartNo"/>
        </w:rPr>
        <w:lastRenderedPageBreak/>
        <w:t>Part 2</w:t>
      </w:r>
      <w:r>
        <w:t xml:space="preserve"> — </w:t>
      </w:r>
      <w:r>
        <w:rPr>
          <w:rStyle w:val="CharPartText"/>
        </w:rPr>
        <w:t>Land tax liability and assessment</w:t>
      </w:r>
      <w:bookmarkEnd w:id="10"/>
      <w:bookmarkEnd w:id="11"/>
      <w:bookmarkEnd w:id="12"/>
    </w:p>
    <w:p>
      <w:pPr>
        <w:pStyle w:val="Heading3"/>
      </w:pPr>
      <w:bookmarkStart w:id="13" w:name="_Toc119675933"/>
      <w:bookmarkStart w:id="14" w:name="_Toc119678906"/>
      <w:bookmarkStart w:id="15" w:name="_Toc119915686"/>
      <w:r>
        <w:rPr>
          <w:rStyle w:val="CharDivNo"/>
        </w:rPr>
        <w:t>Division 1</w:t>
      </w:r>
      <w:r>
        <w:t xml:space="preserve"> — </w:t>
      </w:r>
      <w:r>
        <w:rPr>
          <w:rStyle w:val="CharDivText"/>
        </w:rPr>
        <w:t>Liability to land tax</w:t>
      </w:r>
      <w:bookmarkEnd w:id="13"/>
      <w:bookmarkEnd w:id="14"/>
      <w:bookmarkEnd w:id="15"/>
    </w:p>
    <w:p>
      <w:pPr>
        <w:pStyle w:val="Heading5"/>
      </w:pPr>
      <w:bookmarkStart w:id="16" w:name="_Toc119915687"/>
      <w:r>
        <w:rPr>
          <w:rStyle w:val="CharSectno"/>
        </w:rPr>
        <w:t>5</w:t>
      </w:r>
      <w:r>
        <w:t>.</w:t>
      </w:r>
      <w:r>
        <w:rPr>
          <w:vertAlign w:val="superscript"/>
        </w:rPr>
        <w:t>1M, 1MC</w:t>
      </w:r>
      <w:r>
        <w:tab/>
        <w:t>Taxable land</w:t>
      </w:r>
      <w:bookmarkEnd w:id="16"/>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17" w:name="_Toc119915688"/>
      <w:r>
        <w:rPr>
          <w:rStyle w:val="CharSectno"/>
        </w:rPr>
        <w:t>6</w:t>
      </w:r>
      <w:r>
        <w:t>.</w:t>
      </w:r>
      <w:r>
        <w:tab/>
        <w:t>Time for payment of land tax</w:t>
      </w:r>
      <w:bookmarkEnd w:id="1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8" w:name="_Toc119915689"/>
      <w:r>
        <w:rPr>
          <w:rStyle w:val="CharSectno"/>
        </w:rPr>
        <w:t>7</w:t>
      </w:r>
      <w:r>
        <w:t>.</w:t>
      </w:r>
      <w:r>
        <w:tab/>
        <w:t>Liability to pay land tax</w:t>
      </w:r>
      <w:bookmarkEnd w:id="1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lastRenderedPageBreak/>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9" w:name="_Toc119915690"/>
      <w:r>
        <w:rPr>
          <w:rStyle w:val="CharSectno"/>
        </w:rPr>
        <w:t>8</w:t>
      </w:r>
      <w:r>
        <w:t>.</w:t>
      </w:r>
      <w:r>
        <w:tab/>
        <w:t>Certain persons and bodies taken to be owners of land</w:t>
      </w:r>
      <w:bookmarkEnd w:id="19"/>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lastRenderedPageBreak/>
        <w:tab/>
        <w:t>(b)</w:t>
      </w:r>
      <w:r>
        <w:tab/>
        <w:t>the purchaser is taken to become the owner of the land when the purchaser obtains possession.</w:t>
      </w:r>
    </w:p>
    <w:p>
      <w:pPr>
        <w:pStyle w:val="Footnotesection"/>
      </w:pPr>
      <w:r>
        <w:tab/>
        <w:t>[Section 8 amended: No. 5 of 2018 s. 5.]</w:t>
      </w:r>
    </w:p>
    <w:p>
      <w:pPr>
        <w:pStyle w:val="Heading5"/>
      </w:pPr>
      <w:bookmarkStart w:id="20" w:name="_Toc119915691"/>
      <w:r>
        <w:rPr>
          <w:rStyle w:val="CharSectno"/>
        </w:rPr>
        <w:t>9</w:t>
      </w:r>
      <w:r>
        <w:t>.</w:t>
      </w:r>
      <w:r>
        <w:tab/>
        <w:t>Liability of agents or trustees</w:t>
      </w:r>
      <w:bookmarkEnd w:id="2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1" w:name="_Toc119915692"/>
      <w:r>
        <w:rPr>
          <w:rStyle w:val="CharSectno"/>
        </w:rPr>
        <w:lastRenderedPageBreak/>
        <w:t>9A</w:t>
      </w:r>
      <w:r>
        <w:t>.</w:t>
      </w:r>
      <w:r>
        <w:tab/>
        <w:t>Owners to notify Commissioner of errors or omissions in assessment notices</w:t>
      </w:r>
      <w:bookmarkEnd w:id="21"/>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22" w:name="_Toc119675940"/>
      <w:bookmarkStart w:id="23" w:name="_Toc119678913"/>
      <w:bookmarkStart w:id="24" w:name="_Toc119915693"/>
      <w:r>
        <w:rPr>
          <w:rStyle w:val="CharDivNo"/>
        </w:rPr>
        <w:lastRenderedPageBreak/>
        <w:t>Division 2</w:t>
      </w:r>
      <w:r>
        <w:t xml:space="preserve"> — </w:t>
      </w:r>
      <w:r>
        <w:rPr>
          <w:rStyle w:val="CharDivText"/>
        </w:rPr>
        <w:t>Assessment of land tax</w:t>
      </w:r>
      <w:bookmarkEnd w:id="22"/>
      <w:bookmarkEnd w:id="23"/>
      <w:bookmarkEnd w:id="24"/>
    </w:p>
    <w:p>
      <w:pPr>
        <w:pStyle w:val="Heading5"/>
      </w:pPr>
      <w:bookmarkStart w:id="25" w:name="_Toc119915694"/>
      <w:r>
        <w:rPr>
          <w:rStyle w:val="CharSectno"/>
        </w:rPr>
        <w:t>10</w:t>
      </w:r>
      <w:r>
        <w:t>.</w:t>
      </w:r>
      <w:r>
        <w:tab/>
        <w:t>Assessing land tax</w:t>
      </w:r>
      <w:bookmarkEnd w:id="2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6" w:name="_Toc119915695"/>
      <w:r>
        <w:rPr>
          <w:rStyle w:val="CharSectno"/>
        </w:rPr>
        <w:t>11</w:t>
      </w:r>
      <w:r>
        <w:t>.</w:t>
      </w:r>
      <w:r>
        <w:tab/>
        <w:t>Two or more lots owned by one person, tax payable on</w:t>
      </w:r>
      <w:bookmarkEnd w:id="2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27" w:name="_Toc119915696"/>
      <w:r>
        <w:rPr>
          <w:rStyle w:val="CharSectno"/>
        </w:rPr>
        <w:t>12</w:t>
      </w:r>
      <w:r>
        <w:t>.</w:t>
      </w:r>
      <w:r>
        <w:tab/>
        <w:t>Land owned jointly, tax payable on</w:t>
      </w:r>
      <w:bookmarkEnd w:id="27"/>
    </w:p>
    <w:p>
      <w:pPr>
        <w:pStyle w:val="Subsection"/>
      </w:pPr>
      <w:r>
        <w:tab/>
        <w:t>(1)</w:t>
      </w:r>
      <w:r>
        <w:tab/>
        <w:t>The land tax payable on land owned jointly by 2 or more persons is assessed as if the land were owned by one person.</w:t>
      </w:r>
    </w:p>
    <w:p>
      <w:pPr>
        <w:pStyle w:val="Subsection"/>
      </w:pPr>
      <w:r>
        <w:lastRenderedPageBreak/>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8" w:name="_Toc119915697"/>
      <w:r>
        <w:rPr>
          <w:rStyle w:val="CharSectno"/>
        </w:rPr>
        <w:t>13</w:t>
      </w:r>
      <w:r>
        <w:t>.</w:t>
      </w:r>
      <w:r>
        <w:tab/>
        <w:t>Calculating taxable value of part of a lot</w:t>
      </w:r>
      <w:bookmarkEnd w:id="2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9" w:name="_Toc119915698"/>
      <w:r>
        <w:rPr>
          <w:rStyle w:val="CharSectno"/>
        </w:rPr>
        <w:lastRenderedPageBreak/>
        <w:t>14</w:t>
      </w:r>
      <w:r>
        <w:t>.</w:t>
      </w:r>
      <w:r>
        <w:tab/>
        <w:t>Newly subdivided private residential property, tax payable on</w:t>
      </w:r>
      <w:bookmarkEnd w:id="2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 xml:space="preserve">if a partial exemption applied to that part of the taxable portion, or an interest in it, for that year under Part 3 </w:t>
      </w:r>
      <w:r>
        <w:lastRenderedPageBreak/>
        <w:t>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30" w:name="_Toc119915699"/>
      <w:r>
        <w:rPr>
          <w:rStyle w:val="CharSectno"/>
        </w:rPr>
        <w:lastRenderedPageBreak/>
        <w:t>15</w:t>
      </w:r>
      <w:r>
        <w:t>.</w:t>
      </w:r>
      <w:r>
        <w:tab/>
        <w:t>Newly subdivided primary production business land, tax payable on</w:t>
      </w:r>
      <w:bookmarkEnd w:id="30"/>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an improvement scheme or the Swan Valley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lastRenderedPageBreak/>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 No. 45 of 2020 s. 110.]</w:t>
      </w:r>
    </w:p>
    <w:p>
      <w:pPr>
        <w:pStyle w:val="Heading5"/>
      </w:pPr>
      <w:bookmarkStart w:id="31" w:name="_Toc119915700"/>
      <w:r>
        <w:rPr>
          <w:rStyle w:val="CharSectno"/>
        </w:rPr>
        <w:t>15A</w:t>
      </w:r>
      <w:r>
        <w:t>.</w:t>
      </w:r>
      <w:r>
        <w:tab/>
        <w:t>Tax payable on newly subdivided dwelling or residential parks</w:t>
      </w:r>
      <w:bookmarkEnd w:id="31"/>
    </w:p>
    <w:p>
      <w:pPr>
        <w:pStyle w:val="Subsection"/>
      </w:pPr>
      <w:r>
        <w:tab/>
        <w:t>(1)</w:t>
      </w:r>
      <w:r>
        <w:tab/>
        <w:t xml:space="preserve">Land tax is payable in accordance with this section when land is subdivided if — </w:t>
      </w:r>
    </w:p>
    <w:p>
      <w:pPr>
        <w:pStyle w:val="Indenta"/>
      </w:pPr>
      <w:r>
        <w:tab/>
        <w:t>(a)</w:t>
      </w:r>
      <w:r>
        <w:tab/>
        <w:t>the land was subject to an exemption under section 39B to any extent for any of the 10 financial years reckoned retrospectively from and including the financial year in which the land was subdivided; and</w:t>
      </w:r>
    </w:p>
    <w:p>
      <w:pPr>
        <w:pStyle w:val="Indenta"/>
      </w:pPr>
      <w:r>
        <w:lastRenderedPageBreak/>
        <w:tab/>
        <w:t>(b)</w:t>
      </w:r>
      <w:r>
        <w:tab/>
        <w:t>the subdivision was not carried out only for the purpose of defining an area of land to be taken or resumed under an enactment relating to the compulsory acquisition of land.</w:t>
      </w:r>
    </w:p>
    <w:p>
      <w:pPr>
        <w:pStyle w:val="Subsection"/>
      </w:pPr>
      <w:r>
        <w:tab/>
        <w:t>(2)</w:t>
      </w:r>
      <w:r>
        <w:tab/>
        <w:t xml:space="preserve">The land tax is payable on the land by the subdividing owner of the land for each of the 10 financial years (the </w:t>
      </w:r>
      <w:r>
        <w:rPr>
          <w:rStyle w:val="CharDefText"/>
        </w:rPr>
        <w:t>relevant financial years</w:t>
      </w:r>
      <w:r>
        <w:t>) reckoned retrospectively from and including the financial year in which the land is subdivided.</w:t>
      </w:r>
    </w:p>
    <w:p>
      <w:pPr>
        <w:pStyle w:val="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pPr>
        <w:pStyle w:val="Indenta"/>
      </w:pPr>
      <w:r>
        <w:tab/>
        <w:t>(a)</w:t>
      </w:r>
      <w:r>
        <w:tab/>
        <w:t>a percentage (</w:t>
      </w:r>
      <w:r>
        <w:rPr>
          <w:rStyle w:val="CharDefText"/>
        </w:rPr>
        <w:t>P%</w:t>
      </w:r>
      <w:r>
        <w:t>) must be calculated in relation to the park under subsection (3A); and</w:t>
      </w:r>
    </w:p>
    <w:p>
      <w:pPr>
        <w:pStyle w:val="Indenta"/>
      </w:pPr>
      <w:r>
        <w:tab/>
        <w:t>(b)</w:t>
      </w:r>
      <w:r>
        <w:tab/>
        <w:t>in determining the taxable value of the land for each of the relevant financial years, the unimproved value of the land in relation to that year must be reduced by an amount equal to P% of the unimproved value of the land.</w:t>
      </w:r>
    </w:p>
    <w:p>
      <w:pPr>
        <w:pStyle w:val="Subsection"/>
      </w:pPr>
      <w:r>
        <w:tab/>
        <w:t>(3A)</w:t>
      </w:r>
      <w:r>
        <w:tab/>
        <w:t xml:space="preserve">For the purposes of subsection (3)(a), the percentage must be calculated as follows — </w:t>
      </w:r>
    </w:p>
    <w:p>
      <w:pPr>
        <w:pStyle w:val="Indenta"/>
      </w:pPr>
      <w:r>
        <w:tab/>
        <w:t>(a)</w:t>
      </w:r>
      <w:r>
        <w:tab/>
        <w:t>first, calculate a percentage (</w:t>
      </w:r>
      <w:r>
        <w:rPr>
          <w:rStyle w:val="CharDefText"/>
        </w:rPr>
        <w:t>X%</w:t>
      </w:r>
      <w:r>
        <w:t>) in relation to the park using the method set out in section 39C(2) to (8), by reference to the park immediately after the subdivision;</w:t>
      </w:r>
    </w:p>
    <w:p>
      <w:pPr>
        <w:pStyle w:val="Indenta"/>
      </w:pPr>
      <w:r>
        <w:tab/>
        <w:t>(b)</w:t>
      </w:r>
      <w:r>
        <w:tab/>
        <w:t>second, calculate the percentage (</w:t>
      </w:r>
      <w:r>
        <w:rPr>
          <w:rStyle w:val="CharDefText"/>
        </w:rPr>
        <w:t>Y%</w:t>
      </w:r>
      <w:r>
        <w:t>) of the land that is in a dwelling or residential park (as defined in section 39A) immediately after the subdivision;</w:t>
      </w:r>
    </w:p>
    <w:p>
      <w:pPr>
        <w:pStyle w:val="Indenta"/>
      </w:pPr>
      <w:r>
        <w:tab/>
        <w:t>(c)</w:t>
      </w:r>
      <w:r>
        <w:tab/>
        <w:t>third, multiply X% by Y%.</w:t>
      </w:r>
    </w:p>
    <w:p>
      <w:pPr>
        <w:pStyle w:val="Subsection"/>
      </w:pPr>
      <w:r>
        <w:tab/>
        <w:t>(4)</w:t>
      </w:r>
      <w:r>
        <w:tab/>
        <w:t xml:space="preserve">The amount of land tax payable for each of the relevant financial years is assessed, at the rate applicable for that year under the </w:t>
      </w:r>
      <w:r>
        <w:rPr>
          <w:i/>
        </w:rPr>
        <w:t>Land Tax Act 2002</w:t>
      </w:r>
      <w:r>
        <w:t>, as if the land were the only land of the subdividing owner on which land tax was payable for that year.</w:t>
      </w:r>
    </w:p>
    <w:p>
      <w:pPr>
        <w:pStyle w:val="Subsection"/>
      </w:pPr>
      <w:r>
        <w:lastRenderedPageBreak/>
        <w:tab/>
        <w:t>(5)</w:t>
      </w:r>
      <w:r>
        <w:tab/>
        <w:t>The amount of land tax payable under this section on the land for any of the relevant financial years is reduced by the amount already charged on any part of the land for that year.</w:t>
      </w:r>
    </w:p>
    <w:p>
      <w:pPr>
        <w:pStyle w:val="Ednotesubsection"/>
      </w:pPr>
      <w:r>
        <w:tab/>
        <w:t>[(6)</w:t>
      </w:r>
      <w:r>
        <w:tab/>
        <w:t>deleted]</w:t>
      </w:r>
    </w:p>
    <w:p>
      <w:pPr>
        <w:pStyle w:val="Subsection"/>
      </w:pPr>
      <w:r>
        <w:tab/>
        <w:t>(7)</w:t>
      </w:r>
      <w:r>
        <w:tab/>
        <w:t>Nothing in this section affects the liability of any person for land tax on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Subsection"/>
        <w:keepNext/>
      </w:pPr>
      <w:r>
        <w:tab/>
        <w:t>(9)</w:t>
      </w:r>
      <w:r>
        <w:tab/>
        <w:t>A reference in subsection (1) to an exemption under section 39B is, in relation to a financial year beginning before 1 July 2020, a reference to an exemption or concession under section 39B as that section was in force before 1 July 2020.</w:t>
      </w:r>
    </w:p>
    <w:p>
      <w:pPr>
        <w:pStyle w:val="Footnotesection"/>
      </w:pPr>
      <w:r>
        <w:tab/>
        <w:t>[Section 15A inserted: No. 10 of 2005 s. 6; amended: No. 19 of 2009 s. 8; No. 27 of 2010 s. 4; No. 42 of 2022 s. 4.]</w:t>
      </w:r>
    </w:p>
    <w:p>
      <w:pPr>
        <w:pStyle w:val="Heading5"/>
      </w:pPr>
      <w:bookmarkStart w:id="32" w:name="_Toc119915701"/>
      <w:r>
        <w:rPr>
          <w:rStyle w:val="CharSectno"/>
        </w:rPr>
        <w:t>16</w:t>
      </w:r>
      <w:r>
        <w:t>.</w:t>
      </w:r>
      <w:r>
        <w:tab/>
        <w:t>Non</w:t>
      </w:r>
      <w:r>
        <w:noBreakHyphen/>
        <w:t>strata home units, assessing tax on</w:t>
      </w:r>
      <w:bookmarkEnd w:id="32"/>
    </w:p>
    <w:p>
      <w:pPr>
        <w:pStyle w:val="Subsection"/>
        <w:keepNext/>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keepNext/>
      </w:pPr>
      <w:r>
        <w:lastRenderedPageBreak/>
        <w:tab/>
        <w:t>(2)</w:t>
      </w:r>
      <w:r>
        <w:tab/>
        <w:t xml:space="preserve">The Commissioner may make an assessment under this section — </w:t>
      </w:r>
    </w:p>
    <w:p>
      <w:pPr>
        <w:pStyle w:val="Indenta"/>
      </w:pPr>
      <w:r>
        <w:tab/>
        <w:t>(a)</w:t>
      </w:r>
      <w:r>
        <w:tab/>
        <w:t>on the Commissioner’s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keepNext/>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lastRenderedPageBreak/>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keepNext/>
      </w:pPr>
      <w:r>
        <w:tab/>
        <w:t>(10)</w:t>
      </w:r>
      <w:r>
        <w:tab/>
        <w:t>The Commissioner may revoke the decision —</w:t>
      </w:r>
    </w:p>
    <w:p>
      <w:pPr>
        <w:pStyle w:val="Indenta"/>
      </w:pPr>
      <w:r>
        <w:tab/>
        <w:t>(a)</w:t>
      </w:r>
      <w:r>
        <w:tab/>
        <w:t>on the Commissioner’s own initiative; or</w:t>
      </w:r>
    </w:p>
    <w:p>
      <w:pPr>
        <w:pStyle w:val="Indenta"/>
        <w:keepNext/>
      </w:pPr>
      <w:r>
        <w:tab/>
        <w:t>(b)</w:t>
      </w:r>
      <w:r>
        <w:tab/>
        <w:t>on receiving a joint application for revocation from all the home unit owners for the time being.</w:t>
      </w:r>
    </w:p>
    <w:p>
      <w:pPr>
        <w:pStyle w:val="Footnotesection"/>
      </w:pPr>
      <w:r>
        <w:tab/>
        <w:t>[Section 16 amended: No. 19 of 2009 s. 13; No. 42 of 2022 s. 19.]</w:t>
      </w:r>
    </w:p>
    <w:p>
      <w:pPr>
        <w:pStyle w:val="Heading2"/>
      </w:pPr>
      <w:bookmarkStart w:id="33" w:name="_Toc119675949"/>
      <w:bookmarkStart w:id="34" w:name="_Toc119678922"/>
      <w:bookmarkStart w:id="35" w:name="_Toc119915702"/>
      <w:r>
        <w:rPr>
          <w:rStyle w:val="CharPartNo"/>
        </w:rPr>
        <w:lastRenderedPageBreak/>
        <w:t>Part 3</w:t>
      </w:r>
      <w:r>
        <w:t xml:space="preserve"> — </w:t>
      </w:r>
      <w:r>
        <w:rPr>
          <w:rStyle w:val="CharPartText"/>
        </w:rPr>
        <w:t>Exemptions, concessions and rebates</w:t>
      </w:r>
      <w:bookmarkEnd w:id="33"/>
      <w:bookmarkEnd w:id="34"/>
      <w:bookmarkEnd w:id="35"/>
    </w:p>
    <w:p>
      <w:pPr>
        <w:pStyle w:val="Heading3"/>
      </w:pPr>
      <w:bookmarkStart w:id="36" w:name="_Toc119675950"/>
      <w:bookmarkStart w:id="37" w:name="_Toc119678923"/>
      <w:bookmarkStart w:id="38" w:name="_Toc119915703"/>
      <w:r>
        <w:rPr>
          <w:rStyle w:val="CharDivNo"/>
        </w:rPr>
        <w:t>Division 1</w:t>
      </w:r>
      <w:r>
        <w:t xml:space="preserve"> — </w:t>
      </w:r>
      <w:r>
        <w:rPr>
          <w:rStyle w:val="CharDivText"/>
        </w:rPr>
        <w:t>General provisions</w:t>
      </w:r>
      <w:bookmarkEnd w:id="36"/>
      <w:bookmarkEnd w:id="37"/>
      <w:bookmarkEnd w:id="38"/>
    </w:p>
    <w:p>
      <w:pPr>
        <w:pStyle w:val="Heading5"/>
      </w:pPr>
      <w:bookmarkStart w:id="39" w:name="_Toc119915704"/>
      <w:r>
        <w:rPr>
          <w:rStyle w:val="CharSectno"/>
        </w:rPr>
        <w:t>17</w:t>
      </w:r>
      <w:r>
        <w:t>.</w:t>
      </w:r>
      <w:r>
        <w:tab/>
        <w:t>Exempt land</w:t>
      </w:r>
      <w:bookmarkEnd w:id="39"/>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40" w:name="_Toc119915705"/>
      <w:r>
        <w:rPr>
          <w:rStyle w:val="CharSectno"/>
        </w:rPr>
        <w:t>18</w:t>
      </w:r>
      <w:r>
        <w:t>.</w:t>
      </w:r>
      <w:r>
        <w:tab/>
        <w:t>Whole and partial exemptions</w:t>
      </w:r>
      <w:bookmarkEnd w:id="40"/>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lastRenderedPageBreak/>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41" w:name="_Toc119915706"/>
      <w:r>
        <w:rPr>
          <w:rStyle w:val="CharSectno"/>
        </w:rPr>
        <w:t>18A</w:t>
      </w:r>
      <w:r>
        <w:t>.</w:t>
      </w:r>
      <w:r>
        <w:tab/>
        <w:t>Taxable value of land subject to partial exemption</w:t>
      </w:r>
      <w:bookmarkEnd w:id="41"/>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provision apply, or apply to some extent, in respect of the remainder of the area of the lot or parcel (the </w:t>
      </w:r>
      <w:r>
        <w:rPr>
          <w:rStyle w:val="CharDefText"/>
        </w:rPr>
        <w:t>exempt area</w:t>
      </w:r>
      <w:r>
        <w:t>).</w:t>
      </w:r>
    </w:p>
    <w:p>
      <w:pPr>
        <w:pStyle w:val="Subsection"/>
      </w:pPr>
      <w:r>
        <w:tab/>
        <w:t>(3)</w:t>
      </w:r>
      <w:r>
        <w:tab/>
        <w:t xml:space="preserve">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w:t>
      </w:r>
      <w:r>
        <w:lastRenderedPageBreak/>
        <w:t>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 amended: No. 42 of 2022 s. 10.]</w:t>
      </w:r>
    </w:p>
    <w:p>
      <w:pPr>
        <w:pStyle w:val="Heading5"/>
      </w:pPr>
      <w:bookmarkStart w:id="42" w:name="_Toc119915707"/>
      <w:r>
        <w:rPr>
          <w:rStyle w:val="CharSectno"/>
        </w:rPr>
        <w:t>19</w:t>
      </w:r>
      <w:r>
        <w:t>.</w:t>
      </w:r>
      <w:r>
        <w:tab/>
        <w:t>Applying for exemption or concession</w:t>
      </w:r>
      <w:bookmarkEnd w:id="4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3" w:name="_Toc119915708"/>
      <w:r>
        <w:rPr>
          <w:rStyle w:val="CharSectno"/>
        </w:rPr>
        <w:lastRenderedPageBreak/>
        <w:t>20</w:t>
      </w:r>
      <w:r>
        <w:t>.</w:t>
      </w:r>
      <w:r>
        <w:tab/>
        <w:t>Commissioner’s power to grant exemption or concession for land</w:t>
      </w:r>
      <w:bookmarkEnd w:id="43"/>
    </w:p>
    <w:p>
      <w:pPr>
        <w:pStyle w:val="Subsection"/>
        <w:keepNext/>
      </w:pPr>
      <w:r>
        <w:tab/>
        <w:t>(1)</w:t>
      </w:r>
      <w:r>
        <w:tab/>
        <w:t xml:space="preserve">The Commissioner may, on application or on the Commissioner’s own initiative, grant an exemption, concession or further concession for any of the following land for an assessment year — </w:t>
      </w:r>
    </w:p>
    <w:p>
      <w:pPr>
        <w:pStyle w:val="Indenta"/>
      </w:pPr>
      <w:r>
        <w:tab/>
        <w:t>(a)</w:t>
      </w:r>
      <w:r>
        <w:tab/>
        <w:t>any proportion of private residential property that is used by an individual for a purpose that is not an exempt purpose, where the private residential property is exempt to some extent for the assessment year under section 21, 22 or 23 because of its use by the individual as their primary residence as provided in the respective section;</w:t>
      </w:r>
    </w:p>
    <w:p>
      <w:pPr>
        <w:pStyle w:val="Indenta"/>
      </w:pPr>
      <w:r>
        <w:tab/>
        <w:t>(b)</w:t>
      </w:r>
      <w:r>
        <w:tab/>
        <w:t>land that is not exempt under section 23 for the assessment year because it was exempt under that section in the previous financial year, or because the estate derived rent or income in the assessment year;</w:t>
      </w:r>
    </w:p>
    <w:p>
      <w:pPr>
        <w:pStyle w:val="Indenta"/>
      </w:pPr>
      <w:r>
        <w:tab/>
        <w:t>(c)</w:t>
      </w:r>
      <w:r>
        <w:tab/>
        <w:t>land that is not exempt under section 26B for the assessment year because income was derived from the property in the period referred to in section 26B(5)(a)(i) or (ii) (whichever is applicable);</w:t>
      </w:r>
    </w:p>
    <w:p>
      <w:pPr>
        <w:pStyle w:val="Ednotepara"/>
      </w:pPr>
      <w:r>
        <w:tab/>
        <w:t>[(d), (e)</w:t>
      </w:r>
      <w:r>
        <w:tab/>
        <w:t>deleted]</w:t>
      </w:r>
    </w:p>
    <w:p>
      <w:pPr>
        <w:pStyle w:val="Indenta"/>
      </w:pPr>
      <w:r>
        <w:tab/>
        <w:t>(f)</w:t>
      </w:r>
      <w:r>
        <w:tab/>
        <w:t>land that is not exempt under section 42 for the assessment year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 xml:space="preserve">The Commissioner may grant an exemption, concession or further concession under subsection (1) for the whole or part of </w:t>
      </w:r>
      <w:r>
        <w:lastRenderedPageBreak/>
        <w:t>a lot or parcel of land if the Commissioner is satisfied that there are reasonable grounds for doing so.</w:t>
      </w:r>
    </w:p>
    <w:p>
      <w:pPr>
        <w:pStyle w:val="Subsection"/>
      </w:pPr>
      <w:r>
        <w:tab/>
        <w:t>(2A)</w:t>
      </w:r>
      <w:r>
        <w:tab/>
        <w:t>The Commissioner may revoke an exemption, concession or further concession granted under subsection (1) if the Commissioner is no longer satisfied that the grounds referred to in subsection (2) exist.</w:t>
      </w:r>
    </w:p>
    <w:p>
      <w:pPr>
        <w:pStyle w:val="Subsection"/>
        <w:keepNext/>
      </w:pPr>
      <w:r>
        <w:tab/>
        <w:t>(2B)</w:t>
      </w:r>
      <w:r>
        <w:tab/>
        <w:t xml:space="preserve">The Commissioner must give a taxpayer written notice of a decision — </w:t>
      </w:r>
    </w:p>
    <w:p>
      <w:pPr>
        <w:pStyle w:val="Indenta"/>
      </w:pPr>
      <w:r>
        <w:tab/>
        <w:t>(a)</w:t>
      </w:r>
      <w:r>
        <w:tab/>
        <w:t>not to grant an exemption, concession or further concession under subsection (1) on application by the taxpayer; or</w:t>
      </w:r>
    </w:p>
    <w:p>
      <w:pPr>
        <w:pStyle w:val="Indenta"/>
      </w:pPr>
      <w:r>
        <w:tab/>
        <w:t>(b)</w:t>
      </w:r>
      <w:r>
        <w:tab/>
        <w:t>to revoke under subsection (2A) an exemption, concession or further concession granted to the taxpayer under subsection (1).</w:t>
      </w:r>
    </w:p>
    <w:p>
      <w:pPr>
        <w:pStyle w:val="Subsection"/>
      </w:pPr>
      <w:r>
        <w:tab/>
        <w:t>(3)</w:t>
      </w:r>
      <w:r>
        <w:tab/>
        <w:t>A taxpayer may appeal to the Minister against a decision of the Commissioner referred to in subsection (2B)(a) or (b).</w:t>
      </w:r>
    </w:p>
    <w:p>
      <w:pPr>
        <w:pStyle w:val="Subsection"/>
        <w:spacing w:before="120"/>
      </w:pPr>
      <w:r>
        <w:tab/>
        <w:t>(4)</w:t>
      </w:r>
      <w:r>
        <w:tab/>
        <w:t>An appeal under subsection (3) must be made within 60 days after the date on which notice of the Commissioner’s decision was given, or within any further time allowed by the Minister for reasonable cause shown by the taxpayer.</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taxpayer satisfies the Minister that there are reasonable grounds for doing so, allow it wholly or in part.</w:t>
      </w:r>
    </w:p>
    <w:p>
      <w:pPr>
        <w:pStyle w:val="Subsection"/>
        <w:spacing w:before="120"/>
      </w:pPr>
      <w:r>
        <w:tab/>
        <w:t>(7)</w:t>
      </w:r>
      <w:r>
        <w:tab/>
        <w:t>The Minister is to give notice of the Minister’s decision on the appeal to the taxpayer.</w:t>
      </w:r>
    </w:p>
    <w:p>
      <w:pPr>
        <w:pStyle w:val="Subsection"/>
        <w:keepNext/>
        <w:spacing w:before="120"/>
      </w:pPr>
      <w:r>
        <w:lastRenderedPageBreak/>
        <w:tab/>
        <w:t>(8)</w:t>
      </w:r>
      <w:r>
        <w:tab/>
        <w:t>The Commissioner is to make any reassessment necessary to give effect to a decision of the Commissioner or the Minister under this section.</w:t>
      </w:r>
    </w:p>
    <w:p>
      <w:pPr>
        <w:pStyle w:val="Footnotesection"/>
      </w:pPr>
      <w:r>
        <w:tab/>
        <w:t>[Section 20 amended: No. 1 of 2015 s. 5 and 15; No. 42 of 2022 s. 5 and 11.]</w:t>
      </w:r>
    </w:p>
    <w:p>
      <w:pPr>
        <w:pStyle w:val="Heading5"/>
      </w:pPr>
      <w:bookmarkStart w:id="44" w:name="_Toc119485426"/>
      <w:bookmarkStart w:id="45" w:name="_Toc119675777"/>
      <w:bookmarkStart w:id="46" w:name="_Toc119915709"/>
      <w:bookmarkStart w:id="47" w:name="_Toc119675956"/>
      <w:r>
        <w:rPr>
          <w:rStyle w:val="CharSectno"/>
        </w:rPr>
        <w:t>20A</w:t>
      </w:r>
      <w:r>
        <w:t>.</w:t>
      </w:r>
      <w:r>
        <w:tab/>
        <w:t>Owner of land subject to exemption or concession may be required to notify Commissioner of event or circumstance</w:t>
      </w:r>
      <w:bookmarkEnd w:id="44"/>
      <w:bookmarkEnd w:id="45"/>
      <w:bookmarkEnd w:id="46"/>
    </w:p>
    <w:p>
      <w:pPr>
        <w:pStyle w:val="Subsection"/>
        <w:keepNext/>
      </w:pPr>
      <w:r>
        <w:tab/>
        <w:t>(1)</w:t>
      </w:r>
      <w:r>
        <w:tab/>
        <w:t xml:space="preserve">The Commissioner may serve a notice on an owner of land in a financial year (the </w:t>
      </w:r>
      <w:r>
        <w:rPr>
          <w:rStyle w:val="CharDefText"/>
        </w:rPr>
        <w:t>relevant year</w:t>
      </w:r>
      <w:r>
        <w:t xml:space="preserve">) if — </w:t>
      </w:r>
    </w:p>
    <w:p>
      <w:pPr>
        <w:pStyle w:val="Indenta"/>
      </w:pPr>
      <w:r>
        <w:tab/>
        <w:t>(a)</w:t>
      </w:r>
      <w:r>
        <w:tab/>
        <w:t>an exemption, concession or further concession has been granted for the land for the relevant year under a paragraph of section 20(1); or</w:t>
      </w:r>
    </w:p>
    <w:p>
      <w:pPr>
        <w:pStyle w:val="Indenta"/>
      </w:pPr>
      <w:r>
        <w:tab/>
        <w:t>(b)</w:t>
      </w:r>
      <w:r>
        <w:tab/>
        <w:t>an assessment of land tax in relation to the land has been made on the basis that an exemption or concession applies to the land for the relevant year under a provision of Divisions 2 to 5.</w:t>
      </w:r>
    </w:p>
    <w:p>
      <w:pPr>
        <w:pStyle w:val="Subsection"/>
        <w:keepNext/>
      </w:pPr>
      <w:r>
        <w:tab/>
        <w:t>(2)</w:t>
      </w:r>
      <w:r>
        <w:tab/>
        <w:t xml:space="preserve">A notice under subsection (1) must — </w:t>
      </w:r>
    </w:p>
    <w:p>
      <w:pPr>
        <w:pStyle w:val="Indenta"/>
      </w:pPr>
      <w:r>
        <w:tab/>
        <w:t>(a)</w:t>
      </w:r>
      <w:r>
        <w:tab/>
        <w:t>describe 1 or more relevant events or circumstances; and</w:t>
      </w:r>
    </w:p>
    <w:p>
      <w:pPr>
        <w:pStyle w:val="Indenta"/>
        <w:keepNext/>
      </w:pPr>
      <w:r>
        <w:tab/>
        <w:t>(b)</w:t>
      </w:r>
      <w:r>
        <w:tab/>
        <w:t xml:space="preserve">require the person on whom the notice is served to notify the Commissioner of the occurrence of any of those relevant events or circumstances during — </w:t>
      </w:r>
    </w:p>
    <w:p>
      <w:pPr>
        <w:pStyle w:val="Indenti"/>
      </w:pPr>
      <w:r>
        <w:tab/>
        <w:t>(i)</w:t>
      </w:r>
      <w:r>
        <w:tab/>
        <w:t>the relevant year; or</w:t>
      </w:r>
    </w:p>
    <w:p>
      <w:pPr>
        <w:pStyle w:val="Indenti"/>
        <w:keepNext/>
      </w:pPr>
      <w:r>
        <w:tab/>
        <w:t>(ii)</w:t>
      </w:r>
      <w:r>
        <w:tab/>
        <w:t>any of the 5 subsequent financial years;</w:t>
      </w:r>
    </w:p>
    <w:p>
      <w:pPr>
        <w:pStyle w:val="Indenta"/>
      </w:pPr>
      <w:r>
        <w:tab/>
      </w:r>
      <w:r>
        <w:tab/>
        <w:t>and</w:t>
      </w:r>
    </w:p>
    <w:p>
      <w:pPr>
        <w:pStyle w:val="Indenta"/>
      </w:pPr>
      <w:r>
        <w:tab/>
        <w:t>(c)</w:t>
      </w:r>
      <w:r>
        <w:tab/>
        <w:t>state the time within which the person is required to notify the Commissioner of the occurrence of a relevant event or circumstance.</w:t>
      </w:r>
    </w:p>
    <w:p>
      <w:pPr>
        <w:pStyle w:val="Subsection"/>
        <w:keepNext/>
      </w:pPr>
      <w:r>
        <w:tab/>
        <w:t>(3)</w:t>
      </w:r>
      <w:r>
        <w:tab/>
        <w:t xml:space="preserve">For the purposes of this section, a </w:t>
      </w:r>
      <w:r>
        <w:rPr>
          <w:rStyle w:val="CharDefText"/>
        </w:rPr>
        <w:t>relevant event or circumstance</w:t>
      </w:r>
      <w:r>
        <w:t xml:space="preserve">, in relation to a notice under subsection (1), is an </w:t>
      </w:r>
      <w:r>
        <w:lastRenderedPageBreak/>
        <w:t xml:space="preserve">event or circumstance that the Commissioner considers will or may affect — </w:t>
      </w:r>
    </w:p>
    <w:p>
      <w:pPr>
        <w:pStyle w:val="Indenta"/>
        <w:keepNext/>
      </w:pPr>
      <w:r>
        <w:tab/>
        <w:t>(a)</w:t>
      </w:r>
      <w:r>
        <w:tab/>
        <w:t xml:space="preserve">for a notice under subsection (1)(a) — </w:t>
      </w:r>
    </w:p>
    <w:p>
      <w:pPr>
        <w:pStyle w:val="Indenti"/>
      </w:pPr>
      <w:r>
        <w:tab/>
        <w:t>(i)</w:t>
      </w:r>
      <w:r>
        <w:tab/>
        <w:t>whether the exemption, concession or further concession granted for the relevant year will be revoked under section 20(2A); or</w:t>
      </w:r>
    </w:p>
    <w:p>
      <w:pPr>
        <w:pStyle w:val="Indenti"/>
        <w:keepNext/>
      </w:pPr>
      <w:r>
        <w:tab/>
        <w:t>(ii)</w:t>
      </w:r>
      <w:r>
        <w:tab/>
        <w:t>whether an exemption, concession or further concession will be granted for the land for a subsequent financial year under the same paragraph of section 20(1);</w:t>
      </w:r>
    </w:p>
    <w:p>
      <w:pPr>
        <w:pStyle w:val="Indenta"/>
      </w:pPr>
      <w:r>
        <w:tab/>
      </w:r>
      <w:r>
        <w:tab/>
        <w:t>or</w:t>
      </w:r>
    </w:p>
    <w:p>
      <w:pPr>
        <w:pStyle w:val="Indenta"/>
        <w:keepNext/>
      </w:pPr>
      <w:r>
        <w:tab/>
        <w:t>(b)</w:t>
      </w:r>
      <w:r>
        <w:tab/>
        <w:t xml:space="preserve">for a notice under subsection (1)(b) — </w:t>
      </w:r>
    </w:p>
    <w:p>
      <w:pPr>
        <w:pStyle w:val="Indenti"/>
      </w:pPr>
      <w:r>
        <w:tab/>
        <w:t>(i)</w:t>
      </w:r>
      <w:r>
        <w:tab/>
        <w:t>whether the exemption or concession continues to apply to the land for the relevant year; or</w:t>
      </w:r>
    </w:p>
    <w:p>
      <w:pPr>
        <w:pStyle w:val="Indenti"/>
      </w:pPr>
      <w:r>
        <w:tab/>
        <w:t>(ii)</w:t>
      </w:r>
      <w:r>
        <w:tab/>
        <w:t>whether an exemption or concession will apply to the land for a subsequent financial year under the same provision of Divisions 2 to 5.</w:t>
      </w:r>
    </w:p>
    <w:p>
      <w:pPr>
        <w:pStyle w:val="Subsection"/>
        <w:keepNext/>
      </w:pPr>
      <w:r>
        <w:tab/>
        <w:t>(4)</w:t>
      </w:r>
      <w:r>
        <w:tab/>
        <w:t xml:space="preserve">For the purposes of subsection (2)(c), a notice under subsection (1) must not require a person to notify the Commissioner of the occurrence of a relevant event or circumstance — </w:t>
      </w:r>
    </w:p>
    <w:p>
      <w:pPr>
        <w:pStyle w:val="Indenta"/>
      </w:pPr>
      <w:r>
        <w:tab/>
        <w:t>(a)</w:t>
      </w:r>
      <w:r>
        <w:tab/>
        <w:t>earlier than the 49</w:t>
      </w:r>
      <w:r>
        <w:rPr>
          <w:vertAlign w:val="superscript"/>
        </w:rPr>
        <w:t>th</w:t>
      </w:r>
      <w:r>
        <w:t xml:space="preserve"> day after the day on which the relevant event or circumstance occurs; or</w:t>
      </w:r>
    </w:p>
    <w:p>
      <w:pPr>
        <w:pStyle w:val="Indenta"/>
      </w:pPr>
      <w:r>
        <w:tab/>
        <w:t>(b)</w:t>
      </w:r>
      <w:r>
        <w:tab/>
        <w:t>later than 30 September in the financial year after the financial year in which the relevant event or circumstance occurs.</w:t>
      </w:r>
    </w:p>
    <w:p>
      <w:pPr>
        <w:pStyle w:val="Subsection"/>
        <w:keepNext/>
      </w:pPr>
      <w:r>
        <w:tab/>
        <w:t>(5)</w:t>
      </w:r>
      <w:r>
        <w:tab/>
        <w:t>A person served with a notice under subsection (1) must comply with the notice.</w:t>
      </w:r>
    </w:p>
    <w:p>
      <w:pPr>
        <w:pStyle w:val="Penstart"/>
      </w:pPr>
      <w:r>
        <w:tab/>
        <w:t>Penalty for this subsection: a fine of $5 000.</w:t>
      </w:r>
    </w:p>
    <w:p>
      <w:pPr>
        <w:pStyle w:val="Subsection"/>
        <w:keepNext/>
      </w:pPr>
      <w:r>
        <w:tab/>
        <w:t>(6)</w:t>
      </w:r>
      <w:r>
        <w:tab/>
        <w:t xml:space="preserve">Despite subsection (5), a person served with a notice under subsection (1) is not required to notify the Commissioner of the occurrence of a relevant event or circumstance in compliance </w:t>
      </w:r>
      <w:r>
        <w:lastRenderedPageBreak/>
        <w:t xml:space="preserve">with the notice if, at the time the relevant event or circumstance occurs — </w:t>
      </w:r>
    </w:p>
    <w:p>
      <w:pPr>
        <w:pStyle w:val="Indenta"/>
      </w:pPr>
      <w:r>
        <w:tab/>
        <w:t>(a)</w:t>
      </w:r>
      <w:r>
        <w:tab/>
        <w:t>the person has ceased to be an owner of the land; or</w:t>
      </w:r>
    </w:p>
    <w:p>
      <w:pPr>
        <w:pStyle w:val="Indenta"/>
        <w:keepNext/>
      </w:pPr>
      <w:r>
        <w:tab/>
        <w:t>(b)</w:t>
      </w:r>
      <w:r>
        <w:tab/>
        <w:t xml:space="preserve">an assessment of land tax has been made in relation to the land for an assessment year (other than an assessment year before the relevant year) on the basis that — </w:t>
      </w:r>
    </w:p>
    <w:p>
      <w:pPr>
        <w:pStyle w:val="Indenti"/>
      </w:pPr>
      <w:r>
        <w:tab/>
        <w:t>(i)</w:t>
      </w:r>
      <w:r>
        <w:tab/>
        <w:t>for a notice under subsection (1)(a) — no exemption is granted for the assessment year under the same paragraph of section 20(1); or</w:t>
      </w:r>
    </w:p>
    <w:p>
      <w:pPr>
        <w:pStyle w:val="Indenti"/>
        <w:keepNext/>
      </w:pPr>
      <w:r>
        <w:tab/>
        <w:t>(ii)</w:t>
      </w:r>
      <w:r>
        <w:tab/>
        <w:t>for a notice under subsection (1)(b) — no exemption or concession under the same provision of Divisions 2 to 5 applies to the land for the assessment year.</w:t>
      </w:r>
    </w:p>
    <w:p>
      <w:pPr>
        <w:pStyle w:val="Footnotesection"/>
      </w:pPr>
      <w:r>
        <w:tab/>
        <w:t>[Section 20A inserted: No. 42 of 2022 s. 12.]</w:t>
      </w:r>
    </w:p>
    <w:p>
      <w:pPr>
        <w:pStyle w:val="Heading3"/>
      </w:pPr>
      <w:bookmarkStart w:id="48" w:name="_Toc119678930"/>
      <w:bookmarkStart w:id="49" w:name="_Toc119915710"/>
      <w:r>
        <w:rPr>
          <w:rStyle w:val="CharDivNo"/>
        </w:rPr>
        <w:t>Division 2</w:t>
      </w:r>
      <w:r>
        <w:t xml:space="preserve"> — </w:t>
      </w:r>
      <w:r>
        <w:rPr>
          <w:rStyle w:val="CharDivText"/>
        </w:rPr>
        <w:t>Private residential property</w:t>
      </w:r>
      <w:bookmarkEnd w:id="47"/>
      <w:bookmarkEnd w:id="48"/>
      <w:bookmarkEnd w:id="49"/>
    </w:p>
    <w:p>
      <w:pPr>
        <w:pStyle w:val="Heading4"/>
      </w:pPr>
      <w:bookmarkStart w:id="50" w:name="_Toc119675957"/>
      <w:bookmarkStart w:id="51" w:name="_Toc119678931"/>
      <w:bookmarkStart w:id="52" w:name="_Toc119915711"/>
      <w:r>
        <w:t>Subdivision 1 — Exemptions and rebates for private residential property</w:t>
      </w:r>
      <w:bookmarkEnd w:id="50"/>
      <w:bookmarkEnd w:id="51"/>
      <w:bookmarkEnd w:id="52"/>
    </w:p>
    <w:p>
      <w:pPr>
        <w:pStyle w:val="Footnoteheading"/>
      </w:pPr>
      <w:r>
        <w:tab/>
        <w:t>[Heading inserted: No. 12 of 2019 s. 139.]</w:t>
      </w:r>
    </w:p>
    <w:p>
      <w:pPr>
        <w:pStyle w:val="Heading5"/>
        <w:spacing w:before="180"/>
      </w:pPr>
      <w:bookmarkStart w:id="53" w:name="_Toc119915712"/>
      <w:r>
        <w:rPr>
          <w:rStyle w:val="CharSectno"/>
        </w:rPr>
        <w:t>21</w:t>
      </w:r>
      <w:r>
        <w:t>.</w:t>
      </w:r>
      <w:r>
        <w:tab/>
        <w:t>Residences owned by individuals, exemptions for</w:t>
      </w:r>
      <w:bookmarkEnd w:id="53"/>
    </w:p>
    <w:p>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the individual’s primary residence; or</w:t>
      </w:r>
    </w:p>
    <w:p>
      <w:pPr>
        <w:pStyle w:val="Indenta"/>
        <w:keepNext/>
        <w:keepLines/>
      </w:pPr>
      <w:r>
        <w:tab/>
        <w:t>(b)</w:t>
      </w:r>
      <w:r>
        <w:tab/>
        <w:t>by spouses, at least one of whom uses it as that spouse’s primary residence; or</w:t>
      </w:r>
    </w:p>
    <w:p>
      <w:pPr>
        <w:pStyle w:val="Indenta"/>
      </w:pPr>
      <w:r>
        <w:tab/>
        <w:t>(c)</w:t>
      </w:r>
      <w:r>
        <w:tab/>
        <w:t>by persons who have lived in a de facto relationship with each other for at least 2 years, whether or not they still live on that basis, at least one of whom uses it as that person’s primary residence.</w:t>
      </w:r>
    </w:p>
    <w:p>
      <w:pPr>
        <w:pStyle w:val="Subsection"/>
        <w:keepNext/>
      </w:pPr>
      <w:r>
        <w:lastRenderedPageBreak/>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 No. 42 of 2022 s. 19.]</w:t>
      </w:r>
    </w:p>
    <w:p>
      <w:pPr>
        <w:pStyle w:val="Heading5"/>
      </w:pPr>
      <w:bookmarkStart w:id="54" w:name="_Toc119915713"/>
      <w:r>
        <w:rPr>
          <w:rStyle w:val="CharSectno"/>
        </w:rPr>
        <w:t>22</w:t>
      </w:r>
      <w:r>
        <w:t>.</w:t>
      </w:r>
      <w:r>
        <w:tab/>
        <w:t>Residence owned by executor etc., exemption for if beneficiary in will exercising right to reside</w:t>
      </w:r>
      <w:bookmarkEnd w:id="54"/>
    </w:p>
    <w:p>
      <w:pPr>
        <w:pStyle w:val="Subsection"/>
        <w:keepNext/>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keepNext/>
      </w:pPr>
      <w:r>
        <w:tab/>
        <w:t>(ii)</w:t>
      </w:r>
      <w:r>
        <w:tab/>
        <w:t>has a right under the will to use the property as a place of residence —</w:t>
      </w:r>
    </w:p>
    <w:p>
      <w:pPr>
        <w:pStyle w:val="IndentI0"/>
      </w:pPr>
      <w:r>
        <w:tab/>
        <w:t>(I)</w:t>
      </w:r>
      <w:r>
        <w:tab/>
        <w:t>for as long as the individual wishes; or</w:t>
      </w:r>
    </w:p>
    <w:p>
      <w:pPr>
        <w:pStyle w:val="IndentI0"/>
        <w:keepNext/>
      </w:pPr>
      <w:r>
        <w:tab/>
        <w:t>(II)</w:t>
      </w:r>
      <w:r>
        <w:tab/>
        <w:t>for a fixed or ascertainable period,</w:t>
      </w:r>
    </w:p>
    <w:p>
      <w:pPr>
        <w:pStyle w:val="Indenti"/>
        <w:keepNext/>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their primary residence.</w:t>
      </w:r>
    </w:p>
    <w:p>
      <w:pPr>
        <w:pStyle w:val="Footnotesection"/>
      </w:pPr>
      <w:r>
        <w:tab/>
        <w:t>[Section 22 amended: No. 40 of 2003 s. 8; No. 30 of 2008 s. 12; No. 42 of 2022 s. 19.]</w:t>
      </w:r>
    </w:p>
    <w:p>
      <w:pPr>
        <w:pStyle w:val="Heading5"/>
      </w:pPr>
      <w:bookmarkStart w:id="55" w:name="_Toc119915714"/>
      <w:r>
        <w:rPr>
          <w:rStyle w:val="CharSectno"/>
        </w:rPr>
        <w:lastRenderedPageBreak/>
        <w:t>23A</w:t>
      </w:r>
      <w:r>
        <w:t>.</w:t>
      </w:r>
      <w:r>
        <w:tab/>
        <w:t>Exemption for residence owned by executor or administrator if beneficiary in will has right to future ownership and is resident</w:t>
      </w:r>
      <w:bookmarkEnd w:id="55"/>
    </w:p>
    <w:p>
      <w:pPr>
        <w:pStyle w:val="Subsection"/>
        <w:keepNext/>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their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Ednotesubsection"/>
        <w:keepNext/>
      </w:pPr>
      <w:r>
        <w:tab/>
        <w:t>[(3)</w:t>
      </w:r>
      <w:r>
        <w:tab/>
        <w:t>deleted]</w:t>
      </w:r>
    </w:p>
    <w:p>
      <w:pPr>
        <w:pStyle w:val="Footnotesection"/>
      </w:pPr>
      <w:r>
        <w:tab/>
        <w:t>[Section 23A inserted: No. 30 of 2008 s. 13; amended: No. 42 of 2022 s. 13 and 19.]</w:t>
      </w:r>
    </w:p>
    <w:p>
      <w:pPr>
        <w:pStyle w:val="Heading5"/>
      </w:pPr>
      <w:bookmarkStart w:id="56" w:name="_Toc119915715"/>
      <w:r>
        <w:rPr>
          <w:rStyle w:val="CharSectno"/>
        </w:rPr>
        <w:t>23</w:t>
      </w:r>
      <w:r>
        <w:t>.</w:t>
      </w:r>
      <w:r>
        <w:tab/>
        <w:t>Continued exemption after death of resident</w:t>
      </w:r>
      <w:bookmarkEnd w:id="56"/>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keepNext/>
      </w:pPr>
      <w:r>
        <w:tab/>
        <w:t>(a)</w:t>
      </w:r>
      <w:r>
        <w:tab/>
        <w:t xml:space="preserve">the individual’s ownership and use of the property as their primary residence — </w:t>
      </w:r>
    </w:p>
    <w:p>
      <w:pPr>
        <w:pStyle w:val="Indenti"/>
      </w:pPr>
      <w:r>
        <w:tab/>
        <w:t>(i)</w:t>
      </w:r>
      <w:r>
        <w:tab/>
        <w:t>gave rise to an exemption under section 21 or 26B for the financial year in which the individual died; or</w:t>
      </w:r>
    </w:p>
    <w:p>
      <w:pPr>
        <w:pStyle w:val="Indenti"/>
        <w:keepNext/>
      </w:pPr>
      <w:r>
        <w:tab/>
        <w:t>(ii)</w:t>
      </w:r>
      <w:r>
        <w:tab/>
        <w:t xml:space="preserve">would have given rise to an exemption under section 21 or 26B for the financial year in which the individual died if, in applying section 21 </w:t>
      </w:r>
      <w:r>
        <w:lastRenderedPageBreak/>
        <w:t>or 26B to that financial year, the reference in section 21(1) or 26B(3)(a) to midnight on 30 June in the financial year before the assessment year were a reference to the time immediately before the individual’s death;</w:t>
      </w:r>
    </w:p>
    <w:p>
      <w:pPr>
        <w:pStyle w:val="Indenta"/>
      </w:pPr>
      <w:r>
        <w:tab/>
      </w:r>
      <w:r>
        <w:tab/>
        <w:t>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keepNext/>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the individual died; and</w:t>
      </w:r>
    </w:p>
    <w:p>
      <w:pPr>
        <w:pStyle w:val="Indenta"/>
      </w:pPr>
      <w:r>
        <w:tab/>
        <w:t>(b)</w:t>
      </w:r>
      <w:r>
        <w:tab/>
        <w:t>the executor or administrator advises the Commissioner that the estate is not expected to derive any rent or other income from the property in the assessment year.</w:t>
      </w:r>
    </w:p>
    <w:p>
      <w:pPr>
        <w:pStyle w:val="Ednotesubsection"/>
      </w:pPr>
      <w:r>
        <w:tab/>
        <w:t>[(3)</w:t>
      </w:r>
      <w:r>
        <w:tab/>
        <w:t>deleted]</w:t>
      </w:r>
    </w:p>
    <w:p>
      <w:pPr>
        <w:pStyle w:val="Subsection"/>
        <w:keepNext/>
        <w:spacing w:before="140"/>
      </w:pPr>
      <w:r>
        <w:tab/>
        <w:t>(4)</w:t>
      </w:r>
      <w:r>
        <w:tab/>
        <w:t>If the Commissioner is notified in accordance with section 20A, or otherwise becomes aware, that the estate has derived rent or income from the property in the assessment year, the Commissioner is to make a reassessment accordingly.</w:t>
      </w:r>
    </w:p>
    <w:p>
      <w:pPr>
        <w:pStyle w:val="Footnotesection"/>
      </w:pPr>
      <w:r>
        <w:tab/>
        <w:t>[Section 23 amended: No. 42 of 2022 s. 6, 14 and 19.]</w:t>
      </w:r>
    </w:p>
    <w:p>
      <w:pPr>
        <w:pStyle w:val="Heading5"/>
      </w:pPr>
      <w:bookmarkStart w:id="57" w:name="_Toc119915716"/>
      <w:r>
        <w:rPr>
          <w:rStyle w:val="CharSectno"/>
        </w:rPr>
        <w:t>24</w:t>
      </w:r>
      <w:r>
        <w:t>.</w:t>
      </w:r>
      <w:r>
        <w:tab/>
        <w:t>Construction of private residence, one year exemption for</w:t>
      </w:r>
      <w:bookmarkEnd w:id="57"/>
    </w:p>
    <w:p>
      <w:pPr>
        <w:pStyle w:val="Subsection"/>
        <w:keepNext/>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lastRenderedPageBreak/>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their primary residence during the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their primary residence.</w:t>
      </w:r>
    </w:p>
    <w:p>
      <w:pPr>
        <w:pStyle w:val="Subsection"/>
        <w:keepNext/>
      </w:pPr>
      <w:r>
        <w:tab/>
        <w:t>(3)</w:t>
      </w:r>
      <w:r>
        <w:tab/>
        <w:t>The Commissioner is to make any reassessment necessary to give effect to this section.</w:t>
      </w:r>
    </w:p>
    <w:p>
      <w:pPr>
        <w:pStyle w:val="Footnotesection"/>
      </w:pPr>
      <w:r>
        <w:tab/>
        <w:t>[Section 24 amended: No. 31 of 2006 s. 20; No. 42 of 2022 s. 19.]</w:t>
      </w:r>
    </w:p>
    <w:p>
      <w:pPr>
        <w:pStyle w:val="Heading5"/>
      </w:pPr>
      <w:bookmarkStart w:id="58" w:name="_Toc119915717"/>
      <w:r>
        <w:rPr>
          <w:rStyle w:val="CharSectno"/>
        </w:rPr>
        <w:t>24A</w:t>
      </w:r>
      <w:r>
        <w:t>.</w:t>
      </w:r>
      <w:r>
        <w:tab/>
        <w:t>Construction of private residence, 2 year exemption for</w:t>
      </w:r>
      <w:bookmarkEnd w:id="58"/>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construction is carried out in the first assessment year;</w:t>
      </w:r>
    </w:p>
    <w:p>
      <w:pPr>
        <w:pStyle w:val="Indenta"/>
      </w:pPr>
      <w:r>
        <w:tab/>
      </w:r>
      <w:r>
        <w:tab/>
        <w:t>and</w:t>
      </w:r>
    </w:p>
    <w:p>
      <w:pPr>
        <w:pStyle w:val="Indenta"/>
      </w:pPr>
      <w:r>
        <w:lastRenderedPageBreak/>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pPr>
      <w:r>
        <w:tab/>
        <w:t>(3)</w:t>
      </w:r>
      <w:r>
        <w:tab/>
        <w:t>The individual may apply for the exemption in the approved form after the commencement date for the construction.</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24A inserted: No. 31 of 2006 s. 21; amended: No. 29 of 2012 s. 13; No. 42 of 2022 s. 19.]</w:t>
      </w:r>
    </w:p>
    <w:p>
      <w:pPr>
        <w:pStyle w:val="Heading5"/>
      </w:pPr>
      <w:bookmarkStart w:id="59" w:name="_Toc119915718"/>
      <w:r>
        <w:rPr>
          <w:rStyle w:val="CharSectno"/>
        </w:rPr>
        <w:lastRenderedPageBreak/>
        <w:t>25</w:t>
      </w:r>
      <w:r>
        <w:t>.</w:t>
      </w:r>
      <w:r>
        <w:tab/>
        <w:t>Refurbishment of private residence, one year exemption for</w:t>
      </w:r>
      <w:bookmarkEnd w:id="59"/>
    </w:p>
    <w:p>
      <w:pPr>
        <w:pStyle w:val="Subsection"/>
        <w:keepNext/>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their primary residence.</w:t>
      </w:r>
    </w:p>
    <w:p>
      <w:pPr>
        <w:pStyle w:val="Subsection"/>
        <w:keepNext/>
      </w:pPr>
      <w:r>
        <w:tab/>
        <w:t>(3)</w:t>
      </w:r>
      <w:r>
        <w:tab/>
        <w:t>The Commissioner is to make any reassessment necessary to give effect to this section.</w:t>
      </w:r>
    </w:p>
    <w:p>
      <w:pPr>
        <w:pStyle w:val="Footnotesection"/>
      </w:pPr>
      <w:r>
        <w:tab/>
        <w:t>[Section 25 amended: No. 42 of 2022 s. 19.]</w:t>
      </w:r>
    </w:p>
    <w:p>
      <w:pPr>
        <w:pStyle w:val="Heading5"/>
      </w:pPr>
      <w:bookmarkStart w:id="60" w:name="_Toc119915719"/>
      <w:r>
        <w:rPr>
          <w:rStyle w:val="CharSectno"/>
        </w:rPr>
        <w:lastRenderedPageBreak/>
        <w:t>25A</w:t>
      </w:r>
      <w:r>
        <w:t>.</w:t>
      </w:r>
      <w:r>
        <w:tab/>
        <w:t>Refurbishment of private residence, 2 year exemption for</w:t>
      </w:r>
      <w:bookmarkEnd w:id="60"/>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spacing w:before="140"/>
      </w:pPr>
      <w:r>
        <w:tab/>
        <w:t>(3)</w:t>
      </w:r>
      <w:r>
        <w:tab/>
        <w:t>The individual may apply for the exemption in the approved form after the commencement date for the refurbishment.</w:t>
      </w:r>
    </w:p>
    <w:p>
      <w:pPr>
        <w:pStyle w:val="Subsection"/>
        <w:keepNext/>
      </w:pPr>
      <w:r>
        <w:lastRenderedPageBreak/>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No. 31 of 2006 s. 22; amended: No. 29 of 2012 s. 14; No. 42 of 2022 s. 19.]</w:t>
      </w:r>
    </w:p>
    <w:p>
      <w:pPr>
        <w:pStyle w:val="Heading5"/>
        <w:spacing w:before="240"/>
      </w:pPr>
      <w:bookmarkStart w:id="61" w:name="_Toc119915720"/>
      <w:r>
        <w:rPr>
          <w:rStyle w:val="CharSectno"/>
        </w:rPr>
        <w:t>26</w:t>
      </w:r>
      <w:r>
        <w:t>.</w:t>
      </w:r>
      <w:r>
        <w:tab/>
        <w:t>Exemption for residence of disabled person held in trust</w:t>
      </w:r>
      <w:bookmarkEnd w:id="61"/>
    </w:p>
    <w:p>
      <w:pPr>
        <w:pStyle w:val="Subsection"/>
        <w:keepNext/>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the beneficiary’s primary residence.</w:t>
      </w:r>
    </w:p>
    <w:p>
      <w:pPr>
        <w:pStyle w:val="Ednotesubsection"/>
        <w:keepNext/>
      </w:pPr>
      <w:r>
        <w:tab/>
        <w:t>[(2)</w:t>
      </w:r>
      <w:r>
        <w:tab/>
        <w:t>deleted]</w:t>
      </w:r>
    </w:p>
    <w:p>
      <w:pPr>
        <w:pStyle w:val="Footnotesection"/>
      </w:pPr>
      <w:r>
        <w:tab/>
        <w:t>[Section 26 amended: No. 31 of 2006 s. 28; No. 42 of 2022 s. 15 and 19.]</w:t>
      </w:r>
    </w:p>
    <w:p>
      <w:pPr>
        <w:pStyle w:val="Heading5"/>
      </w:pPr>
      <w:bookmarkStart w:id="62" w:name="_Toc119915721"/>
      <w:r>
        <w:rPr>
          <w:rStyle w:val="CharSectno"/>
        </w:rPr>
        <w:t>26A</w:t>
      </w:r>
      <w:r>
        <w:t>.</w:t>
      </w:r>
      <w:r>
        <w:tab/>
        <w:t>Exemption for residence of disabled person owned by relative</w:t>
      </w:r>
      <w:bookmarkEnd w:id="62"/>
    </w:p>
    <w:p>
      <w:pPr>
        <w:pStyle w:val="Subsection"/>
        <w:keepNext/>
      </w:pPr>
      <w:r>
        <w:tab/>
        <w:t>(1)</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w:t>
      </w:r>
      <w:r>
        <w:lastRenderedPageBreak/>
        <w:t>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 xml:space="preserve">a disabled person uses the property as </w:t>
      </w:r>
      <w:bookmarkStart w:id="63" w:name="_Hlk119677764"/>
      <w:r>
        <w:t>their</w:t>
      </w:r>
      <w:bookmarkEnd w:id="63"/>
      <w:r>
        <w:t xml:space="preserve"> primary residence; and</w:t>
      </w:r>
    </w:p>
    <w:p>
      <w:pPr>
        <w:pStyle w:val="Indenta"/>
      </w:pPr>
      <w:r>
        <w:tab/>
        <w:t>(b)</w:t>
      </w:r>
      <w:r>
        <w:tab/>
        <w:t>it is owned by one or more individuals, at least one of whom is related to the disabled person.</w:t>
      </w:r>
    </w:p>
    <w:p>
      <w:pPr>
        <w:pStyle w:val="Subsection"/>
        <w:keepNext/>
      </w:pPr>
      <w:r>
        <w:tab/>
        <w:t>(3)</w:t>
      </w:r>
      <w:r>
        <w:tab/>
        <w:t xml:space="preserve">For the purposes of subsection (2)(b) — </w:t>
      </w:r>
    </w:p>
    <w:p>
      <w:pPr>
        <w:pStyle w:val="Indenta"/>
        <w:keepNext/>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keepNext/>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keepNext/>
        <w:spacing w:before="120"/>
      </w:pPr>
      <w:r>
        <w:tab/>
        <w:t>[(4)-(7)</w:t>
      </w:r>
      <w:r>
        <w:tab/>
        <w:t>deleted]</w:t>
      </w:r>
    </w:p>
    <w:p>
      <w:pPr>
        <w:pStyle w:val="Footnotesection"/>
      </w:pPr>
      <w:r>
        <w:tab/>
        <w:t>[Section 26A inserted: No. 31 of 2006 s. 29; amended: No. 30 of 2008 s. 14; No. 12 of 2019 s. 135; No. 42 of 2022 s. 16 and 19.]</w:t>
      </w:r>
    </w:p>
    <w:p>
      <w:pPr>
        <w:pStyle w:val="Heading5"/>
      </w:pPr>
      <w:bookmarkStart w:id="64" w:name="_Toc119485414"/>
      <w:bookmarkStart w:id="65" w:name="_Toc119675765"/>
      <w:bookmarkStart w:id="66" w:name="_Toc119915722"/>
      <w:r>
        <w:rPr>
          <w:rStyle w:val="CharSectno"/>
        </w:rPr>
        <w:t>26B</w:t>
      </w:r>
      <w:r>
        <w:t>.</w:t>
      </w:r>
      <w:r>
        <w:tab/>
        <w:t>Exemption for property owned by individual in care</w:t>
      </w:r>
      <w:bookmarkEnd w:id="64"/>
      <w:bookmarkEnd w:id="65"/>
      <w:bookmarkEnd w:id="66"/>
    </w:p>
    <w:p>
      <w:pPr>
        <w:pStyle w:val="Subsection"/>
        <w:keepNext/>
      </w:pPr>
      <w:r>
        <w:tab/>
        <w:t>(1)</w:t>
      </w:r>
      <w:r>
        <w:tab/>
        <w:t xml:space="preserve">In this section — </w:t>
      </w:r>
    </w:p>
    <w:p>
      <w:pPr>
        <w:pStyle w:val="Defstart"/>
      </w:pPr>
      <w:r>
        <w:tab/>
      </w:r>
      <w:r>
        <w:rPr>
          <w:rStyle w:val="CharDefText"/>
        </w:rPr>
        <w:t>aged care facility</w:t>
      </w:r>
      <w:r>
        <w:t xml:space="preserve"> has the meaning given in section 38A(1);</w:t>
      </w:r>
    </w:p>
    <w:p>
      <w:pPr>
        <w:pStyle w:val="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pPr>
        <w:pStyle w:val="Subsection"/>
        <w:keepNext/>
      </w:pPr>
      <w:r>
        <w:lastRenderedPageBreak/>
        <w:tab/>
        <w:t>(2)</w:t>
      </w:r>
      <w:r>
        <w:tab/>
        <w:t xml:space="preserve">In this section, an individual is in </w:t>
      </w:r>
      <w:r>
        <w:rPr>
          <w:rStyle w:val="CharDefText"/>
        </w:rPr>
        <w:t>full</w:t>
      </w:r>
      <w:r>
        <w:rPr>
          <w:rStyle w:val="CharDefText"/>
        </w:rPr>
        <w:noBreakHyphen/>
        <w:t>time care</w:t>
      </w:r>
      <w:r>
        <w:t xml:space="preserve"> during any period when — </w:t>
      </w:r>
    </w:p>
    <w:p>
      <w:pPr>
        <w:pStyle w:val="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pPr>
        <w:pStyle w:val="Indenta"/>
        <w:keepNext/>
      </w:pPr>
      <w:r>
        <w:tab/>
        <w:t>(b)</w:t>
      </w:r>
      <w:r>
        <w:tab/>
        <w:t xml:space="preserve">the individual’s primary residence is any of the following — </w:t>
      </w:r>
    </w:p>
    <w:p>
      <w:pPr>
        <w:pStyle w:val="Indenti"/>
      </w:pPr>
      <w:r>
        <w:tab/>
        <w:t>(i)</w:t>
      </w:r>
      <w:r>
        <w:tab/>
        <w:t xml:space="preserve">a public hospital as defined in the </w:t>
      </w:r>
      <w:r>
        <w:rPr>
          <w:i/>
        </w:rPr>
        <w:t>Health Services Act 2016</w:t>
      </w:r>
      <w:r>
        <w:t xml:space="preserve"> section 8(6);</w:t>
      </w:r>
    </w:p>
    <w:p>
      <w:pPr>
        <w:pStyle w:val="Indenti"/>
      </w:pPr>
      <w:r>
        <w:tab/>
        <w:t>(ii)</w:t>
      </w:r>
      <w:r>
        <w:tab/>
        <w:t xml:space="preserve">a private hospital as defined in the </w:t>
      </w:r>
      <w:r>
        <w:rPr>
          <w:i/>
        </w:rPr>
        <w:t>Private Hospitals and Health Services Act 1927</w:t>
      </w:r>
      <w:r>
        <w:t xml:space="preserve"> section 2(1);</w:t>
      </w:r>
    </w:p>
    <w:p>
      <w:pPr>
        <w:pStyle w:val="Indenti"/>
      </w:pPr>
      <w:r>
        <w:tab/>
        <w:t>(iii)</w:t>
      </w:r>
      <w:r>
        <w:tab/>
        <w:t xml:space="preserve">a mental health service as defined in the </w:t>
      </w:r>
      <w:r>
        <w:rPr>
          <w:i/>
        </w:rPr>
        <w:t>Mental Health Act 2014</w:t>
      </w:r>
      <w:r>
        <w:t xml:space="preserve"> section 4;</w:t>
      </w:r>
    </w:p>
    <w:p>
      <w:pPr>
        <w:pStyle w:val="Indenti"/>
      </w:pPr>
      <w:r>
        <w:tab/>
        <w:t>(iv)</w:t>
      </w:r>
      <w:r>
        <w:tab/>
        <w:t xml:space="preserve">a private psychiatric hostel as defined in the </w:t>
      </w:r>
      <w:r>
        <w:rPr>
          <w:i/>
        </w:rPr>
        <w:t>Private Hospitals and Health Services Act 1927</w:t>
      </w:r>
      <w:r>
        <w:t xml:space="preserve"> section 2(1);</w:t>
      </w:r>
    </w:p>
    <w:p>
      <w:pPr>
        <w:pStyle w:val="Indenti"/>
      </w:pPr>
      <w:r>
        <w:tab/>
        <w:t>(v)</w:t>
      </w:r>
      <w:r>
        <w:tab/>
        <w:t>an aged care facility;</w:t>
      </w:r>
    </w:p>
    <w:p>
      <w:pPr>
        <w:pStyle w:val="Indenti"/>
      </w:pPr>
      <w:r>
        <w:tab/>
        <w:t>(vi)</w:t>
      </w:r>
      <w:r>
        <w:tab/>
        <w:t>a facility that specialises in palliative care;</w:t>
      </w:r>
    </w:p>
    <w:p>
      <w:pPr>
        <w:pStyle w:val="Indenti"/>
      </w:pPr>
      <w:r>
        <w:tab/>
        <w:t>(vii)</w:t>
      </w:r>
      <w:r>
        <w:tab/>
        <w:t>a place in another State or a Territory that is equivalent to a place referred to in subparagraph (i), (ii), (iii), (iv), (v) or (vi);</w:t>
      </w:r>
    </w:p>
    <w:p>
      <w:pPr>
        <w:pStyle w:val="Indenti"/>
      </w:pPr>
      <w:r>
        <w:tab/>
        <w:t>(viii)</w:t>
      </w:r>
      <w:r>
        <w:tab/>
        <w:t>a place of a prescribed class.</w:t>
      </w:r>
    </w:p>
    <w:p>
      <w:pPr>
        <w:pStyle w:val="Subsection"/>
        <w:keepNext/>
      </w:pPr>
      <w:r>
        <w:tab/>
        <w:t>(3)</w:t>
      </w:r>
      <w:r>
        <w:tab/>
        <w:t xml:space="preserve">Private residential property (except property held in trust) is exempt for an assessment year if — </w:t>
      </w:r>
    </w:p>
    <w:p>
      <w:pPr>
        <w:pStyle w:val="Indenta"/>
        <w:keepNext/>
      </w:pPr>
      <w:r>
        <w:tab/>
        <w:t>(a)</w:t>
      </w:r>
      <w:r>
        <w:tab/>
        <w:t xml:space="preserve">at midnight on 30 June in the financial year before the assessment year — </w:t>
      </w:r>
    </w:p>
    <w:p>
      <w:pPr>
        <w:pStyle w:val="Indenti"/>
      </w:pPr>
      <w:r>
        <w:tab/>
        <w:t>(i)</w:t>
      </w:r>
      <w:r>
        <w:tab/>
        <w:t>the property is owned by an individual as described in subsection (4); and</w:t>
      </w:r>
    </w:p>
    <w:p>
      <w:pPr>
        <w:pStyle w:val="Indenti"/>
        <w:keepNext/>
      </w:pPr>
      <w:r>
        <w:tab/>
        <w:t>(ii)</w:t>
      </w:r>
      <w:r>
        <w:tab/>
        <w:t>the individual is in full</w:t>
      </w:r>
      <w:r>
        <w:noBreakHyphen/>
        <w:t>time care;</w:t>
      </w:r>
    </w:p>
    <w:p>
      <w:pPr>
        <w:pStyle w:val="Indenta"/>
      </w:pPr>
      <w:r>
        <w:tab/>
      </w:r>
      <w:r>
        <w:tab/>
        <w:t>and</w:t>
      </w:r>
    </w:p>
    <w:p>
      <w:pPr>
        <w:pStyle w:val="Indenta"/>
        <w:keepNext/>
      </w:pPr>
      <w:r>
        <w:lastRenderedPageBreak/>
        <w:tab/>
        <w:t>(b)</w:t>
      </w:r>
      <w:r>
        <w:tab/>
        <w:t xml:space="preserve">immediately before the care commencement date — </w:t>
      </w:r>
    </w:p>
    <w:p>
      <w:pPr>
        <w:pStyle w:val="Indenti"/>
      </w:pPr>
      <w:r>
        <w:tab/>
        <w:t>(i)</w:t>
      </w:r>
      <w:r>
        <w:tab/>
        <w:t>the property was owned by the individual as described in subsection (4); and</w:t>
      </w:r>
    </w:p>
    <w:p>
      <w:pPr>
        <w:pStyle w:val="Indenti"/>
      </w:pPr>
      <w:r>
        <w:tab/>
        <w:t>(ii)</w:t>
      </w:r>
      <w:r>
        <w:tab/>
        <w:t>the individual used the property as their primary residence.</w:t>
      </w:r>
    </w:p>
    <w:p>
      <w:pPr>
        <w:pStyle w:val="Subsection"/>
        <w:keepNext/>
      </w:pPr>
      <w:r>
        <w:tab/>
        <w:t>(4)</w:t>
      </w:r>
      <w:r>
        <w:tab/>
        <w:t xml:space="preserve">For the purposes of subsection (3)(a)(i) and (b)(i), the property must be owned at the relevant time by — </w:t>
      </w:r>
    </w:p>
    <w:p>
      <w:pPr>
        <w:pStyle w:val="Indenta"/>
      </w:pPr>
      <w:r>
        <w:tab/>
        <w:t>(a)</w:t>
      </w:r>
      <w:r>
        <w:tab/>
        <w:t>the individual; or</w:t>
      </w:r>
    </w:p>
    <w:p>
      <w:pPr>
        <w:pStyle w:val="Indenta"/>
      </w:pPr>
      <w:r>
        <w:tab/>
        <w:t>(b)</w:t>
      </w:r>
      <w:r>
        <w:tab/>
        <w:t>the individual and their spouse; or</w:t>
      </w:r>
    </w:p>
    <w:p>
      <w:pPr>
        <w:pStyle w:val="Indenta"/>
      </w:pPr>
      <w:r>
        <w:tab/>
        <w:t>(c)</w:t>
      </w:r>
      <w:r>
        <w:tab/>
        <w:t>the individual and a person with whom the individual has lived in a de facto relationship for at least 2 years, whether or not they still live on that basis at the relevant time; or</w:t>
      </w:r>
    </w:p>
    <w:p>
      <w:pPr>
        <w:pStyle w:val="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pPr>
        <w:pStyle w:val="Subsection"/>
        <w:keepNext/>
      </w:pPr>
      <w:r>
        <w:tab/>
        <w:t>(5)</w:t>
      </w:r>
      <w:r>
        <w:tab/>
        <w:t xml:space="preserve">Despite subsection (3), the property is not exempt if — </w:t>
      </w:r>
    </w:p>
    <w:p>
      <w:pPr>
        <w:pStyle w:val="Indenta"/>
        <w:keepNext/>
      </w:pPr>
      <w:r>
        <w:tab/>
        <w:t>(a)</w:t>
      </w:r>
      <w:r>
        <w:tab/>
        <w:t xml:space="preserve">the individual or any other person derived any income from the property in — </w:t>
      </w:r>
    </w:p>
    <w:p>
      <w:pPr>
        <w:pStyle w:val="Indenti"/>
      </w:pPr>
      <w:r>
        <w:tab/>
        <w:t>(i)</w:t>
      </w:r>
      <w:r>
        <w:tab/>
        <w:t>if the care commencement date was in the financial year before the assessment year — the period beginning on the care commencement date and ending immediately before the assessment year; or</w:t>
      </w:r>
    </w:p>
    <w:p>
      <w:pPr>
        <w:pStyle w:val="Indenti"/>
        <w:keepNext/>
      </w:pPr>
      <w:r>
        <w:tab/>
        <w:t>(ii)</w:t>
      </w:r>
      <w:r>
        <w:tab/>
        <w:t>otherwise — the financial year before the assessment year;</w:t>
      </w:r>
    </w:p>
    <w:p>
      <w:pPr>
        <w:pStyle w:val="Indenta"/>
      </w:pPr>
      <w:r>
        <w:tab/>
      </w:r>
      <w:r>
        <w:tab/>
        <w:t>or</w:t>
      </w:r>
    </w:p>
    <w:p>
      <w:pPr>
        <w:pStyle w:val="Indenta"/>
        <w:keepNext/>
      </w:pPr>
      <w:r>
        <w:lastRenderedPageBreak/>
        <w:tab/>
        <w:t>(b)</w:t>
      </w:r>
      <w:r>
        <w:tab/>
        <w:t>any other property owned by the individual is exempt for the assessment year under this Division as a result of its use by the individual as their primary residence.</w:t>
      </w:r>
    </w:p>
    <w:p>
      <w:pPr>
        <w:pStyle w:val="Footnotesection"/>
      </w:pPr>
      <w:r>
        <w:tab/>
        <w:t>[Section 26B inserted: No. 42 of 2022 s. 7.]</w:t>
      </w:r>
    </w:p>
    <w:p>
      <w:pPr>
        <w:pStyle w:val="Heading5"/>
        <w:spacing w:before="240"/>
      </w:pPr>
      <w:bookmarkStart w:id="67" w:name="_Toc119915723"/>
      <w:r>
        <w:rPr>
          <w:rStyle w:val="CharSectno"/>
        </w:rPr>
        <w:t>27</w:t>
      </w:r>
      <w:r>
        <w:t>.</w:t>
      </w:r>
      <w:r>
        <w:tab/>
        <w:t>Moving between 2 private residences, application of exemption</w:t>
      </w:r>
      <w:bookmarkEnd w:id="67"/>
    </w:p>
    <w:p>
      <w:pPr>
        <w:pStyle w:val="Subsection"/>
        <w:keepNext/>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keepNext/>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keepNext/>
      </w:pPr>
      <w:r>
        <w:tab/>
        <w:t>(ii)</w:t>
      </w:r>
      <w:r>
        <w:tab/>
        <w:t>in the assessment year after using property B for that purpose;</w:t>
      </w:r>
    </w:p>
    <w:p>
      <w:pPr>
        <w:pStyle w:val="Indenta"/>
      </w:pPr>
      <w:r>
        <w:tab/>
      </w:r>
      <w:r>
        <w:tab/>
        <w:t>and</w:t>
      </w:r>
    </w:p>
    <w:p>
      <w:pPr>
        <w:pStyle w:val="Indenta"/>
        <w:keepNext/>
      </w:pPr>
      <w:r>
        <w:tab/>
        <w:t>(f)</w:t>
      </w:r>
      <w:r>
        <w:tab/>
        <w:t xml:space="preserve">during the assessment year, the owner — </w:t>
      </w:r>
    </w:p>
    <w:p>
      <w:pPr>
        <w:pStyle w:val="Indenti"/>
      </w:pPr>
      <w:r>
        <w:tab/>
        <w:t>(i)</w:t>
      </w:r>
      <w:r>
        <w:tab/>
        <w:t>sold or otherwise disposed of the property the owner acquired first; and</w:t>
      </w:r>
    </w:p>
    <w:p>
      <w:pPr>
        <w:pStyle w:val="Indenti"/>
      </w:pPr>
      <w:r>
        <w:lastRenderedPageBreak/>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keepNext/>
      </w:pPr>
      <w:r>
        <w:tab/>
        <w:t>(4)</w:t>
      </w:r>
      <w:r>
        <w:tab/>
        <w:t>The Commissioner is to make any reassessment necessary to give effect to this section.</w:t>
      </w:r>
    </w:p>
    <w:p>
      <w:pPr>
        <w:pStyle w:val="Footnotesection"/>
      </w:pPr>
      <w:r>
        <w:tab/>
        <w:t>[Section 27 inserted: No. 31 of 2006 s. 23.]</w:t>
      </w:r>
    </w:p>
    <w:p>
      <w:pPr>
        <w:pStyle w:val="Heading5"/>
      </w:pPr>
      <w:bookmarkStart w:id="68" w:name="_Toc119915724"/>
      <w:r>
        <w:rPr>
          <w:rStyle w:val="CharSectno"/>
        </w:rPr>
        <w:t>27A</w:t>
      </w:r>
      <w:r>
        <w:t>.</w:t>
      </w:r>
      <w:r>
        <w:tab/>
        <w:t>Construction or refurbishment of second private residence, 2 year exemption for</w:t>
      </w:r>
      <w:bookmarkEnd w:id="68"/>
    </w:p>
    <w:p>
      <w:pPr>
        <w:pStyle w:val="Subsection"/>
        <w:keepNext/>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keepNext/>
        <w:spacing w:before="56"/>
      </w:pPr>
      <w:r>
        <w:lastRenderedPageBreak/>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keepNext/>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their primary residence during the second assessment year; and</w:t>
      </w:r>
    </w:p>
    <w:p>
      <w:pPr>
        <w:pStyle w:val="Indenta"/>
        <w:keepNext/>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lastRenderedPageBreak/>
        <w:tab/>
        <w:t>(3)</w:t>
      </w:r>
      <w:r>
        <w:tab/>
        <w:t>The owner may apply for the exemption in the approved form after the commencement date for the construction or refurbishment.</w:t>
      </w:r>
    </w:p>
    <w:p>
      <w:pPr>
        <w:pStyle w:val="Subsection"/>
        <w:keepNext/>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keepNext/>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 No. 42 of 2022 s. 19.]</w:t>
      </w:r>
    </w:p>
    <w:p>
      <w:pPr>
        <w:pStyle w:val="Heading5"/>
      </w:pPr>
      <w:bookmarkStart w:id="69" w:name="_Toc119915725"/>
      <w:r>
        <w:rPr>
          <w:rStyle w:val="CharSectno"/>
        </w:rPr>
        <w:t>28</w:t>
      </w:r>
      <w:r>
        <w:t>.</w:t>
      </w:r>
      <w:r>
        <w:tab/>
        <w:t>Inner city residential property, rebate for</w:t>
      </w:r>
      <w:bookmarkEnd w:id="69"/>
    </w:p>
    <w:p>
      <w:pPr>
        <w:pStyle w:val="Subsection"/>
      </w:pPr>
      <w:r>
        <w:tab/>
        <w:t>(1)</w:t>
      </w:r>
      <w:r>
        <w:tab/>
        <w:t>The owner of private residential property may apply to the Commissioner in the approved form for a rebate under this section.</w:t>
      </w:r>
    </w:p>
    <w:p>
      <w:pPr>
        <w:pStyle w:val="Subsection"/>
        <w:keepNext/>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lastRenderedPageBreak/>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05pt;height:15.35pt" o:ole="" fillcolor="window">
            <v:imagedata r:id="rId21" o:title=""/>
          </v:shape>
          <o:OLEObject Type="Embed" ProgID="Equation.3" ShapeID="_x0000_i1025" DrawAspect="Content" ObjectID="_1730638633"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keepNext/>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lastRenderedPageBreak/>
        <w:tab/>
        <w:t>(4)</w:t>
      </w:r>
      <w:r>
        <w:tab/>
        <w:t>The Commissioner may, by notice served on an applicant, relieve the applicant from the obligation to apply for a rebate for each assessment year and may, by further notice, reimpose that obligation upon the applicant.</w:t>
      </w:r>
    </w:p>
    <w:p>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70" w:name="_Toc119675971"/>
      <w:bookmarkStart w:id="71" w:name="_Toc119678946"/>
      <w:bookmarkStart w:id="72" w:name="_Toc119915726"/>
      <w:r>
        <w:t>Subdivision 2 — Application of private residential exemptions to subdivided land</w:t>
      </w:r>
      <w:bookmarkEnd w:id="70"/>
      <w:bookmarkEnd w:id="71"/>
      <w:bookmarkEnd w:id="72"/>
    </w:p>
    <w:p>
      <w:pPr>
        <w:pStyle w:val="Footnoteheading"/>
        <w:keepNext/>
      </w:pPr>
      <w:r>
        <w:tab/>
        <w:t>[Heading inserted: No. 12 of 2019 s. 140.]</w:t>
      </w:r>
    </w:p>
    <w:p>
      <w:pPr>
        <w:pStyle w:val="Heading5"/>
      </w:pPr>
      <w:bookmarkStart w:id="73" w:name="_Toc119915727"/>
      <w:r>
        <w:rPr>
          <w:rStyle w:val="CharSectno"/>
        </w:rPr>
        <w:t>28A</w:t>
      </w:r>
      <w:r>
        <w:t>.</w:t>
      </w:r>
      <w:r>
        <w:tab/>
        <w:t>Terms used</w:t>
      </w:r>
      <w:bookmarkEnd w:id="73"/>
    </w:p>
    <w:p>
      <w:pPr>
        <w:pStyle w:val="Subsection"/>
        <w:keepNext/>
      </w:pPr>
      <w:r>
        <w:tab/>
      </w:r>
      <w:r>
        <w:tab/>
        <w:t xml:space="preserve">In this Subdivision — </w:t>
      </w:r>
    </w:p>
    <w:p>
      <w:pPr>
        <w:pStyle w:val="Defstart"/>
        <w:keepNex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keepNext/>
      </w:pPr>
      <w:r>
        <w:lastRenderedPageBreak/>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74" w:name="_Toc119915728"/>
      <w:r>
        <w:rPr>
          <w:rStyle w:val="CharSectno"/>
        </w:rPr>
        <w:t>28B</w:t>
      </w:r>
      <w:r>
        <w:t>.</w:t>
      </w:r>
      <w:r>
        <w:tab/>
        <w:t>Application of certain private residential exemptions to property subdivided during exemption period</w:t>
      </w:r>
      <w:bookmarkEnd w:id="74"/>
    </w:p>
    <w:p>
      <w:pPr>
        <w:pStyle w:val="Subsection"/>
        <w:keepNext/>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keepNext/>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 xml:space="preserve">if there is any area of the parent lot to which the exemption does not apply because of paragraph (b), the taxable value of the parent lot is to be determined under section 18A as if the area of each new lot referred to in </w:t>
      </w:r>
      <w:r>
        <w:lastRenderedPageBreak/>
        <w:t>subsection (1)(b)(ii) were an exempt area referred to in section 18A(2).</w:t>
      </w:r>
    </w:p>
    <w:p>
      <w:pPr>
        <w:pStyle w:val="Subsection"/>
        <w:keepNext/>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75" w:name="_Toc119915729"/>
      <w:r>
        <w:rPr>
          <w:rStyle w:val="CharSectno"/>
        </w:rPr>
        <w:t>28C</w:t>
      </w:r>
      <w:r>
        <w:t>.</w:t>
      </w:r>
      <w:r>
        <w:tab/>
        <w:t>Application of requirements relating to sale or disposal of subdivided property</w:t>
      </w:r>
      <w:bookmarkEnd w:id="75"/>
    </w:p>
    <w:p>
      <w:pPr>
        <w:pStyle w:val="Subsection"/>
        <w:keepNext/>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lastRenderedPageBreak/>
        <w:tab/>
        <w:t>(2)</w:t>
      </w:r>
      <w:r>
        <w:tab/>
        <w:t>Subsection (1) applies in relation to the requirement in section 27(1)(f) whether the property acquired first is property A or property B referred to in section 27.</w:t>
      </w:r>
    </w:p>
    <w:p>
      <w:pPr>
        <w:pStyle w:val="Subsection"/>
        <w:keepNext/>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76" w:name="_Toc119915730"/>
      <w:r>
        <w:rPr>
          <w:rStyle w:val="CharSectno"/>
        </w:rPr>
        <w:t>28D</w:t>
      </w:r>
      <w:r>
        <w:t>.</w:t>
      </w:r>
      <w:r>
        <w:tab/>
        <w:t>Application of 2</w:t>
      </w:r>
      <w:r>
        <w:noBreakHyphen/>
        <w:t>year private residential exemptions if property subdivided during first year</w:t>
      </w:r>
      <w:bookmarkEnd w:id="76"/>
    </w:p>
    <w:p>
      <w:pPr>
        <w:pStyle w:val="Subsection"/>
        <w:keepNext/>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77" w:name="_Toc119915731"/>
      <w:r>
        <w:rPr>
          <w:rStyle w:val="CharSectno"/>
        </w:rPr>
        <w:t>28E</w:t>
      </w:r>
      <w:r>
        <w:t>.</w:t>
      </w:r>
      <w:r>
        <w:tab/>
        <w:t>Ownership of land during period when land subdivided but certificates of title not issued</w:t>
      </w:r>
      <w:bookmarkEnd w:id="77"/>
    </w:p>
    <w:p>
      <w:pPr>
        <w:pStyle w:val="Subsection"/>
        <w:keepNext/>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lastRenderedPageBreak/>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keepNext/>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78" w:name="_Toc119675977"/>
      <w:bookmarkStart w:id="79" w:name="_Toc119678952"/>
      <w:bookmarkStart w:id="80" w:name="_Toc119915732"/>
      <w:r>
        <w:rPr>
          <w:rStyle w:val="CharDivNo"/>
        </w:rPr>
        <w:t>Division 3</w:t>
      </w:r>
      <w:r>
        <w:t xml:space="preserve"> — </w:t>
      </w:r>
      <w:r>
        <w:rPr>
          <w:rStyle w:val="CharDivText"/>
        </w:rPr>
        <w:t>Land used for primary production business</w:t>
      </w:r>
      <w:bookmarkEnd w:id="78"/>
      <w:bookmarkEnd w:id="79"/>
      <w:bookmarkEnd w:id="80"/>
      <w:r>
        <w:t xml:space="preserve"> </w:t>
      </w:r>
    </w:p>
    <w:p>
      <w:pPr>
        <w:pStyle w:val="Footnoteheading"/>
        <w:keepNext/>
        <w:keepLines/>
      </w:pPr>
      <w:r>
        <w:tab/>
        <w:t>[Heading inserted: No. 1 of 2015 s. 6.]</w:t>
      </w:r>
    </w:p>
    <w:p>
      <w:pPr>
        <w:pStyle w:val="Heading4"/>
        <w:keepLines/>
      </w:pPr>
      <w:bookmarkStart w:id="81" w:name="_Toc119675978"/>
      <w:bookmarkStart w:id="82" w:name="_Toc119678953"/>
      <w:bookmarkStart w:id="83" w:name="_Toc119915733"/>
      <w:r>
        <w:t>Subdivision 1 — Terms used</w:t>
      </w:r>
      <w:bookmarkEnd w:id="81"/>
      <w:bookmarkEnd w:id="82"/>
      <w:bookmarkEnd w:id="83"/>
    </w:p>
    <w:p>
      <w:pPr>
        <w:pStyle w:val="Footnoteheading"/>
        <w:keepNext/>
        <w:keepLines/>
      </w:pPr>
      <w:r>
        <w:tab/>
        <w:t>[Heading inserted: No. 1 of 2015 s. 6.]</w:t>
      </w:r>
    </w:p>
    <w:p>
      <w:pPr>
        <w:pStyle w:val="Heading5"/>
      </w:pPr>
      <w:bookmarkStart w:id="84" w:name="_Toc119915734"/>
      <w:r>
        <w:rPr>
          <w:rStyle w:val="CharSectno"/>
        </w:rPr>
        <w:t>29</w:t>
      </w:r>
      <w:r>
        <w:t>.</w:t>
      </w:r>
      <w:r>
        <w:tab/>
        <w:t>Terms used</w:t>
      </w:r>
      <w:bookmarkEnd w:id="84"/>
    </w:p>
    <w:p>
      <w:pPr>
        <w:pStyle w:val="Subsection"/>
        <w:keepNext/>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keepNext/>
      </w:pPr>
      <w:r>
        <w:lastRenderedPageBreak/>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keepNex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85" w:name="_Toc119915735"/>
      <w:r>
        <w:rPr>
          <w:rStyle w:val="CharSectno"/>
        </w:rPr>
        <w:t>30A</w:t>
      </w:r>
      <w:r>
        <w:t>.</w:t>
      </w:r>
      <w:r>
        <w:tab/>
        <w:t>What is primary production</w:t>
      </w:r>
      <w:bookmarkEnd w:id="85"/>
    </w:p>
    <w:p>
      <w:pPr>
        <w:pStyle w:val="Subsection"/>
        <w:keepNext/>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keepNext/>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keepNext/>
      </w:pPr>
      <w:r>
        <w:lastRenderedPageBreak/>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keepNext/>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86" w:name="_Toc119915736"/>
      <w:r>
        <w:rPr>
          <w:rStyle w:val="CharSectno"/>
        </w:rPr>
        <w:t>30B</w:t>
      </w:r>
      <w:r>
        <w:t>.</w:t>
      </w:r>
      <w:r>
        <w:tab/>
        <w:t>When land is used for primary production business</w:t>
      </w:r>
      <w:bookmarkEnd w:id="86"/>
    </w:p>
    <w:p>
      <w:pPr>
        <w:pStyle w:val="Subsection"/>
        <w:keepNext/>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keepNext/>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keepNext/>
      </w:pPr>
      <w:r>
        <w:lastRenderedPageBreak/>
        <w:tab/>
        <w:t>(ii)</w:t>
      </w:r>
      <w:r>
        <w:tab/>
        <w:t>repetition and regularity;</w:t>
      </w:r>
    </w:p>
    <w:p>
      <w:pPr>
        <w:pStyle w:val="Indenta"/>
      </w:pPr>
      <w:r>
        <w:tab/>
      </w:r>
      <w:r>
        <w:tab/>
        <w:t>and</w:t>
      </w:r>
    </w:p>
    <w:p>
      <w:pPr>
        <w:pStyle w:val="Indenta"/>
        <w:keepNext/>
      </w:pPr>
      <w:r>
        <w:tab/>
        <w:t>(e)</w:t>
      </w:r>
      <w:r>
        <w:tab/>
        <w:t>is in accordance with any other factor prescribed for the purposes of this section.</w:t>
      </w:r>
    </w:p>
    <w:p>
      <w:pPr>
        <w:pStyle w:val="Footnotesection"/>
      </w:pPr>
      <w:r>
        <w:tab/>
        <w:t>[Section 30B inserted: No. 1 of 2015 s. 6.]</w:t>
      </w:r>
    </w:p>
    <w:p>
      <w:pPr>
        <w:pStyle w:val="Heading4"/>
      </w:pPr>
      <w:bookmarkStart w:id="87" w:name="_Toc119675982"/>
      <w:bookmarkStart w:id="88" w:name="_Toc119678957"/>
      <w:bookmarkStart w:id="89" w:name="_Toc119915737"/>
      <w:r>
        <w:t>Subdivision 2 — Primary production business exemption</w:t>
      </w:r>
      <w:bookmarkEnd w:id="87"/>
      <w:bookmarkEnd w:id="88"/>
      <w:bookmarkEnd w:id="89"/>
    </w:p>
    <w:p>
      <w:pPr>
        <w:pStyle w:val="Footnoteheading"/>
        <w:keepNext/>
      </w:pPr>
      <w:r>
        <w:tab/>
        <w:t>[Heading inserted: No. 1 of 2015 s. 6.]</w:t>
      </w:r>
    </w:p>
    <w:p>
      <w:pPr>
        <w:pStyle w:val="Heading5"/>
      </w:pPr>
      <w:bookmarkStart w:id="90" w:name="_Toc119915738"/>
      <w:r>
        <w:rPr>
          <w:rStyle w:val="CharSectno"/>
        </w:rPr>
        <w:t>30C</w:t>
      </w:r>
      <w:r>
        <w:t>.</w:t>
      </w:r>
      <w:r>
        <w:tab/>
        <w:t>Exemption for rural land</w:t>
      </w:r>
      <w:bookmarkEnd w:id="90"/>
    </w:p>
    <w:p>
      <w:pPr>
        <w:pStyle w:val="Subsection"/>
        <w:keepNext/>
      </w:pPr>
      <w:r>
        <w:tab/>
      </w:r>
      <w:r>
        <w:tab/>
        <w:t xml:space="preserve">Land is exempt for an assessment year if, at midnight on 30 June in the previous financial year, the land is — </w:t>
      </w:r>
    </w:p>
    <w:p>
      <w:pPr>
        <w:pStyle w:val="Indenta"/>
      </w:pPr>
      <w:r>
        <w:tab/>
        <w:t>(a)</w:t>
      </w:r>
      <w:r>
        <w:tab/>
        <w:t>rural land; and</w:t>
      </w:r>
    </w:p>
    <w:p>
      <w:pPr>
        <w:pStyle w:val="Indenta"/>
        <w:keepNext/>
      </w:pPr>
      <w:r>
        <w:tab/>
        <w:t>(b)</w:t>
      </w:r>
      <w:r>
        <w:tab/>
        <w:t>used solely for a primary production business.</w:t>
      </w:r>
    </w:p>
    <w:p>
      <w:pPr>
        <w:pStyle w:val="Footnotesection"/>
      </w:pPr>
      <w:r>
        <w:tab/>
        <w:t>[Section 30C inserted: No. 1 of 2015 s. 6.]</w:t>
      </w:r>
    </w:p>
    <w:p>
      <w:pPr>
        <w:pStyle w:val="Heading5"/>
      </w:pPr>
      <w:bookmarkStart w:id="91" w:name="_Toc119915739"/>
      <w:r>
        <w:rPr>
          <w:rStyle w:val="CharSectno"/>
        </w:rPr>
        <w:t>30D</w:t>
      </w:r>
      <w:r>
        <w:t>.</w:t>
      </w:r>
      <w:r>
        <w:tab/>
        <w:t>Exemption for non</w:t>
      </w:r>
      <w:r>
        <w:noBreakHyphen/>
        <w:t>rural land</w:t>
      </w:r>
      <w:bookmarkEnd w:id="91"/>
    </w:p>
    <w:p>
      <w:pPr>
        <w:pStyle w:val="Subsection"/>
        <w:keepNext/>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keepNext/>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keepNext/>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keepNext/>
      </w:pPr>
      <w:r>
        <w:lastRenderedPageBreak/>
        <w:tab/>
        <w:t>(b)</w:t>
      </w:r>
      <w:r>
        <w:tab/>
        <w:t xml:space="preserve">not every owner of the land is — </w:t>
      </w:r>
    </w:p>
    <w:p>
      <w:pPr>
        <w:pStyle w:val="Indenti"/>
      </w:pPr>
      <w:r>
        <w:tab/>
        <w:t>(i)</w:t>
      </w:r>
      <w:r>
        <w:tab/>
        <w:t>a family owner; and</w:t>
      </w:r>
    </w:p>
    <w:p>
      <w:pPr>
        <w:pStyle w:val="Indenti"/>
        <w:keepNext/>
      </w:pPr>
      <w:r>
        <w:tab/>
        <w:t>(ii)</w:t>
      </w:r>
      <w:r>
        <w:tab/>
        <w:t>a person related to each other family owner;</w:t>
      </w:r>
    </w:p>
    <w:p>
      <w:pPr>
        <w:pStyle w:val="Indenta"/>
      </w:pPr>
      <w:r>
        <w:tab/>
      </w:r>
      <w:r>
        <w:tab/>
        <w:t>and</w:t>
      </w:r>
    </w:p>
    <w:p>
      <w:pPr>
        <w:pStyle w:val="Indenta"/>
        <w:keepNext/>
      </w:pPr>
      <w:r>
        <w:tab/>
        <w:t>(c)</w:t>
      </w:r>
      <w:r>
        <w:tab/>
        <w:t xml:space="preserve">the land — </w:t>
      </w:r>
    </w:p>
    <w:p>
      <w:pPr>
        <w:pStyle w:val="Indenti"/>
      </w:pPr>
      <w:r>
        <w:tab/>
        <w:t>(i)</w:t>
      </w:r>
      <w:r>
        <w:tab/>
        <w:t>is used for a primary production business by a person related to a family owner of the land; or</w:t>
      </w:r>
    </w:p>
    <w:p>
      <w:pPr>
        <w:pStyle w:val="Indenti"/>
        <w:keepNext/>
      </w:pPr>
      <w:r>
        <w:tab/>
        <w:t>(ii)</w:t>
      </w:r>
      <w:r>
        <w:tab/>
        <w:t>is not used for a primary production business by any owner of the land.</w:t>
      </w:r>
    </w:p>
    <w:p>
      <w:pPr>
        <w:pStyle w:val="Footnotesection"/>
      </w:pPr>
      <w:r>
        <w:tab/>
        <w:t>[Section 30D inserted: No. 1 of 2015 s. 6.]</w:t>
      </w:r>
    </w:p>
    <w:p>
      <w:pPr>
        <w:pStyle w:val="Heading5"/>
      </w:pPr>
      <w:bookmarkStart w:id="92" w:name="_Toc119915740"/>
      <w:r>
        <w:rPr>
          <w:rStyle w:val="CharSectno"/>
        </w:rPr>
        <w:t>30E</w:t>
      </w:r>
      <w:r>
        <w:t>.</w:t>
      </w:r>
      <w:r>
        <w:tab/>
        <w:t>Exemption under section 30D after death of family owner or person related to family owner</w:t>
      </w:r>
      <w:bookmarkEnd w:id="92"/>
    </w:p>
    <w:p>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keepNext/>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keepNext/>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Ednotesection"/>
      </w:pPr>
      <w:bookmarkStart w:id="93" w:name="_Toc119675987"/>
      <w:r>
        <w:lastRenderedPageBreak/>
        <w:t>[</w:t>
      </w:r>
      <w:r>
        <w:rPr>
          <w:b/>
        </w:rPr>
        <w:t>30F.</w:t>
      </w:r>
      <w:r>
        <w:tab/>
        <w:t>Deleted: No. 42 of 2022 s. 17.]</w:t>
      </w:r>
    </w:p>
    <w:p>
      <w:pPr>
        <w:pStyle w:val="Heading4"/>
      </w:pPr>
      <w:bookmarkStart w:id="94" w:name="_Toc119678961"/>
      <w:bookmarkStart w:id="95" w:name="_Toc119915741"/>
      <w:r>
        <w:t>Subdivision 3 — Family owners of land and persons related to family owners of land</w:t>
      </w:r>
      <w:bookmarkEnd w:id="93"/>
      <w:bookmarkEnd w:id="94"/>
      <w:bookmarkEnd w:id="95"/>
    </w:p>
    <w:p>
      <w:pPr>
        <w:pStyle w:val="Footnoteheading"/>
        <w:keepNext/>
      </w:pPr>
      <w:r>
        <w:tab/>
        <w:t>[Heading inserted: No. 1 of 2015 s. 6.]</w:t>
      </w:r>
    </w:p>
    <w:p>
      <w:pPr>
        <w:pStyle w:val="Heading5"/>
      </w:pPr>
      <w:bookmarkStart w:id="96" w:name="_Toc119915742"/>
      <w:r>
        <w:rPr>
          <w:rStyle w:val="CharSectno"/>
        </w:rPr>
        <w:t>30G</w:t>
      </w:r>
      <w:r>
        <w:t>.</w:t>
      </w:r>
      <w:r>
        <w:tab/>
        <w:t>References to individuals, family members and nominated individuals</w:t>
      </w:r>
      <w:bookmarkEnd w:id="96"/>
    </w:p>
    <w:p>
      <w:pPr>
        <w:pStyle w:val="Subsection"/>
        <w:keepNext/>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keepNext/>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97" w:name="_Toc119915743"/>
      <w:r>
        <w:rPr>
          <w:rStyle w:val="CharSectno"/>
        </w:rPr>
        <w:t>30H</w:t>
      </w:r>
      <w:r>
        <w:t>.</w:t>
      </w:r>
      <w:r>
        <w:tab/>
        <w:t>Family owner of land</w:t>
      </w:r>
      <w:bookmarkEnd w:id="97"/>
    </w:p>
    <w:p>
      <w:pPr>
        <w:pStyle w:val="Subsection"/>
        <w:keepNext/>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lastRenderedPageBreak/>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98" w:name="_Toc119915744"/>
      <w:r>
        <w:rPr>
          <w:rStyle w:val="CharSectno"/>
        </w:rPr>
        <w:t>30I</w:t>
      </w:r>
      <w:r>
        <w:t>.</w:t>
      </w:r>
      <w:r>
        <w:tab/>
        <w:t>Persons related to family owner who is an individual</w:t>
      </w:r>
      <w:bookmarkEnd w:id="98"/>
    </w:p>
    <w:p>
      <w:pPr>
        <w:pStyle w:val="Subsection"/>
        <w:keepNext/>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keepNext/>
      </w:pPr>
      <w:r>
        <w:lastRenderedPageBreak/>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99" w:name="_Toc119915745"/>
      <w:r>
        <w:rPr>
          <w:rStyle w:val="CharSectno"/>
        </w:rPr>
        <w:t>30J</w:t>
      </w:r>
      <w:r>
        <w:t>.</w:t>
      </w:r>
      <w:r>
        <w:tab/>
        <w:t>Persons related to family corporation</w:t>
      </w:r>
      <w:bookmarkEnd w:id="99"/>
    </w:p>
    <w:p>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keepNext/>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100" w:name="_Toc119915746"/>
      <w:r>
        <w:rPr>
          <w:rStyle w:val="CharSectno"/>
        </w:rPr>
        <w:t>30K</w:t>
      </w:r>
      <w:r>
        <w:t>.</w:t>
      </w:r>
      <w:r>
        <w:tab/>
        <w:t>Persons related to trustee of family trust</w:t>
      </w:r>
      <w:bookmarkEnd w:id="100"/>
    </w:p>
    <w:p>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lastRenderedPageBreak/>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keepNext/>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101" w:name="_Toc119915747"/>
      <w:r>
        <w:rPr>
          <w:rStyle w:val="CharSectno"/>
        </w:rPr>
        <w:t>30</w:t>
      </w:r>
      <w:r>
        <w:t>.</w:t>
      </w:r>
      <w:r>
        <w:tab/>
        <w:t>Persons related to trustee of a family unit trust scheme</w:t>
      </w:r>
      <w:bookmarkEnd w:id="101"/>
    </w:p>
    <w:p>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keepNext/>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102" w:name="_Toc119675994"/>
      <w:bookmarkStart w:id="103" w:name="_Toc119678968"/>
      <w:bookmarkStart w:id="104" w:name="_Toc119915748"/>
      <w:r>
        <w:rPr>
          <w:rStyle w:val="CharDivNo"/>
        </w:rPr>
        <w:lastRenderedPageBreak/>
        <w:t>Division 4</w:t>
      </w:r>
      <w:r>
        <w:t xml:space="preserve"> — </w:t>
      </w:r>
      <w:r>
        <w:rPr>
          <w:rStyle w:val="CharDivText"/>
        </w:rPr>
        <w:t>Crown land and other land used for public purposes</w:t>
      </w:r>
      <w:bookmarkEnd w:id="102"/>
      <w:bookmarkEnd w:id="103"/>
      <w:bookmarkEnd w:id="104"/>
    </w:p>
    <w:p>
      <w:pPr>
        <w:pStyle w:val="Heading5"/>
        <w:spacing w:before="200"/>
      </w:pPr>
      <w:bookmarkStart w:id="105" w:name="_Toc119915749"/>
      <w:r>
        <w:rPr>
          <w:rStyle w:val="CharSectno"/>
        </w:rPr>
        <w:t>31</w:t>
      </w:r>
      <w:r>
        <w:t>.</w:t>
      </w:r>
      <w:r>
        <w:tab/>
        <w:t>Land owned by Crown, public authority etc., exemption for</w:t>
      </w:r>
      <w:bookmarkEnd w:id="105"/>
    </w:p>
    <w:p>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lastRenderedPageBreak/>
        <w:tab/>
        <w:t>(4)</w:t>
      </w:r>
      <w:r>
        <w:tab/>
        <w:t>The rebate is calculated in accordance with the formula —</w:t>
      </w:r>
    </w:p>
    <w:p>
      <w:pPr>
        <w:pStyle w:val="Equation"/>
        <w:keepNext/>
        <w:spacing w:before="120"/>
        <w:jc w:val="center"/>
      </w:pPr>
      <w:r>
        <w:rPr>
          <w:position w:val="-10"/>
        </w:rPr>
        <w:object w:dxaOrig="1880" w:dyaOrig="320">
          <v:shape id="_x0000_i1026" type="#_x0000_t75" style="width:94.1pt;height:15.35pt" o:ole="">
            <v:imagedata r:id="rId23" o:title=""/>
          </v:shape>
          <o:OLEObject Type="Embed" ProgID="Equation.3" ShapeID="_x0000_i1026" DrawAspect="Content" ObjectID="_1730638634" r:id="rId24"/>
        </w:obje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keepNext/>
      </w:pPr>
      <w:r>
        <w:tab/>
        <w:t>(6)</w:t>
      </w:r>
      <w:r>
        <w:tab/>
        <w:t xml:space="preserve">In this section — </w:t>
      </w:r>
    </w:p>
    <w:p>
      <w:pPr>
        <w:pStyle w:val="Defstart"/>
        <w:keepNex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06" w:name="_Toc119915750"/>
      <w:r>
        <w:rPr>
          <w:rStyle w:val="CharSectno"/>
        </w:rPr>
        <w:t>32</w:t>
      </w:r>
      <w:r>
        <w:t>.</w:t>
      </w:r>
      <w:r>
        <w:tab/>
        <w:t>Land owned by religious bodies, exemption for</w:t>
      </w:r>
      <w:bookmarkEnd w:id="106"/>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keepNext/>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07" w:name="_Toc119915751"/>
      <w:r>
        <w:rPr>
          <w:rStyle w:val="CharSectno"/>
        </w:rPr>
        <w:t>33</w:t>
      </w:r>
      <w:r>
        <w:t>.</w:t>
      </w:r>
      <w:r>
        <w:tab/>
        <w:t>Land owned by educational institutions, exemption for</w:t>
      </w:r>
      <w:bookmarkEnd w:id="107"/>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keepNext/>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keepNext/>
      </w:pPr>
      <w:r>
        <w:lastRenderedPageBreak/>
        <w:tab/>
        <w:t>(6)</w:t>
      </w:r>
      <w:r>
        <w:tab/>
        <w:t xml:space="preserve">In this section — </w:t>
      </w:r>
    </w:p>
    <w:p>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108" w:name="_Toc119915752"/>
      <w:r>
        <w:rPr>
          <w:rStyle w:val="CharSectno"/>
        </w:rPr>
        <w:t>34</w:t>
      </w:r>
      <w:r>
        <w:t>.</w:t>
      </w:r>
      <w:r>
        <w:tab/>
        <w:t>Land used for public or religious hospitals, exemption for</w:t>
      </w:r>
      <w:bookmarkEnd w:id="108"/>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09" w:name="_Toc119915753"/>
      <w:r>
        <w:rPr>
          <w:rStyle w:val="CharSectno"/>
        </w:rPr>
        <w:t>35</w:t>
      </w:r>
      <w:r>
        <w:t>.</w:t>
      </w:r>
      <w:r>
        <w:tab/>
        <w:t>Mining tenements, exemption for</w:t>
      </w:r>
      <w:bookmarkEnd w:id="109"/>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10" w:name="_Toc119915754"/>
      <w:r>
        <w:rPr>
          <w:rStyle w:val="CharSectno"/>
        </w:rPr>
        <w:t>36</w:t>
      </w:r>
      <w:r>
        <w:t>.</w:t>
      </w:r>
      <w:r>
        <w:tab/>
        <w:t>Land used for various public purposes, exemption for</w:t>
      </w:r>
      <w:bookmarkEnd w:id="110"/>
    </w:p>
    <w:p>
      <w:pPr>
        <w:pStyle w:val="Subsection"/>
        <w:keepNext/>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keepNext/>
      </w:pPr>
      <w:r>
        <w:tab/>
        <w:t>(b)</w:t>
      </w:r>
      <w:r>
        <w:tab/>
        <w:t>it is used for those purposes.</w:t>
      </w:r>
    </w:p>
    <w:p>
      <w:pPr>
        <w:pStyle w:val="Footnotesection"/>
      </w:pPr>
      <w:r>
        <w:tab/>
        <w:t>[Section 36 amended: No. 30 of 2008 s. 15.]</w:t>
      </w:r>
    </w:p>
    <w:p>
      <w:pPr>
        <w:pStyle w:val="Heading5"/>
      </w:pPr>
      <w:bookmarkStart w:id="111" w:name="_Toc119915755"/>
      <w:r>
        <w:rPr>
          <w:rStyle w:val="CharSectno"/>
        </w:rPr>
        <w:t>37</w:t>
      </w:r>
      <w:r>
        <w:t>.</w:t>
      </w:r>
      <w:r>
        <w:tab/>
        <w:t>Land owned by public charitable or benevolent institutions, exemption for</w:t>
      </w:r>
      <w:bookmarkEnd w:id="111"/>
    </w:p>
    <w:p>
      <w:pPr>
        <w:pStyle w:val="Subsection"/>
        <w:keepNext/>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w:t>
      </w:r>
      <w:r>
        <w:lastRenderedPageBreak/>
        <w:t>determination is in force for the purposes of this Act in respect of the relevant body.</w:t>
      </w:r>
    </w:p>
    <w:p>
      <w:pPr>
        <w:pStyle w:val="Subsection"/>
        <w:keepNext/>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keepNext/>
      </w:pPr>
      <w:r>
        <w:tab/>
        <w:t>(3)</w:t>
      </w:r>
      <w:r>
        <w:tab/>
        <w:t>This section applies to an assessment year that commences on or after 1 July 2015.</w:t>
      </w:r>
    </w:p>
    <w:p>
      <w:pPr>
        <w:pStyle w:val="Footnotesection"/>
      </w:pPr>
      <w:r>
        <w:tab/>
        <w:t>[Section 37 inserted: No. 8 of 2015 s. 8.]</w:t>
      </w:r>
    </w:p>
    <w:p>
      <w:pPr>
        <w:pStyle w:val="Heading5"/>
      </w:pPr>
      <w:bookmarkStart w:id="112" w:name="_Toc119915756"/>
      <w:r>
        <w:rPr>
          <w:rStyle w:val="CharSectno"/>
        </w:rPr>
        <w:t>38AA</w:t>
      </w:r>
      <w:r>
        <w:t>.</w:t>
      </w:r>
      <w:r>
        <w:tab/>
        <w:t>What is a relevant body</w:t>
      </w:r>
      <w:bookmarkEnd w:id="112"/>
    </w:p>
    <w:p>
      <w:pPr>
        <w:pStyle w:val="Subsection"/>
        <w:keepNext/>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keepNext/>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lastRenderedPageBreak/>
        <w:tab/>
        <w:t>(ii)</w:t>
      </w:r>
      <w:r>
        <w:tab/>
        <w:t xml:space="preserve">is a related body corporate, as defined in the </w:t>
      </w:r>
      <w:r>
        <w:rPr>
          <w:i/>
        </w:rPr>
        <w:t>Corporations Act 2001</w:t>
      </w:r>
      <w:r>
        <w:t xml:space="preserve"> (Commonwealth) section 9, of a body referred to in another paragraph; or</w:t>
      </w:r>
    </w:p>
    <w:p>
      <w:pPr>
        <w:pStyle w:val="Indenti"/>
        <w:keepNext/>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113" w:name="_Toc119915757"/>
      <w:r>
        <w:rPr>
          <w:rStyle w:val="CharSectno"/>
        </w:rPr>
        <w:t>38AB</w:t>
      </w:r>
      <w:r>
        <w:t>.</w:t>
      </w:r>
      <w:r>
        <w:tab/>
        <w:t>Application for a beneficial body determination</w:t>
      </w:r>
      <w:bookmarkEnd w:id="113"/>
    </w:p>
    <w:p>
      <w:pPr>
        <w:pStyle w:val="Subsection"/>
        <w:keepNext/>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keepNext/>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keepNext/>
      </w:pPr>
      <w:r>
        <w:lastRenderedPageBreak/>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keepNext/>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114" w:name="_Toc119915758"/>
      <w:r>
        <w:rPr>
          <w:rStyle w:val="CharSectno"/>
        </w:rPr>
        <w:t>38AC</w:t>
      </w:r>
      <w:r>
        <w:t>.</w:t>
      </w:r>
      <w:r>
        <w:tab/>
        <w:t>Beneficial body determination</w:t>
      </w:r>
      <w:bookmarkEnd w:id="114"/>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keepNext/>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keepNext/>
      </w:pPr>
      <w:r>
        <w:lastRenderedPageBreak/>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keepNext/>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keepNext/>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115" w:name="_Toc119915759"/>
      <w:r>
        <w:rPr>
          <w:rStyle w:val="CharSectno"/>
        </w:rPr>
        <w:lastRenderedPageBreak/>
        <w:t>38</w:t>
      </w:r>
      <w:r>
        <w:t>.</w:t>
      </w:r>
      <w:r>
        <w:tab/>
        <w:t>Land owned by non</w:t>
      </w:r>
      <w:r>
        <w:noBreakHyphen/>
        <w:t>profit associations, exemption or concession for</w:t>
      </w:r>
      <w:bookmarkEnd w:id="115"/>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keepNext/>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116" w:name="_Toc119915760"/>
      <w:r>
        <w:rPr>
          <w:rStyle w:val="CharSectno"/>
        </w:rPr>
        <w:t>38A</w:t>
      </w:r>
      <w:r>
        <w:t>.</w:t>
      </w:r>
      <w:r>
        <w:tab/>
        <w:t>Land used as aged care facility, exemption for</w:t>
      </w:r>
      <w:bookmarkEnd w:id="116"/>
    </w:p>
    <w:p>
      <w:pPr>
        <w:pStyle w:val="Subsection"/>
        <w:keepNext/>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xml:space="preserve">, if the </w:t>
      </w:r>
      <w:r>
        <w:lastRenderedPageBreak/>
        <w:t>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keepNext/>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117" w:name="_Toc119915761"/>
      <w:r>
        <w:rPr>
          <w:rStyle w:val="CharSectno"/>
        </w:rPr>
        <w:t>39</w:t>
      </w:r>
      <w:r>
        <w:t>.</w:t>
      </w:r>
      <w:r>
        <w:tab/>
        <w:t>Land used for retirement villages: exemption for</w:t>
      </w:r>
      <w:bookmarkEnd w:id="117"/>
    </w:p>
    <w:p>
      <w:pPr>
        <w:pStyle w:val="Subsection"/>
        <w:keepNext/>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keepNext/>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keepNext/>
      </w:pPr>
      <w:r>
        <w:tab/>
        <w:t>(c)</w:t>
      </w:r>
      <w:r>
        <w:tab/>
        <w:t>being occupied or used for, or in connection with, the retirement village scheme for the retirement village.</w:t>
      </w:r>
    </w:p>
    <w:p>
      <w:pPr>
        <w:pStyle w:val="Footnotesection"/>
      </w:pPr>
      <w:r>
        <w:tab/>
        <w:t>[Section 39 inserted: No. 1 of 2015 s. 17.]</w:t>
      </w:r>
    </w:p>
    <w:p>
      <w:pPr>
        <w:pStyle w:val="Heading3"/>
      </w:pPr>
      <w:bookmarkStart w:id="118" w:name="_Toc113353204"/>
      <w:bookmarkStart w:id="119" w:name="_Toc113354111"/>
      <w:bookmarkStart w:id="120" w:name="_Toc113870009"/>
      <w:bookmarkStart w:id="121" w:name="_Toc119485382"/>
      <w:bookmarkStart w:id="122" w:name="_Toc119485416"/>
      <w:bookmarkStart w:id="123" w:name="_Toc119675767"/>
      <w:bookmarkStart w:id="124" w:name="_Toc119678982"/>
      <w:bookmarkStart w:id="125" w:name="_Toc119915762"/>
      <w:bookmarkStart w:id="126" w:name="_Toc119676008"/>
      <w:r>
        <w:rPr>
          <w:rStyle w:val="CharDivNo"/>
        </w:rPr>
        <w:lastRenderedPageBreak/>
        <w:t>Division 4A</w:t>
      </w:r>
      <w:r>
        <w:t> — </w:t>
      </w:r>
      <w:r>
        <w:rPr>
          <w:rStyle w:val="CharDivText"/>
        </w:rPr>
        <w:t>Land used for dwelling or residential parks</w:t>
      </w:r>
      <w:bookmarkEnd w:id="118"/>
      <w:bookmarkEnd w:id="119"/>
      <w:bookmarkEnd w:id="120"/>
      <w:bookmarkEnd w:id="121"/>
      <w:bookmarkEnd w:id="122"/>
      <w:bookmarkEnd w:id="123"/>
      <w:bookmarkEnd w:id="124"/>
      <w:bookmarkEnd w:id="125"/>
    </w:p>
    <w:p>
      <w:pPr>
        <w:pStyle w:val="Footnoteheading"/>
        <w:keepNext/>
      </w:pPr>
      <w:bookmarkStart w:id="127" w:name="_Toc119485417"/>
      <w:bookmarkStart w:id="128" w:name="_Toc119675768"/>
      <w:r>
        <w:tab/>
        <w:t>[Heading inserted: No. 42 of 2022 s. 8.]</w:t>
      </w:r>
    </w:p>
    <w:p>
      <w:pPr>
        <w:pStyle w:val="Heading5"/>
      </w:pPr>
      <w:bookmarkStart w:id="129" w:name="_Toc119915763"/>
      <w:r>
        <w:rPr>
          <w:rStyle w:val="CharSectno"/>
        </w:rPr>
        <w:t>39A</w:t>
      </w:r>
      <w:r>
        <w:t>.</w:t>
      </w:r>
      <w:r>
        <w:tab/>
        <w:t>Terms used</w:t>
      </w:r>
      <w:bookmarkEnd w:id="127"/>
      <w:bookmarkEnd w:id="128"/>
      <w:bookmarkEnd w:id="129"/>
    </w:p>
    <w:p>
      <w:pPr>
        <w:pStyle w:val="Subsection"/>
        <w:keepNext/>
      </w:pPr>
      <w:r>
        <w:tab/>
      </w:r>
      <w:r>
        <w:tab/>
        <w:t xml:space="preserve">In this Division — </w:t>
      </w:r>
    </w:p>
    <w:p>
      <w:pPr>
        <w:pStyle w:val="Defstart"/>
      </w:pPr>
      <w:r>
        <w:tab/>
      </w:r>
      <w:r>
        <w:rPr>
          <w:rStyle w:val="CharDefText"/>
        </w:rPr>
        <w:t>camp</w:t>
      </w:r>
      <w:r>
        <w:t xml:space="preserve"> has the meaning given in the </w:t>
      </w:r>
      <w:r>
        <w:rPr>
          <w:i/>
        </w:rPr>
        <w:t xml:space="preserve">Caravan Parks and Camping Grounds Act 1995 </w:t>
      </w:r>
      <w:r>
        <w:t>section 5(1);</w:t>
      </w:r>
    </w:p>
    <w:p>
      <w:pPr>
        <w:pStyle w:val="Defstart"/>
      </w:pPr>
      <w:r>
        <w:tab/>
      </w:r>
      <w:r>
        <w:rPr>
          <w:rStyle w:val="CharDefText"/>
        </w:rPr>
        <w:t>caravan</w:t>
      </w:r>
      <w:r>
        <w:t xml:space="preserve"> has the meaning given in the </w:t>
      </w:r>
      <w:r>
        <w:rPr>
          <w:i/>
        </w:rPr>
        <w:t>Caravan Parks and Camping Grounds Act 1995</w:t>
      </w:r>
      <w:r>
        <w:t xml:space="preserve"> section 5(1);</w:t>
      </w:r>
    </w:p>
    <w:p>
      <w:pPr>
        <w:pStyle w:val="Defstart"/>
      </w:pPr>
      <w:r>
        <w:tab/>
      </w:r>
      <w:r>
        <w:rPr>
          <w:rStyle w:val="CharDefText"/>
        </w:rPr>
        <w:t>caravan or camp site</w:t>
      </w:r>
      <w:r>
        <w:t xml:space="preserve"> means a short</w:t>
      </w:r>
      <w:r>
        <w:noBreakHyphen/>
        <w:t>stay site set aside, marked, or intended to be used for 1 caravan or camp;</w:t>
      </w:r>
    </w:p>
    <w:p>
      <w:pPr>
        <w:pStyle w:val="Defstart"/>
        <w:keepNext/>
      </w:pPr>
      <w:r>
        <w:tab/>
      </w:r>
      <w:r>
        <w:rPr>
          <w:rStyle w:val="CharDefText"/>
        </w:rPr>
        <w:t>dwelling or residential park</w:t>
      </w:r>
      <w:r>
        <w:t xml:space="preserve"> — </w:t>
      </w:r>
    </w:p>
    <w:p>
      <w:pPr>
        <w:pStyle w:val="Defpara"/>
      </w:pPr>
      <w:r>
        <w:tab/>
        <w:t>(a)</w:t>
      </w:r>
      <w:r>
        <w:tab/>
        <w:t>means a dwelling park or a residential park; and</w:t>
      </w:r>
    </w:p>
    <w:p>
      <w:pPr>
        <w:pStyle w:val="Defpara"/>
      </w:pPr>
      <w:r>
        <w:tab/>
        <w:t>(b)</w:t>
      </w:r>
      <w:r>
        <w:tab/>
        <w:t>includes a place that is both a dwelling park and a residential park;</w:t>
      </w:r>
    </w:p>
    <w:p>
      <w:pPr>
        <w:pStyle w:val="Defstart"/>
        <w:keepNext/>
      </w:pPr>
      <w:r>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pPr>
        <w:pStyle w:val="Defpara"/>
      </w:pPr>
      <w:r>
        <w:tab/>
        <w:t>(a)</w:t>
      </w:r>
      <w:r>
        <w:tab/>
        <w:t>operated, or required to be operated, under a licence issued under that Act; or</w:t>
      </w:r>
    </w:p>
    <w:p>
      <w:pPr>
        <w:pStyle w:val="Defpara"/>
      </w:pPr>
      <w:r>
        <w:tab/>
        <w:t>(b)</w:t>
      </w:r>
      <w:r>
        <w:tab/>
        <w:t>operated by a local government (as defined in section 5(2) of that Act) on land that is not owned by, or vested in, the local government;</w:t>
      </w:r>
    </w:p>
    <w:p>
      <w:pPr>
        <w:pStyle w:val="Defstart"/>
        <w:keepNext/>
      </w:pPr>
      <w:r>
        <w:tab/>
      </w:r>
      <w:r>
        <w:rPr>
          <w:rStyle w:val="CharDefText"/>
        </w:rPr>
        <w:t>excluded land</w:t>
      </w:r>
      <w:r>
        <w:t xml:space="preserve"> means any of the following land in a dwelling or residential park — </w:t>
      </w:r>
    </w:p>
    <w:p>
      <w:pPr>
        <w:pStyle w:val="Defpara"/>
      </w:pPr>
      <w:r>
        <w:tab/>
        <w:t>(a)</w:t>
      </w:r>
      <w:r>
        <w:tab/>
        <w:t>land used for a hotel, motel, hostel, lodging house, boarding house, shop, cafe or restaurant;</w:t>
      </w:r>
    </w:p>
    <w:p>
      <w:pPr>
        <w:pStyle w:val="Defpara"/>
      </w:pPr>
      <w:r>
        <w:tab/>
        <w:t>(b)</w:t>
      </w:r>
      <w:r>
        <w:tab/>
        <w:t xml:space="preserve">land not already mentioned in paragraph (a) that is the subject of a licence under the </w:t>
      </w:r>
      <w:r>
        <w:rPr>
          <w:i/>
        </w:rPr>
        <w:t>Liquor Control Act 1988</w:t>
      </w:r>
      <w:r>
        <w:t>;</w:t>
      </w:r>
    </w:p>
    <w:p>
      <w:pPr>
        <w:pStyle w:val="Defpara"/>
      </w:pPr>
      <w:r>
        <w:tab/>
        <w:t>(c)</w:t>
      </w:r>
      <w:r>
        <w:tab/>
        <w:t>land on which clearing works have been undertaken for the purposes of development on the land;</w:t>
      </w:r>
    </w:p>
    <w:p>
      <w:pPr>
        <w:pStyle w:val="Defpara"/>
      </w:pPr>
      <w:r>
        <w:tab/>
        <w:t>(d)</w:t>
      </w:r>
      <w:r>
        <w:tab/>
        <w:t>land used for prescribed purposes;</w:t>
      </w:r>
    </w:p>
    <w:p>
      <w:pPr>
        <w:pStyle w:val="Defpara"/>
      </w:pPr>
      <w:r>
        <w:lastRenderedPageBreak/>
        <w:tab/>
        <w:t>(e)</w:t>
      </w:r>
      <w:r>
        <w:tab/>
        <w:t>land that the Commissioner considers is not used for the purposes of operating the dwelling or residential park;</w:t>
      </w:r>
    </w:p>
    <w:p>
      <w:pPr>
        <w:pStyle w:val="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operate</w:t>
      </w:r>
      <w:r>
        <w:t xml:space="preserve"> has the meaning given in the </w:t>
      </w:r>
      <w:r>
        <w:rPr>
          <w:i/>
        </w:rPr>
        <w:t>Caravan Parks and Camping Grounds Act 1995</w:t>
      </w:r>
      <w:r>
        <w:t xml:space="preserve"> section 5(1);</w:t>
      </w:r>
    </w:p>
    <w:p>
      <w:pPr>
        <w:pStyle w:val="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pPr>
        <w:pStyle w:val="Defstart"/>
        <w:keepNext/>
      </w:pPr>
      <w:r>
        <w:tab/>
      </w:r>
      <w:r>
        <w:rPr>
          <w:rStyle w:val="CharDefText"/>
        </w:rPr>
        <w:t>park site</w:t>
      </w:r>
      <w:r>
        <w:t xml:space="preserve"> means an area of land in a dwelling or residential park that is set aside, marked, or intended to be used for — </w:t>
      </w:r>
    </w:p>
    <w:p>
      <w:pPr>
        <w:pStyle w:val="Defpara"/>
      </w:pPr>
      <w:r>
        <w:tab/>
        <w:t>(a)</w:t>
      </w:r>
      <w:r>
        <w:tab/>
        <w:t>1 caravan, camp or relocatable home; or</w:t>
      </w:r>
    </w:p>
    <w:p>
      <w:pPr>
        <w:pStyle w:val="Defpara"/>
      </w:pPr>
      <w:r>
        <w:tab/>
        <w:t>(b)</w:t>
      </w:r>
      <w:r>
        <w:tab/>
        <w:t>1 holiday cabin, chalet or similar building;</w:t>
      </w:r>
    </w:p>
    <w:p>
      <w:pPr>
        <w:pStyle w:val="Defstart"/>
      </w:pPr>
      <w:r>
        <w:tab/>
      </w:r>
      <w:r>
        <w:rPr>
          <w:rStyle w:val="CharDefText"/>
        </w:rPr>
        <w:t>relocatable home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pPr>
        <w:pStyle w:val="Defstart"/>
        <w:keepNext/>
      </w:pPr>
      <w:r>
        <w:tab/>
      </w:r>
      <w:r>
        <w:rPr>
          <w:rStyle w:val="CharDefText"/>
        </w:rPr>
        <w:t>short</w:t>
      </w:r>
      <w:r>
        <w:rPr>
          <w:rStyle w:val="CharDefText"/>
        </w:rPr>
        <w:noBreakHyphen/>
        <w:t>stay site</w:t>
      </w:r>
      <w:r>
        <w:t xml:space="preserve"> means a park site that is not a long</w:t>
      </w:r>
      <w:r>
        <w:noBreakHyphen/>
        <w:t>stay site.</w:t>
      </w:r>
    </w:p>
    <w:p>
      <w:pPr>
        <w:pStyle w:val="Footnotesection"/>
      </w:pPr>
      <w:bookmarkStart w:id="130" w:name="_Toc119485418"/>
      <w:bookmarkStart w:id="131" w:name="_Toc119675769"/>
      <w:r>
        <w:tab/>
        <w:t>[Section 39A inserted: No. 42 of 2022 s. 8.]</w:t>
      </w:r>
    </w:p>
    <w:p>
      <w:pPr>
        <w:pStyle w:val="Heading5"/>
      </w:pPr>
      <w:bookmarkStart w:id="132" w:name="_Toc119915764"/>
      <w:r>
        <w:rPr>
          <w:rStyle w:val="CharSectno"/>
        </w:rPr>
        <w:t>39B</w:t>
      </w:r>
      <w:r>
        <w:t>.</w:t>
      </w:r>
      <w:r>
        <w:tab/>
        <w:t>Exemption for land in dwelling or residential parks</w:t>
      </w:r>
      <w:bookmarkEnd w:id="130"/>
      <w:bookmarkEnd w:id="131"/>
      <w:bookmarkEnd w:id="132"/>
    </w:p>
    <w:p>
      <w:pPr>
        <w:pStyle w:val="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pPr>
        <w:pStyle w:val="Subsection"/>
      </w:pPr>
      <w:r>
        <w:tab/>
        <w:t>(2)</w:t>
      </w:r>
      <w:r>
        <w:tab/>
        <w:t>The land is exempt in a proportion that is equal to the percentage (</w:t>
      </w:r>
      <w:r>
        <w:rPr>
          <w:rStyle w:val="CharDefText"/>
        </w:rPr>
        <w:t>X%</w:t>
      </w:r>
      <w:r>
        <w:t>) calculated under section 39C.</w:t>
      </w:r>
    </w:p>
    <w:p>
      <w:pPr>
        <w:pStyle w:val="Subsection"/>
        <w:keepNext/>
      </w:pPr>
      <w:r>
        <w:tab/>
        <w:t>(3)</w:t>
      </w:r>
      <w:r>
        <w:tab/>
        <w:t xml:space="preserve">If the land in the park is not wholly exempt for the assessment year under subsections (1) and (2), then for the purposes of determining the taxable value of the land in the park for the assessment year, the unimproved value of the land must be </w:t>
      </w:r>
      <w:r>
        <w:lastRenderedPageBreak/>
        <w:t>reduced by an amount that is equal to X% of that unimproved value.</w:t>
      </w:r>
    </w:p>
    <w:p>
      <w:pPr>
        <w:pStyle w:val="Footnotesection"/>
      </w:pPr>
      <w:bookmarkStart w:id="133" w:name="_Toc119485419"/>
      <w:bookmarkStart w:id="134" w:name="_Toc119675770"/>
      <w:r>
        <w:tab/>
        <w:t>[Section 39B inserted: No. 42 of 2022 s. 8.]</w:t>
      </w:r>
    </w:p>
    <w:p>
      <w:pPr>
        <w:pStyle w:val="Heading5"/>
      </w:pPr>
      <w:bookmarkStart w:id="135" w:name="_Toc119915765"/>
      <w:r>
        <w:rPr>
          <w:rStyle w:val="CharSectno"/>
        </w:rPr>
        <w:t>39C</w:t>
      </w:r>
      <w:r>
        <w:t>.</w:t>
      </w:r>
      <w:r>
        <w:tab/>
        <w:t>Calculating percentage for exemption for dwelling or residential parks</w:t>
      </w:r>
      <w:bookmarkEnd w:id="133"/>
      <w:bookmarkEnd w:id="134"/>
      <w:bookmarkEnd w:id="135"/>
    </w:p>
    <w:p>
      <w:pPr>
        <w:pStyle w:val="Subsection"/>
      </w:pPr>
      <w:r>
        <w:tab/>
        <w:t>(1)</w:t>
      </w:r>
      <w:r>
        <w:tab/>
        <w:t>This section sets out the method to be used in calculating the percentage that applies in determining the extent to which land in a dwelling or residential park is exempt for an assessment year under section 39B.</w:t>
      </w:r>
    </w:p>
    <w:p>
      <w:pPr>
        <w:pStyle w:val="Subsection"/>
        <w:keepNext/>
      </w:pPr>
      <w:r>
        <w:tab/>
        <w:t>(2)</w:t>
      </w:r>
      <w:r>
        <w:tab/>
        <w:t>First, calculate the proportion of the short</w:t>
      </w:r>
      <w:r>
        <w:noBreakHyphen/>
        <w:t xml:space="preserve">stay sites in the park that are caravan or camp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pPr>
        <w:pStyle w:val="MiscellaneousBody"/>
        <w:keepNext/>
        <w:ind w:left="851" w:hanging="851"/>
      </w:pPr>
      <w:r>
        <w:tab/>
        <w:t>where —</w:t>
      </w:r>
    </w:p>
    <w:p>
      <w:pPr>
        <w:pStyle w:val="MiscellaneousBody"/>
        <w:tabs>
          <w:tab w:val="left" w:pos="851"/>
        </w:tabs>
        <w:ind w:left="1418" w:hanging="1418"/>
      </w:pPr>
      <w:r>
        <w:tab/>
        <w:t>C</w:t>
      </w:r>
      <w:r>
        <w:tab/>
        <w:t>is the number of caravan or camp sites in the park;</w:t>
      </w:r>
    </w:p>
    <w:p>
      <w:pPr>
        <w:pStyle w:val="MiscellaneousBody"/>
        <w:tabs>
          <w:tab w:val="left" w:pos="851"/>
        </w:tabs>
        <w:ind w:left="1418" w:hanging="1418"/>
      </w:pPr>
      <w:r>
        <w:tab/>
        <w:t>S</w:t>
      </w:r>
      <w:r>
        <w:tab/>
        <w:t>is the number of short</w:t>
      </w:r>
      <w:r>
        <w:noBreakHyphen/>
        <w:t>stay sites in the park.</w:t>
      </w:r>
    </w:p>
    <w:p>
      <w:pPr>
        <w:pStyle w:val="Subsection"/>
        <w:keepNext/>
      </w:pPr>
      <w:r>
        <w:tab/>
        <w:t>(3)</w:t>
      </w:r>
      <w:r>
        <w:tab/>
        <w:t>Second, calculate the short</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S</w:t>
      </w:r>
      <w:r>
        <w:tab/>
        <w:t>is the number of short</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P1</w:t>
      </w:r>
      <w:r>
        <w:tab/>
        <w:t>is the proportion of the short</w:t>
      </w:r>
      <w:r>
        <w:noBreakHyphen/>
        <w:t>stay sites that are caravan or camp sites calculated under subsection (2), rounded up to 1 if the proportion is 0.75 or higher.</w:t>
      </w:r>
    </w:p>
    <w:p>
      <w:pPr>
        <w:pStyle w:val="Subsection"/>
        <w:keepNext/>
      </w:pPr>
      <w:r>
        <w:lastRenderedPageBreak/>
        <w:tab/>
        <w:t>(4)</w:t>
      </w:r>
      <w:r>
        <w:tab/>
        <w:t>Third, calculate the proportion of the long</w:t>
      </w:r>
      <w:r>
        <w:noBreakHyphen/>
        <w:t>stay sites in the park that are owner</w:t>
      </w:r>
      <w:r>
        <w:noBreakHyphen/>
        <w:t xml:space="preserve">occupied home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O</w:t>
      </w:r>
      <w:r>
        <w:tab/>
        <w:t>is the number of owner</w:t>
      </w:r>
      <w:r>
        <w:noBreakHyphen/>
        <w:t>occupied home sites in the park;</w:t>
      </w:r>
    </w:p>
    <w:p>
      <w:pPr>
        <w:pStyle w:val="MiscellaneousBody"/>
        <w:tabs>
          <w:tab w:val="left" w:pos="851"/>
        </w:tabs>
        <w:ind w:left="1418" w:hanging="1418"/>
      </w:pPr>
      <w:r>
        <w:tab/>
        <w:t>L</w:t>
      </w:r>
      <w:r>
        <w:tab/>
        <w:t>is the number of long</w:t>
      </w:r>
      <w:r>
        <w:noBreakHyphen/>
        <w:t>stay sites in the park.</w:t>
      </w:r>
    </w:p>
    <w:p>
      <w:pPr>
        <w:pStyle w:val="Subsection"/>
        <w:keepNext/>
      </w:pPr>
      <w:r>
        <w:tab/>
        <w:t>(5)</w:t>
      </w:r>
      <w:r>
        <w:tab/>
        <w:t>Fourth, calculate the long</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pPr>
        <w:pStyle w:val="MiscellaneousBody"/>
        <w:keepNext/>
        <w:tabs>
          <w:tab w:val="left" w:pos="851"/>
        </w:tabs>
        <w:ind w:left="1418" w:hanging="1418"/>
      </w:pPr>
      <w:r>
        <w:tab/>
        <w:t>where —</w:t>
      </w:r>
    </w:p>
    <w:p>
      <w:pPr>
        <w:pStyle w:val="MiscellaneousBody"/>
        <w:tabs>
          <w:tab w:val="left" w:pos="851"/>
        </w:tabs>
        <w:ind w:left="1418" w:hanging="1418"/>
      </w:pPr>
      <w:r>
        <w:tab/>
        <w:t>L</w:t>
      </w:r>
      <w:r>
        <w:tab/>
        <w:t>is the number of long</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P2</w:t>
      </w:r>
      <w:r>
        <w:tab/>
        <w:t>is the proportion of the long</w:t>
      </w:r>
      <w:r>
        <w:noBreakHyphen/>
        <w:t>stay sites that are owner</w:t>
      </w:r>
      <w:r>
        <w:noBreakHyphen/>
        <w:t>occupied home sites calculated under subsection (4), rounded up to 1 if the proportion is 0.75 or higher.</w:t>
      </w:r>
    </w:p>
    <w:p>
      <w:pPr>
        <w:pStyle w:val="Subsection"/>
        <w:keepNext/>
      </w:pPr>
      <w:r>
        <w:tab/>
        <w:t>(6)</w:t>
      </w:r>
      <w:r>
        <w:tab/>
        <w:t xml:space="preserve">Fifth, calculate the proportion of the total land in the park that is excluded land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E</w:t>
      </w:r>
      <w:r>
        <w:tab/>
        <w:t>is the area of the excluded land in the park in square metres;</w:t>
      </w:r>
    </w:p>
    <w:p>
      <w:pPr>
        <w:pStyle w:val="MiscellaneousBody"/>
        <w:tabs>
          <w:tab w:val="left" w:pos="851"/>
        </w:tabs>
        <w:ind w:left="1418" w:hanging="1418"/>
      </w:pPr>
      <w:r>
        <w:tab/>
        <w:t>A</w:t>
      </w:r>
      <w:r>
        <w:tab/>
        <w:t>is the total area of the park in square metres.</w:t>
      </w:r>
    </w:p>
    <w:p>
      <w:pPr>
        <w:pStyle w:val="Subsection"/>
        <w:keepNext/>
      </w:pPr>
      <w:r>
        <w:lastRenderedPageBreak/>
        <w:tab/>
        <w:t>(7)</w:t>
      </w:r>
      <w:r>
        <w:tab/>
        <w:t xml:space="preserve">Sixth, calculate the proportion that applies for the purposes of determining the extent to which the land in the park is exempt under section 39B using the following formula — </w:t>
      </w:r>
    </w:p>
    <w:p>
      <w:pPr>
        <w:pStyle w:val="Equation"/>
        <w:spacing w:before="120"/>
        <w:ind w:left="851"/>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pPr>
        <w:pStyle w:val="MiscellaneousBody"/>
        <w:keepNext/>
        <w:tabs>
          <w:tab w:val="left" w:pos="851"/>
        </w:tabs>
        <w:ind w:left="1418" w:hanging="1418"/>
      </w:pPr>
      <w:r>
        <w:tab/>
        <w:t>where —</w:t>
      </w:r>
    </w:p>
    <w:p>
      <w:pPr>
        <w:pStyle w:val="MiscellaneousBody"/>
        <w:tabs>
          <w:tab w:val="left" w:pos="851"/>
        </w:tabs>
        <w:ind w:left="1418" w:hanging="1418"/>
      </w:pPr>
      <w:r>
        <w:tab/>
        <w:t>C1</w:t>
      </w:r>
      <w:r>
        <w:tab/>
        <w:t>is the short</w:t>
      </w:r>
      <w:r>
        <w:noBreakHyphen/>
        <w:t>stay exemption component calculated under subsection (3);</w:t>
      </w:r>
    </w:p>
    <w:p>
      <w:pPr>
        <w:pStyle w:val="MiscellaneousBody"/>
        <w:tabs>
          <w:tab w:val="left" w:pos="851"/>
        </w:tabs>
        <w:ind w:left="1418" w:hanging="1418"/>
      </w:pPr>
      <w:r>
        <w:tab/>
        <w:t>C2</w:t>
      </w:r>
      <w:r>
        <w:tab/>
        <w:t>is the long</w:t>
      </w:r>
      <w:r>
        <w:noBreakHyphen/>
        <w:t>stay exemption component calculated under subsection (5);</w:t>
      </w:r>
    </w:p>
    <w:p>
      <w:pPr>
        <w:pStyle w:val="MiscellaneousBody"/>
        <w:tabs>
          <w:tab w:val="left" w:pos="851"/>
        </w:tabs>
        <w:ind w:left="1418" w:hanging="1418"/>
      </w:pPr>
      <w:r>
        <w:tab/>
        <w:t>P3</w:t>
      </w:r>
      <w:r>
        <w:tab/>
        <w:t>is the proportion of the total land in the park that is excluded land calculated under subsection (6).</w:t>
      </w:r>
    </w:p>
    <w:p>
      <w:pPr>
        <w:pStyle w:val="Subsection"/>
        <w:keepNext/>
      </w:pPr>
      <w:r>
        <w:tab/>
        <w:t>(8)</w:t>
      </w:r>
      <w:r>
        <w:tab/>
        <w:t>Seventh, convert the proportion calculated under subsection (7) to a percentage.</w:t>
      </w:r>
    </w:p>
    <w:p>
      <w:pPr>
        <w:pStyle w:val="Footnotesection"/>
      </w:pPr>
      <w:bookmarkStart w:id="136" w:name="_Toc119485420"/>
      <w:bookmarkStart w:id="137" w:name="_Toc119675771"/>
      <w:r>
        <w:tab/>
        <w:t>[Section 39C inserted: No. 42 of 2022 s. 8.]</w:t>
      </w:r>
    </w:p>
    <w:p>
      <w:pPr>
        <w:pStyle w:val="Heading5"/>
      </w:pPr>
      <w:bookmarkStart w:id="138" w:name="_Toc119915766"/>
      <w:r>
        <w:rPr>
          <w:rStyle w:val="CharSectno"/>
        </w:rPr>
        <w:t>39D</w:t>
      </w:r>
      <w:r>
        <w:t>.</w:t>
      </w:r>
      <w:r>
        <w:tab/>
        <w:t>Provisions about calculations under s. 39C</w:t>
      </w:r>
      <w:bookmarkEnd w:id="136"/>
      <w:bookmarkEnd w:id="137"/>
      <w:bookmarkEnd w:id="138"/>
    </w:p>
    <w:p>
      <w:pPr>
        <w:pStyle w:val="Subsection"/>
      </w:pPr>
      <w:r>
        <w:tab/>
        <w:t>(1)</w:t>
      </w:r>
      <w:r>
        <w:tab/>
        <w:t>A calculation under section 39C must be made by reference to the dwelling or residential park as at midnight on 30 June in the financial year before the assessment year.</w:t>
      </w:r>
    </w:p>
    <w:p>
      <w:pPr>
        <w:pStyle w:val="Subsection"/>
        <w:keepNext/>
      </w:pPr>
      <w:r>
        <w:tab/>
        <w:t>(2)</w:t>
      </w:r>
      <w:r>
        <w:tab/>
        <w:t>If at that time there are no caravan or camp sites in the park —</w:t>
      </w:r>
    </w:p>
    <w:p>
      <w:pPr>
        <w:pStyle w:val="Indenta"/>
      </w:pPr>
      <w:r>
        <w:tab/>
        <w:t>(a)</w:t>
      </w:r>
      <w:r>
        <w:tab/>
        <w:t>the steps in section 39C(2) and (3) must be omitted; and</w:t>
      </w:r>
    </w:p>
    <w:p>
      <w:pPr>
        <w:pStyle w:val="Indenta"/>
      </w:pPr>
      <w:r>
        <w:tab/>
        <w:t>(b)</w:t>
      </w:r>
      <w:r>
        <w:tab/>
        <w:t>for the purposes of the calculation in section 39C(7), the short</w:t>
      </w:r>
      <w:r>
        <w:noBreakHyphen/>
        <w:t>stay exemption component calculated under section 39C(3) is taken to be zero.</w:t>
      </w:r>
    </w:p>
    <w:p>
      <w:pPr>
        <w:pStyle w:val="Subsection"/>
        <w:keepNext/>
      </w:pPr>
      <w:r>
        <w:tab/>
        <w:t>(3)</w:t>
      </w:r>
      <w:r>
        <w:tab/>
        <w:t>If at that time there are no owner</w:t>
      </w:r>
      <w:r>
        <w:noBreakHyphen/>
        <w:t xml:space="preserve">occupied home sites in the park — </w:t>
      </w:r>
    </w:p>
    <w:p>
      <w:pPr>
        <w:pStyle w:val="Indenta"/>
      </w:pPr>
      <w:r>
        <w:tab/>
        <w:t>(a)</w:t>
      </w:r>
      <w:r>
        <w:tab/>
        <w:t>the steps in section 39C(4) and (5) must be omitted; and</w:t>
      </w:r>
    </w:p>
    <w:p>
      <w:pPr>
        <w:pStyle w:val="Indenta"/>
      </w:pPr>
      <w:r>
        <w:tab/>
        <w:t>(b)</w:t>
      </w:r>
      <w:r>
        <w:tab/>
        <w:t>for the purposes of the calculation in section 39C(7), the long-stay exemption component calculated under section 39C(5) is taken to be zero.</w:t>
      </w:r>
    </w:p>
    <w:p>
      <w:pPr>
        <w:pStyle w:val="Subsection"/>
        <w:keepNext/>
      </w:pPr>
      <w:r>
        <w:lastRenderedPageBreak/>
        <w:tab/>
        <w:t>(4)</w:t>
      </w:r>
      <w:r>
        <w:tab/>
        <w:t>A calculation under section 39C must be rounded to 4 decimal places.</w:t>
      </w:r>
    </w:p>
    <w:p>
      <w:pPr>
        <w:pStyle w:val="Footnotesection"/>
      </w:pPr>
      <w:r>
        <w:tab/>
        <w:t>[Section 39D inserted: No. 42 of 2022 s. 8.]</w:t>
      </w:r>
    </w:p>
    <w:p>
      <w:pPr>
        <w:pStyle w:val="Heading3"/>
      </w:pPr>
      <w:bookmarkStart w:id="139" w:name="_Toc119676011"/>
      <w:bookmarkStart w:id="140" w:name="_Toc119678987"/>
      <w:bookmarkStart w:id="141" w:name="_Toc119915767"/>
      <w:bookmarkEnd w:id="126"/>
      <w:r>
        <w:rPr>
          <w:rStyle w:val="CharDivNo"/>
        </w:rPr>
        <w:t>Division 5</w:t>
      </w:r>
      <w:r>
        <w:t xml:space="preserve"> — </w:t>
      </w:r>
      <w:r>
        <w:rPr>
          <w:rStyle w:val="CharDivText"/>
        </w:rPr>
        <w:t>Other exemptions and concessions</w:t>
      </w:r>
      <w:bookmarkEnd w:id="139"/>
      <w:bookmarkEnd w:id="140"/>
      <w:bookmarkEnd w:id="141"/>
    </w:p>
    <w:p>
      <w:pPr>
        <w:pStyle w:val="Heading5"/>
      </w:pPr>
      <w:bookmarkStart w:id="142" w:name="_Toc119915768"/>
      <w:r>
        <w:rPr>
          <w:rStyle w:val="CharSectno"/>
        </w:rPr>
        <w:t>40</w:t>
      </w:r>
      <w:r>
        <w:t>.</w:t>
      </w:r>
      <w:r>
        <w:tab/>
        <w:t>Land owned by veteran’s surviving partner or mother, exemption for</w:t>
      </w:r>
      <w:bookmarkEnd w:id="142"/>
    </w:p>
    <w:p>
      <w:pPr>
        <w:pStyle w:val="Subsection"/>
        <w:keepNext/>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43" w:name="_Toc119915769"/>
      <w:r>
        <w:rPr>
          <w:rStyle w:val="CharSectno"/>
        </w:rPr>
        <w:t>41</w:t>
      </w:r>
      <w:r>
        <w:t>.</w:t>
      </w:r>
      <w:r>
        <w:tab/>
        <w:t>Land under conservation covenant, exemption for</w:t>
      </w:r>
      <w:bookmarkEnd w:id="143"/>
    </w:p>
    <w:p>
      <w:pPr>
        <w:pStyle w:val="Subsection"/>
        <w:keepNext/>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144" w:name="_Toc119915770"/>
      <w:r>
        <w:rPr>
          <w:rStyle w:val="CharSectno"/>
        </w:rPr>
        <w:t>42A</w:t>
      </w:r>
      <w:r>
        <w:t>.</w:t>
      </w:r>
      <w:r>
        <w:tab/>
        <w:t>Land under biodiversity conservation covenant, exemption for</w:t>
      </w:r>
      <w:bookmarkEnd w:id="144"/>
    </w:p>
    <w:p>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 xml:space="preserve">that is expressed to have effect in </w:t>
      </w:r>
      <w:r>
        <w:lastRenderedPageBreak/>
        <w:t>perpetuity and that was in force at midnight on 30 June in the financial year before the assessment year.</w:t>
      </w:r>
    </w:p>
    <w:p>
      <w:pPr>
        <w:pStyle w:val="Footnotesection"/>
      </w:pPr>
      <w:r>
        <w:tab/>
        <w:t>[Section 42A inserted: No. 24 of 2016 s. 319.]</w:t>
      </w:r>
    </w:p>
    <w:p>
      <w:pPr>
        <w:pStyle w:val="Heading5"/>
      </w:pPr>
      <w:bookmarkStart w:id="145" w:name="_Toc119915771"/>
      <w:r>
        <w:rPr>
          <w:rStyle w:val="CharSectno"/>
        </w:rPr>
        <w:t>42</w:t>
      </w:r>
      <w:r>
        <w:t>.</w:t>
      </w:r>
      <w:r>
        <w:tab/>
        <w:t>One year exemption for land vacated for sale by mortgagee</w:t>
      </w:r>
      <w:bookmarkEnd w:id="145"/>
    </w:p>
    <w:p>
      <w:pPr>
        <w:pStyle w:val="Subsection"/>
        <w:keepNext/>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keepNext/>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25A or 26B;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 No. 42 of 2022 s. 9.]</w:t>
      </w:r>
    </w:p>
    <w:p>
      <w:pPr>
        <w:pStyle w:val="Heading5"/>
      </w:pPr>
      <w:bookmarkStart w:id="146" w:name="_Toc119915772"/>
      <w:r>
        <w:rPr>
          <w:rStyle w:val="CharSectno"/>
        </w:rPr>
        <w:lastRenderedPageBreak/>
        <w:t>43A</w:t>
      </w:r>
      <w:r>
        <w:t>.</w:t>
      </w:r>
      <w:r>
        <w:tab/>
        <w:t>Newly subdivided land, concession for</w:t>
      </w:r>
      <w:bookmarkEnd w:id="146"/>
    </w:p>
    <w:p>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keepNext/>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keepNext/>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keepNext/>
      </w:pPr>
      <w:r>
        <w:lastRenderedPageBreak/>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keepNext/>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keepNext/>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147" w:name="_Toc119915773"/>
      <w:r>
        <w:rPr>
          <w:rStyle w:val="CharSectno"/>
        </w:rPr>
        <w:t>43B</w:t>
      </w:r>
      <w:r>
        <w:t>.</w:t>
      </w:r>
      <w:r>
        <w:tab/>
        <w:t>Freehold reversion in parcel subdivided by leasehold scheme, exemption for</w:t>
      </w:r>
      <w:bookmarkEnd w:id="147"/>
    </w:p>
    <w:p>
      <w:pPr>
        <w:pStyle w:val="Subsection"/>
        <w:keepNext/>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keepNext/>
      </w:pPr>
      <w:r>
        <w:lastRenderedPageBreak/>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148" w:name="_Toc119676018"/>
      <w:bookmarkStart w:id="149" w:name="_Toc119678994"/>
      <w:bookmarkStart w:id="150" w:name="_Toc119915774"/>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148"/>
      <w:bookmarkEnd w:id="149"/>
      <w:bookmarkEnd w:id="150"/>
    </w:p>
    <w:p>
      <w:pPr>
        <w:pStyle w:val="Heading5"/>
      </w:pPr>
      <w:bookmarkStart w:id="151" w:name="_Toc119915775"/>
      <w:r>
        <w:rPr>
          <w:rStyle w:val="CharSectno"/>
        </w:rPr>
        <w:t>43</w:t>
      </w:r>
      <w:r>
        <w:t>.</w:t>
      </w:r>
      <w:r>
        <w:tab/>
        <w:t>Occupier etc. of land to give information</w:t>
      </w:r>
      <w:bookmarkEnd w:id="151"/>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52" w:name="_Toc119915776"/>
      <w:r>
        <w:rPr>
          <w:rStyle w:val="CharSectno"/>
        </w:rPr>
        <w:t>45</w:t>
      </w:r>
      <w:r>
        <w:t>.</w:t>
      </w:r>
      <w:r>
        <w:tab/>
        <w:t>Contracts ineffective to alter incidence of land tax</w:t>
      </w:r>
      <w:bookmarkEnd w:id="15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lastRenderedPageBreak/>
        <w:tab/>
        <w:t>(3)</w:t>
      </w:r>
      <w:r>
        <w:tab/>
        <w:t>Except as provided in subsection (1), that subsection does not prejudice the validity of the contract, agreement, or understanding.</w:t>
      </w:r>
    </w:p>
    <w:p>
      <w:pPr>
        <w:pStyle w:val="Heading5"/>
      </w:pPr>
      <w:bookmarkStart w:id="153" w:name="_Toc119915777"/>
      <w:r>
        <w:rPr>
          <w:rStyle w:val="CharSectno"/>
        </w:rPr>
        <w:t>45A</w:t>
      </w:r>
      <w:r>
        <w:t>.</w:t>
      </w:r>
      <w:r>
        <w:tab/>
        <w:t>Minor interests of joint owners, Commissioner may disregard</w:t>
      </w:r>
      <w:bookmarkEnd w:id="153"/>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lastRenderedPageBreak/>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54" w:name="_Toc119915778"/>
      <w:r>
        <w:rPr>
          <w:rStyle w:val="CharSectno"/>
        </w:rPr>
        <w:t>45B</w:t>
      </w:r>
      <w:r>
        <w:t>.</w:t>
      </w:r>
      <w:r>
        <w:tab/>
        <w:t>Effect of determination under s. 45A</w:t>
      </w:r>
      <w:bookmarkEnd w:id="154"/>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lastRenderedPageBreak/>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55" w:name="_Toc119915779"/>
      <w:r>
        <w:rPr>
          <w:rStyle w:val="CharSectno"/>
        </w:rPr>
        <w:t>46</w:t>
      </w:r>
      <w:r>
        <w:t>.</w:t>
      </w:r>
      <w:r>
        <w:tab/>
        <w:t>Regulations</w:t>
      </w:r>
      <w:bookmarkEnd w:id="1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lastRenderedPageBreak/>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56" w:name="_Toc119915780"/>
      <w:r>
        <w:t>47.</w:t>
      </w:r>
      <w:r>
        <w:tab/>
        <w:t>Transitional provisions</w:t>
      </w:r>
      <w:bookmarkEnd w:id="156"/>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57" w:name="_Toc119676025"/>
      <w:bookmarkStart w:id="158" w:name="_Toc119679001"/>
      <w:bookmarkStart w:id="159" w:name="_Toc119915781"/>
      <w:r>
        <w:rPr>
          <w:rStyle w:val="CharSchNo"/>
        </w:rPr>
        <w:lastRenderedPageBreak/>
        <w:t>Schedule 1</w:t>
      </w:r>
      <w:r>
        <w:t> — </w:t>
      </w:r>
      <w:r>
        <w:rPr>
          <w:rStyle w:val="CharSchText"/>
        </w:rPr>
        <w:t>Transitional and validation provisions</w:t>
      </w:r>
      <w:bookmarkEnd w:id="157"/>
      <w:bookmarkEnd w:id="158"/>
      <w:bookmarkEnd w:id="159"/>
    </w:p>
    <w:p>
      <w:pPr>
        <w:pStyle w:val="yShoulderClause"/>
      </w:pPr>
      <w:r>
        <w:t>[s. 47]</w:t>
      </w:r>
    </w:p>
    <w:p>
      <w:pPr>
        <w:pStyle w:val="yFootnoteheading"/>
      </w:pPr>
      <w:r>
        <w:tab/>
        <w:t>[Heading inserted: No. 31 of 2006 s. 26; amended: No. 1 of 2015 s. 19.]</w:t>
      </w:r>
    </w:p>
    <w:p>
      <w:pPr>
        <w:pStyle w:val="yHeading3"/>
      </w:pPr>
      <w:bookmarkStart w:id="160" w:name="_Toc119676026"/>
      <w:bookmarkStart w:id="161" w:name="_Toc119679002"/>
      <w:bookmarkStart w:id="162" w:name="_Toc119915782"/>
      <w:r>
        <w:rPr>
          <w:rStyle w:val="CharSDivNo"/>
        </w:rPr>
        <w:t>Division 1</w:t>
      </w:r>
      <w:r>
        <w:rPr>
          <w:b w:val="0"/>
        </w:rPr>
        <w:t> — </w:t>
      </w:r>
      <w:r>
        <w:rPr>
          <w:rStyle w:val="CharSDivText"/>
        </w:rPr>
        <w:t xml:space="preserve">Provision for </w:t>
      </w:r>
      <w:r>
        <w:rPr>
          <w:rStyle w:val="CharSDivText"/>
          <w:i/>
        </w:rPr>
        <w:t>Revenue Laws Amendment Act 2006</w:t>
      </w:r>
      <w:bookmarkEnd w:id="160"/>
      <w:bookmarkEnd w:id="161"/>
      <w:bookmarkEnd w:id="162"/>
    </w:p>
    <w:p>
      <w:pPr>
        <w:pStyle w:val="yFootnoteheading"/>
      </w:pPr>
      <w:r>
        <w:tab/>
        <w:t>[Heading inserted: No. 31 of 2006 s. 26.]</w:t>
      </w:r>
    </w:p>
    <w:p>
      <w:pPr>
        <w:pStyle w:val="yHeading5"/>
        <w:outlineLvl w:val="9"/>
      </w:pPr>
      <w:bookmarkStart w:id="163" w:name="_Toc119915783"/>
      <w:r>
        <w:rPr>
          <w:rStyle w:val="CharSClsNo"/>
        </w:rPr>
        <w:t>1</w:t>
      </w:r>
      <w:r>
        <w:t>.</w:t>
      </w:r>
      <w:r>
        <w:rPr>
          <w:b w:val="0"/>
        </w:rPr>
        <w:tab/>
      </w:r>
      <w:r>
        <w:t>Application of s. 24A, 25A and 27A</w:t>
      </w:r>
      <w:bookmarkEnd w:id="163"/>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64" w:name="_Toc119676028"/>
      <w:bookmarkStart w:id="165" w:name="_Toc119679004"/>
      <w:bookmarkStart w:id="166" w:name="_Toc119915784"/>
      <w:r>
        <w:rPr>
          <w:rStyle w:val="CharSDivNo"/>
        </w:rPr>
        <w:t>Division 2</w:t>
      </w:r>
      <w:r>
        <w:rPr>
          <w:b w:val="0"/>
        </w:rPr>
        <w:t> — </w:t>
      </w:r>
      <w:r>
        <w:rPr>
          <w:rStyle w:val="CharSDivText"/>
        </w:rPr>
        <w:t xml:space="preserve">Provision for </w:t>
      </w:r>
      <w:r>
        <w:rPr>
          <w:rStyle w:val="CharSDivText"/>
          <w:i/>
          <w:iCs/>
        </w:rPr>
        <w:t>Revenue Laws Amendment (Taxation) Act 2009</w:t>
      </w:r>
      <w:bookmarkEnd w:id="164"/>
      <w:bookmarkEnd w:id="165"/>
      <w:bookmarkEnd w:id="166"/>
    </w:p>
    <w:p>
      <w:pPr>
        <w:pStyle w:val="Footnoteheading"/>
        <w:rPr>
          <w:i w:val="0"/>
        </w:rPr>
      </w:pPr>
      <w:r>
        <w:tab/>
        <w:t>[Heading inserted: No. 19 of 2009 s. 11.]</w:t>
      </w:r>
    </w:p>
    <w:p>
      <w:pPr>
        <w:pStyle w:val="yHeading5"/>
      </w:pPr>
      <w:bookmarkStart w:id="167" w:name="_Toc119915785"/>
      <w:r>
        <w:rPr>
          <w:rStyle w:val="CharSClsNo"/>
        </w:rPr>
        <w:t>2</w:t>
      </w:r>
      <w:r>
        <w:t>.</w:t>
      </w:r>
      <w:r>
        <w:rPr>
          <w:b w:val="0"/>
        </w:rPr>
        <w:tab/>
      </w:r>
      <w:r>
        <w:t>Regulations for cl. 6</w:t>
      </w:r>
      <w:bookmarkEnd w:id="16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68" w:name="_Toc119676030"/>
      <w:bookmarkStart w:id="169" w:name="_Toc119679006"/>
      <w:bookmarkStart w:id="170" w:name="_Toc119915786"/>
      <w:r>
        <w:rPr>
          <w:rStyle w:val="CharSDivNo"/>
        </w:rPr>
        <w:t>Division 3</w:t>
      </w:r>
      <w:r>
        <w:rPr>
          <w:b w:val="0"/>
        </w:rPr>
        <w:t> — </w:t>
      </w:r>
      <w:r>
        <w:rPr>
          <w:rStyle w:val="CharSDivText"/>
        </w:rPr>
        <w:t xml:space="preserve">Provisions for the </w:t>
      </w:r>
      <w:r>
        <w:rPr>
          <w:rStyle w:val="CharSDivText"/>
          <w:i/>
        </w:rPr>
        <w:t>Taxation Legislation Amendment Act (No. 2) 2015</w:t>
      </w:r>
      <w:bookmarkEnd w:id="168"/>
      <w:bookmarkEnd w:id="169"/>
      <w:bookmarkEnd w:id="170"/>
    </w:p>
    <w:p>
      <w:pPr>
        <w:pStyle w:val="yFootnoteheading"/>
      </w:pPr>
      <w:r>
        <w:tab/>
        <w:t>[Heading inserted: No. 8 of 2015 s. 10.]</w:t>
      </w:r>
    </w:p>
    <w:p>
      <w:pPr>
        <w:pStyle w:val="yHeading5"/>
      </w:pPr>
      <w:bookmarkStart w:id="171" w:name="_Toc119915787"/>
      <w:r>
        <w:rPr>
          <w:rStyle w:val="CharSClsNo"/>
        </w:rPr>
        <w:t>3</w:t>
      </w:r>
      <w:r>
        <w:t>.</w:t>
      </w:r>
      <w:r>
        <w:tab/>
        <w:t>Terms used</w:t>
      </w:r>
      <w:bookmarkEnd w:id="171"/>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lastRenderedPageBreak/>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72" w:name="_Toc119915788"/>
      <w:r>
        <w:rPr>
          <w:rStyle w:val="CharSClsNo"/>
        </w:rPr>
        <w:t>4</w:t>
      </w:r>
      <w:r>
        <w:t>.</w:t>
      </w:r>
      <w:r>
        <w:tab/>
        <w:t>Previously exempt land: section 37</w:t>
      </w:r>
      <w:bookmarkEnd w:id="172"/>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73" w:name="_Toc119915789"/>
      <w:r>
        <w:rPr>
          <w:rStyle w:val="CharSClsNo"/>
        </w:rPr>
        <w:lastRenderedPageBreak/>
        <w:t>5</w:t>
      </w:r>
      <w:r>
        <w:t>.</w:t>
      </w:r>
      <w:r>
        <w:tab/>
        <w:t>Beneficial body determination: application may be made</w:t>
      </w:r>
      <w:bookmarkEnd w:id="173"/>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74" w:name="_Toc119676034"/>
      <w:bookmarkStart w:id="175" w:name="_Toc119679010"/>
      <w:bookmarkStart w:id="176" w:name="_Toc119915790"/>
      <w:r>
        <w:rPr>
          <w:rStyle w:val="CharSDivNo"/>
        </w:rPr>
        <w:t>Division 4</w:t>
      </w:r>
      <w:r>
        <w:t> — </w:t>
      </w:r>
      <w:r>
        <w:rPr>
          <w:rStyle w:val="CharSDivText"/>
        </w:rPr>
        <w:t xml:space="preserve">Provisions for </w:t>
      </w:r>
      <w:r>
        <w:rPr>
          <w:rStyle w:val="CharSDivText"/>
          <w:i/>
        </w:rPr>
        <w:t>Taxation Legislation Amendment Act 2015</w:t>
      </w:r>
      <w:bookmarkEnd w:id="174"/>
      <w:bookmarkEnd w:id="175"/>
      <w:bookmarkEnd w:id="176"/>
    </w:p>
    <w:p>
      <w:pPr>
        <w:pStyle w:val="yFootnoteheading"/>
      </w:pPr>
      <w:r>
        <w:tab/>
        <w:t>[Heading inserted: No. 1 of 2015 s. 7.]</w:t>
      </w:r>
    </w:p>
    <w:p>
      <w:pPr>
        <w:pStyle w:val="yHeading4"/>
      </w:pPr>
      <w:bookmarkStart w:id="177" w:name="_Toc119676035"/>
      <w:bookmarkStart w:id="178" w:name="_Toc119679011"/>
      <w:bookmarkStart w:id="179" w:name="_Toc119915791"/>
      <w:r>
        <w:t>Subdivision 1 — Preliminary</w:t>
      </w:r>
      <w:bookmarkEnd w:id="177"/>
      <w:bookmarkEnd w:id="178"/>
      <w:bookmarkEnd w:id="179"/>
    </w:p>
    <w:p>
      <w:pPr>
        <w:pStyle w:val="yFootnoteheading"/>
      </w:pPr>
      <w:r>
        <w:tab/>
        <w:t>[Heading inserted: No. 1 of 2015 s. 20.]</w:t>
      </w:r>
    </w:p>
    <w:p>
      <w:pPr>
        <w:pStyle w:val="yHeading5"/>
      </w:pPr>
      <w:bookmarkStart w:id="180" w:name="_Toc119915792"/>
      <w:r>
        <w:rPr>
          <w:rStyle w:val="CharSClsNo"/>
        </w:rPr>
        <w:t>6</w:t>
      </w:r>
      <w:r>
        <w:t>.</w:t>
      </w:r>
      <w:r>
        <w:tab/>
        <w:t>Term used: amending Act</w:t>
      </w:r>
      <w:bookmarkEnd w:id="180"/>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81" w:name="_Toc119676037"/>
      <w:bookmarkStart w:id="182" w:name="_Toc119679013"/>
      <w:bookmarkStart w:id="183" w:name="_Toc119915793"/>
      <w:r>
        <w:t>Subdivision 2 — Provisions about primary production</w:t>
      </w:r>
      <w:bookmarkEnd w:id="181"/>
      <w:bookmarkEnd w:id="182"/>
      <w:bookmarkEnd w:id="183"/>
    </w:p>
    <w:p>
      <w:pPr>
        <w:pStyle w:val="yFootnoteheading"/>
      </w:pPr>
      <w:r>
        <w:tab/>
        <w:t>[Heading inserted: No. 1 of 2015 s. 21.]</w:t>
      </w:r>
    </w:p>
    <w:p>
      <w:pPr>
        <w:pStyle w:val="yHeading5"/>
      </w:pPr>
      <w:bookmarkStart w:id="184" w:name="_Toc119915794"/>
      <w:r>
        <w:rPr>
          <w:rStyle w:val="CharSClsNo"/>
        </w:rPr>
        <w:t>7</w:t>
      </w:r>
      <w:r>
        <w:t>.</w:t>
      </w:r>
      <w:r>
        <w:tab/>
        <w:t>Application of section 15 during transitional period</w:t>
      </w:r>
      <w:bookmarkEnd w:id="184"/>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lastRenderedPageBreak/>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85" w:name="_Toc119915795"/>
      <w:r>
        <w:rPr>
          <w:rStyle w:val="CharSClsNo"/>
        </w:rPr>
        <w:t>8</w:t>
      </w:r>
      <w:r>
        <w:t>.</w:t>
      </w:r>
      <w:r>
        <w:tab/>
        <w:t>Application of section 20 to previous assessment years</w:t>
      </w:r>
      <w:bookmarkEnd w:id="185"/>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86" w:name="_Toc119915796"/>
      <w:r>
        <w:rPr>
          <w:rStyle w:val="CharSClsNo"/>
        </w:rPr>
        <w:t>9</w:t>
      </w:r>
      <w:r>
        <w:t>.</w:t>
      </w:r>
      <w:r>
        <w:tab/>
        <w:t>Application of section 30D to land held in trust for assessment year 2014/15</w:t>
      </w:r>
      <w:bookmarkEnd w:id="186"/>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lastRenderedPageBreak/>
        <w:tab/>
        <w:t>(b)</w:t>
      </w:r>
      <w:r>
        <w:tab/>
        <w:t>on or before midnight on 30 June 2015 the trustee is a compliant trustee.</w:t>
      </w:r>
    </w:p>
    <w:p>
      <w:pPr>
        <w:pStyle w:val="yFootnoteheading"/>
      </w:pPr>
      <w:r>
        <w:tab/>
        <w:t>[Clause 9 inserted: No. 1 of 2015 s. 7.]</w:t>
      </w:r>
    </w:p>
    <w:p>
      <w:pPr>
        <w:pStyle w:val="yHeading4"/>
      </w:pPr>
      <w:bookmarkStart w:id="187" w:name="_Toc119676041"/>
      <w:bookmarkStart w:id="188" w:name="_Toc119679017"/>
      <w:bookmarkStart w:id="189" w:name="_Toc119915797"/>
      <w:r>
        <w:t>Subdivision 3 — Provisions about exemptions and rural business land</w:t>
      </w:r>
      <w:bookmarkEnd w:id="187"/>
      <w:bookmarkEnd w:id="188"/>
      <w:bookmarkEnd w:id="189"/>
    </w:p>
    <w:p>
      <w:pPr>
        <w:pStyle w:val="yFootnoteheading"/>
      </w:pPr>
      <w:r>
        <w:tab/>
        <w:t>[Heading inserted: No. 1 of 2015 s. 22.]</w:t>
      </w:r>
    </w:p>
    <w:p>
      <w:pPr>
        <w:pStyle w:val="yHeading5"/>
      </w:pPr>
      <w:bookmarkStart w:id="190" w:name="_Toc119915798"/>
      <w:r>
        <w:rPr>
          <w:rStyle w:val="CharSClsNo"/>
        </w:rPr>
        <w:t>10</w:t>
      </w:r>
      <w:r>
        <w:t>.</w:t>
      </w:r>
      <w:r>
        <w:tab/>
        <w:t>Terms used</w:t>
      </w:r>
      <w:bookmarkEnd w:id="190"/>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lastRenderedPageBreak/>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91" w:name="_Toc119915799"/>
      <w:r>
        <w:rPr>
          <w:rStyle w:val="CharSClsNo"/>
        </w:rPr>
        <w:t>11</w:t>
      </w:r>
      <w:r>
        <w:t>.</w:t>
      </w:r>
      <w:r>
        <w:tab/>
        <w:t>Validation of previous assessments</w:t>
      </w:r>
      <w:bookmarkEnd w:id="191"/>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92" w:name="_Toc119915800"/>
      <w:r>
        <w:rPr>
          <w:rStyle w:val="CharSClsNo"/>
        </w:rPr>
        <w:lastRenderedPageBreak/>
        <w:t>12</w:t>
      </w:r>
      <w:r>
        <w:t>.</w:t>
      </w:r>
      <w:r>
        <w:tab/>
        <w:t>Land tax decisions made or pending</w:t>
      </w:r>
      <w:bookmarkEnd w:id="192"/>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93" w:name="_Toc119915801"/>
      <w:r>
        <w:rPr>
          <w:rStyle w:val="CharSClsNo"/>
        </w:rPr>
        <w:t>13</w:t>
      </w:r>
      <w:r>
        <w:t>.</w:t>
      </w:r>
      <w:r>
        <w:tab/>
        <w:t>Application of modified rural business land provisions during the 2012 to 2014 assessment period</w:t>
      </w:r>
      <w:bookmarkEnd w:id="193"/>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94" w:name="_Toc119915802"/>
      <w:r>
        <w:rPr>
          <w:rStyle w:val="CharSClsNo"/>
        </w:rPr>
        <w:t>14</w:t>
      </w:r>
      <w:r>
        <w:t>.</w:t>
      </w:r>
      <w:r>
        <w:tab/>
        <w:t>Validation of rural business land assessments</w:t>
      </w:r>
      <w:bookmarkEnd w:id="194"/>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lastRenderedPageBreak/>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95" w:name="_Toc119915803"/>
      <w:r>
        <w:rPr>
          <w:rStyle w:val="CharSClsNo"/>
        </w:rPr>
        <w:t>15</w:t>
      </w:r>
      <w:r>
        <w:t>.</w:t>
      </w:r>
      <w:r>
        <w:tab/>
        <w:t>Reassessment</w:t>
      </w:r>
      <w:bookmarkEnd w:id="195"/>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96" w:name="_Toc119676048"/>
      <w:bookmarkStart w:id="197" w:name="_Toc119679024"/>
      <w:bookmarkStart w:id="198" w:name="_Toc119915804"/>
      <w:r>
        <w:rPr>
          <w:rStyle w:val="CharSDivNo"/>
        </w:rPr>
        <w:t>Division 5</w:t>
      </w:r>
      <w:r>
        <w:rPr>
          <w:b w:val="0"/>
        </w:rPr>
        <w:t> — </w:t>
      </w:r>
      <w:r>
        <w:rPr>
          <w:rStyle w:val="CharSDivText"/>
        </w:rPr>
        <w:t xml:space="preserve">Provisions for </w:t>
      </w:r>
      <w:r>
        <w:rPr>
          <w:rStyle w:val="CharSDivText"/>
          <w:i/>
        </w:rPr>
        <w:t>Land Tax Assessment Amendment Act 2018</w:t>
      </w:r>
      <w:bookmarkEnd w:id="196"/>
      <w:bookmarkEnd w:id="197"/>
      <w:bookmarkEnd w:id="198"/>
    </w:p>
    <w:p>
      <w:pPr>
        <w:pStyle w:val="yFootnoteheading"/>
      </w:pPr>
      <w:r>
        <w:tab/>
        <w:t>[Heading inserted: No. 5 of 2018 s. 8.]</w:t>
      </w:r>
    </w:p>
    <w:p>
      <w:pPr>
        <w:pStyle w:val="yHeading5"/>
      </w:pPr>
      <w:bookmarkStart w:id="199" w:name="_Toc119915805"/>
      <w:r>
        <w:rPr>
          <w:rStyle w:val="CharSClsNo"/>
        </w:rPr>
        <w:t>16</w:t>
      </w:r>
      <w:r>
        <w:t>.</w:t>
      </w:r>
      <w:r>
        <w:tab/>
        <w:t>Terms used</w:t>
      </w:r>
      <w:bookmarkEnd w:id="199"/>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lastRenderedPageBreak/>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200" w:name="_Toc119915806"/>
      <w:r>
        <w:rPr>
          <w:rStyle w:val="CharSClsNo"/>
        </w:rPr>
        <w:t>17</w:t>
      </w:r>
      <w:r>
        <w:t>.</w:t>
      </w:r>
      <w:r>
        <w:tab/>
        <w:t>Validation of previous assessments</w:t>
      </w:r>
      <w:bookmarkEnd w:id="200"/>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201" w:name="_Toc119915807"/>
      <w:r>
        <w:rPr>
          <w:rStyle w:val="CharSClsNo"/>
        </w:rPr>
        <w:lastRenderedPageBreak/>
        <w:t>18</w:t>
      </w:r>
      <w:r>
        <w:t>.</w:t>
      </w:r>
      <w:r>
        <w:tab/>
        <w:t>Land tax decisions made or pending</w:t>
      </w:r>
      <w:bookmarkEnd w:id="201"/>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202" w:name="_Toc119915808"/>
      <w:r>
        <w:rPr>
          <w:rStyle w:val="CharSClsNo"/>
        </w:rPr>
        <w:t>19</w:t>
      </w:r>
      <w:r>
        <w:t>.</w:t>
      </w:r>
      <w:r>
        <w:tab/>
        <w:t>Reassessment</w:t>
      </w:r>
      <w:bookmarkEnd w:id="202"/>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203" w:name="_Toc119676053"/>
      <w:bookmarkStart w:id="204" w:name="_Toc119679029"/>
      <w:bookmarkStart w:id="205" w:name="_Toc119915809"/>
      <w:r>
        <w:rPr>
          <w:rStyle w:val="CharSDivNo"/>
        </w:rPr>
        <w:lastRenderedPageBreak/>
        <w:t>Division 6</w:t>
      </w:r>
      <w:r>
        <w:rPr>
          <w:b w:val="0"/>
        </w:rPr>
        <w:t> — </w:t>
      </w:r>
      <w:r>
        <w:rPr>
          <w:rStyle w:val="CharSDivText"/>
        </w:rPr>
        <w:t>Provisions for Revenue Laws Amendment Act 2019</w:t>
      </w:r>
      <w:bookmarkEnd w:id="203"/>
      <w:bookmarkEnd w:id="204"/>
      <w:bookmarkEnd w:id="205"/>
    </w:p>
    <w:p>
      <w:pPr>
        <w:pStyle w:val="yFootnoteheading"/>
      </w:pPr>
      <w:r>
        <w:tab/>
        <w:t>[Heading inserted: No. 12 of 2019 s. 138.]</w:t>
      </w:r>
    </w:p>
    <w:p>
      <w:pPr>
        <w:pStyle w:val="yHeading5"/>
      </w:pPr>
      <w:bookmarkStart w:id="206" w:name="_Toc119915810"/>
      <w:r>
        <w:rPr>
          <w:rStyle w:val="CharSClsNo"/>
        </w:rPr>
        <w:t>20</w:t>
      </w:r>
      <w:r>
        <w:t>.</w:t>
      </w:r>
      <w:r>
        <w:tab/>
        <w:t>Application of section 30D to land held in trust for assessment year 2019/20</w:t>
      </w:r>
      <w:bookmarkEnd w:id="206"/>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207" w:name="_Toc119915811"/>
      <w:r>
        <w:rPr>
          <w:rStyle w:val="CharSClsNo"/>
        </w:rPr>
        <w:t>21</w:t>
      </w:r>
      <w:r>
        <w:t>.</w:t>
      </w:r>
      <w:r>
        <w:tab/>
        <w:t>Application of amendments relating to subdivision of land</w:t>
      </w:r>
      <w:bookmarkEnd w:id="207"/>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w:t>
      </w:r>
      <w:r>
        <w:lastRenderedPageBreak/>
        <w:t xml:space="preserve">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pStyle w:val="yHeading3"/>
      </w:pPr>
      <w:bookmarkStart w:id="208" w:name="_Toc113353221"/>
      <w:bookmarkStart w:id="209" w:name="_Toc113354128"/>
      <w:bookmarkStart w:id="210" w:name="_Toc113870026"/>
      <w:bookmarkStart w:id="211" w:name="_Toc119485399"/>
      <w:bookmarkStart w:id="212" w:name="_Toc119485433"/>
      <w:bookmarkStart w:id="213" w:name="_Toc119675784"/>
      <w:bookmarkStart w:id="214" w:name="_Toc119679032"/>
      <w:bookmarkStart w:id="215" w:name="_Toc119915812"/>
      <w:r>
        <w:rPr>
          <w:rStyle w:val="CharSDivNo"/>
        </w:rPr>
        <w:t>Division 7</w:t>
      </w:r>
      <w:r>
        <w:rPr>
          <w:b w:val="0"/>
        </w:rPr>
        <w:t> — </w:t>
      </w:r>
      <w:r>
        <w:rPr>
          <w:rStyle w:val="CharSDivText"/>
        </w:rPr>
        <w:t xml:space="preserve">Provisions for </w:t>
      </w:r>
      <w:r>
        <w:rPr>
          <w:rStyle w:val="CharSDivText"/>
          <w:i/>
        </w:rPr>
        <w:t>Land Tax Assessment Amendment Act 2022</w:t>
      </w:r>
      <w:bookmarkEnd w:id="208"/>
      <w:bookmarkEnd w:id="209"/>
      <w:bookmarkEnd w:id="210"/>
      <w:bookmarkEnd w:id="211"/>
      <w:bookmarkEnd w:id="212"/>
      <w:bookmarkEnd w:id="213"/>
      <w:bookmarkEnd w:id="214"/>
      <w:bookmarkEnd w:id="215"/>
    </w:p>
    <w:p>
      <w:pPr>
        <w:pStyle w:val="yFootnoteheading"/>
      </w:pPr>
      <w:bookmarkStart w:id="216" w:name="_Toc119485434"/>
      <w:bookmarkStart w:id="217" w:name="_Toc119675785"/>
      <w:r>
        <w:tab/>
        <w:t>[Heading inserted: No. 42 of 2022 s. 18.]</w:t>
      </w:r>
    </w:p>
    <w:p>
      <w:pPr>
        <w:pStyle w:val="yHeading5"/>
      </w:pPr>
      <w:bookmarkStart w:id="218" w:name="_Toc119915813"/>
      <w:r>
        <w:rPr>
          <w:rStyle w:val="CharSClsNo"/>
        </w:rPr>
        <w:t>22</w:t>
      </w:r>
      <w:r>
        <w:t>.</w:t>
      </w:r>
      <w:r>
        <w:tab/>
        <w:t xml:space="preserve">Application of amendments made by </w:t>
      </w:r>
      <w:r>
        <w:rPr>
          <w:i/>
        </w:rPr>
        <w:t>Land Tax Assessment Amendment Act 2022</w:t>
      </w:r>
      <w:r>
        <w:t xml:space="preserve"> Part 2</w:t>
      </w:r>
      <w:bookmarkEnd w:id="216"/>
      <w:bookmarkEnd w:id="217"/>
      <w:bookmarkEnd w:id="218"/>
    </w:p>
    <w:p>
      <w:pPr>
        <w:pStyle w:val="ySubsection"/>
      </w:pPr>
      <w:r>
        <w:tab/>
        <w:t>(1)</w:t>
      </w:r>
      <w:r>
        <w:tab/>
        <w:t xml:space="preserve">The amendments made by the </w:t>
      </w:r>
      <w:r>
        <w:rPr>
          <w:i/>
        </w:rPr>
        <w:t>Land Tax Assessment Amendment Act 2022</w:t>
      </w:r>
      <w:r>
        <w:t xml:space="preserve"> Part 2 apply in relation to assessment years that begin on or after 1 July 2020.</w:t>
      </w:r>
    </w:p>
    <w:p>
      <w:pPr>
        <w:pStyle w:val="ySubsection"/>
      </w:pPr>
      <w:r>
        <w:tab/>
        <w:t>(2)</w:t>
      </w:r>
      <w:r>
        <w:tab/>
        <w:t>This clause has effect subject to clause 23.</w:t>
      </w:r>
    </w:p>
    <w:p>
      <w:pPr>
        <w:pStyle w:val="yFootnotesection"/>
      </w:pPr>
      <w:bookmarkStart w:id="219" w:name="_Toc119485435"/>
      <w:bookmarkStart w:id="220" w:name="_Toc119675786"/>
      <w:r>
        <w:tab/>
        <w:t>[Clause 22 inserted: No. 42 of 2022 s. 18.]</w:t>
      </w:r>
    </w:p>
    <w:p>
      <w:pPr>
        <w:pStyle w:val="yHeading5"/>
      </w:pPr>
      <w:bookmarkStart w:id="221" w:name="_Toc119915814"/>
      <w:r>
        <w:rPr>
          <w:rStyle w:val="CharSClsNo"/>
        </w:rPr>
        <w:t>23</w:t>
      </w:r>
      <w:r>
        <w:t>.</w:t>
      </w:r>
      <w:r>
        <w:tab/>
        <w:t>Reduced exemption percentage for land used for dwelling or residential park does not apply for certain financial years</w:t>
      </w:r>
      <w:bookmarkEnd w:id="219"/>
      <w:bookmarkEnd w:id="220"/>
      <w:bookmarkEnd w:id="221"/>
    </w:p>
    <w:p>
      <w:pPr>
        <w:pStyle w:val="ySubsection"/>
      </w:pPr>
      <w:r>
        <w:tab/>
        <w:t>(1)</w:t>
      </w:r>
      <w:r>
        <w:tab/>
        <w:t xml:space="preserve">In this clause — </w:t>
      </w:r>
    </w:p>
    <w:p>
      <w:pPr>
        <w:pStyle w:val="yDefstart"/>
      </w:pPr>
      <w:r>
        <w:tab/>
      </w:r>
      <w:r>
        <w:rPr>
          <w:rStyle w:val="CharDefText"/>
        </w:rPr>
        <w:t>dwelling or residential park</w:t>
      </w:r>
      <w:r>
        <w:t xml:space="preserve"> has the meaning given in section 39A;</w:t>
      </w:r>
    </w:p>
    <w:p>
      <w:pPr>
        <w:pStyle w:val="yDefstart"/>
      </w:pPr>
      <w:r>
        <w:tab/>
      </w:r>
      <w:r>
        <w:rPr>
          <w:rStyle w:val="CharDefText"/>
        </w:rPr>
        <w:t>new exemption percentage</w:t>
      </w:r>
      <w:r>
        <w:t>, for land in a dwelling or residential park for a financial year, means the percentage calculated under section 39C for the land for the year;</w:t>
      </w:r>
    </w:p>
    <w:p>
      <w:pPr>
        <w:pStyle w:val="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pPr>
        <w:pStyle w:val="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pPr>
        <w:pStyle w:val="yDefstart"/>
      </w:pPr>
      <w:r>
        <w:tab/>
      </w:r>
      <w:r>
        <w:rPr>
          <w:rStyle w:val="CharDefText"/>
        </w:rPr>
        <w:t>relevant year</w:t>
      </w:r>
      <w:r>
        <w:t xml:space="preserve"> means a financial year that begins — </w:t>
      </w:r>
    </w:p>
    <w:p>
      <w:pPr>
        <w:pStyle w:val="yDefpara"/>
      </w:pPr>
      <w:r>
        <w:tab/>
        <w:t>(a)</w:t>
      </w:r>
      <w:r>
        <w:tab/>
        <w:t>on or after 1 July 2020; and</w:t>
      </w:r>
    </w:p>
    <w:p>
      <w:pPr>
        <w:pStyle w:val="yDefpara"/>
      </w:pPr>
      <w:r>
        <w:lastRenderedPageBreak/>
        <w:tab/>
        <w:t>(b)</w:t>
      </w:r>
      <w:r>
        <w:tab/>
        <w:t xml:space="preserve">no later than the next 1 July following the day on which the </w:t>
      </w:r>
      <w:r>
        <w:rPr>
          <w:i/>
        </w:rPr>
        <w:t>Land Tax Assessment Amendment Act 2022</w:t>
      </w:r>
      <w:r>
        <w:t xml:space="preserve"> receives the Royal Assent.</w:t>
      </w:r>
    </w:p>
    <w:p>
      <w:pPr>
        <w:pStyle w:val="ySubsection"/>
      </w:pPr>
      <w:r>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pPr>
        <w:pStyle w:val="yFootnotesection"/>
      </w:pPr>
      <w:bookmarkStart w:id="222" w:name="_Toc119485436"/>
      <w:bookmarkStart w:id="223" w:name="_Toc119675787"/>
      <w:r>
        <w:tab/>
        <w:t>[Clause 23 inserted: No. 42 of 2022 s. 18.]</w:t>
      </w:r>
    </w:p>
    <w:p>
      <w:pPr>
        <w:pStyle w:val="yHeading5"/>
      </w:pPr>
      <w:bookmarkStart w:id="224" w:name="_Toc119915815"/>
      <w:r>
        <w:rPr>
          <w:rStyle w:val="CharSClsNo"/>
        </w:rPr>
        <w:t>24</w:t>
      </w:r>
      <w:r>
        <w:t>.</w:t>
      </w:r>
      <w:r>
        <w:tab/>
        <w:t>Continued application of notification requirements</w:t>
      </w:r>
      <w:bookmarkEnd w:id="222"/>
      <w:bookmarkEnd w:id="223"/>
      <w:bookmarkEnd w:id="22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Land Tax Assessment Amendment Act 2022</w:t>
      </w:r>
      <w:r>
        <w:t xml:space="preserve"> Part 3 comes into operation;</w:t>
      </w:r>
    </w:p>
    <w:p>
      <w:pPr>
        <w:pStyle w:val="yDefstart"/>
      </w:pPr>
      <w:r>
        <w:tab/>
      </w:r>
      <w:r>
        <w:rPr>
          <w:rStyle w:val="CharDefText"/>
        </w:rPr>
        <w:t>commencement year</w:t>
      </w:r>
      <w:r>
        <w:t xml:space="preserve"> means the financial year in which commencement day occurs.</w:t>
      </w:r>
    </w:p>
    <w:p>
      <w:pPr>
        <w:pStyle w:val="ySubsection"/>
      </w:pPr>
      <w:r>
        <w:tab/>
        <w:t>(2)</w:t>
      </w:r>
      <w:r>
        <w:tab/>
        <w:t xml:space="preserve">Despite the deletion of sections 23A(3), 23(3), 26(2), 26A(7) and 30F by the </w:t>
      </w:r>
      <w:r>
        <w:rPr>
          <w:i/>
        </w:rPr>
        <w:t>Land Tax Assessment Amendment Act 2022</w:t>
      </w:r>
      <w:r>
        <w:t xml:space="preserve"> Part 3 — </w:t>
      </w:r>
    </w:p>
    <w:p>
      <w:pPr>
        <w:pStyle w:val="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pPr>
        <w:pStyle w:val="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pPr>
        <w:pStyle w:val="yIndenta"/>
      </w:pPr>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p>
    <w:p>
      <w:pPr>
        <w:pStyle w:val="yIndenta"/>
      </w:pPr>
      <w:r>
        <w:tab/>
        <w:t>(d)</w:t>
      </w:r>
      <w:r>
        <w:tab/>
        <w:t xml:space="preserve">if property is exempt under section 26A for the commencement year — section 26A(7) and the Penalty to section 26A, as in force immediately before commencement </w:t>
      </w:r>
      <w:r>
        <w:lastRenderedPageBreak/>
        <w:t>day, continue to apply in relation to the use of the property at midnight on 30 June in the commencement year; and</w:t>
      </w:r>
    </w:p>
    <w:p>
      <w:pPr>
        <w:pStyle w:val="yIndenta"/>
      </w:pPr>
      <w:r>
        <w:tab/>
        <w:t>(e)</w:t>
      </w:r>
      <w:r>
        <w:tab/>
        <w:t>if land is exempt under Part 3 Division 3 for the commencement year — section 30F, as in force immediately before commencement day, continues to apply in relation to a change (as defined in that section) that occurs in the commencement year.</w:t>
      </w:r>
    </w:p>
    <w:p>
      <w:pPr>
        <w:pStyle w:val="ySubsection"/>
      </w:pPr>
      <w:r>
        <w:tab/>
        <w:t>(3)</w:t>
      </w:r>
      <w:r>
        <w:tab/>
        <w:t>Subclause (2) does not apply in relation to land if a notice is served under section 20A(1) in relation to the land in the commencement year.</w:t>
      </w:r>
    </w:p>
    <w:p>
      <w:pPr>
        <w:pStyle w:val="yFootnotesection"/>
      </w:pPr>
      <w:bookmarkStart w:id="225" w:name="_Toc119485437"/>
      <w:bookmarkStart w:id="226" w:name="_Toc119675788"/>
      <w:r>
        <w:tab/>
        <w:t>[Clause 24 inserted: No. 42 of 2022 s. 18.]</w:t>
      </w:r>
    </w:p>
    <w:p>
      <w:pPr>
        <w:pStyle w:val="yHeading5"/>
      </w:pPr>
      <w:bookmarkStart w:id="227" w:name="_Toc119915816"/>
      <w:r>
        <w:rPr>
          <w:rStyle w:val="CharSClsNo"/>
        </w:rPr>
        <w:t>25</w:t>
      </w:r>
      <w:r>
        <w:t>.</w:t>
      </w:r>
      <w:r>
        <w:tab/>
        <w:t>Reassessment</w:t>
      </w:r>
      <w:bookmarkEnd w:id="225"/>
      <w:bookmarkEnd w:id="226"/>
      <w:bookmarkEnd w:id="227"/>
    </w:p>
    <w:p>
      <w:pPr>
        <w:pStyle w:val="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pPr>
        <w:pStyle w:val="yFootnotesection"/>
      </w:pPr>
      <w:r>
        <w:tab/>
        <w:t>[Clause 25 inserted: No. 42 of 2022 s. 18.]</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229" w:name="_Toc119676056"/>
      <w:bookmarkStart w:id="230" w:name="_Toc119679037"/>
      <w:bookmarkStart w:id="231" w:name="_Toc119915817"/>
      <w:r>
        <w:rPr>
          <w:rStyle w:val="CharSchNo"/>
        </w:rPr>
        <w:lastRenderedPageBreak/>
        <w:t>Glossary</w:t>
      </w:r>
      <w:bookmarkEnd w:id="229"/>
      <w:bookmarkEnd w:id="230"/>
      <w:bookmarkEnd w:id="231"/>
      <w:r>
        <w:rPr>
          <w:rStyle w:val="CharSchText"/>
        </w:rPr>
        <w:t xml:space="preserve"> </w:t>
      </w:r>
    </w:p>
    <w:p>
      <w:pPr>
        <w:pStyle w:val="yShoulderClause"/>
        <w:spacing w:before="40"/>
      </w:pPr>
      <w:r>
        <w:t>[s. 4]</w:t>
      </w:r>
    </w:p>
    <w:p>
      <w:pPr>
        <w:pStyle w:val="yHeading5"/>
      </w:pPr>
      <w:bookmarkStart w:id="232" w:name="_Toc119915818"/>
      <w:r>
        <w:rPr>
          <w:rStyle w:val="CharSClsNo"/>
        </w:rPr>
        <w:t>1</w:t>
      </w:r>
      <w:r>
        <w:t>.</w:t>
      </w:r>
      <w:r>
        <w:rPr>
          <w:vertAlign w:val="superscript"/>
        </w:rPr>
        <w:t>  1M, 1MC</w:t>
      </w:r>
      <w:r>
        <w:tab/>
        <w:t>Terms used</w:t>
      </w:r>
      <w:bookmarkEnd w:id="232"/>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lastRenderedPageBreak/>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lastRenderedPageBreak/>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lastRenderedPageBreak/>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the person’s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lastRenderedPageBreak/>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lastRenderedPageBreak/>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lastRenderedPageBreak/>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Swan Valley Planning Scheme</w:t>
      </w:r>
      <w:r>
        <w:t xml:space="preserve"> has the meaning given in the </w:t>
      </w:r>
      <w:r>
        <w:rPr>
          <w:i/>
        </w:rPr>
        <w:t>Planning and Development Act 2005</w:t>
      </w:r>
      <w:r>
        <w:t xml:space="preserve"> section 4(1);</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 xml:space="preserve">a person having or taking upon themselves the administration or control of land effected by any express or implied trust, or acting in any fiduciary capacity, or having the possession, </w:t>
      </w:r>
      <w:r>
        <w:lastRenderedPageBreak/>
        <w:t>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 No. 42 of 2022 s. 19.]</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233" w:name="_Toc119915819"/>
      <w:r>
        <w:rPr>
          <w:rStyle w:val="CharSClsNo"/>
        </w:rPr>
        <w:t>2</w:t>
      </w:r>
      <w:r>
        <w:t>.</w:t>
      </w:r>
      <w:r>
        <w:tab/>
        <w:t>Lots and parcels of land</w:t>
      </w:r>
      <w:bookmarkEnd w:id="233"/>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lastRenderedPageBreak/>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lastRenderedPageBreak/>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lastRenderedPageBreak/>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234" w:name="_Toc119915820"/>
      <w:r>
        <w:rPr>
          <w:rStyle w:val="CharSClsNo"/>
        </w:rPr>
        <w:t>3</w:t>
      </w:r>
      <w:r>
        <w:t>.</w:t>
      </w:r>
      <w:r>
        <w:tab/>
        <w:t>Subdivided land</w:t>
      </w:r>
      <w:bookmarkEnd w:id="234"/>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lastRenderedPageBreak/>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235" w:name="_Toc119915821"/>
      <w:r>
        <w:rPr>
          <w:rStyle w:val="CharSClsNo"/>
        </w:rPr>
        <w:t>6</w:t>
      </w:r>
      <w:r>
        <w:t>.</w:t>
      </w:r>
      <w:r>
        <w:rPr>
          <w:b w:val="0"/>
        </w:rPr>
        <w:tab/>
      </w:r>
      <w:r>
        <w:t>Taxable value</w:t>
      </w:r>
      <w:bookmarkEnd w:id="23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lastRenderedPageBreak/>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236" w:name="_Toc119676061"/>
      <w:bookmarkStart w:id="237" w:name="_Toc119679042"/>
      <w:bookmarkStart w:id="238" w:name="_Toc119915822"/>
      <w:r>
        <w:lastRenderedPageBreak/>
        <w:t>Notes</w:t>
      </w:r>
      <w:bookmarkEnd w:id="236"/>
      <w:bookmarkEnd w:id="237"/>
      <w:bookmarkEnd w:id="238"/>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239" w:name="_Toc119915823"/>
      <w:r>
        <w:t>Compilation table</w:t>
      </w:r>
      <w:bookmarkEnd w:id="239"/>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lastRenderedPageBreak/>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lastRenderedPageBreak/>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r>
        <w:trPr>
          <w:cantSplit/>
        </w:trPr>
        <w:tc>
          <w:tcPr>
            <w:tcW w:w="2254" w:type="dxa"/>
            <w:shd w:val="clear" w:color="auto" w:fill="auto"/>
          </w:tcPr>
          <w:p>
            <w:pPr>
              <w:pStyle w:val="nTable"/>
              <w:spacing w:after="40"/>
              <w:rPr>
                <w:i/>
              </w:rPr>
            </w:pPr>
            <w:r>
              <w:rPr>
                <w:i/>
                <w:snapToGrid w:val="0"/>
              </w:rPr>
              <w:t>Swan Valley Planning Act 2020</w:t>
            </w:r>
            <w:r>
              <w:rPr>
                <w:snapToGrid w:val="0"/>
              </w:rPr>
              <w:t xml:space="preserve"> Pt. 10 Div. 6</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93" w:type="dxa"/>
            <w:gridSpan w:val="3"/>
            <w:shd w:val="clear" w:color="auto" w:fill="auto"/>
          </w:tcPr>
          <w:p>
            <w:pPr>
              <w:pStyle w:val="nTable"/>
              <w:spacing w:after="40"/>
            </w:pPr>
            <w:r>
              <w:rPr>
                <w:snapToGrid w:val="0"/>
              </w:rPr>
              <w:t>1 Aug 2021 (see s. 2(1)(e) and SL 2021/124 cl. 2)</w:t>
            </w:r>
          </w:p>
        </w:tc>
      </w:tr>
      <w:tr>
        <w:trPr>
          <w:cantSplit/>
        </w:trPr>
        <w:tc>
          <w:tcPr>
            <w:tcW w:w="2254" w:type="dxa"/>
            <w:tcBorders>
              <w:bottom w:val="single" w:sz="4" w:space="0" w:color="auto"/>
            </w:tcBorders>
            <w:shd w:val="clear" w:color="auto" w:fill="auto"/>
          </w:tcPr>
          <w:p>
            <w:pPr>
              <w:pStyle w:val="nTable"/>
              <w:spacing w:after="40"/>
              <w:rPr>
                <w:i/>
                <w:snapToGrid w:val="0"/>
              </w:rPr>
            </w:pPr>
            <w:r>
              <w:rPr>
                <w:i/>
                <w:snapToGrid w:val="0"/>
              </w:rPr>
              <w:lastRenderedPageBreak/>
              <w:t>Land Tax Assessment Amendment Act 2022</w:t>
            </w:r>
          </w:p>
        </w:tc>
        <w:tc>
          <w:tcPr>
            <w:tcW w:w="1134" w:type="dxa"/>
            <w:gridSpan w:val="2"/>
            <w:tcBorders>
              <w:bottom w:val="single" w:sz="4" w:space="0" w:color="auto"/>
            </w:tcBorders>
            <w:shd w:val="clear" w:color="auto" w:fill="auto"/>
          </w:tcPr>
          <w:p>
            <w:pPr>
              <w:pStyle w:val="nTable"/>
              <w:spacing w:after="40"/>
            </w:pPr>
            <w:r>
              <w:t>42 of 2022</w:t>
            </w:r>
          </w:p>
        </w:tc>
        <w:tc>
          <w:tcPr>
            <w:tcW w:w="1134" w:type="dxa"/>
            <w:gridSpan w:val="2"/>
            <w:tcBorders>
              <w:bottom w:val="single" w:sz="4" w:space="0" w:color="auto"/>
            </w:tcBorders>
            <w:shd w:val="clear" w:color="auto" w:fill="auto"/>
          </w:tcPr>
          <w:p>
            <w:pPr>
              <w:pStyle w:val="nTable"/>
              <w:spacing w:after="40"/>
            </w:pPr>
            <w:r>
              <w:t>21 Nov 2022</w:t>
            </w:r>
          </w:p>
        </w:tc>
        <w:tc>
          <w:tcPr>
            <w:tcW w:w="2593" w:type="dxa"/>
            <w:gridSpan w:val="3"/>
            <w:tcBorders>
              <w:bottom w:val="single" w:sz="4" w:space="0" w:color="auto"/>
            </w:tcBorders>
            <w:shd w:val="clear" w:color="auto" w:fill="auto"/>
          </w:tcPr>
          <w:p>
            <w:pPr>
              <w:pStyle w:val="nTable"/>
              <w:spacing w:after="40"/>
              <w:rPr>
                <w:snapToGrid w:val="0"/>
              </w:rPr>
            </w:pPr>
            <w:r>
              <w:rPr>
                <w:snapToGrid w:val="0"/>
              </w:rPr>
              <w:t>Pt. 2: deemed to have come into operation on 1 Jul 2020 (see s. 2(b));</w:t>
            </w:r>
            <w:r>
              <w:rPr>
                <w:snapToGrid w:val="0"/>
              </w:rPr>
              <w:br/>
              <w:t>Pt. 1: 21 Nov 2022 (see s. 2(a));</w:t>
            </w:r>
            <w:r>
              <w:rPr>
                <w:snapToGrid w:val="0"/>
              </w:rPr>
              <w:br/>
              <w:t>Act other than Pt. 1 and 2: 22 Nov 2022 (see s. 2(c))</w:t>
            </w:r>
          </w:p>
        </w:tc>
      </w:tr>
    </w:tbl>
    <w:p>
      <w:pPr>
        <w:pStyle w:val="nHeading3"/>
      </w:pPr>
      <w:bookmarkStart w:id="240" w:name="_Toc119915824"/>
      <w:r>
        <w:t>Other notes</w:t>
      </w:r>
      <w:bookmarkEnd w:id="24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tab/>
        <w:t>If a modification is to:</w:t>
      </w:r>
    </w:p>
    <w:p>
      <w:pPr>
        <w:pStyle w:val="nNote"/>
        <w:keepNext/>
        <w:keepLines/>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lastRenderedPageBreak/>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26B(1), 38A(1)</w:t>
      </w:r>
    </w:p>
    <w:p>
      <w:pPr>
        <w:pStyle w:val="DefinedTerms"/>
      </w:pPr>
      <w:r>
        <w:t>agent</w:t>
      </w:r>
      <w:r>
        <w:tab/>
        <w:t>Gl. cl. 1</w:t>
      </w:r>
    </w:p>
    <w:p>
      <w:pPr>
        <w:pStyle w:val="DefinedTerms"/>
      </w:pPr>
      <w:r>
        <w:t>aggregated taxable value</w:t>
      </w:r>
      <w:r>
        <w:tab/>
        <w:t>Gl. cl. 1</w:t>
      </w:r>
    </w:p>
    <w:p>
      <w:pPr>
        <w:pStyle w:val="DefinedTerms"/>
      </w:pPr>
      <w:r>
        <w:t>amended Act</w:t>
      </w:r>
      <w:r>
        <w:tab/>
        <w:t>Sch. 1 cl. 10 and 16</w:t>
      </w:r>
    </w:p>
    <w:p>
      <w:pPr>
        <w:pStyle w:val="DefinedTerms"/>
      </w:pPr>
      <w:r>
        <w:t>amending Act</w:t>
      </w:r>
      <w:r>
        <w:tab/>
        <w:t>Sch. 1 cl. 6</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 29, 30K, Sch. 1 cl. 20(2)</w:t>
      </w:r>
    </w:p>
    <w:p>
      <w:pPr>
        <w:pStyle w:val="DefinedTerms"/>
      </w:pPr>
      <w:r>
        <w:t>building contract</w:t>
      </w:r>
      <w:r>
        <w:tab/>
        <w:t>Gl. cl. 1</w:t>
      </w:r>
    </w:p>
    <w:p>
      <w:pPr>
        <w:pStyle w:val="DefinedTerms"/>
      </w:pPr>
      <w:r>
        <w:t>camp</w:t>
      </w:r>
      <w:r>
        <w:tab/>
        <w:t>39A</w:t>
      </w:r>
    </w:p>
    <w:p>
      <w:pPr>
        <w:pStyle w:val="DefinedTerms"/>
      </w:pPr>
      <w:r>
        <w:t>caravan</w:t>
      </w:r>
      <w:r>
        <w:tab/>
        <w:t>39A</w:t>
      </w:r>
    </w:p>
    <w:p>
      <w:pPr>
        <w:pStyle w:val="DefinedTerms"/>
      </w:pPr>
      <w:r>
        <w:t>caravan or camp site</w:t>
      </w:r>
      <w:r>
        <w:tab/>
        <w:t>39A</w:t>
      </w:r>
    </w:p>
    <w:p>
      <w:pPr>
        <w:pStyle w:val="DefinedTerms"/>
      </w:pPr>
      <w:r>
        <w:t>care commencement date</w:t>
      </w:r>
      <w:r>
        <w:tab/>
        <w:t>26B(1)</w:t>
      </w:r>
    </w:p>
    <w:p>
      <w:pPr>
        <w:pStyle w:val="DefinedTerms"/>
      </w:pPr>
      <w:r>
        <w:t>clause</w:t>
      </w:r>
      <w:r>
        <w:tab/>
        <w:t>Gl. cl. 1</w:t>
      </w:r>
    </w:p>
    <w:p>
      <w:pPr>
        <w:pStyle w:val="DefinedTerms"/>
      </w:pPr>
      <w:r>
        <w:t>commencement</w:t>
      </w:r>
      <w:r>
        <w:tab/>
        <w:t>Sch. 1 cl. 10 and 16</w:t>
      </w:r>
    </w:p>
    <w:p>
      <w:pPr>
        <w:pStyle w:val="DefinedTerms"/>
      </w:pPr>
      <w:r>
        <w:t>commencement date</w:t>
      </w:r>
      <w:r>
        <w:tab/>
        <w:t>Gl. cl. 1</w:t>
      </w:r>
    </w:p>
    <w:p>
      <w:pPr>
        <w:pStyle w:val="DefinedTerms"/>
      </w:pPr>
      <w:r>
        <w:t>commencement day</w:t>
      </w:r>
      <w:r>
        <w:tab/>
        <w:t>Sch. 1 cl. 24(1)</w:t>
      </w:r>
    </w:p>
    <w:p>
      <w:pPr>
        <w:pStyle w:val="DefinedTerms"/>
      </w:pPr>
      <w:r>
        <w:t>commencement year</w:t>
      </w:r>
      <w:r>
        <w:tab/>
        <w:t>Sch. 1 cl. 24(1)</w:t>
      </w:r>
    </w:p>
    <w:p>
      <w:pPr>
        <w:pStyle w:val="DefinedTerms"/>
      </w:pPr>
      <w:r>
        <w:t>completion date</w:t>
      </w:r>
      <w:r>
        <w:tab/>
        <w:t>Gl. cl. 1</w:t>
      </w:r>
    </w:p>
    <w:p>
      <w:pPr>
        <w:pStyle w:val="DefinedTerms"/>
      </w:pPr>
      <w:r>
        <w:t>compliant trustee</w:t>
      </w:r>
      <w:r>
        <w:tab/>
        <w:t>Sch. 1 cl. 9(1) and 20(1)</w:t>
      </w:r>
    </w:p>
    <w:p>
      <w:pPr>
        <w:pStyle w:val="DefinedTerms"/>
      </w:pPr>
      <w:r>
        <w:t>conservation covenant</w:t>
      </w:r>
      <w:r>
        <w:tab/>
        <w:t>Gl. cl. 1</w:t>
      </w:r>
    </w:p>
    <w:p>
      <w:pPr>
        <w:pStyle w:val="DefinedTerms"/>
      </w:pPr>
      <w:r>
        <w:t>deceased</w:t>
      </w:r>
      <w:r>
        <w:tab/>
        <w:t>30E</w:t>
      </w:r>
    </w:p>
    <w:p>
      <w:pPr>
        <w:pStyle w:val="DefinedTerms"/>
      </w:pPr>
      <w:r>
        <w:t>decision</w:t>
      </w:r>
      <w:r>
        <w:tab/>
        <w:t>Sch. 1 cl. 12(1) and 18(1)</w:t>
      </w:r>
    </w:p>
    <w:p>
      <w:pPr>
        <w:pStyle w:val="DefinedTerms"/>
      </w:pPr>
      <w:r>
        <w:t>disabled beneficiary</w:t>
      </w:r>
      <w:r>
        <w:tab/>
        <w:t>Gl. cl. 1</w:t>
      </w:r>
    </w:p>
    <w:p>
      <w:pPr>
        <w:pStyle w:val="DefinedTerms"/>
      </w:pPr>
      <w:r>
        <w:t>disabled person</w:t>
      </w:r>
      <w:r>
        <w:tab/>
        <w:t>26A(1)</w:t>
      </w:r>
    </w:p>
    <w:p>
      <w:pPr>
        <w:pStyle w:val="DefinedTerms"/>
      </w:pPr>
      <w:r>
        <w:t>discretionary trust</w:t>
      </w:r>
      <w:r>
        <w:tab/>
        <w:t>29</w:t>
      </w:r>
    </w:p>
    <w:p>
      <w:pPr>
        <w:pStyle w:val="DefinedTerms"/>
      </w:pPr>
      <w:r>
        <w:t>dwelling or residential park</w:t>
      </w:r>
      <w:r>
        <w:tab/>
        <w:t>39A, Sch. 1 cl. 23(1)</w:t>
      </w:r>
    </w:p>
    <w:p>
      <w:pPr>
        <w:pStyle w:val="DefinedTerms"/>
      </w:pPr>
      <w:r>
        <w:t>dwelling park</w:t>
      </w:r>
      <w:r>
        <w:tab/>
        <w:t>39A</w:t>
      </w:r>
    </w:p>
    <w:p>
      <w:pPr>
        <w:pStyle w:val="DefinedTerms"/>
      </w:pPr>
      <w:r>
        <w:t>excluded land</w:t>
      </w:r>
      <w:r>
        <w:tab/>
        <w:t>39A</w:t>
      </w:r>
    </w:p>
    <w:p>
      <w:pPr>
        <w:pStyle w:val="DefinedTerms"/>
      </w:pPr>
      <w:r>
        <w:t>exempt</w:t>
      </w:r>
      <w:r>
        <w:tab/>
        <w:t>Gl. cl. 1</w:t>
      </w:r>
    </w:p>
    <w:p>
      <w:pPr>
        <w:pStyle w:val="DefinedTerms"/>
      </w:pPr>
      <w:r>
        <w:t>exempt area</w:t>
      </w:r>
      <w:r>
        <w:tab/>
        <w:t>18A(2)</w:t>
      </w:r>
    </w:p>
    <w:p>
      <w:pPr>
        <w:pStyle w:val="DefinedTerms"/>
      </w:pPr>
      <w:r>
        <w:t>exemption period</w:t>
      </w:r>
      <w:r>
        <w:tab/>
        <w:t>28A</w:t>
      </w:r>
    </w:p>
    <w:p>
      <w:pPr>
        <w:pStyle w:val="DefinedTerms"/>
      </w:pPr>
      <w:r>
        <w:t>exemption provision</w:t>
      </w:r>
      <w:r>
        <w:tab/>
        <w:t>18(1), 18A(1), 28A</w:t>
      </w:r>
    </w:p>
    <w:p>
      <w:pPr>
        <w:pStyle w:val="DefinedTerms"/>
      </w:pPr>
      <w:r>
        <w:t>exempt purpose</w:t>
      </w:r>
      <w:r>
        <w:tab/>
        <w:t>Gl. cl. 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lastRenderedPageBreak/>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full-time care</w:t>
      </w:r>
      <w:r>
        <w:tab/>
        <w:t>26B(2)</w:t>
      </w:r>
    </w:p>
    <w:p>
      <w:pPr>
        <w:pStyle w:val="DefinedTerms"/>
      </w:pPr>
      <w:r>
        <w:t>home lot</w:t>
      </w:r>
      <w:r>
        <w:tab/>
        <w:t>Gl. cl. 2(4)</w:t>
      </w:r>
    </w:p>
    <w:p>
      <w:pPr>
        <w:pStyle w:val="DefinedTerms"/>
      </w:pPr>
      <w:r>
        <w:t>home unit</w:t>
      </w:r>
      <w:r>
        <w:tab/>
        <w:t>Gl. cl. 1</w:t>
      </w:r>
    </w:p>
    <w:p>
      <w:pPr>
        <w:pStyle w:val="DefinedTerms"/>
      </w:pPr>
      <w:r>
        <w:t>improvements</w:t>
      </w:r>
      <w:r>
        <w:tab/>
        <w:t>Gl. cl. 1</w:t>
      </w:r>
    </w:p>
    <w:p>
      <w:pPr>
        <w:pStyle w:val="DefinedTerms"/>
      </w:pPr>
      <w:r>
        <w:t>improvement scheme</w:t>
      </w:r>
      <w:r>
        <w:tab/>
        <w:t>Gl. cl. 1</w:t>
      </w:r>
    </w:p>
    <w:p>
      <w:pPr>
        <w:pStyle w:val="DefinedTerms"/>
      </w:pPr>
      <w:r>
        <w:t>individual</w:t>
      </w:r>
      <w:r>
        <w:tab/>
        <w:t>30I(1)</w:t>
      </w:r>
    </w:p>
    <w:p>
      <w:pPr>
        <w:pStyle w:val="DefinedTerms"/>
      </w:pPr>
      <w:r>
        <w:t>industrial association</w:t>
      </w:r>
      <w:r>
        <w:tab/>
        <w:t>Gl. cl. 1</w:t>
      </w:r>
    </w:p>
    <w:p>
      <w:pPr>
        <w:pStyle w:val="DefinedTerms"/>
      </w:pPr>
      <w:r>
        <w:t>joint owners</w:t>
      </w:r>
      <w:r>
        <w:tab/>
        <w:t>28E(1), 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long-stay site</w:t>
      </w:r>
      <w:r>
        <w:tab/>
        <w:t>39A</w:t>
      </w:r>
    </w:p>
    <w:p>
      <w:pPr>
        <w:pStyle w:val="DefinedTerms"/>
      </w:pPr>
      <w:r>
        <w:t>lot</w:t>
      </w:r>
      <w:r>
        <w:tab/>
        <w:t>Gl. cl. 1 and 2(1)</w:t>
      </w:r>
    </w:p>
    <w:p>
      <w:pPr>
        <w:pStyle w:val="DefinedTerms"/>
      </w:pPr>
      <w:r>
        <w:t>metropolitan region</w:t>
      </w:r>
      <w:r>
        <w:tab/>
        <w:t>Gl. cl. 1</w:t>
      </w:r>
    </w:p>
    <w:p>
      <w:pPr>
        <w:pStyle w:val="DefinedTerms"/>
      </w:pPr>
      <w:r>
        <w:t xml:space="preserve">modified rural business land provisions </w:t>
      </w:r>
      <w:r>
        <w:tab/>
        <w:t>Sch. 1 cl. 10</w:t>
      </w:r>
    </w:p>
    <w:p>
      <w:pPr>
        <w:pStyle w:val="DefinedTerms"/>
      </w:pPr>
      <w:r>
        <w:t>new exemption percentage</w:t>
      </w:r>
      <w:r>
        <w:tab/>
        <w:t>Sch. 1 cl. 23(1)</w:t>
      </w:r>
    </w:p>
    <w:p>
      <w:pPr>
        <w:pStyle w:val="DefinedTerms"/>
      </w:pPr>
      <w:r>
        <w:t>new lot</w:t>
      </w:r>
      <w:r>
        <w:tab/>
        <w:t>28A, 43A(1)</w:t>
      </w:r>
    </w:p>
    <w:p>
      <w:pPr>
        <w:pStyle w:val="DefinedTerms"/>
      </w:pPr>
      <w:r>
        <w:t>new lot owner</w:t>
      </w:r>
      <w:r>
        <w:tab/>
        <w:t>28B(3)</w:t>
      </w:r>
    </w:p>
    <w:p>
      <w:pPr>
        <w:pStyle w:val="DefinedTerms"/>
      </w:pPr>
      <w:r>
        <w:t>new provisions</w:t>
      </w:r>
      <w:r>
        <w:tab/>
        <w:t>Sch. 1 cl. 3</w:t>
      </w:r>
    </w:p>
    <w:p>
      <w:pPr>
        <w:pStyle w:val="DefinedTerms"/>
      </w:pPr>
      <w:r>
        <w:t>non-profit association</w:t>
      </w:r>
      <w:r>
        <w:tab/>
        <w:t>Gl. cl. 1</w:t>
      </w:r>
    </w:p>
    <w:p>
      <w:pPr>
        <w:pStyle w:val="DefinedTerms"/>
      </w:pPr>
      <w:r>
        <w:t>non-public authority</w:t>
      </w:r>
      <w:r>
        <w:tab/>
        <w:t>Sch. 1 cl. 16</w:t>
      </w:r>
    </w:p>
    <w:p>
      <w:pPr>
        <w:pStyle w:val="DefinedTerms"/>
      </w:pPr>
      <w:r>
        <w:t>non-rural land</w:t>
      </w:r>
      <w:r>
        <w:tab/>
        <w:t>29</w:t>
      </w:r>
    </w:p>
    <w:p>
      <w:pPr>
        <w:pStyle w:val="DefinedTerms"/>
      </w:pPr>
      <w:r>
        <w:t>non-strata home unit</w:t>
      </w:r>
      <w:r>
        <w:tab/>
        <w:t>Gl. cl. 1.  1M, 1MC</w:t>
      </w:r>
    </w:p>
    <w:p>
      <w:pPr>
        <w:pStyle w:val="DefinedTerms"/>
      </w:pPr>
      <w:r>
        <w:t>old exemption percentage</w:t>
      </w:r>
      <w:r>
        <w:tab/>
        <w:t>Sch. 1 cl. 23(1)</w:t>
      </w:r>
    </w:p>
    <w:p>
      <w:pPr>
        <w:pStyle w:val="DefinedTerms"/>
      </w:pPr>
      <w:r>
        <w:t>old lot</w:t>
      </w:r>
      <w:r>
        <w:tab/>
        <w:t>43A(1)</w:t>
      </w:r>
    </w:p>
    <w:p>
      <w:pPr>
        <w:pStyle w:val="DefinedTerms"/>
      </w:pPr>
      <w:r>
        <w:t>old Part 3 Division 4A</w:t>
      </w:r>
      <w:r>
        <w:tab/>
        <w:t>Sch. 1 cl. 23(1)</w:t>
      </w:r>
    </w:p>
    <w:p>
      <w:pPr>
        <w:pStyle w:val="DefinedTerms"/>
      </w:pPr>
      <w:r>
        <w:t>operate</w:t>
      </w:r>
      <w:r>
        <w:tab/>
        <w:t>39A</w:t>
      </w:r>
    </w:p>
    <w:p>
      <w:pPr>
        <w:pStyle w:val="DefinedTerms"/>
      </w:pPr>
      <w:r>
        <w:t>original assessment year</w:t>
      </w:r>
      <w:r>
        <w:tab/>
        <w:t>38AC(8)</w:t>
      </w:r>
    </w:p>
    <w:p>
      <w:pPr>
        <w:pStyle w:val="DefinedTerms"/>
      </w:pPr>
      <w:r>
        <w:t>other lots</w:t>
      </w:r>
      <w:r>
        <w:tab/>
        <w:t>Gl. cl. 2(4)</w:t>
      </w:r>
    </w:p>
    <w:p>
      <w:pPr>
        <w:pStyle w:val="DefinedTerms"/>
      </w:pPr>
      <w:r>
        <w:t>owner</w:t>
      </w:r>
      <w:r>
        <w:tab/>
        <w:t>Gl. cl. 1</w:t>
      </w:r>
    </w:p>
    <w:p>
      <w:pPr>
        <w:pStyle w:val="DefinedTerms"/>
      </w:pPr>
      <w:r>
        <w:t>owner-builder</w:t>
      </w:r>
      <w:r>
        <w:tab/>
        <w:t>Gl. cl. 1</w:t>
      </w:r>
    </w:p>
    <w:p>
      <w:pPr>
        <w:pStyle w:val="DefinedTerms"/>
      </w:pPr>
      <w:r>
        <w:t>owner-occupied home site</w:t>
      </w:r>
      <w:r>
        <w:tab/>
        <w:t>39A</w:t>
      </w:r>
    </w:p>
    <w:p>
      <w:pPr>
        <w:pStyle w:val="DefinedTerms"/>
      </w:pPr>
      <w:r>
        <w:t>P%</w:t>
      </w:r>
      <w:r>
        <w:tab/>
        <w:t>15A(3)</w:t>
      </w:r>
    </w:p>
    <w:p>
      <w:pPr>
        <w:pStyle w:val="DefinedTerms"/>
      </w:pPr>
      <w:r>
        <w:t>parcel</w:t>
      </w:r>
      <w:r>
        <w:tab/>
        <w:t>43B(1), Gl. cl. 1</w:t>
      </w:r>
    </w:p>
    <w:p>
      <w:pPr>
        <w:pStyle w:val="DefinedTerms"/>
      </w:pPr>
      <w:r>
        <w:t>parent lot</w:t>
      </w:r>
      <w:r>
        <w:tab/>
        <w:t>28A, Gl. cl. 2(2)</w:t>
      </w:r>
    </w:p>
    <w:p>
      <w:pPr>
        <w:pStyle w:val="DefinedTerms"/>
      </w:pPr>
      <w:r>
        <w:t>parent lots</w:t>
      </w:r>
      <w:r>
        <w:tab/>
        <w:t>Gl. cl. 2(2)</w:t>
      </w:r>
    </w:p>
    <w:p>
      <w:pPr>
        <w:pStyle w:val="DefinedTerms"/>
      </w:pPr>
      <w:r>
        <w:t>park site</w:t>
      </w:r>
      <w:r>
        <w:tab/>
        <w:t>39A</w:t>
      </w:r>
    </w:p>
    <w:p>
      <w:pPr>
        <w:pStyle w:val="DefinedTerms"/>
      </w:pPr>
      <w:r>
        <w:t>partnership</w:t>
      </w:r>
      <w:r>
        <w:tab/>
        <w:t>29</w:t>
      </w:r>
    </w:p>
    <w:p>
      <w:pPr>
        <w:pStyle w:val="DefinedTerms"/>
      </w:pPr>
      <w:r>
        <w:t>political party</w:t>
      </w:r>
      <w:r>
        <w:tab/>
        <w:t>Gl. cl. 1</w:t>
      </w:r>
    </w:p>
    <w:p>
      <w:pPr>
        <w:pStyle w:val="DefinedTerms"/>
      </w:pPr>
      <w:r>
        <w:lastRenderedPageBreak/>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 financial year</w:t>
      </w:r>
      <w:r>
        <w:tab/>
        <w:t>Gl. cl. 6(5)</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produce animals</w:t>
      </w:r>
      <w:r>
        <w:tab/>
        <w:t>30A(1)</w:t>
      </w:r>
    </w:p>
    <w:p>
      <w:pPr>
        <w:pStyle w:val="DefinedTerms"/>
      </w:pPr>
      <w:r>
        <w:t>professional association</w:t>
      </w:r>
      <w:r>
        <w:tab/>
        <w:t>Gl. cl. 1</w:t>
      </w:r>
    </w:p>
    <w:p>
      <w:pPr>
        <w:pStyle w:val="DefinedTerms"/>
      </w:pPr>
      <w:r>
        <w:t>promote trade, industry or commerce</w:t>
      </w:r>
      <w:r>
        <w:tab/>
        <w:t>Gl. cl. 1</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 cl. 1</w:t>
      </w:r>
    </w:p>
    <w:p>
      <w:pPr>
        <w:pStyle w:val="DefinedTerms"/>
      </w:pPr>
      <w:r>
        <w:t>registered</w:t>
      </w:r>
      <w:r>
        <w:tab/>
        <w:t>Gl. cl. 1</w:t>
      </w:r>
    </w:p>
    <w:p>
      <w:pPr>
        <w:pStyle w:val="DefinedTerms"/>
      </w:pPr>
      <w:r>
        <w:t>related</w:t>
      </w:r>
      <w:r>
        <w:tab/>
        <w:t>29</w:t>
      </w:r>
    </w:p>
    <w:p>
      <w:pPr>
        <w:pStyle w:val="DefinedTerms"/>
      </w:pPr>
      <w:r>
        <w:t>relevant 2-year exemption provision</w:t>
      </w:r>
      <w:r>
        <w:tab/>
        <w:t>28D</w:t>
      </w:r>
    </w:p>
    <w:p>
      <w:pPr>
        <w:pStyle w:val="DefinedTerms"/>
      </w:pPr>
      <w:r>
        <w:t>relevant body</w:t>
      </w:r>
      <w:r>
        <w:tab/>
        <w:t>Gl. cl. 1</w:t>
      </w:r>
    </w:p>
    <w:p>
      <w:pPr>
        <w:pStyle w:val="DefinedTerms"/>
      </w:pPr>
      <w:r>
        <w:t>relevant event or circumstance</w:t>
      </w:r>
      <w:r>
        <w:tab/>
        <w:t>20A(3)</w:t>
      </w:r>
    </w:p>
    <w:p>
      <w:pPr>
        <w:pStyle w:val="DefinedTerms"/>
      </w:pPr>
      <w:r>
        <w:t>relevant exemption provision</w:t>
      </w:r>
      <w:r>
        <w:tab/>
        <w:t>Sch. 1 cl. 21(3)</w:t>
      </w:r>
    </w:p>
    <w:p>
      <w:pPr>
        <w:pStyle w:val="DefinedTerms"/>
      </w:pPr>
      <w:r>
        <w:t>relevant financial years</w:t>
      </w:r>
      <w:r>
        <w:tab/>
        <w:t>15A(2)</w:t>
      </w:r>
    </w:p>
    <w:p>
      <w:pPr>
        <w:pStyle w:val="DefinedTerms"/>
      </w:pPr>
      <w:r>
        <w:t>relevant owners</w:t>
      </w:r>
      <w:r>
        <w:tab/>
        <w:t>28E(1)</w:t>
      </w:r>
    </w:p>
    <w:p>
      <w:pPr>
        <w:pStyle w:val="DefinedTerms"/>
      </w:pPr>
      <w:r>
        <w:t>relevant period</w:t>
      </w:r>
      <w:r>
        <w:tab/>
        <w:t>28E(1)</w:t>
      </w:r>
    </w:p>
    <w:p>
      <w:pPr>
        <w:pStyle w:val="DefinedTerms"/>
      </w:pPr>
      <w:r>
        <w:t>relevant requirements</w:t>
      </w:r>
      <w:r>
        <w:tab/>
        <w:t>18(1), 18A(1)</w:t>
      </w:r>
    </w:p>
    <w:p>
      <w:pPr>
        <w:pStyle w:val="DefinedTerms"/>
      </w:pPr>
      <w:r>
        <w:t>relevant year</w:t>
      </w:r>
      <w:r>
        <w:tab/>
        <w:t>20A(1), Sch. 1 cl. 23(1)</w:t>
      </w:r>
    </w:p>
    <w:p>
      <w:pPr>
        <w:pStyle w:val="DefinedTerms"/>
      </w:pPr>
      <w:r>
        <w:t>relocatable home</w:t>
      </w:r>
      <w:r>
        <w:tab/>
        <w:t>39A</w:t>
      </w:r>
    </w:p>
    <w:p>
      <w:pPr>
        <w:pStyle w:val="DefinedTerms"/>
      </w:pPr>
      <w:r>
        <w:t>reserved land</w:t>
      </w:r>
      <w:r>
        <w:tab/>
        <w:t>32(5), 33(6), Gl. cl. 1</w:t>
      </w:r>
    </w:p>
    <w:p>
      <w:pPr>
        <w:pStyle w:val="DefinedTerms"/>
      </w:pPr>
      <w:r>
        <w:t>residence contract</w:t>
      </w:r>
      <w:r>
        <w:tab/>
        <w:t>39(1)</w:t>
      </w:r>
    </w:p>
    <w:p>
      <w:pPr>
        <w:pStyle w:val="DefinedTerms"/>
      </w:pPr>
      <w:r>
        <w:t>residential care</w:t>
      </w:r>
      <w:r>
        <w:tab/>
        <w:t>38A(1)</w:t>
      </w:r>
    </w:p>
    <w:p>
      <w:pPr>
        <w:pStyle w:val="DefinedTerms"/>
      </w:pPr>
      <w:r>
        <w:t>residential park</w:t>
      </w:r>
      <w:r>
        <w:tab/>
        <w:t>39A</w:t>
      </w:r>
    </w:p>
    <w:p>
      <w:pPr>
        <w:pStyle w:val="DefinedTerms"/>
      </w:pPr>
      <w:r>
        <w:t>residential premises</w:t>
      </w:r>
      <w:r>
        <w:tab/>
        <w:t>39(1)</w:t>
      </w:r>
    </w:p>
    <w:p>
      <w:pPr>
        <w:pStyle w:val="DefinedTerms"/>
      </w:pPr>
      <w:r>
        <w:t>retirement village</w:t>
      </w:r>
      <w:r>
        <w:tab/>
        <w:t>39(1), Gl. cl. 1</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short-stay site</w:t>
      </w:r>
      <w:r>
        <w:tab/>
        <w:t>39A</w:t>
      </w:r>
    </w:p>
    <w:p>
      <w:pPr>
        <w:pStyle w:val="DefinedTerms"/>
      </w:pPr>
      <w:r>
        <w:t>sport</w:t>
      </w:r>
      <w:r>
        <w:tab/>
        <w:t>Gl. cl. 1</w:t>
      </w:r>
    </w:p>
    <w:p>
      <w:pPr>
        <w:pStyle w:val="DefinedTerms"/>
      </w:pPr>
      <w:r>
        <w:t>sports association</w:t>
      </w:r>
      <w:r>
        <w:tab/>
        <w:t>Gl. cl. 1</w:t>
      </w:r>
    </w:p>
    <w:p>
      <w:pPr>
        <w:pStyle w:val="DefinedTerms"/>
      </w:pPr>
      <w:r>
        <w:t>subdivided</w:t>
      </w:r>
      <w:r>
        <w:tab/>
        <w:t>Gl. cl. 1</w:t>
      </w:r>
    </w:p>
    <w:p>
      <w:pPr>
        <w:pStyle w:val="DefinedTerms"/>
      </w:pPr>
      <w:r>
        <w:t>subdividing owner</w:t>
      </w:r>
      <w:r>
        <w:tab/>
        <w:t>Gl. cl. 1</w:t>
      </w:r>
    </w:p>
    <w:p>
      <w:pPr>
        <w:pStyle w:val="DefinedTerms"/>
      </w:pPr>
      <w:r>
        <w:t>Swan Valley Planning Scheme</w:t>
      </w:r>
      <w:r>
        <w:tab/>
        <w:t>Gl. cl. 1</w:t>
      </w:r>
    </w:p>
    <w:p>
      <w:pPr>
        <w:pStyle w:val="DefinedTerms"/>
      </w:pPr>
      <w:r>
        <w:lastRenderedPageBreak/>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transitional period</w:t>
      </w:r>
      <w:r>
        <w:tab/>
        <w:t>Sch. 1 cl. 7(1)</w:t>
      </w:r>
    </w:p>
    <w:p>
      <w:pPr>
        <w:pStyle w:val="DefinedTerms"/>
      </w:pPr>
      <w:r>
        <w:t>trustee</w:t>
      </w:r>
      <w:r>
        <w:tab/>
        <w:t>Gl. cl. 1</w:t>
      </w:r>
    </w:p>
    <w:p>
      <w:pPr>
        <w:pStyle w:val="DefinedTerms"/>
      </w:pPr>
      <w:r>
        <w:t>unimproved value</w:t>
      </w:r>
      <w:r>
        <w:tab/>
        <w:t>Gl. cl. 1</w:t>
      </w:r>
    </w:p>
    <w:p>
      <w:pPr>
        <w:pStyle w:val="DefinedTerms"/>
      </w:pPr>
      <w:r>
        <w:t>unit holder</w:t>
      </w:r>
      <w:r>
        <w:tab/>
        <w:t>30</w:t>
      </w:r>
    </w:p>
    <w:p>
      <w:pPr>
        <w:pStyle w:val="DefinedTerms"/>
      </w:pPr>
      <w:r>
        <w:t>unsatisfied requirements</w:t>
      </w:r>
      <w:r>
        <w:tab/>
        <w:t>28B(1)</w:t>
      </w:r>
    </w:p>
    <w:p>
      <w:pPr>
        <w:pStyle w:val="DefinedTerms"/>
      </w:pPr>
      <w:r>
        <w:t>validation period</w:t>
      </w:r>
      <w:r>
        <w:tab/>
        <w:t>Sch. 1 cl. 10, Sch. 1 cl. 16</w:t>
      </w:r>
    </w:p>
    <w:p>
      <w:pPr>
        <w:pStyle w:val="DefinedTerms"/>
      </w:pPr>
      <w:r>
        <w:t>X%</w:t>
      </w:r>
      <w:r>
        <w:tab/>
        <w:t>15A(3A), 39B(2)</w:t>
      </w:r>
    </w:p>
    <w:p>
      <w:pPr>
        <w:pStyle w:val="DefinedTerms"/>
      </w:pPr>
      <w:r>
        <w:t>Y%</w:t>
      </w:r>
      <w:r>
        <w:tab/>
        <w:t>15A(3A)</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8" w:name="Schedule"/>
    <w:bookmarkEnd w:id="2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w:instrText>
          </w:r>
          <w:r>
            <w:rPr>
              <w:b/>
            </w:rPr>
            <w:fldChar w:fldCharType="separate"/>
          </w:r>
          <w:r>
            <w:rPr>
              <w:b/>
            </w:rPr>
            <w:t>25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w:instrText>
          </w:r>
          <w:r>
            <w:rPr>
              <w:b/>
            </w:rPr>
            <w:fldChar w:fldCharType="separate"/>
          </w:r>
          <w:r>
            <w:rPr>
              <w:b/>
            </w:rPr>
            <w:t>25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2" w:name="DefinedTerms"/>
    <w:bookmarkEnd w:id="24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8145628"/>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12B63-03B0-454A-8226-6FD14AE17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31960</Words>
  <Characters>148939</Characters>
  <Application>Microsoft Office Word</Application>
  <DocSecurity>0</DocSecurity>
  <Lines>4025</Lines>
  <Paragraphs>2319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178580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2002 - 05-i0-01</dc:title>
  <dc:subject/>
  <dc:creator/>
  <cp:keywords/>
  <dc:description/>
  <cp:lastModifiedBy>Master Repository Process</cp:lastModifiedBy>
  <cp:revision>4</cp:revision>
  <cp:lastPrinted>2021-07-28T03:47:00Z</cp:lastPrinted>
  <dcterms:created xsi:type="dcterms:W3CDTF">2022-11-22T08:11:00Z</dcterms:created>
  <dcterms:modified xsi:type="dcterms:W3CDTF">2022-11-22T08:11:00Z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22 Nov 2022</vt:lpwstr>
  </property>
  <property fmtid="{D5CDD505-2E9C-101B-9397-08002B2CF9AE}" pid="8" name="Suffix">
    <vt:lpwstr>05-i0-01</vt:lpwstr>
  </property>
  <property fmtid="{D5CDD505-2E9C-101B-9397-08002B2CF9AE}" pid="9" name="CommencementDate">
    <vt:lpwstr>20221122</vt:lpwstr>
  </property>
</Properties>
</file>