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_Toc120184625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_Toc120184626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_Toc120184627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notice prescribed</w:t>
      </w:r>
      <w:r>
        <w:tab/>
      </w:r>
      <w:r>
        <w:fldChar w:fldCharType="begin"/>
      </w:r>
      <w:r>
        <w:instrText xml:space="preserve"> PAGEREF _Toc120184628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payment for cabinetry work (section 10(1)(a)(ii))</w:t>
      </w:r>
      <w:r>
        <w:tab/>
      </w:r>
      <w:r>
        <w:fldChar w:fldCharType="begin"/>
      </w:r>
      <w:r>
        <w:instrText xml:space="preserve"> PAGEREF _Toc120184629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_Toc120184630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_Toc120184631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_Toc120184632 \h </w:instrText>
      </w:r>
      <w:r>
        <w:fldChar w:fldCharType="separate"/>
      </w:r>
      <w:r>
        <w:t>3</w:t>
      </w:r>
      <w:r>
        <w:fldChar w:fldCharType="end"/>
      </w:r>
    </w:p>
    <w:p>
      <w:pPr>
        <w:pStyle w:val="TOC8"/>
        <w:rPr>
          <w:rFonts w:asciiTheme="minorHAnsi" w:eastAsiaTheme="minorEastAsia" w:hAnsiTheme="minorHAnsi" w:cstheme="minorBidi"/>
          <w:szCs w:val="22"/>
        </w:rPr>
      </w:pPr>
      <w:r>
        <w:t>7A.</w:t>
      </w:r>
      <w:r>
        <w:tab/>
        <w:t>Prescribed amount of insurance for loss of deposit: builder (section 25D(1)(a)(i))</w:t>
      </w:r>
      <w:r>
        <w:tab/>
      </w:r>
      <w:r>
        <w:fldChar w:fldCharType="begin"/>
      </w:r>
      <w:r>
        <w:instrText xml:space="preserve"> PAGEREF _Toc120184633 \h </w:instrText>
      </w:r>
      <w:r>
        <w:fldChar w:fldCharType="separate"/>
      </w:r>
      <w:r>
        <w:t>3</w:t>
      </w:r>
      <w:r>
        <w:fldChar w:fldCharType="end"/>
      </w:r>
    </w:p>
    <w:p>
      <w:pPr>
        <w:pStyle w:val="TOC8"/>
        <w:rPr>
          <w:rFonts w:asciiTheme="minorHAnsi" w:eastAsiaTheme="minorEastAsia" w:hAnsiTheme="minorHAnsi" w:cstheme="minorBidi"/>
          <w:szCs w:val="22"/>
        </w:rPr>
      </w:pPr>
      <w:r>
        <w:t>7B.</w:t>
      </w:r>
      <w:r>
        <w:tab/>
        <w:t>Prescribed minimum amount of insurance cover: builder (section 25D(1)(e)(i))</w:t>
      </w:r>
      <w:r>
        <w:tab/>
      </w:r>
      <w:r>
        <w:fldChar w:fldCharType="begin"/>
      </w:r>
      <w:r>
        <w:instrText xml:space="preserve"> PAGEREF _Toc120184634 \h </w:instrText>
      </w:r>
      <w:r>
        <w:fldChar w:fldCharType="separate"/>
      </w:r>
      <w:r>
        <w:t>4</w:t>
      </w:r>
      <w:r>
        <w:fldChar w:fldCharType="end"/>
      </w:r>
    </w:p>
    <w:p>
      <w:pPr>
        <w:pStyle w:val="TOC8"/>
        <w:rPr>
          <w:rFonts w:asciiTheme="minorHAnsi" w:eastAsiaTheme="minorEastAsia" w:hAnsiTheme="minorHAnsi" w:cstheme="minorBidi"/>
          <w:szCs w:val="22"/>
        </w:rPr>
      </w:pPr>
      <w:r>
        <w:t>7C.</w:t>
      </w:r>
      <w:r>
        <w:tab/>
        <w:t>Prescribed minimum amount of insurance cover: owner</w:t>
      </w:r>
      <w:r>
        <w:noBreakHyphen/>
        <w:t>builder (section 25G(1)(c)(i))</w:t>
      </w:r>
      <w:r>
        <w:tab/>
      </w:r>
      <w:r>
        <w:fldChar w:fldCharType="begin"/>
      </w:r>
      <w:r>
        <w:instrText xml:space="preserve"> PAGEREF _Toc120184635 \h </w:instrText>
      </w:r>
      <w:r>
        <w:fldChar w:fldCharType="separate"/>
      </w:r>
      <w:r>
        <w:t>4</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_Toc120184636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_Toc120184637 \h </w:instrText>
      </w:r>
      <w:r>
        <w:fldChar w:fldCharType="separate"/>
      </w:r>
      <w:r>
        <w:t>5</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_Toc120184638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_Toc120184642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3" w:name="_Toc12018462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4" w:name="_Toc12018462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5" w:name="_Toc120184627"/>
      <w:r>
        <w:rPr>
          <w:rStyle w:val="CharSectno"/>
        </w:rPr>
        <w:t>2A</w:t>
      </w:r>
      <w:r>
        <w:t>.</w:t>
      </w:r>
      <w:r>
        <w:tab/>
        <w:t>Prescribed amounts for the purposes of “home building work contract” (section 3(1))</w:t>
      </w:r>
      <w:bookmarkEnd w:id="5"/>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6" w:name="_Toc120184628"/>
      <w:r>
        <w:rPr>
          <w:rStyle w:val="CharSectno"/>
        </w:rPr>
        <w:t>3</w:t>
      </w:r>
      <w:r>
        <w:rPr>
          <w:snapToGrid w:val="0"/>
        </w:rPr>
        <w:t>.</w:t>
      </w:r>
      <w:r>
        <w:rPr>
          <w:snapToGrid w:val="0"/>
        </w:rPr>
        <w:tab/>
        <w:t>Form of notice prescribed</w:t>
      </w:r>
      <w:bookmarkEnd w:id="6"/>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7" w:name="_Toc120184629"/>
      <w:r>
        <w:rPr>
          <w:rStyle w:val="CharSectno"/>
        </w:rPr>
        <w:lastRenderedPageBreak/>
        <w:t>3A</w:t>
      </w:r>
      <w:r>
        <w:t>.</w:t>
      </w:r>
      <w:r>
        <w:tab/>
        <w:t>Prescribed payment for cabinetry work (section 10(1)(a)(ii))</w:t>
      </w:r>
      <w:bookmarkEnd w:id="7"/>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8" w:name="_Toc120184630"/>
      <w:r>
        <w:rPr>
          <w:rStyle w:val="CharSectno"/>
        </w:rPr>
        <w:t>5</w:t>
      </w:r>
      <w:r>
        <w:rPr>
          <w:snapToGrid w:val="0"/>
        </w:rPr>
        <w:t>.</w:t>
      </w:r>
      <w:r>
        <w:rPr>
          <w:snapToGrid w:val="0"/>
        </w:rPr>
        <w:tab/>
        <w:t>Home indemnity insurance maximum excess</w:t>
      </w:r>
      <w:bookmarkEnd w:id="8"/>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lastRenderedPageBreak/>
        <w:t>[</w:t>
      </w:r>
      <w:r>
        <w:rPr>
          <w:b/>
        </w:rPr>
        <w:t>6.</w:t>
      </w:r>
      <w:r>
        <w:tab/>
        <w:t>Deleted: Gazette 8 Apr 2003 p. 1104.]</w:t>
      </w:r>
    </w:p>
    <w:p>
      <w:pPr>
        <w:pStyle w:val="Heading5"/>
      </w:pPr>
      <w:bookmarkStart w:id="9" w:name="_Toc120184631"/>
      <w:r>
        <w:rPr>
          <w:rStyle w:val="CharSectno"/>
        </w:rPr>
        <w:t>6A</w:t>
      </w:r>
      <w:r>
        <w:t>.</w:t>
      </w:r>
      <w:r>
        <w:tab/>
        <w:t>Prescribed building service contractors: section 25A</w:t>
      </w:r>
      <w:bookmarkEnd w:id="9"/>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0" w:name="_Toc120184632"/>
      <w:r>
        <w:rPr>
          <w:rStyle w:val="CharSectno"/>
        </w:rPr>
        <w:t>7</w:t>
      </w:r>
      <w:r>
        <w:t>.</w:t>
      </w:r>
      <w:r>
        <w:tab/>
      </w:r>
      <w:r>
        <w:rPr>
          <w:spacing w:val="-4"/>
        </w:rPr>
        <w:t>Prescribed minimum amount for the purposes of section 25A</w:t>
      </w:r>
      <w:bookmarkEnd w:id="10"/>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1" w:name="_Toc115937914"/>
      <w:bookmarkStart w:id="12" w:name="_Toc116985420"/>
      <w:bookmarkStart w:id="13" w:name="_Toc120184633"/>
      <w:bookmarkStart w:id="14" w:name="_Hlk120181947"/>
      <w:r>
        <w:rPr>
          <w:rStyle w:val="CharSectno"/>
        </w:rPr>
        <w:t>7A</w:t>
      </w:r>
      <w:r>
        <w:t>.</w:t>
      </w:r>
      <w:r>
        <w:tab/>
        <w:t>Prescribed amount of insurance for loss of deposit: builder (section 25D(1)(a)(i))</w:t>
      </w:r>
      <w:bookmarkEnd w:id="11"/>
      <w:bookmarkEnd w:id="12"/>
      <w:bookmarkEnd w:id="13"/>
    </w:p>
    <w:p>
      <w:pPr>
        <w:pStyle w:val="Subsection"/>
      </w:pPr>
      <w:r>
        <w:tab/>
      </w:r>
      <w:r>
        <w:tab/>
        <w:t>For the purposes of section 25D(1)(a)(i) of the Act, the prescribed limit is $40 000.</w:t>
      </w:r>
    </w:p>
    <w:p>
      <w:pPr>
        <w:pStyle w:val="Footnotesection"/>
      </w:pPr>
      <w:bookmarkStart w:id="15" w:name="_Toc115937915"/>
      <w:bookmarkStart w:id="16" w:name="_Toc116985421"/>
      <w:r>
        <w:tab/>
        <w:t>[Regulation 7A inserted: SL 2022/172 r. 4.]</w:t>
      </w:r>
    </w:p>
    <w:p>
      <w:pPr>
        <w:pStyle w:val="Heading5"/>
      </w:pPr>
      <w:bookmarkStart w:id="17" w:name="_Toc120184634"/>
      <w:r>
        <w:rPr>
          <w:rStyle w:val="CharSectno"/>
        </w:rPr>
        <w:lastRenderedPageBreak/>
        <w:t>7B</w:t>
      </w:r>
      <w:r>
        <w:t>.</w:t>
      </w:r>
      <w:r>
        <w:tab/>
        <w:t>Prescribed minimum amount of insurance cover: builder (section 25D(1)(e)(i))</w:t>
      </w:r>
      <w:bookmarkEnd w:id="15"/>
      <w:bookmarkEnd w:id="16"/>
      <w:bookmarkEnd w:id="17"/>
    </w:p>
    <w:p>
      <w:pPr>
        <w:pStyle w:val="Subsection"/>
      </w:pPr>
      <w:r>
        <w:tab/>
      </w:r>
      <w:r>
        <w:tab/>
        <w:t>For the purposes of section 25D(1)(e)(i) of the Act, an amount of $200 000 is prescribed.</w:t>
      </w:r>
    </w:p>
    <w:p>
      <w:pPr>
        <w:pStyle w:val="Footnotesection"/>
      </w:pPr>
      <w:bookmarkStart w:id="18" w:name="_Toc115937916"/>
      <w:bookmarkStart w:id="19" w:name="_Toc116985422"/>
      <w:r>
        <w:tab/>
        <w:t>[Regulation 7B inserted: SL 2022/172 r. 4.]</w:t>
      </w:r>
    </w:p>
    <w:p>
      <w:pPr>
        <w:pStyle w:val="Heading5"/>
      </w:pPr>
      <w:bookmarkStart w:id="20" w:name="_Toc120184635"/>
      <w:r>
        <w:rPr>
          <w:rStyle w:val="CharSectno"/>
        </w:rPr>
        <w:t>7C</w:t>
      </w:r>
      <w:r>
        <w:t>.</w:t>
      </w:r>
      <w:r>
        <w:tab/>
        <w:t>Prescribed minimum amount of insurance cover: owner</w:t>
      </w:r>
      <w:r>
        <w:noBreakHyphen/>
        <w:t>builder (section 25G(1)(c)(i))</w:t>
      </w:r>
      <w:bookmarkEnd w:id="18"/>
      <w:bookmarkEnd w:id="19"/>
      <w:bookmarkEnd w:id="20"/>
    </w:p>
    <w:p>
      <w:pPr>
        <w:pStyle w:val="Subsection"/>
        <w:rPr>
          <w:rStyle w:val="DraftersNotes"/>
          <w:b w:val="0"/>
          <w:i w:val="0"/>
        </w:rPr>
      </w:pPr>
      <w:r>
        <w:tab/>
      </w:r>
      <w:r>
        <w:tab/>
        <w:t>For the purposes of section 25G(1)(c)(i) of the Act, an amount of $200 000 is prescribed.</w:t>
      </w:r>
    </w:p>
    <w:bookmarkEnd w:id="14"/>
    <w:p>
      <w:pPr>
        <w:pStyle w:val="Footnotesection"/>
      </w:pPr>
      <w:r>
        <w:tab/>
        <w:t>[Regulation 7C inserted: SL 2022/172 r. 4.]</w:t>
      </w:r>
    </w:p>
    <w:p>
      <w:pPr>
        <w:pStyle w:val="Heading5"/>
        <w:keepLines w:val="0"/>
        <w:spacing w:before="180"/>
      </w:pPr>
      <w:bookmarkStart w:id="21" w:name="_Toc120184636"/>
      <w:r>
        <w:rPr>
          <w:rStyle w:val="CharSectno"/>
        </w:rPr>
        <w:t>8</w:t>
      </w:r>
      <w:r>
        <w:t>.</w:t>
      </w:r>
      <w:r>
        <w:tab/>
        <w:t>Prescribed offences and modified penalties (section 31B(2) and (4))</w:t>
      </w:r>
      <w:bookmarkEnd w:id="2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lastRenderedPageBreak/>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2" w:name="_Toc120184637"/>
      <w:r>
        <w:rPr>
          <w:rStyle w:val="CharSectno"/>
        </w:rPr>
        <w:t>9</w:t>
      </w:r>
      <w:r>
        <w:t>.</w:t>
      </w:r>
      <w:r>
        <w:tab/>
        <w:t>Prescribed form of infringement notice (section 31B(3))</w:t>
      </w:r>
      <w:bookmarkEnd w:id="22"/>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23" w:name="_Toc120184638"/>
      <w:r>
        <w:rPr>
          <w:rStyle w:val="CharSectno"/>
        </w:rPr>
        <w:t>10</w:t>
      </w:r>
      <w:r>
        <w:t>.</w:t>
      </w:r>
      <w:r>
        <w:tab/>
        <w:t>Prescribed form of notice withdrawing infringement notice (section 31B(7))</w:t>
      </w:r>
      <w:bookmarkEnd w:id="2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4" w:name="_Toc116998918"/>
      <w:bookmarkStart w:id="25" w:name="_Toc116999090"/>
      <w:bookmarkStart w:id="26" w:name="_Toc117062487"/>
      <w:bookmarkStart w:id="27" w:name="_Toc120181850"/>
      <w:bookmarkStart w:id="28" w:name="_Toc120183155"/>
      <w:bookmarkStart w:id="29" w:name="_Toc120183194"/>
      <w:bookmarkStart w:id="30" w:name="_Toc120184639"/>
      <w:r>
        <w:rPr>
          <w:rStyle w:val="CharSchNo"/>
        </w:rPr>
        <w:lastRenderedPageBreak/>
        <w:t>Schedule 1</w:t>
      </w:r>
      <w:bookmarkEnd w:id="24"/>
      <w:bookmarkEnd w:id="25"/>
      <w:bookmarkEnd w:id="26"/>
      <w:bookmarkEnd w:id="27"/>
      <w:bookmarkEnd w:id="28"/>
      <w:bookmarkEnd w:id="29"/>
      <w:bookmarkEnd w:id="30"/>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accessed electronically at &lt;https://www.legislation.wa.gov.au&gt;.</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lastRenderedPageBreak/>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$40 000);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lastRenderedPageBreak/>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keepNext/>
        <w:rPr>
          <w:b/>
        </w:rPr>
      </w:pPr>
      <w:r>
        <w:rPr>
          <w:b/>
        </w:rPr>
        <w:lastRenderedPageBreak/>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lastRenderedPageBreak/>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lastRenderedPageBreak/>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lastRenderedPageBreak/>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5; SL 2022/172 r. 5.]</w:t>
      </w:r>
    </w:p>
    <w:p>
      <w:pPr>
        <w:pStyle w:val="yEdnoteschedule"/>
        <w:rPr>
          <w:snapToGrid/>
        </w:rPr>
      </w:pPr>
      <w:r>
        <w:rPr>
          <w:snapToGrid/>
        </w:rPr>
        <w:t>[Schedules 2</w:t>
      </w:r>
      <w:r>
        <w:rPr>
          <w:snapToGrid/>
        </w:rPr>
        <w:noBreakHyphen/>
        <w:t>8 deleted: Gazette 2 Sep 2003 p. 3930.]</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1" w:name="_Toc116998919"/>
      <w:bookmarkStart w:id="32" w:name="_Toc116999091"/>
      <w:bookmarkStart w:id="33" w:name="_Toc117062488"/>
      <w:bookmarkStart w:id="34" w:name="_Toc120181851"/>
      <w:bookmarkStart w:id="35" w:name="_Toc120183156"/>
      <w:bookmarkStart w:id="36" w:name="_Toc120183195"/>
      <w:bookmarkStart w:id="37" w:name="_Toc120184640"/>
      <w:r>
        <w:rPr>
          <w:rStyle w:val="CharSchNo"/>
        </w:rPr>
        <w:lastRenderedPageBreak/>
        <w:t>Schedule 9</w:t>
      </w:r>
      <w:r>
        <w:t> — </w:t>
      </w:r>
      <w:r>
        <w:rPr>
          <w:rStyle w:val="CharSchText"/>
        </w:rPr>
        <w:t>Prescribed forms</w:t>
      </w:r>
      <w:bookmarkEnd w:id="31"/>
      <w:bookmarkEnd w:id="32"/>
      <w:bookmarkEnd w:id="33"/>
      <w:bookmarkEnd w:id="34"/>
      <w:bookmarkEnd w:id="35"/>
      <w:bookmarkEnd w:id="36"/>
      <w:bookmarkEnd w:id="37"/>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lastRenderedPageBreak/>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lastRenderedPageBreak/>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9" w:name="_Toc116998920"/>
      <w:bookmarkStart w:id="40" w:name="_Toc116999092"/>
      <w:bookmarkStart w:id="41" w:name="_Toc117062489"/>
      <w:bookmarkStart w:id="42" w:name="_Toc120181852"/>
      <w:bookmarkStart w:id="43" w:name="_Toc120183157"/>
      <w:bookmarkStart w:id="44" w:name="_Toc120183196"/>
      <w:bookmarkStart w:id="45" w:name="_Toc120184641"/>
      <w:r>
        <w:lastRenderedPageBreak/>
        <w:t>Notes</w:t>
      </w:r>
      <w:bookmarkEnd w:id="39"/>
      <w:bookmarkEnd w:id="40"/>
      <w:bookmarkEnd w:id="41"/>
      <w:bookmarkEnd w:id="42"/>
      <w:bookmarkEnd w:id="43"/>
      <w:bookmarkEnd w:id="44"/>
      <w:bookmarkEnd w:id="45"/>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p>
    <w:p>
      <w:pPr>
        <w:pStyle w:val="nHeading3"/>
      </w:pPr>
      <w:bookmarkStart w:id="46" w:name="_Toc120184642"/>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lastRenderedPageBreak/>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2022</w:t>
            </w:r>
          </w:p>
        </w:tc>
        <w:tc>
          <w:tcPr>
            <w:tcW w:w="1277" w:type="dxa"/>
            <w:tcBorders>
              <w:top w:val="nil"/>
              <w:bottom w:val="single" w:sz="4" w:space="0" w:color="auto"/>
            </w:tcBorders>
          </w:tcPr>
          <w:p>
            <w:pPr>
              <w:pStyle w:val="nTable"/>
            </w:pPr>
            <w:r>
              <w:t>SL 2022/172 21 Oct 2022</w:t>
            </w:r>
          </w:p>
        </w:tc>
        <w:tc>
          <w:tcPr>
            <w:tcW w:w="2693" w:type="dxa"/>
            <w:tcBorders>
              <w:top w:val="nil"/>
              <w:bottom w:val="single" w:sz="4" w:space="0" w:color="auto"/>
            </w:tcBorders>
          </w:tcPr>
          <w:p>
            <w:pPr>
              <w:pStyle w:val="nTable"/>
            </w:pPr>
            <w:r>
              <w:t>r. 1 and 2: 21 Oct 2022 (see r. 2(a));</w:t>
            </w:r>
            <w:r>
              <w:br/>
              <w:t>Regulations other than r. 1 and 2: 1 Dec 2022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48" w:name="_Toc116998922"/>
      <w:bookmarkStart w:id="49" w:name="_Toc116999095"/>
      <w:bookmarkStart w:id="50" w:name="_Toc117062492"/>
      <w:bookmarkStart w:id="51" w:name="_Toc120181855"/>
      <w:bookmarkStart w:id="52" w:name="_Toc120183159"/>
      <w:bookmarkStart w:id="53" w:name="_Toc120183198"/>
      <w:bookmarkStart w:id="54" w:name="_Toc120184643"/>
      <w:r>
        <w:rPr>
          <w:sz w:val="28"/>
        </w:rPr>
        <w:lastRenderedPageBreak/>
        <w:t>Defined terms</w:t>
      </w:r>
      <w:bookmarkEnd w:id="48"/>
      <w:bookmarkEnd w:id="49"/>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cabinetry work</w:t>
      </w:r>
      <w:r>
        <w:tab/>
        <w:t>3A(1)</w:t>
      </w:r>
    </w:p>
    <w:p>
      <w:pPr>
        <w:pStyle w:val="DefinedTerms"/>
      </w:pPr>
      <w:r>
        <w:t>off</w:t>
      </w:r>
      <w:r>
        <w:noBreakHyphen/>
        <w:t>site work</w:t>
      </w:r>
      <w:r>
        <w:tab/>
        <w:t>3A(1)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8" w:name="Schedule"/>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 w:name="DefinedTerms"/>
    <w:bookmarkEnd w:id="5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2048"/>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4804</Words>
  <Characters>24648</Characters>
  <Application>Microsoft Office Word</Application>
  <DocSecurity>0</DocSecurity>
  <Lines>724</Lines>
  <Paragraphs>453</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1992 - 03-i0-00</dc:title>
  <dc:subject/>
  <dc:creator/>
  <cp:keywords/>
  <dc:description/>
  <cp:lastModifiedBy>Master Repository Process</cp:lastModifiedBy>
  <cp:revision>4</cp:revision>
  <cp:lastPrinted>2012-05-07T04:04:00Z</cp:lastPrinted>
  <dcterms:created xsi:type="dcterms:W3CDTF">2022-11-30T01:57:00Z</dcterms:created>
  <dcterms:modified xsi:type="dcterms:W3CDTF">2022-11-30T01:57:00Z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AsAtDate">
    <vt:lpwstr>01 Dec 2022</vt:lpwstr>
  </property>
  <property fmtid="{D5CDD505-2E9C-101B-9397-08002B2CF9AE}" pid="8" name="Suffix">
    <vt:lpwstr>03-i0-00</vt:lpwstr>
  </property>
  <property fmtid="{D5CDD505-2E9C-101B-9397-08002B2CF9AE}" pid="9" name="CommencementDate">
    <vt:lpwstr>20221201</vt:lpwstr>
  </property>
</Properties>
</file>