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Rules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Rules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_Toc123112625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_Toc123112626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_Toc123112627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 — Applications</w:t>
      </w:r>
    </w:p>
    <w:p>
      <w:pPr>
        <w:pStyle w:val="TOC8"/>
        <w:rPr>
          <w:rFonts w:asciiTheme="minorHAnsi" w:eastAsiaTheme="minorEastAsia" w:hAnsiTheme="minorHAnsi" w:cstheme="minorBidi"/>
          <w:szCs w:val="22"/>
        </w:rPr>
      </w:pPr>
      <w:r>
        <w:t>4.</w:t>
      </w:r>
      <w:r>
        <w:tab/>
        <w:t>Filing applications and other documents</w:t>
      </w:r>
      <w:r>
        <w:tab/>
      </w:r>
      <w:r>
        <w:fldChar w:fldCharType="begin"/>
      </w:r>
      <w:r>
        <w:instrText xml:space="preserve"> PAGEREF _Toc123112630 \h </w:instrText>
      </w:r>
      <w:r>
        <w:fldChar w:fldCharType="separate"/>
      </w:r>
      <w:r>
        <w:t>3</w:t>
      </w:r>
      <w:r>
        <w:fldChar w:fldCharType="end"/>
      </w:r>
    </w:p>
    <w:p>
      <w:pPr>
        <w:pStyle w:val="TOC8"/>
        <w:rPr>
          <w:rFonts w:asciiTheme="minorHAnsi" w:eastAsiaTheme="minorEastAsia" w:hAnsiTheme="minorHAnsi" w:cstheme="minorBidi"/>
          <w:szCs w:val="22"/>
        </w:rPr>
      </w:pPr>
      <w:r>
        <w:t>5.</w:t>
      </w:r>
      <w:r>
        <w:tab/>
        <w:t>Filing applications by electronic means</w:t>
      </w:r>
      <w:r>
        <w:tab/>
      </w:r>
      <w:r>
        <w:fldChar w:fldCharType="begin"/>
      </w:r>
      <w:r>
        <w:instrText xml:space="preserve"> PAGEREF _Toc123112631 \h </w:instrText>
      </w:r>
      <w:r>
        <w:fldChar w:fldCharType="separate"/>
      </w:r>
      <w:r>
        <w:t>4</w:t>
      </w:r>
      <w:r>
        <w:fldChar w:fldCharType="end"/>
      </w:r>
    </w:p>
    <w:p>
      <w:pPr>
        <w:pStyle w:val="TOC8"/>
        <w:rPr>
          <w:rFonts w:asciiTheme="minorHAnsi" w:eastAsiaTheme="minorEastAsia" w:hAnsiTheme="minorHAnsi" w:cstheme="minorBidi"/>
          <w:szCs w:val="22"/>
        </w:rPr>
      </w:pPr>
      <w:r>
        <w:t>6.</w:t>
      </w:r>
      <w:r>
        <w:tab/>
        <w:t>Applications must be legible</w:t>
      </w:r>
      <w:r>
        <w:tab/>
      </w:r>
      <w:r>
        <w:fldChar w:fldCharType="begin"/>
      </w:r>
      <w:r>
        <w:instrText xml:space="preserve"> PAGEREF _Toc123112632 \h </w:instrText>
      </w:r>
      <w:r>
        <w:fldChar w:fldCharType="separate"/>
      </w:r>
      <w:r>
        <w:t>4</w:t>
      </w:r>
      <w:r>
        <w:fldChar w:fldCharType="end"/>
      </w:r>
    </w:p>
    <w:p>
      <w:pPr>
        <w:pStyle w:val="TOC8"/>
        <w:rPr>
          <w:rFonts w:asciiTheme="minorHAnsi" w:eastAsiaTheme="minorEastAsia" w:hAnsiTheme="minorHAnsi" w:cstheme="minorBidi"/>
          <w:szCs w:val="22"/>
        </w:rPr>
      </w:pPr>
      <w:r>
        <w:t>6A.</w:t>
      </w:r>
      <w:r>
        <w:tab/>
        <w:t>When application or other document is taken to be filed</w:t>
      </w:r>
      <w:r>
        <w:tab/>
      </w:r>
      <w:r>
        <w:fldChar w:fldCharType="begin"/>
      </w:r>
      <w:r>
        <w:instrText xml:space="preserve"> PAGEREF _Toc123112633 \h </w:instrText>
      </w:r>
      <w:r>
        <w:fldChar w:fldCharType="separate"/>
      </w:r>
      <w:r>
        <w:t>4</w:t>
      </w:r>
      <w:r>
        <w:fldChar w:fldCharType="end"/>
      </w:r>
    </w:p>
    <w:p>
      <w:pPr>
        <w:pStyle w:val="TOC8"/>
        <w:rPr>
          <w:rFonts w:asciiTheme="minorHAnsi" w:eastAsiaTheme="minorEastAsia" w:hAnsiTheme="minorHAnsi" w:cstheme="minorBidi"/>
          <w:szCs w:val="22"/>
        </w:rPr>
      </w:pPr>
      <w:r>
        <w:t>7.</w:t>
      </w:r>
      <w:r>
        <w:tab/>
        <w:t>Acceptance of applications</w:t>
      </w:r>
      <w:r>
        <w:tab/>
      </w:r>
      <w:r>
        <w:fldChar w:fldCharType="begin"/>
      </w:r>
      <w:r>
        <w:instrText xml:space="preserve"> PAGEREF _Toc123112634 \h </w:instrText>
      </w:r>
      <w:r>
        <w:fldChar w:fldCharType="separate"/>
      </w:r>
      <w:r>
        <w:t>5</w:t>
      </w:r>
      <w:r>
        <w:fldChar w:fldCharType="end"/>
      </w:r>
    </w:p>
    <w:p>
      <w:pPr>
        <w:pStyle w:val="TOC8"/>
        <w:rPr>
          <w:rFonts w:asciiTheme="minorHAnsi" w:eastAsiaTheme="minorEastAsia" w:hAnsiTheme="minorHAnsi" w:cstheme="minorBidi"/>
          <w:szCs w:val="22"/>
        </w:rPr>
      </w:pPr>
      <w:r>
        <w:t>8.</w:t>
      </w:r>
      <w:r>
        <w:tab/>
        <w:t>Oral applications</w:t>
      </w:r>
      <w:r>
        <w:tab/>
      </w:r>
      <w:r>
        <w:fldChar w:fldCharType="begin"/>
      </w:r>
      <w:r>
        <w:instrText xml:space="preserve"> PAGEREF _Toc123112635 \h </w:instrText>
      </w:r>
      <w:r>
        <w:fldChar w:fldCharType="separate"/>
      </w:r>
      <w:r>
        <w:t>5</w:t>
      </w:r>
      <w:r>
        <w:fldChar w:fldCharType="end"/>
      </w:r>
    </w:p>
    <w:p>
      <w:pPr>
        <w:pStyle w:val="TOC8"/>
        <w:rPr>
          <w:rFonts w:asciiTheme="minorHAnsi" w:eastAsiaTheme="minorEastAsia" w:hAnsiTheme="minorHAnsi" w:cstheme="minorBidi"/>
          <w:szCs w:val="22"/>
        </w:rPr>
      </w:pPr>
      <w:r>
        <w:t>9.</w:t>
      </w:r>
      <w:r>
        <w:tab/>
        <w:t>Time limit for applications: review jurisdiction</w:t>
      </w:r>
      <w:r>
        <w:tab/>
      </w:r>
      <w:r>
        <w:fldChar w:fldCharType="begin"/>
      </w:r>
      <w:r>
        <w:instrText xml:space="preserve"> PAGEREF _Toc123112636 \h </w:instrText>
      </w:r>
      <w:r>
        <w:fldChar w:fldCharType="separate"/>
      </w:r>
      <w:r>
        <w:t>6</w:t>
      </w:r>
      <w:r>
        <w:fldChar w:fldCharType="end"/>
      </w:r>
    </w:p>
    <w:p>
      <w:pPr>
        <w:pStyle w:val="TOC8"/>
        <w:rPr>
          <w:rFonts w:asciiTheme="minorHAnsi" w:eastAsiaTheme="minorEastAsia" w:hAnsiTheme="minorHAnsi" w:cstheme="minorBidi"/>
          <w:szCs w:val="22"/>
        </w:rPr>
      </w:pPr>
      <w:r>
        <w:t>10.</w:t>
      </w:r>
      <w:r>
        <w:tab/>
        <w:t>Extension of time limit</w:t>
      </w:r>
      <w:r>
        <w:tab/>
      </w:r>
      <w:r>
        <w:fldChar w:fldCharType="begin"/>
      </w:r>
      <w:r>
        <w:instrText xml:space="preserve"> PAGEREF _Toc123112637 \h </w:instrText>
      </w:r>
      <w:r>
        <w:fldChar w:fldCharType="separate"/>
      </w:r>
      <w:r>
        <w:t>6</w:t>
      </w:r>
      <w:r>
        <w:fldChar w:fldCharType="end"/>
      </w:r>
    </w:p>
    <w:p>
      <w:pPr>
        <w:pStyle w:val="TOC8"/>
        <w:rPr>
          <w:rFonts w:asciiTheme="minorHAnsi" w:eastAsiaTheme="minorEastAsia" w:hAnsiTheme="minorHAnsi" w:cstheme="minorBidi"/>
          <w:szCs w:val="22"/>
        </w:rPr>
      </w:pPr>
      <w:r>
        <w:t>11.</w:t>
      </w:r>
      <w:r>
        <w:tab/>
        <w:t>Time specified for the purposes of section 22(2) of Act</w:t>
      </w:r>
      <w:r>
        <w:tab/>
      </w:r>
      <w:r>
        <w:fldChar w:fldCharType="begin"/>
      </w:r>
      <w:r>
        <w:instrText xml:space="preserve"> PAGEREF _Toc123112638 \h </w:instrText>
      </w:r>
      <w:r>
        <w:fldChar w:fldCharType="separate"/>
      </w:r>
      <w:r>
        <w:t>7</w:t>
      </w:r>
      <w:r>
        <w:fldChar w:fldCharType="end"/>
      </w:r>
    </w:p>
    <w:p>
      <w:pPr>
        <w:pStyle w:val="TOC8"/>
        <w:rPr>
          <w:rFonts w:asciiTheme="minorHAnsi" w:eastAsiaTheme="minorEastAsia" w:hAnsiTheme="minorHAnsi" w:cstheme="minorBidi"/>
          <w:szCs w:val="22"/>
        </w:rPr>
      </w:pPr>
      <w:r>
        <w:t>12.</w:t>
      </w:r>
      <w:r>
        <w:tab/>
        <w:t>Provision of documents and materials by decision maker: section 24 of Act</w:t>
      </w:r>
      <w:r>
        <w:tab/>
      </w:r>
      <w:r>
        <w:fldChar w:fldCharType="begin"/>
      </w:r>
      <w:r>
        <w:instrText xml:space="preserve"> PAGEREF _Toc123112639 \h </w:instrText>
      </w:r>
      <w:r>
        <w:fldChar w:fldCharType="separate"/>
      </w:r>
      <w:r>
        <w:t>7</w:t>
      </w:r>
      <w:r>
        <w:fldChar w:fldCharType="end"/>
      </w:r>
    </w:p>
    <w:p>
      <w:pPr>
        <w:pStyle w:val="TOC8"/>
        <w:rPr>
          <w:rFonts w:asciiTheme="minorHAnsi" w:eastAsiaTheme="minorEastAsia" w:hAnsiTheme="minorHAnsi" w:cstheme="minorBidi"/>
          <w:szCs w:val="22"/>
        </w:rPr>
      </w:pPr>
      <w:r>
        <w:t>13.</w:t>
      </w:r>
      <w:r>
        <w:tab/>
        <w:t>Protected matter</w:t>
      </w:r>
      <w:r>
        <w:tab/>
      </w:r>
      <w:r>
        <w:fldChar w:fldCharType="begin"/>
      </w:r>
      <w:r>
        <w:instrText xml:space="preserve"> PAGEREF _Toc123112640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Proceedings and hearings</w:t>
      </w:r>
    </w:p>
    <w:p>
      <w:pPr>
        <w:pStyle w:val="TOC8"/>
        <w:rPr>
          <w:rFonts w:asciiTheme="minorHAnsi" w:eastAsiaTheme="minorEastAsia" w:hAnsiTheme="minorHAnsi" w:cstheme="minorBidi"/>
          <w:szCs w:val="22"/>
        </w:rPr>
      </w:pPr>
      <w:r>
        <w:t>14.</w:t>
      </w:r>
      <w:r>
        <w:tab/>
        <w:t>Filing of other applications</w:t>
      </w:r>
      <w:r>
        <w:tab/>
      </w:r>
      <w:r>
        <w:fldChar w:fldCharType="begin"/>
      </w:r>
      <w:r>
        <w:instrText xml:space="preserve"> PAGEREF _Toc123112642 \h </w:instrText>
      </w:r>
      <w:r>
        <w:fldChar w:fldCharType="separate"/>
      </w:r>
      <w:r>
        <w:t>9</w:t>
      </w:r>
      <w:r>
        <w:fldChar w:fldCharType="end"/>
      </w:r>
    </w:p>
    <w:p>
      <w:pPr>
        <w:pStyle w:val="TOC8"/>
        <w:rPr>
          <w:rFonts w:asciiTheme="minorHAnsi" w:eastAsiaTheme="minorEastAsia" w:hAnsiTheme="minorHAnsi" w:cstheme="minorBidi"/>
          <w:szCs w:val="22"/>
        </w:rPr>
      </w:pPr>
      <w:r>
        <w:t>15A.</w:t>
      </w:r>
      <w:r>
        <w:tab/>
        <w:t>Changing contact details given in application</w:t>
      </w:r>
      <w:r>
        <w:tab/>
      </w:r>
      <w:r>
        <w:fldChar w:fldCharType="begin"/>
      </w:r>
      <w:r>
        <w:instrText xml:space="preserve"> PAGEREF _Toc123112643 \h </w:instrText>
      </w:r>
      <w:r>
        <w:fldChar w:fldCharType="separate"/>
      </w:r>
      <w:r>
        <w:t>9</w:t>
      </w:r>
      <w:r>
        <w:fldChar w:fldCharType="end"/>
      </w:r>
    </w:p>
    <w:p>
      <w:pPr>
        <w:pStyle w:val="TOC8"/>
        <w:rPr>
          <w:rFonts w:asciiTheme="minorHAnsi" w:eastAsiaTheme="minorEastAsia" w:hAnsiTheme="minorHAnsi" w:cstheme="minorBidi"/>
          <w:szCs w:val="22"/>
        </w:rPr>
      </w:pPr>
      <w:r>
        <w:t>15B.</w:t>
      </w:r>
      <w:r>
        <w:tab/>
        <w:t>Changing name of party given in application</w:t>
      </w:r>
      <w:r>
        <w:tab/>
      </w:r>
      <w:r>
        <w:fldChar w:fldCharType="begin"/>
      </w:r>
      <w:r>
        <w:instrText xml:space="preserve"> PAGEREF _Toc123112644 \h </w:instrText>
      </w:r>
      <w:r>
        <w:fldChar w:fldCharType="separate"/>
      </w:r>
      <w:r>
        <w:t>9</w:t>
      </w:r>
      <w:r>
        <w:fldChar w:fldCharType="end"/>
      </w:r>
    </w:p>
    <w:p>
      <w:pPr>
        <w:pStyle w:val="TOC8"/>
        <w:rPr>
          <w:rFonts w:asciiTheme="minorHAnsi" w:eastAsiaTheme="minorEastAsia" w:hAnsiTheme="minorHAnsi" w:cstheme="minorBidi"/>
          <w:szCs w:val="22"/>
        </w:rPr>
      </w:pPr>
      <w:r>
        <w:t>15.</w:t>
      </w:r>
      <w:r>
        <w:tab/>
        <w:t>Amendment of grounds or reasons for application</w:t>
      </w:r>
      <w:r>
        <w:tab/>
      </w:r>
      <w:r>
        <w:fldChar w:fldCharType="begin"/>
      </w:r>
      <w:r>
        <w:instrText xml:space="preserve"> PAGEREF _Toc123112645 \h </w:instrText>
      </w:r>
      <w:r>
        <w:fldChar w:fldCharType="separate"/>
      </w:r>
      <w:r>
        <w:t>10</w:t>
      </w:r>
      <w:r>
        <w:fldChar w:fldCharType="end"/>
      </w:r>
    </w:p>
    <w:p>
      <w:pPr>
        <w:pStyle w:val="TOC8"/>
        <w:rPr>
          <w:rFonts w:asciiTheme="minorHAnsi" w:eastAsiaTheme="minorEastAsia" w:hAnsiTheme="minorHAnsi" w:cstheme="minorBidi"/>
          <w:szCs w:val="22"/>
        </w:rPr>
      </w:pPr>
      <w:r>
        <w:t>16.</w:t>
      </w:r>
      <w:r>
        <w:tab/>
        <w:t>Notice of compulsory conference</w:t>
      </w:r>
      <w:r>
        <w:tab/>
      </w:r>
      <w:r>
        <w:fldChar w:fldCharType="begin"/>
      </w:r>
      <w:r>
        <w:instrText xml:space="preserve"> PAGEREF _Toc123112646 \h </w:instrText>
      </w:r>
      <w:r>
        <w:fldChar w:fldCharType="separate"/>
      </w:r>
      <w:r>
        <w:t>10</w:t>
      </w:r>
      <w:r>
        <w:fldChar w:fldCharType="end"/>
      </w:r>
    </w:p>
    <w:p>
      <w:pPr>
        <w:pStyle w:val="TOC8"/>
        <w:rPr>
          <w:rFonts w:asciiTheme="minorHAnsi" w:eastAsiaTheme="minorEastAsia" w:hAnsiTheme="minorHAnsi" w:cstheme="minorBidi"/>
          <w:szCs w:val="22"/>
        </w:rPr>
      </w:pPr>
      <w:r>
        <w:t>17.</w:t>
      </w:r>
      <w:r>
        <w:tab/>
        <w:t>Notice of mediation</w:t>
      </w:r>
      <w:r>
        <w:tab/>
      </w:r>
      <w:r>
        <w:fldChar w:fldCharType="begin"/>
      </w:r>
      <w:r>
        <w:instrText xml:space="preserve"> PAGEREF _Toc123112647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18.</w:t>
      </w:r>
      <w:r>
        <w:tab/>
        <w:t>Notice of hearing</w:t>
      </w:r>
      <w:r>
        <w:tab/>
      </w:r>
      <w:r>
        <w:fldChar w:fldCharType="begin"/>
      </w:r>
      <w:r>
        <w:instrText xml:space="preserve"> PAGEREF _Toc123112648 \h </w:instrText>
      </w:r>
      <w:r>
        <w:fldChar w:fldCharType="separate"/>
      </w:r>
      <w:r>
        <w:t>10</w:t>
      </w:r>
      <w:r>
        <w:fldChar w:fldCharType="end"/>
      </w:r>
    </w:p>
    <w:p>
      <w:pPr>
        <w:pStyle w:val="TOC8"/>
        <w:rPr>
          <w:rFonts w:asciiTheme="minorHAnsi" w:eastAsiaTheme="minorEastAsia" w:hAnsiTheme="minorHAnsi" w:cstheme="minorBidi"/>
          <w:szCs w:val="22"/>
        </w:rPr>
      </w:pPr>
      <w:r>
        <w:t>19.</w:t>
      </w:r>
      <w:r>
        <w:tab/>
        <w:t>Authentication of decision: section 74 of Act</w:t>
      </w:r>
      <w:r>
        <w:tab/>
      </w:r>
      <w:r>
        <w:fldChar w:fldCharType="begin"/>
      </w:r>
      <w:r>
        <w:instrText xml:space="preserve"> PAGEREF _Toc123112649 \h </w:instrText>
      </w:r>
      <w:r>
        <w:fldChar w:fldCharType="separate"/>
      </w:r>
      <w:r>
        <w:t>11</w:t>
      </w:r>
      <w:r>
        <w:fldChar w:fldCharType="end"/>
      </w:r>
    </w:p>
    <w:p>
      <w:pPr>
        <w:pStyle w:val="TOC8"/>
        <w:rPr>
          <w:rFonts w:asciiTheme="minorHAnsi" w:eastAsiaTheme="minorEastAsia" w:hAnsiTheme="minorHAnsi" w:cstheme="minorBidi"/>
          <w:szCs w:val="22"/>
        </w:rPr>
      </w:pPr>
      <w:r>
        <w:t>20.</w:t>
      </w:r>
      <w:r>
        <w:tab/>
        <w:t>Time limit for purposes of section 84(3) of Act</w:t>
      </w:r>
      <w:r>
        <w:tab/>
      </w:r>
      <w:r>
        <w:fldChar w:fldCharType="begin"/>
      </w:r>
      <w:r>
        <w:instrText xml:space="preserve"> PAGEREF _Toc123112650 \h </w:instrText>
      </w:r>
      <w:r>
        <w:fldChar w:fldCharType="separate"/>
      </w:r>
      <w:r>
        <w:t>11</w:t>
      </w:r>
      <w:r>
        <w:fldChar w:fldCharType="end"/>
      </w:r>
    </w:p>
    <w:p>
      <w:pPr>
        <w:pStyle w:val="TOC8"/>
        <w:rPr>
          <w:rFonts w:asciiTheme="minorHAnsi" w:eastAsiaTheme="minorEastAsia" w:hAnsiTheme="minorHAnsi" w:cstheme="minorBidi"/>
          <w:szCs w:val="22"/>
        </w:rPr>
      </w:pPr>
      <w:r>
        <w:t>21.</w:t>
      </w:r>
      <w:r>
        <w:tab/>
        <w:t>Limit on applications: section 84(4) of Act</w:t>
      </w:r>
      <w:r>
        <w:tab/>
      </w:r>
      <w:r>
        <w:fldChar w:fldCharType="begin"/>
      </w:r>
      <w:r>
        <w:instrText xml:space="preserve"> PAGEREF _Toc123112651 \h </w:instrText>
      </w:r>
      <w:r>
        <w:fldChar w:fldCharType="separate"/>
      </w:r>
      <w:r>
        <w:t>11</w:t>
      </w:r>
      <w:r>
        <w:fldChar w:fldCharType="end"/>
      </w:r>
    </w:p>
    <w:p>
      <w:pPr>
        <w:pStyle w:val="TOC8"/>
        <w:rPr>
          <w:rFonts w:asciiTheme="minorHAnsi" w:eastAsiaTheme="minorEastAsia" w:hAnsiTheme="minorHAnsi" w:cstheme="minorBidi"/>
          <w:szCs w:val="22"/>
        </w:rPr>
      </w:pPr>
      <w:r>
        <w:t>22.</w:t>
      </w:r>
      <w:r>
        <w:tab/>
        <w:t>Relief from procedural requirements: section 92(1) of Act</w:t>
      </w:r>
      <w:r>
        <w:tab/>
      </w:r>
      <w:r>
        <w:fldChar w:fldCharType="begin"/>
      </w:r>
      <w:r>
        <w:instrText xml:space="preserve"> PAGEREF _Toc123112652 \h </w:instrText>
      </w:r>
      <w:r>
        <w:fldChar w:fldCharType="separate"/>
      </w:r>
      <w:r>
        <w:t>11</w:t>
      </w:r>
      <w:r>
        <w:fldChar w:fldCharType="end"/>
      </w:r>
    </w:p>
    <w:p>
      <w:pPr>
        <w:pStyle w:val="TOC8"/>
        <w:rPr>
          <w:rFonts w:asciiTheme="minorHAnsi" w:eastAsiaTheme="minorEastAsia" w:hAnsiTheme="minorHAnsi" w:cstheme="minorBidi"/>
          <w:szCs w:val="22"/>
        </w:rPr>
      </w:pPr>
      <w:r>
        <w:t>24</w:t>
      </w:r>
      <w:r>
        <w:rPr>
          <w:bCs/>
        </w:rPr>
        <w:t>.</w:t>
      </w:r>
      <w:r>
        <w:rPr>
          <w:bCs/>
        </w:rPr>
        <w:tab/>
        <w:t>Request for and return of summons to witness and production of documents and other material by third parties</w:t>
      </w:r>
      <w:r>
        <w:tab/>
      </w:r>
      <w:r>
        <w:fldChar w:fldCharType="begin"/>
      </w:r>
      <w:r>
        <w:instrText xml:space="preserve"> PAGEREF _Toc123112653 \h </w:instrText>
      </w:r>
      <w:r>
        <w:fldChar w:fldCharType="separate"/>
      </w:r>
      <w:r>
        <w:t>12</w:t>
      </w:r>
      <w:r>
        <w:fldChar w:fldCharType="end"/>
      </w:r>
    </w:p>
    <w:p>
      <w:pPr>
        <w:pStyle w:val="TOC8"/>
        <w:rPr>
          <w:rFonts w:asciiTheme="minorHAnsi" w:eastAsiaTheme="minorEastAsia" w:hAnsiTheme="minorHAnsi" w:cstheme="minorBidi"/>
          <w:szCs w:val="22"/>
        </w:rPr>
      </w:pPr>
      <w:r>
        <w:t>24A.</w:t>
      </w:r>
      <w:r>
        <w:tab/>
        <w:t>Issue of summons</w:t>
      </w:r>
      <w:r>
        <w:tab/>
      </w:r>
      <w:r>
        <w:fldChar w:fldCharType="begin"/>
      </w:r>
      <w:r>
        <w:instrText xml:space="preserve"> PAGEREF _Toc123112654 \h </w:instrText>
      </w:r>
      <w:r>
        <w:fldChar w:fldCharType="separate"/>
      </w:r>
      <w:r>
        <w:t>13</w:t>
      </w:r>
      <w:r>
        <w:fldChar w:fldCharType="end"/>
      </w:r>
    </w:p>
    <w:p>
      <w:pPr>
        <w:pStyle w:val="TOC8"/>
        <w:rPr>
          <w:rFonts w:asciiTheme="minorHAnsi" w:eastAsiaTheme="minorEastAsia" w:hAnsiTheme="minorHAnsi" w:cstheme="minorBidi"/>
          <w:szCs w:val="22"/>
        </w:rPr>
      </w:pPr>
      <w:r>
        <w:t>25.</w:t>
      </w:r>
      <w:r>
        <w:tab/>
        <w:t>Service of summons</w:t>
      </w:r>
      <w:r>
        <w:tab/>
      </w:r>
      <w:r>
        <w:fldChar w:fldCharType="begin"/>
      </w:r>
      <w:r>
        <w:instrText xml:space="preserve"> PAGEREF _Toc123112655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Service</w:t>
      </w:r>
    </w:p>
    <w:p>
      <w:pPr>
        <w:pStyle w:val="TOC8"/>
        <w:rPr>
          <w:rFonts w:asciiTheme="minorHAnsi" w:eastAsiaTheme="minorEastAsia" w:hAnsiTheme="minorHAnsi" w:cstheme="minorBidi"/>
          <w:szCs w:val="22"/>
        </w:rPr>
      </w:pPr>
      <w:r>
        <w:t>26.</w:t>
      </w:r>
      <w:r>
        <w:tab/>
        <w:t>Giving copy of application</w:t>
      </w:r>
      <w:r>
        <w:tab/>
      </w:r>
      <w:r>
        <w:fldChar w:fldCharType="begin"/>
      </w:r>
      <w:r>
        <w:instrText xml:space="preserve"> PAGEREF _Toc123112657 \h </w:instrText>
      </w:r>
      <w:r>
        <w:fldChar w:fldCharType="separate"/>
      </w:r>
      <w:r>
        <w:t>14</w:t>
      </w:r>
      <w:r>
        <w:fldChar w:fldCharType="end"/>
      </w:r>
    </w:p>
    <w:p>
      <w:pPr>
        <w:pStyle w:val="TOC8"/>
        <w:rPr>
          <w:rFonts w:asciiTheme="minorHAnsi" w:eastAsiaTheme="minorEastAsia" w:hAnsiTheme="minorHAnsi" w:cstheme="minorBidi"/>
          <w:szCs w:val="22"/>
        </w:rPr>
      </w:pPr>
      <w:r>
        <w:t>27.</w:t>
      </w:r>
      <w:r>
        <w:tab/>
        <w:t>Exemption: section 45(2)(c) of Act</w:t>
      </w:r>
      <w:r>
        <w:tab/>
      </w:r>
      <w:r>
        <w:fldChar w:fldCharType="begin"/>
      </w:r>
      <w:r>
        <w:instrText xml:space="preserve"> PAGEREF _Toc123112658 \h </w:instrText>
      </w:r>
      <w:r>
        <w:fldChar w:fldCharType="separate"/>
      </w:r>
      <w:r>
        <w:t>14</w:t>
      </w:r>
      <w:r>
        <w:fldChar w:fldCharType="end"/>
      </w:r>
    </w:p>
    <w:p>
      <w:pPr>
        <w:pStyle w:val="TOC8"/>
        <w:rPr>
          <w:rFonts w:asciiTheme="minorHAnsi" w:eastAsiaTheme="minorEastAsia" w:hAnsiTheme="minorHAnsi" w:cstheme="minorBidi"/>
          <w:szCs w:val="22"/>
        </w:rPr>
      </w:pPr>
      <w:r>
        <w:t>28.</w:t>
      </w:r>
      <w:r>
        <w:tab/>
        <w:t>Giving other documents</w:t>
      </w:r>
      <w:r>
        <w:tab/>
      </w:r>
      <w:r>
        <w:fldChar w:fldCharType="begin"/>
      </w:r>
      <w:r>
        <w:instrText xml:space="preserve"> PAGEREF _Toc123112659 \h </w:instrText>
      </w:r>
      <w:r>
        <w:fldChar w:fldCharType="separate"/>
      </w:r>
      <w:r>
        <w:t>14</w:t>
      </w:r>
      <w:r>
        <w:fldChar w:fldCharType="end"/>
      </w:r>
    </w:p>
    <w:p>
      <w:pPr>
        <w:pStyle w:val="TOC8"/>
        <w:rPr>
          <w:rFonts w:asciiTheme="minorHAnsi" w:eastAsiaTheme="minorEastAsia" w:hAnsiTheme="minorHAnsi" w:cstheme="minorBidi"/>
          <w:szCs w:val="22"/>
        </w:rPr>
      </w:pPr>
      <w:r>
        <w:t>29.</w:t>
      </w:r>
      <w:r>
        <w:tab/>
        <w:t>Giving documents by Tribunal or executive officer</w:t>
      </w:r>
      <w:r>
        <w:tab/>
      </w:r>
      <w:r>
        <w:fldChar w:fldCharType="begin"/>
      </w:r>
      <w:r>
        <w:instrText xml:space="preserve"> PAGEREF _Toc123112660 \h </w:instrText>
      </w:r>
      <w:r>
        <w:fldChar w:fldCharType="separate"/>
      </w:r>
      <w:r>
        <w:t>15</w:t>
      </w:r>
      <w:r>
        <w:fldChar w:fldCharType="end"/>
      </w:r>
    </w:p>
    <w:p>
      <w:pPr>
        <w:pStyle w:val="TOC8"/>
        <w:rPr>
          <w:rFonts w:asciiTheme="minorHAnsi" w:eastAsiaTheme="minorEastAsia" w:hAnsiTheme="minorHAnsi" w:cstheme="minorBidi"/>
          <w:szCs w:val="22"/>
        </w:rPr>
      </w:pPr>
      <w:r>
        <w:t>30.</w:t>
      </w:r>
      <w:r>
        <w:tab/>
        <w:t>Giving application to decision</w:t>
      </w:r>
      <w:r>
        <w:noBreakHyphen/>
        <w:t>maker</w:t>
      </w:r>
      <w:r>
        <w:tab/>
      </w:r>
      <w:r>
        <w:fldChar w:fldCharType="begin"/>
      </w:r>
      <w:r>
        <w:instrText xml:space="preserve"> PAGEREF _Toc123112661 \h </w:instrText>
      </w:r>
      <w:r>
        <w:fldChar w:fldCharType="separate"/>
      </w:r>
      <w:r>
        <w:t>15</w:t>
      </w:r>
      <w:r>
        <w:fldChar w:fldCharType="end"/>
      </w:r>
    </w:p>
    <w:p>
      <w:pPr>
        <w:pStyle w:val="TOC8"/>
        <w:rPr>
          <w:rFonts w:asciiTheme="minorHAnsi" w:eastAsiaTheme="minorEastAsia" w:hAnsiTheme="minorHAnsi" w:cstheme="minorBidi"/>
          <w:szCs w:val="22"/>
        </w:rPr>
      </w:pPr>
      <w:r>
        <w:t>31.</w:t>
      </w:r>
      <w:r>
        <w:tab/>
        <w:t>Personal service: how effected</w:t>
      </w:r>
      <w:r>
        <w:tab/>
      </w:r>
      <w:r>
        <w:fldChar w:fldCharType="begin"/>
      </w:r>
      <w:r>
        <w:instrText xml:space="preserve"> PAGEREF _Toc123112662 \h </w:instrText>
      </w:r>
      <w:r>
        <w:fldChar w:fldCharType="separate"/>
      </w:r>
      <w:r>
        <w:t>16</w:t>
      </w:r>
      <w:r>
        <w:fldChar w:fldCharType="end"/>
      </w:r>
    </w:p>
    <w:p>
      <w:pPr>
        <w:pStyle w:val="TOC8"/>
        <w:rPr>
          <w:rFonts w:asciiTheme="minorHAnsi" w:eastAsiaTheme="minorEastAsia" w:hAnsiTheme="minorHAnsi" w:cstheme="minorBidi"/>
          <w:szCs w:val="22"/>
        </w:rPr>
      </w:pPr>
      <w:r>
        <w:t>32.</w:t>
      </w:r>
      <w:r>
        <w:tab/>
        <w:t>Pre</w:t>
      </w:r>
      <w:r>
        <w:noBreakHyphen/>
        <w:t>paid post: how effected</w:t>
      </w:r>
      <w:r>
        <w:tab/>
      </w:r>
      <w:r>
        <w:fldChar w:fldCharType="begin"/>
      </w:r>
      <w:r>
        <w:instrText xml:space="preserve"> PAGEREF _Toc123112663 \h </w:instrText>
      </w:r>
      <w:r>
        <w:fldChar w:fldCharType="separate"/>
      </w:r>
      <w:r>
        <w:t>17</w:t>
      </w:r>
      <w:r>
        <w:fldChar w:fldCharType="end"/>
      </w:r>
    </w:p>
    <w:p>
      <w:pPr>
        <w:pStyle w:val="TOC8"/>
        <w:rPr>
          <w:rFonts w:asciiTheme="minorHAnsi" w:eastAsiaTheme="minorEastAsia" w:hAnsiTheme="minorHAnsi" w:cstheme="minorBidi"/>
          <w:szCs w:val="22"/>
        </w:rPr>
      </w:pPr>
      <w:r>
        <w:t>33.</w:t>
      </w:r>
      <w:r>
        <w:tab/>
        <w:t>Ordinary service: how effected</w:t>
      </w:r>
      <w:r>
        <w:tab/>
      </w:r>
      <w:r>
        <w:fldChar w:fldCharType="begin"/>
      </w:r>
      <w:r>
        <w:instrText xml:space="preserve"> PAGEREF _Toc123112664 \h </w:instrText>
      </w:r>
      <w:r>
        <w:fldChar w:fldCharType="separate"/>
      </w:r>
      <w:r>
        <w:t>18</w:t>
      </w:r>
      <w:r>
        <w:fldChar w:fldCharType="end"/>
      </w:r>
    </w:p>
    <w:p>
      <w:pPr>
        <w:pStyle w:val="TOC8"/>
        <w:rPr>
          <w:rFonts w:asciiTheme="minorHAnsi" w:eastAsiaTheme="minorEastAsia" w:hAnsiTheme="minorHAnsi" w:cstheme="minorBidi"/>
          <w:szCs w:val="22"/>
        </w:rPr>
      </w:pPr>
      <w:r>
        <w:t>34.</w:t>
      </w:r>
      <w:r>
        <w:tab/>
        <w:t>Address for service</w:t>
      </w:r>
      <w:r>
        <w:tab/>
      </w:r>
      <w:r>
        <w:fldChar w:fldCharType="begin"/>
      </w:r>
      <w:r>
        <w:instrText xml:space="preserve"> PAGEREF _Toc123112665 \h </w:instrText>
      </w:r>
      <w:r>
        <w:fldChar w:fldCharType="separate"/>
      </w:r>
      <w:r>
        <w:t>19</w:t>
      </w:r>
      <w:r>
        <w:fldChar w:fldCharType="end"/>
      </w:r>
    </w:p>
    <w:p>
      <w:pPr>
        <w:pStyle w:val="TOC8"/>
        <w:rPr>
          <w:rFonts w:asciiTheme="minorHAnsi" w:eastAsiaTheme="minorEastAsia" w:hAnsiTheme="minorHAnsi" w:cstheme="minorBidi"/>
          <w:szCs w:val="22"/>
        </w:rPr>
      </w:pPr>
      <w:r>
        <w:t>35.</w:t>
      </w:r>
      <w:r>
        <w:tab/>
        <w:t>Acceptance by legal practitioner or agent</w:t>
      </w:r>
      <w:r>
        <w:tab/>
      </w:r>
      <w:r>
        <w:fldChar w:fldCharType="begin"/>
      </w:r>
      <w:r>
        <w:instrText xml:space="preserve"> PAGEREF _Toc123112666 \h </w:instrText>
      </w:r>
      <w:r>
        <w:fldChar w:fldCharType="separate"/>
      </w:r>
      <w:r>
        <w:t>21</w:t>
      </w:r>
      <w:r>
        <w:fldChar w:fldCharType="end"/>
      </w:r>
    </w:p>
    <w:p>
      <w:pPr>
        <w:pStyle w:val="TOC8"/>
        <w:rPr>
          <w:rFonts w:asciiTheme="minorHAnsi" w:eastAsiaTheme="minorEastAsia" w:hAnsiTheme="minorHAnsi" w:cstheme="minorBidi"/>
          <w:szCs w:val="22"/>
        </w:rPr>
      </w:pPr>
      <w:r>
        <w:t>36.</w:t>
      </w:r>
      <w:r>
        <w:tab/>
        <w:t>Substituted service</w:t>
      </w:r>
      <w:r>
        <w:tab/>
      </w:r>
      <w:r>
        <w:fldChar w:fldCharType="begin"/>
      </w:r>
      <w:r>
        <w:instrText xml:space="preserve"> PAGEREF _Toc123112667 \h </w:instrText>
      </w:r>
      <w:r>
        <w:fldChar w:fldCharType="separate"/>
      </w:r>
      <w:r>
        <w:t>21</w:t>
      </w:r>
      <w:r>
        <w:fldChar w:fldCharType="end"/>
      </w:r>
    </w:p>
    <w:p>
      <w:pPr>
        <w:pStyle w:val="TOC8"/>
        <w:rPr>
          <w:rFonts w:asciiTheme="minorHAnsi" w:eastAsiaTheme="minorEastAsia" w:hAnsiTheme="minorHAnsi" w:cstheme="minorBidi"/>
          <w:szCs w:val="22"/>
        </w:rPr>
      </w:pPr>
      <w:r>
        <w:t>37.</w:t>
      </w:r>
      <w:r>
        <w:tab/>
        <w:t>Informal service: confirmation</w:t>
      </w:r>
      <w:r>
        <w:tab/>
      </w:r>
      <w:r>
        <w:fldChar w:fldCharType="begin"/>
      </w:r>
      <w:r>
        <w:instrText xml:space="preserve"> PAGEREF _Toc123112668 \h </w:instrText>
      </w:r>
      <w:r>
        <w:fldChar w:fldCharType="separate"/>
      </w:r>
      <w:r>
        <w:t>22</w:t>
      </w:r>
      <w:r>
        <w:fldChar w:fldCharType="end"/>
      </w:r>
    </w:p>
    <w:p>
      <w:pPr>
        <w:pStyle w:val="TOC8"/>
        <w:rPr>
          <w:rFonts w:asciiTheme="minorHAnsi" w:eastAsiaTheme="minorEastAsia" w:hAnsiTheme="minorHAnsi" w:cstheme="minorBidi"/>
          <w:szCs w:val="22"/>
        </w:rPr>
      </w:pPr>
      <w:r>
        <w:t>38.</w:t>
      </w:r>
      <w:r>
        <w:tab/>
        <w:t>Proof of service</w:t>
      </w:r>
      <w:r>
        <w:tab/>
      </w:r>
      <w:r>
        <w:fldChar w:fldCharType="begin"/>
      </w:r>
      <w:r>
        <w:instrText xml:space="preserve"> PAGEREF _Toc123112669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Litigation guardian</w:t>
      </w:r>
    </w:p>
    <w:p>
      <w:pPr>
        <w:pStyle w:val="TOC8"/>
        <w:rPr>
          <w:rFonts w:asciiTheme="minorHAnsi" w:eastAsiaTheme="minorEastAsia" w:hAnsiTheme="minorHAnsi" w:cstheme="minorBidi"/>
          <w:szCs w:val="22"/>
        </w:rPr>
      </w:pPr>
      <w:r>
        <w:t>39.</w:t>
      </w:r>
      <w:r>
        <w:tab/>
        <w:t>Litigation guardian: section 40(2) of Act</w:t>
      </w:r>
      <w:r>
        <w:tab/>
      </w:r>
      <w:r>
        <w:fldChar w:fldCharType="begin"/>
      </w:r>
      <w:r>
        <w:instrText xml:space="preserve"> PAGEREF _Toc123112671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4A — Expert evidence</w:t>
      </w:r>
    </w:p>
    <w:p>
      <w:pPr>
        <w:pStyle w:val="TOC8"/>
        <w:rPr>
          <w:rFonts w:asciiTheme="minorHAnsi" w:eastAsiaTheme="minorEastAsia" w:hAnsiTheme="minorHAnsi" w:cstheme="minorBidi"/>
          <w:szCs w:val="22"/>
        </w:rPr>
      </w:pPr>
      <w:r>
        <w:t>39A.</w:t>
      </w:r>
      <w:r>
        <w:tab/>
        <w:t>Experts’ duties</w:t>
      </w:r>
      <w:r>
        <w:tab/>
      </w:r>
      <w:r>
        <w:fldChar w:fldCharType="begin"/>
      </w:r>
      <w:r>
        <w:instrText xml:space="preserve"> PAGEREF _Toc123112673 \h </w:instrText>
      </w:r>
      <w:r>
        <w:fldChar w:fldCharType="separate"/>
      </w:r>
      <w:r>
        <w:t>24</w:t>
      </w:r>
      <w:r>
        <w:fldChar w:fldCharType="end"/>
      </w:r>
    </w:p>
    <w:p>
      <w:pPr>
        <w:pStyle w:val="TOC8"/>
        <w:rPr>
          <w:rFonts w:asciiTheme="minorHAnsi" w:eastAsiaTheme="minorEastAsia" w:hAnsiTheme="minorHAnsi" w:cstheme="minorBidi"/>
          <w:szCs w:val="22"/>
        </w:rPr>
      </w:pPr>
      <w:r>
        <w:t>39B.</w:t>
      </w:r>
      <w:r>
        <w:tab/>
        <w:t>Conference of experts pre-hearing</w:t>
      </w:r>
      <w:r>
        <w:tab/>
      </w:r>
      <w:r>
        <w:fldChar w:fldCharType="begin"/>
      </w:r>
      <w:r>
        <w:instrText xml:space="preserve"> PAGEREF _Toc123112674 \h </w:instrText>
      </w:r>
      <w:r>
        <w:fldChar w:fldCharType="separate"/>
      </w:r>
      <w:r>
        <w:t>24</w:t>
      </w:r>
      <w:r>
        <w:fldChar w:fldCharType="end"/>
      </w:r>
    </w:p>
    <w:p>
      <w:pPr>
        <w:pStyle w:val="TOC8"/>
        <w:rPr>
          <w:rFonts w:asciiTheme="minorHAnsi" w:eastAsiaTheme="minorEastAsia" w:hAnsiTheme="minorHAnsi" w:cstheme="minorBidi"/>
          <w:szCs w:val="22"/>
        </w:rPr>
      </w:pPr>
      <w:r>
        <w:t>39C.</w:t>
      </w:r>
      <w:r>
        <w:tab/>
        <w:t>Experts to give evidence concurrently</w:t>
      </w:r>
      <w:r>
        <w:tab/>
      </w:r>
      <w:r>
        <w:fldChar w:fldCharType="begin"/>
      </w:r>
      <w:r>
        <w:instrText xml:space="preserve"> PAGEREF _Toc123112675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Settlements</w:t>
      </w:r>
    </w:p>
    <w:p>
      <w:pPr>
        <w:pStyle w:val="TOC8"/>
        <w:rPr>
          <w:rFonts w:asciiTheme="minorHAnsi" w:eastAsiaTheme="minorEastAsia" w:hAnsiTheme="minorHAnsi" w:cstheme="minorBidi"/>
          <w:szCs w:val="22"/>
        </w:rPr>
      </w:pPr>
      <w:r>
        <w:t>40.</w:t>
      </w:r>
      <w:r>
        <w:tab/>
        <w:t>Settlement offers</w:t>
      </w:r>
      <w:r>
        <w:tab/>
      </w:r>
      <w:r>
        <w:fldChar w:fldCharType="begin"/>
      </w:r>
      <w:r>
        <w:instrText xml:space="preserve"> PAGEREF _Toc123112677 \h </w:instrText>
      </w:r>
      <w:r>
        <w:fldChar w:fldCharType="separate"/>
      </w:r>
      <w:r>
        <w:t>25</w:t>
      </w:r>
      <w:r>
        <w:fldChar w:fldCharType="end"/>
      </w:r>
    </w:p>
    <w:p>
      <w:pPr>
        <w:pStyle w:val="TOC8"/>
        <w:rPr>
          <w:rFonts w:asciiTheme="minorHAnsi" w:eastAsiaTheme="minorEastAsia" w:hAnsiTheme="minorHAnsi" w:cstheme="minorBidi"/>
          <w:szCs w:val="22"/>
        </w:rPr>
      </w:pPr>
      <w:r>
        <w:t>41.</w:t>
      </w:r>
      <w:r>
        <w:tab/>
        <w:t>Acceptance of settlement offers</w:t>
      </w:r>
      <w:r>
        <w:tab/>
      </w:r>
      <w:r>
        <w:fldChar w:fldCharType="begin"/>
      </w:r>
      <w:r>
        <w:instrText xml:space="preserve"> PAGEREF _Toc123112678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Costs</w:t>
      </w:r>
    </w:p>
    <w:p>
      <w:pPr>
        <w:pStyle w:val="TOC8"/>
        <w:rPr>
          <w:rFonts w:asciiTheme="minorHAnsi" w:eastAsiaTheme="minorEastAsia" w:hAnsiTheme="minorHAnsi" w:cstheme="minorBidi"/>
          <w:szCs w:val="22"/>
        </w:rPr>
      </w:pPr>
      <w:r>
        <w:t>42A.</w:t>
      </w:r>
      <w:r>
        <w:tab/>
        <w:t>Time within which costs application may be made</w:t>
      </w:r>
      <w:r>
        <w:tab/>
      </w:r>
      <w:r>
        <w:fldChar w:fldCharType="begin"/>
      </w:r>
      <w:r>
        <w:instrText xml:space="preserve"> PAGEREF _Toc123112680 \h </w:instrText>
      </w:r>
      <w:r>
        <w:fldChar w:fldCharType="separate"/>
      </w:r>
      <w:r>
        <w:t>27</w:t>
      </w:r>
      <w:r>
        <w:fldChar w:fldCharType="end"/>
      </w:r>
    </w:p>
    <w:p>
      <w:pPr>
        <w:pStyle w:val="TOC8"/>
        <w:rPr>
          <w:rFonts w:asciiTheme="minorHAnsi" w:eastAsiaTheme="minorEastAsia" w:hAnsiTheme="minorHAnsi" w:cstheme="minorBidi"/>
          <w:szCs w:val="22"/>
        </w:rPr>
      </w:pPr>
      <w:r>
        <w:t>42.</w:t>
      </w:r>
      <w:r>
        <w:tab/>
        <w:t>Order for costs if settlement offer is rejected</w:t>
      </w:r>
      <w:r>
        <w:tab/>
      </w:r>
      <w:r>
        <w:fldChar w:fldCharType="begin"/>
      </w:r>
      <w:r>
        <w:instrText xml:space="preserve"> PAGEREF _Toc123112681 \h </w:instrText>
      </w:r>
      <w:r>
        <w:fldChar w:fldCharType="separate"/>
      </w:r>
      <w:r>
        <w:t>27</w:t>
      </w:r>
      <w:r>
        <w:fldChar w:fldCharType="end"/>
      </w:r>
    </w:p>
    <w:p>
      <w:pPr>
        <w:pStyle w:val="TOC8"/>
        <w:rPr>
          <w:rFonts w:asciiTheme="minorHAnsi" w:eastAsiaTheme="minorEastAsia" w:hAnsiTheme="minorHAnsi" w:cstheme="minorBidi"/>
          <w:szCs w:val="22"/>
        </w:rPr>
      </w:pPr>
      <w:r>
        <w:t>43.</w:t>
      </w:r>
      <w:r>
        <w:tab/>
        <w:t>Amount of costs</w:t>
      </w:r>
      <w:r>
        <w:tab/>
      </w:r>
      <w:r>
        <w:fldChar w:fldCharType="begin"/>
      </w:r>
      <w:r>
        <w:instrText xml:space="preserve"> PAGEREF _Toc123112682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Miscellaneous</w:t>
      </w:r>
    </w:p>
    <w:p>
      <w:pPr>
        <w:pStyle w:val="TOC8"/>
        <w:rPr>
          <w:rFonts w:asciiTheme="minorHAnsi" w:eastAsiaTheme="minorEastAsia" w:hAnsiTheme="minorHAnsi" w:cstheme="minorBidi"/>
          <w:szCs w:val="22"/>
        </w:rPr>
      </w:pPr>
      <w:r>
        <w:t>45.</w:t>
      </w:r>
      <w:r>
        <w:tab/>
        <w:t>Barring people from being agents representing parties</w:t>
      </w:r>
      <w:r>
        <w:tab/>
      </w:r>
      <w:r>
        <w:fldChar w:fldCharType="begin"/>
      </w:r>
      <w:r>
        <w:instrText xml:space="preserve"> PAGEREF _Toc123112684 \h </w:instrText>
      </w:r>
      <w:r>
        <w:fldChar w:fldCharType="separate"/>
      </w:r>
      <w:r>
        <w:t>28</w:t>
      </w:r>
      <w:r>
        <w:fldChar w:fldCharType="end"/>
      </w:r>
    </w:p>
    <w:p>
      <w:pPr>
        <w:pStyle w:val="TOC8"/>
        <w:rPr>
          <w:rFonts w:asciiTheme="minorHAnsi" w:eastAsiaTheme="minorEastAsia" w:hAnsiTheme="minorHAnsi" w:cstheme="minorBidi"/>
          <w:szCs w:val="22"/>
        </w:rPr>
      </w:pPr>
      <w:r>
        <w:t>46.</w:t>
      </w:r>
      <w:r>
        <w:tab/>
        <w:t>Dispensing with compliance with requirement of a rule</w:t>
      </w:r>
      <w:r>
        <w:tab/>
      </w:r>
      <w:r>
        <w:fldChar w:fldCharType="begin"/>
      </w:r>
      <w:r>
        <w:instrText xml:space="preserve"> PAGEREF _Toc123112685 \h </w:instrText>
      </w:r>
      <w:r>
        <w:fldChar w:fldCharType="separate"/>
      </w:r>
      <w:r>
        <w:t>29</w:t>
      </w:r>
      <w:r>
        <w:fldChar w:fldCharType="end"/>
      </w:r>
    </w:p>
    <w:p>
      <w:pPr>
        <w:pStyle w:val="TOC8"/>
        <w:rPr>
          <w:rFonts w:asciiTheme="minorHAnsi" w:eastAsiaTheme="minorEastAsia" w:hAnsiTheme="minorHAnsi" w:cstheme="minorBidi"/>
          <w:szCs w:val="22"/>
        </w:rPr>
      </w:pPr>
      <w:r>
        <w:t>47.</w:t>
      </w:r>
      <w:r>
        <w:tab/>
        <w:t>Forms</w:t>
      </w:r>
      <w:r>
        <w:tab/>
      </w:r>
      <w:r>
        <w:fldChar w:fldCharType="begin"/>
      </w:r>
      <w:r>
        <w:instrText xml:space="preserve"> PAGEREF _Toc123112686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Special rules</w:t>
      </w:r>
    </w:p>
    <w:p>
      <w:pPr>
        <w:pStyle w:val="TOC8"/>
        <w:rPr>
          <w:rFonts w:asciiTheme="minorHAnsi" w:eastAsiaTheme="minorEastAsia" w:hAnsiTheme="minorHAnsi" w:cstheme="minorBidi"/>
          <w:szCs w:val="22"/>
        </w:rPr>
      </w:pPr>
      <w:r>
        <w:t>48.</w:t>
      </w:r>
      <w:r>
        <w:tab/>
      </w:r>
      <w:r>
        <w:rPr>
          <w:i/>
        </w:rPr>
        <w:t>Animal Welfare Act 2002</w:t>
      </w:r>
      <w:r>
        <w:tab/>
      </w:r>
      <w:r>
        <w:fldChar w:fldCharType="begin"/>
      </w:r>
      <w:r>
        <w:instrText xml:space="preserve"> PAGEREF _Toc123112688 \h </w:instrText>
      </w:r>
      <w:r>
        <w:fldChar w:fldCharType="separate"/>
      </w:r>
      <w:r>
        <w:t>30</w:t>
      </w:r>
      <w:r>
        <w:fldChar w:fldCharType="end"/>
      </w:r>
    </w:p>
    <w:p>
      <w:pPr>
        <w:pStyle w:val="TOC8"/>
        <w:rPr>
          <w:rFonts w:asciiTheme="minorHAnsi" w:eastAsiaTheme="minorEastAsia" w:hAnsiTheme="minorHAnsi" w:cstheme="minorBidi"/>
          <w:szCs w:val="22"/>
        </w:rPr>
      </w:pPr>
      <w:r>
        <w:t>48A.</w:t>
      </w:r>
      <w:r>
        <w:tab/>
      </w:r>
      <w:r>
        <w:rPr>
          <w:i/>
        </w:rPr>
        <w:t>Community Titles Act 2018</w:t>
      </w:r>
      <w:r>
        <w:tab/>
      </w:r>
      <w:r>
        <w:fldChar w:fldCharType="begin"/>
      </w:r>
      <w:r>
        <w:instrText xml:space="preserve"> PAGEREF _Toc123112689 \h </w:instrText>
      </w:r>
      <w:r>
        <w:fldChar w:fldCharType="separate"/>
      </w:r>
      <w:r>
        <w:t>30</w:t>
      </w:r>
      <w:r>
        <w:fldChar w:fldCharType="end"/>
      </w:r>
    </w:p>
    <w:p>
      <w:pPr>
        <w:pStyle w:val="TOC8"/>
        <w:rPr>
          <w:rFonts w:asciiTheme="minorHAnsi" w:eastAsiaTheme="minorEastAsia" w:hAnsiTheme="minorHAnsi" w:cstheme="minorBidi"/>
          <w:szCs w:val="22"/>
        </w:rPr>
      </w:pPr>
      <w:r>
        <w:t>49.</w:t>
      </w:r>
      <w:r>
        <w:tab/>
      </w:r>
      <w:r>
        <w:rPr>
          <w:i/>
        </w:rPr>
        <w:t>Credit (Administration) Act 1984</w:t>
      </w:r>
      <w:r>
        <w:tab/>
      </w:r>
      <w:r>
        <w:fldChar w:fldCharType="begin"/>
      </w:r>
      <w:r>
        <w:instrText xml:space="preserve"> PAGEREF _Toc123112690 \h </w:instrText>
      </w:r>
      <w:r>
        <w:fldChar w:fldCharType="separate"/>
      </w:r>
      <w:r>
        <w:t>30</w:t>
      </w:r>
      <w:r>
        <w:fldChar w:fldCharType="end"/>
      </w:r>
    </w:p>
    <w:p>
      <w:pPr>
        <w:pStyle w:val="TOC8"/>
        <w:rPr>
          <w:rFonts w:asciiTheme="minorHAnsi" w:eastAsiaTheme="minorEastAsia" w:hAnsiTheme="minorHAnsi" w:cstheme="minorBidi"/>
          <w:szCs w:val="22"/>
        </w:rPr>
      </w:pPr>
      <w:r>
        <w:t>50.</w:t>
      </w:r>
      <w:r>
        <w:tab/>
      </w:r>
      <w:r>
        <w:rPr>
          <w:i/>
        </w:rPr>
        <w:t>Employment Agents Act 1976</w:t>
      </w:r>
      <w:r>
        <w:tab/>
      </w:r>
      <w:r>
        <w:fldChar w:fldCharType="begin"/>
      </w:r>
      <w:r>
        <w:instrText xml:space="preserve"> PAGEREF _Toc123112691 \h </w:instrText>
      </w:r>
      <w:r>
        <w:fldChar w:fldCharType="separate"/>
      </w:r>
      <w:r>
        <w:t>30</w:t>
      </w:r>
      <w:r>
        <w:fldChar w:fldCharType="end"/>
      </w:r>
    </w:p>
    <w:p>
      <w:pPr>
        <w:pStyle w:val="TOC8"/>
        <w:rPr>
          <w:rFonts w:asciiTheme="minorHAnsi" w:eastAsiaTheme="minorEastAsia" w:hAnsiTheme="minorHAnsi" w:cstheme="minorBidi"/>
          <w:szCs w:val="22"/>
        </w:rPr>
      </w:pPr>
      <w:r>
        <w:t>51.</w:t>
      </w:r>
      <w:r>
        <w:tab/>
      </w:r>
      <w:r>
        <w:rPr>
          <w:i/>
        </w:rPr>
        <w:t>Equal Opportunity Act 1984</w:t>
      </w:r>
      <w:r>
        <w:tab/>
      </w:r>
      <w:r>
        <w:fldChar w:fldCharType="begin"/>
      </w:r>
      <w:r>
        <w:instrText xml:space="preserve"> PAGEREF _Toc123112692 \h </w:instrText>
      </w:r>
      <w:r>
        <w:fldChar w:fldCharType="separate"/>
      </w:r>
      <w:r>
        <w:t>31</w:t>
      </w:r>
      <w:r>
        <w:fldChar w:fldCharType="end"/>
      </w:r>
    </w:p>
    <w:p>
      <w:pPr>
        <w:pStyle w:val="TOC8"/>
        <w:rPr>
          <w:rFonts w:asciiTheme="minorHAnsi" w:eastAsiaTheme="minorEastAsia" w:hAnsiTheme="minorHAnsi" w:cstheme="minorBidi"/>
          <w:szCs w:val="22"/>
        </w:rPr>
      </w:pPr>
      <w:r>
        <w:t>52.</w:t>
      </w:r>
      <w:r>
        <w:tab/>
      </w:r>
      <w:r>
        <w:rPr>
          <w:i/>
        </w:rPr>
        <w:t>Firearms Act 1973</w:t>
      </w:r>
      <w:r>
        <w:tab/>
      </w:r>
      <w:r>
        <w:fldChar w:fldCharType="begin"/>
      </w:r>
      <w:r>
        <w:instrText xml:space="preserve"> PAGEREF _Toc123112693 \h </w:instrText>
      </w:r>
      <w:r>
        <w:fldChar w:fldCharType="separate"/>
      </w:r>
      <w:r>
        <w:t>31</w:t>
      </w:r>
      <w:r>
        <w:fldChar w:fldCharType="end"/>
      </w:r>
    </w:p>
    <w:p>
      <w:pPr>
        <w:pStyle w:val="TOC8"/>
        <w:rPr>
          <w:rFonts w:asciiTheme="minorHAnsi" w:eastAsiaTheme="minorEastAsia" w:hAnsiTheme="minorHAnsi" w:cstheme="minorBidi"/>
          <w:szCs w:val="22"/>
        </w:rPr>
      </w:pPr>
      <w:r>
        <w:t>53.</w:t>
      </w:r>
      <w:r>
        <w:tab/>
      </w:r>
      <w:r>
        <w:rPr>
          <w:i/>
        </w:rPr>
        <w:t>Fish Resources Management Act 1994</w:t>
      </w:r>
      <w:r>
        <w:tab/>
      </w:r>
      <w:r>
        <w:fldChar w:fldCharType="begin"/>
      </w:r>
      <w:r>
        <w:instrText xml:space="preserve"> PAGEREF _Toc123112694 \h </w:instrText>
      </w:r>
      <w:r>
        <w:fldChar w:fldCharType="separate"/>
      </w:r>
      <w:r>
        <w:t>32</w:t>
      </w:r>
      <w:r>
        <w:fldChar w:fldCharType="end"/>
      </w:r>
    </w:p>
    <w:p>
      <w:pPr>
        <w:pStyle w:val="TOC8"/>
        <w:rPr>
          <w:rFonts w:asciiTheme="minorHAnsi" w:eastAsiaTheme="minorEastAsia" w:hAnsiTheme="minorHAnsi" w:cstheme="minorBidi"/>
          <w:szCs w:val="22"/>
        </w:rPr>
      </w:pPr>
      <w:r>
        <w:t>54.</w:t>
      </w:r>
      <w:r>
        <w:tab/>
      </w:r>
      <w:r>
        <w:rPr>
          <w:i/>
        </w:rPr>
        <w:t>Guardianship and Administration Act 1990</w:t>
      </w:r>
      <w:r>
        <w:tab/>
      </w:r>
      <w:r>
        <w:fldChar w:fldCharType="begin"/>
      </w:r>
      <w:r>
        <w:instrText xml:space="preserve"> PAGEREF _Toc123112695 \h </w:instrText>
      </w:r>
      <w:r>
        <w:fldChar w:fldCharType="separate"/>
      </w:r>
      <w:r>
        <w:t>32</w:t>
      </w:r>
      <w:r>
        <w:fldChar w:fldCharType="end"/>
      </w:r>
    </w:p>
    <w:p>
      <w:pPr>
        <w:pStyle w:val="TOC8"/>
        <w:rPr>
          <w:rFonts w:asciiTheme="minorHAnsi" w:eastAsiaTheme="minorEastAsia" w:hAnsiTheme="minorHAnsi" w:cstheme="minorBidi"/>
          <w:szCs w:val="22"/>
        </w:rPr>
      </w:pPr>
      <w:r>
        <w:t>55.</w:t>
      </w:r>
      <w:r>
        <w:tab/>
      </w:r>
      <w:r>
        <w:rPr>
          <w:i/>
        </w:rPr>
        <w:t>Medical Act 1894</w:t>
      </w:r>
      <w:r>
        <w:tab/>
      </w:r>
      <w:r>
        <w:fldChar w:fldCharType="begin"/>
      </w:r>
      <w:r>
        <w:instrText xml:space="preserve"> PAGEREF _Toc123112696 \h </w:instrText>
      </w:r>
      <w:r>
        <w:fldChar w:fldCharType="separate"/>
      </w:r>
      <w:r>
        <w:t>32</w:t>
      </w:r>
      <w:r>
        <w:fldChar w:fldCharType="end"/>
      </w:r>
    </w:p>
    <w:p>
      <w:pPr>
        <w:pStyle w:val="TOC8"/>
        <w:rPr>
          <w:rFonts w:asciiTheme="minorHAnsi" w:eastAsiaTheme="minorEastAsia" w:hAnsiTheme="minorHAnsi" w:cstheme="minorBidi"/>
          <w:szCs w:val="22"/>
        </w:rPr>
      </w:pPr>
      <w:r>
        <w:t>56.</w:t>
      </w:r>
      <w:r>
        <w:tab/>
      </w:r>
      <w:r>
        <w:rPr>
          <w:i/>
        </w:rPr>
        <w:t>Mental Health Act 1996</w:t>
      </w:r>
      <w:r>
        <w:tab/>
      </w:r>
      <w:r>
        <w:fldChar w:fldCharType="begin"/>
      </w:r>
      <w:r>
        <w:instrText xml:space="preserve"> PAGEREF _Toc123112697 \h </w:instrText>
      </w:r>
      <w:r>
        <w:fldChar w:fldCharType="separate"/>
      </w:r>
      <w:r>
        <w:t>33</w:t>
      </w:r>
      <w:r>
        <w:fldChar w:fldCharType="end"/>
      </w:r>
    </w:p>
    <w:p>
      <w:pPr>
        <w:pStyle w:val="TOC8"/>
        <w:rPr>
          <w:rFonts w:asciiTheme="minorHAnsi" w:eastAsiaTheme="minorEastAsia" w:hAnsiTheme="minorHAnsi" w:cstheme="minorBidi"/>
          <w:szCs w:val="22"/>
        </w:rPr>
      </w:pPr>
      <w:r>
        <w:t>57.</w:t>
      </w:r>
      <w:r>
        <w:tab/>
      </w:r>
      <w:r>
        <w:rPr>
          <w:i/>
          <w:iCs/>
        </w:rPr>
        <w:t>Pawnbrokers and Second</w:t>
      </w:r>
      <w:r>
        <w:rPr>
          <w:i/>
          <w:iCs/>
        </w:rPr>
        <w:noBreakHyphen/>
        <w:t>hand Dealers Act 1994</w:t>
      </w:r>
      <w:r>
        <w:tab/>
      </w:r>
      <w:r>
        <w:fldChar w:fldCharType="begin"/>
      </w:r>
      <w:r>
        <w:instrText xml:space="preserve"> PAGEREF _Toc123112698 \h </w:instrText>
      </w:r>
      <w:r>
        <w:fldChar w:fldCharType="separate"/>
      </w:r>
      <w:r>
        <w:t>34</w:t>
      </w:r>
      <w:r>
        <w:fldChar w:fldCharType="end"/>
      </w:r>
    </w:p>
    <w:p>
      <w:pPr>
        <w:pStyle w:val="TOC8"/>
        <w:rPr>
          <w:rFonts w:asciiTheme="minorHAnsi" w:eastAsiaTheme="minorEastAsia" w:hAnsiTheme="minorHAnsi" w:cstheme="minorBidi"/>
          <w:szCs w:val="22"/>
        </w:rPr>
      </w:pPr>
      <w:r>
        <w:t>58.</w:t>
      </w:r>
      <w:r>
        <w:tab/>
      </w:r>
      <w:r>
        <w:rPr>
          <w:bCs/>
          <w:i/>
          <w:iCs/>
        </w:rPr>
        <w:t>Public Order in Streets Act 1984</w:t>
      </w:r>
      <w:r>
        <w:tab/>
      </w:r>
      <w:r>
        <w:fldChar w:fldCharType="begin"/>
      </w:r>
      <w:r>
        <w:instrText xml:space="preserve"> PAGEREF _Toc123112699 \h </w:instrText>
      </w:r>
      <w:r>
        <w:fldChar w:fldCharType="separate"/>
      </w:r>
      <w:r>
        <w:t>34</w:t>
      </w:r>
      <w:r>
        <w:fldChar w:fldCharType="end"/>
      </w:r>
    </w:p>
    <w:p>
      <w:pPr>
        <w:pStyle w:val="TOC8"/>
        <w:rPr>
          <w:rFonts w:asciiTheme="minorHAnsi" w:eastAsiaTheme="minorEastAsia" w:hAnsiTheme="minorHAnsi" w:cstheme="minorBidi"/>
          <w:szCs w:val="22"/>
        </w:rPr>
      </w:pPr>
      <w:r>
        <w:t>59.</w:t>
      </w:r>
      <w:r>
        <w:tab/>
      </w:r>
      <w:r>
        <w:rPr>
          <w:i/>
        </w:rPr>
        <w:t>Retirement Villages Act 1992</w:t>
      </w:r>
      <w:r>
        <w:tab/>
      </w:r>
      <w:r>
        <w:fldChar w:fldCharType="begin"/>
      </w:r>
      <w:r>
        <w:instrText xml:space="preserve"> PAGEREF _Toc123112700 \h </w:instrText>
      </w:r>
      <w:r>
        <w:fldChar w:fldCharType="separate"/>
      </w:r>
      <w:r>
        <w:t>35</w:t>
      </w:r>
      <w:r>
        <w:fldChar w:fldCharType="end"/>
      </w:r>
    </w:p>
    <w:p>
      <w:pPr>
        <w:pStyle w:val="TOC8"/>
        <w:rPr>
          <w:rFonts w:asciiTheme="minorHAnsi" w:eastAsiaTheme="minorEastAsia" w:hAnsiTheme="minorHAnsi" w:cstheme="minorBidi"/>
          <w:szCs w:val="22"/>
        </w:rPr>
      </w:pPr>
      <w:r>
        <w:t>60.</w:t>
      </w:r>
      <w:r>
        <w:tab/>
      </w:r>
      <w:r>
        <w:rPr>
          <w:i/>
        </w:rPr>
        <w:t>Rights in Water and Irrigation Act 1914</w:t>
      </w:r>
      <w:r>
        <w:tab/>
      </w:r>
      <w:r>
        <w:fldChar w:fldCharType="begin"/>
      </w:r>
      <w:r>
        <w:instrText xml:space="preserve"> PAGEREF _Toc123112701 \h </w:instrText>
      </w:r>
      <w:r>
        <w:fldChar w:fldCharType="separate"/>
      </w:r>
      <w:r>
        <w:t>36</w:t>
      </w:r>
      <w:r>
        <w:fldChar w:fldCharType="end"/>
      </w:r>
    </w:p>
    <w:p>
      <w:pPr>
        <w:pStyle w:val="TOC8"/>
        <w:rPr>
          <w:rFonts w:asciiTheme="minorHAnsi" w:eastAsiaTheme="minorEastAsia" w:hAnsiTheme="minorHAnsi" w:cstheme="minorBidi"/>
          <w:szCs w:val="22"/>
        </w:rPr>
      </w:pPr>
      <w:r>
        <w:t>61.</w:t>
      </w:r>
      <w:r>
        <w:tab/>
      </w:r>
      <w:r>
        <w:rPr>
          <w:i/>
        </w:rPr>
        <w:t>Security and Related Activities (Control) Act 1996</w:t>
      </w:r>
      <w:r>
        <w:tab/>
      </w:r>
      <w:r>
        <w:fldChar w:fldCharType="begin"/>
      </w:r>
      <w:r>
        <w:instrText xml:space="preserve"> PAGEREF _Toc123112702 \h </w:instrText>
      </w:r>
      <w:r>
        <w:fldChar w:fldCharType="separate"/>
      </w:r>
      <w:r>
        <w:t>37</w:t>
      </w:r>
      <w:r>
        <w:fldChar w:fldCharType="end"/>
      </w:r>
    </w:p>
    <w:p>
      <w:pPr>
        <w:pStyle w:val="TOC8"/>
        <w:rPr>
          <w:rFonts w:asciiTheme="minorHAnsi" w:eastAsiaTheme="minorEastAsia" w:hAnsiTheme="minorHAnsi" w:cstheme="minorBidi"/>
          <w:szCs w:val="22"/>
        </w:rPr>
      </w:pPr>
      <w:r>
        <w:t>62.</w:t>
      </w:r>
      <w:r>
        <w:tab/>
      </w:r>
      <w:r>
        <w:rPr>
          <w:i/>
        </w:rPr>
        <w:t>Strata Titles Act 1985</w:t>
      </w:r>
      <w:r>
        <w:tab/>
      </w:r>
      <w:r>
        <w:fldChar w:fldCharType="begin"/>
      </w:r>
      <w:r>
        <w:instrText xml:space="preserve"> PAGEREF _Toc123112703 \h </w:instrText>
      </w:r>
      <w:r>
        <w:fldChar w:fldCharType="separate"/>
      </w:r>
      <w:r>
        <w:t>37</w:t>
      </w:r>
      <w:r>
        <w:fldChar w:fldCharType="end"/>
      </w:r>
    </w:p>
    <w:p>
      <w:pPr>
        <w:pStyle w:val="TOC8"/>
        <w:rPr>
          <w:rFonts w:asciiTheme="minorHAnsi" w:eastAsiaTheme="minorEastAsia" w:hAnsiTheme="minorHAnsi" w:cstheme="minorBidi"/>
          <w:szCs w:val="22"/>
        </w:rPr>
      </w:pPr>
      <w:r>
        <w:t>63</w:t>
      </w:r>
      <w:r>
        <w:rPr>
          <w:bCs/>
        </w:rPr>
        <w:t>.</w:t>
      </w:r>
      <w:r>
        <w:rPr>
          <w:bCs/>
        </w:rPr>
        <w:tab/>
      </w:r>
      <w:r>
        <w:rPr>
          <w:bCs/>
          <w:i/>
        </w:rPr>
        <w:t>Planning and Development Act 2005</w:t>
      </w:r>
      <w:r>
        <w:tab/>
      </w:r>
      <w:r>
        <w:fldChar w:fldCharType="begin"/>
      </w:r>
      <w:r>
        <w:instrText xml:space="preserve"> PAGEREF _Toc123112704 \h </w:instrText>
      </w:r>
      <w:r>
        <w:fldChar w:fldCharType="separate"/>
      </w:r>
      <w:r>
        <w:t>38</w:t>
      </w:r>
      <w:r>
        <w:fldChar w:fldCharType="end"/>
      </w:r>
    </w:p>
    <w:p>
      <w:pPr>
        <w:pStyle w:val="TOC8"/>
        <w:rPr>
          <w:rFonts w:asciiTheme="minorHAnsi" w:eastAsiaTheme="minorEastAsia" w:hAnsiTheme="minorHAnsi" w:cstheme="minorBidi"/>
          <w:szCs w:val="22"/>
        </w:rPr>
      </w:pPr>
      <w:r>
        <w:t>64.</w:t>
      </w:r>
      <w:r>
        <w:tab/>
      </w:r>
      <w:r>
        <w:rPr>
          <w:i/>
        </w:rPr>
        <w:t>Taxation Administration Act 2003</w:t>
      </w:r>
      <w:r>
        <w:tab/>
      </w:r>
      <w:r>
        <w:fldChar w:fldCharType="begin"/>
      </w:r>
      <w:r>
        <w:instrText xml:space="preserve"> PAGEREF _Toc123112705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_Toc123112707 \h </w:instrText>
      </w:r>
      <w:r>
        <w:fldChar w:fldCharType="separate"/>
      </w:r>
      <w:r>
        <w:t>39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_Toc123112708 \h </w:instrText>
      </w:r>
      <w:r>
        <w:fldChar w:fldCharType="separate"/>
      </w:r>
      <w:r>
        <w:t>41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_Toc123112709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3" w:name="_Toc122687046"/>
      <w:bookmarkStart w:id="4" w:name="_Toc122689751"/>
      <w:bookmarkStart w:id="5" w:name="_Toc12311262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123112625"/>
      <w:r>
        <w:rPr>
          <w:rStyle w:val="CharSectno"/>
        </w:rPr>
        <w:t>1</w:t>
      </w:r>
      <w:r>
        <w:t>.</w:t>
      </w:r>
      <w:r>
        <w:tab/>
        <w:t>Citation</w:t>
      </w:r>
      <w:bookmarkEnd w:id="6"/>
    </w:p>
    <w:p>
      <w:pPr>
        <w:pStyle w:val="Subsection"/>
      </w:pPr>
      <w:r>
        <w:tab/>
      </w:r>
      <w:r>
        <w:tab/>
      </w:r>
      <w:r>
        <w:rPr>
          <w:spacing w:val="-2"/>
        </w:rPr>
        <w:t>These</w:t>
      </w:r>
      <w:r>
        <w:t xml:space="preserve"> are the </w:t>
      </w:r>
      <w:r>
        <w:rPr>
          <w:i/>
        </w:rPr>
        <w:t>State Administrative Tribunal Rules 2004</w:t>
      </w:r>
      <w:r>
        <w:t>.</w:t>
      </w:r>
    </w:p>
    <w:p>
      <w:pPr>
        <w:pStyle w:val="Heading5"/>
      </w:pPr>
      <w:bookmarkStart w:id="7" w:name="_Toc123112626"/>
      <w:r>
        <w:rPr>
          <w:rStyle w:val="CharSectno"/>
        </w:rPr>
        <w:t>2</w:t>
      </w:r>
      <w:r>
        <w:t>.</w:t>
      </w:r>
      <w:r>
        <w:tab/>
        <w:t>Commencement</w:t>
      </w:r>
      <w:bookmarkEnd w:id="7"/>
    </w:p>
    <w:p>
      <w:pPr>
        <w:pStyle w:val="Subsection"/>
      </w:pPr>
      <w:r>
        <w:tab/>
      </w:r>
      <w:r>
        <w:tab/>
        <w:t>These rules come into operation on 1 January 2005.</w:t>
      </w:r>
    </w:p>
    <w:p>
      <w:pPr>
        <w:pStyle w:val="Heading5"/>
      </w:pPr>
      <w:bookmarkStart w:id="8" w:name="_Toc123112627"/>
      <w:r>
        <w:rPr>
          <w:rStyle w:val="CharSectno"/>
        </w:rPr>
        <w:t>3</w:t>
      </w:r>
      <w:r>
        <w:t>.</w:t>
      </w:r>
      <w:r>
        <w:tab/>
        <w:t>Terms used</w:t>
      </w:r>
      <w:bookmarkEnd w:id="8"/>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lastRenderedPageBreak/>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tab/>
        <w:t>[Rule 3 amended: Gazette 13 Apr 2007 p. 1682; 9 Jul 2010 p. 3241; 24 Apr 2018 p. 1351; SL 2022/219 r. 4.]</w:t>
      </w:r>
    </w:p>
    <w:p>
      <w:pPr>
        <w:pStyle w:val="Heading2"/>
      </w:pPr>
      <w:bookmarkStart w:id="9" w:name="_Toc122687050"/>
      <w:bookmarkStart w:id="10" w:name="_Toc122689755"/>
      <w:bookmarkStart w:id="11" w:name="_Toc123112628"/>
      <w:r>
        <w:rPr>
          <w:rStyle w:val="CharPartNo"/>
        </w:rPr>
        <w:lastRenderedPageBreak/>
        <w:t>Part 2</w:t>
      </w:r>
      <w:r>
        <w:t> — </w:t>
      </w:r>
      <w:r>
        <w:rPr>
          <w:rStyle w:val="CharPartText"/>
        </w:rPr>
        <w:t>General</w:t>
      </w:r>
      <w:bookmarkEnd w:id="9"/>
      <w:bookmarkEnd w:id="10"/>
      <w:bookmarkEnd w:id="11"/>
    </w:p>
    <w:p>
      <w:pPr>
        <w:pStyle w:val="Heading3"/>
      </w:pPr>
      <w:bookmarkStart w:id="12" w:name="_Toc122687051"/>
      <w:bookmarkStart w:id="13" w:name="_Toc122689756"/>
      <w:bookmarkStart w:id="14" w:name="_Toc123112629"/>
      <w:r>
        <w:rPr>
          <w:rStyle w:val="CharDivNo"/>
        </w:rPr>
        <w:t>Division 1</w:t>
      </w:r>
      <w:r>
        <w:t> — </w:t>
      </w:r>
      <w:r>
        <w:rPr>
          <w:rStyle w:val="CharDivText"/>
        </w:rPr>
        <w:t>Applications</w:t>
      </w:r>
      <w:bookmarkEnd w:id="12"/>
      <w:bookmarkEnd w:id="13"/>
      <w:bookmarkEnd w:id="14"/>
    </w:p>
    <w:p>
      <w:pPr>
        <w:pStyle w:val="Heading5"/>
      </w:pPr>
      <w:bookmarkStart w:id="15" w:name="_Toc123112630"/>
      <w:r>
        <w:rPr>
          <w:rStyle w:val="CharSectno"/>
        </w:rPr>
        <w:t>4</w:t>
      </w:r>
      <w:r>
        <w:t>.</w:t>
      </w:r>
      <w:r>
        <w:tab/>
        <w:t>Filing applications and other documents</w:t>
      </w:r>
      <w:bookmarkEnd w:id="15"/>
    </w:p>
    <w:p>
      <w:pPr>
        <w:pStyle w:val="Subsection"/>
      </w:pPr>
      <w:r>
        <w:tab/>
        <w:t>(1)</w:t>
      </w:r>
      <w:r>
        <w:tab/>
        <w:t xml:space="preserve">Subject to these rules, a person may file an application or a document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sending it to the executive officer by fax transmission; or</w:t>
      </w:r>
    </w:p>
    <w:p>
      <w:pPr>
        <w:pStyle w:val="Indenta"/>
      </w:pPr>
      <w:r>
        <w:tab/>
        <w:t>(d)</w:t>
      </w:r>
      <w:r>
        <w:tab/>
        <w:t>sending it to the executive officer by email; or</w:t>
      </w:r>
    </w:p>
    <w:p>
      <w:pPr>
        <w:pStyle w:val="Indenta"/>
      </w:pPr>
      <w:r>
        <w:tab/>
        <w:t>(e)</w:t>
      </w:r>
      <w:r>
        <w:tab/>
        <w:t>filing it by using the ECMS.</w:t>
      </w:r>
    </w:p>
    <w:p>
      <w:pPr>
        <w:pStyle w:val="Subsection"/>
      </w:pPr>
      <w:r>
        <w:tab/>
        <w:t>(2)</w:t>
      </w:r>
      <w:r>
        <w:tab/>
        <w:t>An application must be accompanied by any documents required to accompany the application under the Act, the enabling Act, these rules, a practice note or the approved application form.</w:t>
      </w:r>
    </w:p>
    <w:p>
      <w:pPr>
        <w:pStyle w:val="Subsection"/>
      </w:pPr>
      <w:r>
        <w:tab/>
        <w:t>(3)</w:t>
      </w:r>
      <w:r>
        <w:tab/>
        <w:t>Subject to a practice note or direction, if an application or a document is required to or may be filed, it is not necessary to file the original of the application or document.</w:t>
      </w:r>
    </w:p>
    <w:p>
      <w:pPr>
        <w:pStyle w:val="Subsection"/>
      </w:pPr>
      <w:r>
        <w:tab/>
        <w:t>(4)</w:t>
      </w:r>
      <w:r>
        <w:tab/>
        <w:t xml:space="preserve">A document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[Rule 4 inserted: Gazette 6 Feb 2015 p. 567</w:t>
      </w:r>
      <w:r>
        <w:noBreakHyphen/>
        <w:t>8; amended: Gazette 24 Apr 2018 p. 1351; SL 2022/219 r. 15.]</w:t>
      </w:r>
    </w:p>
    <w:p>
      <w:pPr>
        <w:pStyle w:val="Heading5"/>
      </w:pPr>
      <w:bookmarkStart w:id="16" w:name="_Toc123112631"/>
      <w:r>
        <w:rPr>
          <w:rStyle w:val="CharSectno"/>
        </w:rPr>
        <w:lastRenderedPageBreak/>
        <w:t>5</w:t>
      </w:r>
      <w:r>
        <w:t>.</w:t>
      </w:r>
      <w:r>
        <w:tab/>
        <w:t>Filing applications by electronic means</w:t>
      </w:r>
      <w:bookmarkEnd w:id="16"/>
    </w:p>
    <w:p>
      <w:pPr>
        <w:pStyle w:val="Subsection"/>
        <w:keepNext/>
      </w:pPr>
      <w:r>
        <w:tab/>
        <w:t>(1)</w:t>
      </w:r>
      <w:r>
        <w:tab/>
        <w:t xml:space="preserve">An application or other document sent to the executive officer by fax transmission or email must — </w:t>
      </w:r>
    </w:p>
    <w:p>
      <w:pPr>
        <w:pStyle w:val="Indenta"/>
      </w:pPr>
      <w:r>
        <w:tab/>
        <w:t>(a)</w:t>
      </w:r>
      <w:r>
        <w:tab/>
        <w:t>be sent to a fax number or email address (as the case requires) specified for that purpose in a practice note; and</w:t>
      </w:r>
    </w:p>
    <w:p>
      <w:pPr>
        <w:pStyle w:val="Indenta"/>
      </w:pPr>
      <w:r>
        <w:tab/>
        <w:t>(b)</w:t>
      </w:r>
      <w:r>
        <w:tab/>
        <w:t>to the extent practicable, be in a form that complies with an approved form.</w:t>
      </w:r>
    </w:p>
    <w:p>
      <w:pPr>
        <w:pStyle w:val="Subsection"/>
      </w:pPr>
      <w:r>
        <w:tab/>
        <w:t>(2)</w:t>
      </w:r>
      <w:r>
        <w:tab/>
        <w:t xml:space="preserve">A person who files an application or other document by fax transmission, email or by using the </w:t>
      </w:r>
      <w:bookmarkStart w:id="17" w:name="_Hlk122688738"/>
      <w:r>
        <w:t>ECMS</w:t>
      </w:r>
      <w:bookmarkEnd w:id="17"/>
      <w:r>
        <w:t xml:space="preserve"> must — </w:t>
      </w:r>
    </w:p>
    <w:p>
      <w:pPr>
        <w:pStyle w:val="Indenta"/>
      </w:pPr>
      <w:r>
        <w:tab/>
        <w:t>(a)</w:t>
      </w:r>
      <w:r>
        <w:tab/>
        <w:t>keep a copy of it; and</w:t>
      </w:r>
    </w:p>
    <w:p>
      <w:pPr>
        <w:pStyle w:val="Indenta"/>
      </w:pPr>
      <w:r>
        <w:tab/>
        <w:t>(b)</w:t>
      </w:r>
      <w:r>
        <w:tab/>
        <w:t>produce a copy of it as ordered by the Tribunal.</w:t>
      </w:r>
    </w:p>
    <w:p>
      <w:pPr>
        <w:pStyle w:val="Footnotesection"/>
      </w:pPr>
      <w:r>
        <w:tab/>
        <w:t>[Rule 5 inserted: Gazette 6 Feb 2015 p. 568; amended: Gazette 24 Apr 2018 p. 1352; SL 2022/219 r. 15.]</w:t>
      </w:r>
    </w:p>
    <w:p>
      <w:pPr>
        <w:pStyle w:val="Heading5"/>
      </w:pPr>
      <w:bookmarkStart w:id="18" w:name="_Toc123112632"/>
      <w:r>
        <w:rPr>
          <w:rStyle w:val="CharSectno"/>
        </w:rPr>
        <w:t>6</w:t>
      </w:r>
      <w:r>
        <w:t>.</w:t>
      </w:r>
      <w:r>
        <w:tab/>
        <w:t>Applications must be legible</w:t>
      </w:r>
      <w:bookmarkEnd w:id="18"/>
    </w:p>
    <w:p>
      <w:pPr>
        <w:pStyle w:val="Subsection"/>
      </w:pPr>
      <w:r>
        <w:tab/>
      </w:r>
      <w:r>
        <w:tab/>
        <w:t xml:space="preserve">An application and any document accompanying it must — </w:t>
      </w:r>
    </w:p>
    <w:p>
      <w:pPr>
        <w:pStyle w:val="Indenta"/>
      </w:pPr>
      <w:r>
        <w:tab/>
        <w:t>(a)</w:t>
      </w:r>
      <w:r>
        <w:tab/>
        <w:t>be legible; and</w:t>
      </w:r>
    </w:p>
    <w:p>
      <w:pPr>
        <w:pStyle w:val="Indenta"/>
      </w:pPr>
      <w:r>
        <w:tab/>
        <w:t>(b)</w:t>
      </w:r>
      <w:r>
        <w:tab/>
        <w:t>if filed by email or by using the ECMS, capable of being printed with the content and in the form in which it was created.</w:t>
      </w:r>
    </w:p>
    <w:p>
      <w:pPr>
        <w:pStyle w:val="Footnotesection"/>
      </w:pPr>
      <w:r>
        <w:tab/>
        <w:t>[Rule 6 inserted: Gazette 6 Feb 2015 p. 568; amended: Gazette 24 Apr 2018 p. 1352; SL 2022/219 r. 15.]</w:t>
      </w:r>
    </w:p>
    <w:p>
      <w:pPr>
        <w:pStyle w:val="Heading5"/>
      </w:pPr>
      <w:bookmarkStart w:id="19" w:name="_Toc123112633"/>
      <w:r>
        <w:rPr>
          <w:rStyle w:val="CharSectno"/>
        </w:rPr>
        <w:t>6A</w:t>
      </w:r>
      <w:r>
        <w:t>.</w:t>
      </w:r>
      <w:r>
        <w:tab/>
        <w:t>When application or other document is taken to be filed</w:t>
      </w:r>
      <w:bookmarkEnd w:id="19"/>
    </w:p>
    <w:p>
      <w:pPr>
        <w:pStyle w:val="Subsection"/>
      </w:pPr>
      <w:r>
        <w:tab/>
      </w:r>
      <w:r>
        <w:tab/>
        <w:t xml:space="preserve">An application or other document (the </w:t>
      </w:r>
      <w:r>
        <w:rPr>
          <w:rStyle w:val="CharDefText"/>
        </w:rPr>
        <w:t>document</w:t>
      </w:r>
      <w:r>
        <w:t xml:space="preserve">) is taken to have been filed — </w:t>
      </w:r>
    </w:p>
    <w:p>
      <w:pPr>
        <w:pStyle w:val="Indenta"/>
      </w:pPr>
      <w:r>
        <w:tab/>
        <w:t>(a)</w:t>
      </w:r>
      <w:r>
        <w:tab/>
        <w:t>if the document is filed by using the ECMS — on the day and at the time recorded by the ECMS; or</w:t>
      </w:r>
    </w:p>
    <w:p>
      <w:pPr>
        <w:pStyle w:val="Defpara"/>
        <w:keepNext/>
      </w:pPr>
      <w:r>
        <w:lastRenderedPageBreak/>
        <w:tab/>
        <w:t>(b)</w:t>
      </w:r>
      <w:r>
        <w:tab/>
        <w:t xml:space="preserve">if the document is filed otherwise than by using the ECMS and — </w:t>
      </w:r>
    </w:p>
    <w:p>
      <w:pPr>
        <w:pStyle w:val="Indenti"/>
      </w:pPr>
      <w:r>
        <w:tab/>
        <w:t>(i)</w:t>
      </w:r>
      <w:r>
        <w:tab/>
        <w:t>the whole document is received before 4.30 pm on a day when the office of the Tribunal is open for business — on that day; or</w:t>
      </w:r>
    </w:p>
    <w:p>
      <w:pPr>
        <w:pStyle w:val="Indenti"/>
      </w:pPr>
      <w:r>
        <w:tab/>
        <w:t>(ii)</w:t>
      </w:r>
      <w:r>
        <w:tab/>
        <w:t>the whole document is not received before 4.30 pm on a day when the office of the Tribunal is open for business — on the next day when the office of the Tribunal is open for business.</w:t>
      </w:r>
    </w:p>
    <w:p>
      <w:pPr>
        <w:pStyle w:val="Footnotesection"/>
      </w:pPr>
      <w:r>
        <w:tab/>
        <w:t>[Rule 6A inserted: Gazette 24 Apr 2018 p. 1352; amended: SL 2022/219 r. 15.]</w:t>
      </w:r>
    </w:p>
    <w:p>
      <w:pPr>
        <w:pStyle w:val="Ednotesection"/>
      </w:pPr>
      <w:r>
        <w:t>[</w:t>
      </w:r>
      <w:r>
        <w:rPr>
          <w:b/>
        </w:rPr>
        <w:t>7A.</w:t>
      </w:r>
      <w:r>
        <w:tab/>
        <w:t>Deleted: Gazette 24 Apr 2018 p. 1352.]</w:t>
      </w:r>
    </w:p>
    <w:p>
      <w:pPr>
        <w:pStyle w:val="Heading5"/>
      </w:pPr>
      <w:bookmarkStart w:id="20" w:name="_Toc123112634"/>
      <w:r>
        <w:rPr>
          <w:rStyle w:val="CharSectno"/>
        </w:rPr>
        <w:t>7</w:t>
      </w:r>
      <w:r>
        <w:t>.</w:t>
      </w:r>
      <w:r>
        <w:tab/>
        <w:t>Acceptance of applications</w:t>
      </w:r>
      <w:bookmarkEnd w:id="20"/>
    </w:p>
    <w:p>
      <w:pPr>
        <w:pStyle w:val="Subsection"/>
      </w:pPr>
      <w:bookmarkStart w:id="21" w:name="_Hlk122687303"/>
      <w:r>
        <w:tab/>
        <w:t>(1)</w:t>
      </w:r>
      <w:r>
        <w:tab/>
        <w:t xml:space="preserve">For the purposes of section 42(3) of the Act, an application is taken to have been accepted by the executive officer when — </w:t>
      </w:r>
    </w:p>
    <w:p>
      <w:pPr>
        <w:pStyle w:val="Indenta"/>
      </w:pPr>
      <w:r>
        <w:tab/>
        <w:t>(a)</w:t>
      </w:r>
      <w:r>
        <w:tab/>
        <w:t>the application is filed in accordance with rule 4 or, in the case of an oral application, recorded in the ECMS in accordance with rule 8(2); and</w:t>
      </w:r>
    </w:p>
    <w:p>
      <w:pPr>
        <w:pStyle w:val="Indenta"/>
      </w:pPr>
      <w:r>
        <w:tab/>
        <w:t>(b)</w:t>
      </w:r>
      <w:r>
        <w:tab/>
        <w:t>the executive officer is satisfied that the prescribed fee has been paid.</w:t>
      </w:r>
      <w:bookmarkEnd w:id="21"/>
    </w:p>
    <w:p>
      <w:pPr>
        <w:pStyle w:val="Ednotesubsection"/>
      </w:pPr>
      <w:r>
        <w:tab/>
        <w:t>[(2)</w:t>
      </w:r>
      <w:r>
        <w:tab/>
        <w:t>deleted]</w:t>
      </w:r>
    </w:p>
    <w:p>
      <w:pPr>
        <w:pStyle w:val="Subsection"/>
      </w:pPr>
      <w:r>
        <w:tab/>
        <w:t>(3)</w:t>
      </w:r>
      <w:r>
        <w:tab/>
        <w:t>If an application is not accepted, the executive officer is to notify the sender of the application by using any of the sender’s contact details provided in the application.</w:t>
      </w:r>
    </w:p>
    <w:p>
      <w:pPr>
        <w:pStyle w:val="Footnotesection"/>
      </w:pPr>
      <w:r>
        <w:tab/>
        <w:t>[Rule 7 inserted: Gazette 6 Feb 2015 p. 569; amended: SL 2022/219 r. 8.]</w:t>
      </w:r>
    </w:p>
    <w:p>
      <w:pPr>
        <w:pStyle w:val="Heading5"/>
      </w:pPr>
      <w:bookmarkStart w:id="22" w:name="_Toc123112635"/>
      <w:r>
        <w:rPr>
          <w:rStyle w:val="CharSectno"/>
        </w:rPr>
        <w:t>8</w:t>
      </w:r>
      <w:r>
        <w:t>.</w:t>
      </w:r>
      <w:r>
        <w:tab/>
        <w:t>Oral applications</w:t>
      </w:r>
      <w:bookmarkEnd w:id="22"/>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lastRenderedPageBreak/>
        <w:tab/>
        <w:t>(a)</w:t>
      </w:r>
      <w:r>
        <w:tab/>
        <w:t>orally; or</w:t>
      </w:r>
    </w:p>
    <w:p>
      <w:pPr>
        <w:pStyle w:val="Defpara"/>
      </w:pPr>
      <w:r>
        <w:tab/>
        <w:t>(b)</w:t>
      </w:r>
      <w:r>
        <w:tab/>
        <w:t>partly in writing and partly orally.</w:t>
      </w:r>
    </w:p>
    <w:p>
      <w:pPr>
        <w:pStyle w:val="Subsection"/>
      </w:pPr>
      <w:r>
        <w:tab/>
        <w:t>(2)</w:t>
      </w:r>
      <w:r>
        <w:tab/>
        <w:t xml:space="preserve">If an oral application is made, the executive officer must — </w:t>
      </w:r>
    </w:p>
    <w:p>
      <w:pPr>
        <w:pStyle w:val="Indenta"/>
      </w:pPr>
      <w:r>
        <w:tab/>
        <w:t>(a)</w:t>
      </w:r>
      <w:r>
        <w:tab/>
        <w:t>complete an approved application form in relation to the application; and</w:t>
      </w:r>
    </w:p>
    <w:p>
      <w:pPr>
        <w:pStyle w:val="Indenta"/>
      </w:pPr>
      <w:r>
        <w:tab/>
        <w:t>(b)</w:t>
      </w:r>
      <w:r>
        <w:tab/>
        <w:t>record it in the ECMS as if it had been filed under rule 4(1)(e).</w:t>
      </w:r>
    </w:p>
    <w:p>
      <w:pPr>
        <w:pStyle w:val="Ednotesubsection"/>
      </w:pPr>
      <w:r>
        <w:tab/>
        <w:t>[(3), (4)</w:t>
      </w:r>
      <w:r>
        <w:tab/>
        <w:t>deleted]</w:t>
      </w:r>
    </w:p>
    <w:p>
      <w:pPr>
        <w:pStyle w:val="Footnotesection"/>
      </w:pPr>
      <w:r>
        <w:tab/>
        <w:t>[Rule 8 amended: Gazette 6 Feb 2015 p. 569; SL 2022/219 r. 9.]</w:t>
      </w:r>
    </w:p>
    <w:p>
      <w:pPr>
        <w:pStyle w:val="Heading5"/>
      </w:pPr>
      <w:bookmarkStart w:id="23" w:name="_Toc123112636"/>
      <w:r>
        <w:rPr>
          <w:rStyle w:val="CharSectno"/>
        </w:rPr>
        <w:t>9</w:t>
      </w:r>
      <w:r>
        <w:t>.</w:t>
      </w:r>
      <w:r>
        <w:tab/>
        <w:t>Time limit for applications: review jurisdiction</w:t>
      </w:r>
      <w:bookmarkEnd w:id="23"/>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24" w:name="_Toc123112637"/>
      <w:r>
        <w:rPr>
          <w:rStyle w:val="CharSectno"/>
        </w:rPr>
        <w:t>10</w:t>
      </w:r>
      <w:r>
        <w:t>.</w:t>
      </w:r>
      <w:r>
        <w:tab/>
        <w:t>Extension of time limit</w:t>
      </w:r>
      <w:bookmarkEnd w:id="24"/>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25" w:name="_Toc123112638"/>
      <w:r>
        <w:rPr>
          <w:rStyle w:val="CharSectno"/>
        </w:rPr>
        <w:lastRenderedPageBreak/>
        <w:t>11</w:t>
      </w:r>
      <w:r>
        <w:t>.</w:t>
      </w:r>
      <w:r>
        <w:tab/>
        <w:t>Time specified for the purposes of section 22(2) of Act</w:t>
      </w:r>
      <w:bookmarkEnd w:id="25"/>
    </w:p>
    <w:p>
      <w:pPr>
        <w:pStyle w:val="Subsection"/>
      </w:pPr>
      <w:r>
        <w:tab/>
      </w:r>
      <w:r>
        <w:tab/>
        <w:t>For the purposes of the Act section 22(2) the time specified is 7 days after the day on which the application is accepted by the executive officer.</w:t>
      </w:r>
    </w:p>
    <w:p>
      <w:pPr>
        <w:pStyle w:val="Heading5"/>
      </w:pPr>
      <w:bookmarkStart w:id="26" w:name="_Toc123112639"/>
      <w:r>
        <w:rPr>
          <w:rStyle w:val="CharSectno"/>
        </w:rPr>
        <w:t>12</w:t>
      </w:r>
      <w:r>
        <w:t>.</w:t>
      </w:r>
      <w:r>
        <w:tab/>
        <w:t>Provision of documents and materials by decision maker: section 24 of Act</w:t>
      </w:r>
      <w:bookmarkEnd w:id="26"/>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Gazette 14 Oct 2005 p. 4569.]</w:t>
      </w:r>
    </w:p>
    <w:p>
      <w:pPr>
        <w:pStyle w:val="Heading5"/>
        <w:spacing w:before="200"/>
      </w:pPr>
      <w:bookmarkStart w:id="27" w:name="_Toc123112640"/>
      <w:r>
        <w:rPr>
          <w:rStyle w:val="CharSectno"/>
        </w:rPr>
        <w:t>13</w:t>
      </w:r>
      <w:r>
        <w:t>.</w:t>
      </w:r>
      <w:r>
        <w:tab/>
        <w:t>Protected matter</w:t>
      </w:r>
      <w:bookmarkEnd w:id="27"/>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lastRenderedPageBreak/>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Gazette 14 Oct 2005 p. 4569</w:t>
      </w:r>
      <w:r>
        <w:noBreakHyphen/>
        <w:t>70; amended: Gazette 13 Apr 2006 p. 1557; 13 Apr 2007 p. 1683.]</w:t>
      </w:r>
    </w:p>
    <w:p>
      <w:pPr>
        <w:pStyle w:val="Heading3"/>
      </w:pPr>
      <w:bookmarkStart w:id="28" w:name="_Toc122687063"/>
      <w:bookmarkStart w:id="29" w:name="_Toc122689768"/>
      <w:bookmarkStart w:id="30" w:name="_Toc123112641"/>
      <w:r>
        <w:rPr>
          <w:rStyle w:val="CharDivNo"/>
        </w:rPr>
        <w:lastRenderedPageBreak/>
        <w:t>Division 2</w:t>
      </w:r>
      <w:r>
        <w:t> — </w:t>
      </w:r>
      <w:r>
        <w:rPr>
          <w:rStyle w:val="CharDivText"/>
        </w:rPr>
        <w:t>Proceedings and hearings</w:t>
      </w:r>
      <w:bookmarkEnd w:id="28"/>
      <w:bookmarkEnd w:id="29"/>
      <w:bookmarkEnd w:id="30"/>
    </w:p>
    <w:p>
      <w:pPr>
        <w:pStyle w:val="Heading5"/>
      </w:pPr>
      <w:bookmarkStart w:id="31" w:name="_Toc123112642"/>
      <w:r>
        <w:rPr>
          <w:rStyle w:val="CharSectno"/>
        </w:rPr>
        <w:t>14</w:t>
      </w:r>
      <w:r>
        <w:t>.</w:t>
      </w:r>
      <w:r>
        <w:tab/>
        <w:t>Filing of other applications</w:t>
      </w:r>
      <w:bookmarkEnd w:id="31"/>
    </w:p>
    <w:p>
      <w:pPr>
        <w:pStyle w:val="Subsection"/>
      </w:pPr>
      <w:r>
        <w:tab/>
      </w:r>
      <w:r>
        <w:tab/>
        <w:t xml:space="preserve">Rules 4 to 7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Gazette 14 Oct 2005 p. 4570; 6 Feb 2015 p. 569.]</w:t>
      </w:r>
    </w:p>
    <w:p>
      <w:pPr>
        <w:pStyle w:val="Heading5"/>
      </w:pPr>
      <w:bookmarkStart w:id="32" w:name="_Toc123112643"/>
      <w:r>
        <w:rPr>
          <w:rStyle w:val="CharSectno"/>
        </w:rPr>
        <w:t>15A</w:t>
      </w:r>
      <w:r>
        <w:t>.</w:t>
      </w:r>
      <w:r>
        <w:tab/>
        <w:t>Changing contact details given in application</w:t>
      </w:r>
      <w:bookmarkEnd w:id="32"/>
    </w:p>
    <w:p>
      <w:pPr>
        <w:pStyle w:val="Subsection"/>
      </w:pPr>
      <w:r>
        <w:tab/>
        <w:t>(1)</w:t>
      </w:r>
      <w:r>
        <w:tab/>
        <w:t>An applicant or referring person may change the contact details given to the Tribunal in an application or subsequent notice by filing a notice with the executive officer showing the new contact details.</w:t>
      </w:r>
    </w:p>
    <w:p>
      <w:pPr>
        <w:pStyle w:val="Subsection"/>
      </w:pPr>
      <w:r>
        <w:tab/>
        <w:t>(2)</w:t>
      </w:r>
      <w:r>
        <w:tab/>
        <w:t>An applicant or referring person who files a notice under subrule (1) must, on the date of filing, give a copy of it to a notifiable person.</w:t>
      </w:r>
    </w:p>
    <w:p>
      <w:pPr>
        <w:pStyle w:val="Subsection"/>
      </w:pPr>
      <w:r>
        <w:tab/>
        <w:t>(3)</w:t>
      </w:r>
      <w:r>
        <w:tab/>
        <w:t>A change of contact details under this rule is not effective as between the person who is required to give the notice of the change and another person until the notice is filed with the executive officer and given to that person.</w:t>
      </w:r>
    </w:p>
    <w:p>
      <w:pPr>
        <w:pStyle w:val="Footnotesection"/>
      </w:pPr>
      <w:r>
        <w:tab/>
        <w:t>[Rule 15A inserted: Gazette 6 Feb 2015 p. 569</w:t>
      </w:r>
      <w:r>
        <w:noBreakHyphen/>
        <w:t>70.]</w:t>
      </w:r>
    </w:p>
    <w:p>
      <w:pPr>
        <w:pStyle w:val="Heading5"/>
      </w:pPr>
      <w:bookmarkStart w:id="33" w:name="_Toc123112644"/>
      <w:r>
        <w:rPr>
          <w:rStyle w:val="CharSectno"/>
        </w:rPr>
        <w:t>15B</w:t>
      </w:r>
      <w:r>
        <w:t>.</w:t>
      </w:r>
      <w:r>
        <w:tab/>
        <w:t>Changing name of party given in application</w:t>
      </w:r>
      <w:bookmarkEnd w:id="33"/>
    </w:p>
    <w:p>
      <w:pPr>
        <w:pStyle w:val="Subsection"/>
      </w:pPr>
      <w:r>
        <w:tab/>
        <w:t>(1)</w:t>
      </w:r>
      <w:r>
        <w:tab/>
        <w:t>A person who has made an application to the Tribunal may make a written request for the leave of the Tribunal to change the name of a party specified in the application.</w:t>
      </w:r>
    </w:p>
    <w:p>
      <w:pPr>
        <w:pStyle w:val="Subsection"/>
      </w:pPr>
      <w:r>
        <w:lastRenderedPageBreak/>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15B inserted: Gazette 6 Feb 2015 p. 570.]</w:t>
      </w:r>
    </w:p>
    <w:p>
      <w:pPr>
        <w:pStyle w:val="Heading5"/>
      </w:pPr>
      <w:bookmarkStart w:id="34" w:name="_Toc123112645"/>
      <w:r>
        <w:rPr>
          <w:rStyle w:val="CharSectno"/>
        </w:rPr>
        <w:t>15</w:t>
      </w:r>
      <w:r>
        <w:t>.</w:t>
      </w:r>
      <w:r>
        <w:tab/>
        <w:t>Amendment of grounds or reasons for application</w:t>
      </w:r>
      <w:bookmarkEnd w:id="34"/>
    </w:p>
    <w:p>
      <w:pPr>
        <w:pStyle w:val="Subsection"/>
      </w:pPr>
      <w:r>
        <w:tab/>
        <w:t>(1)</w:t>
      </w:r>
      <w:r>
        <w:tab/>
        <w:t>A person who has made an application to the Tribunal may make a written request for the leave of the Tribunal to amend the grounds or reasons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 inserted: Gazette 6 Feb 2015 p. 570.]</w:t>
      </w:r>
    </w:p>
    <w:p>
      <w:pPr>
        <w:pStyle w:val="Heading5"/>
        <w:spacing w:before="260"/>
      </w:pPr>
      <w:bookmarkStart w:id="35" w:name="_Toc123112646"/>
      <w:r>
        <w:rPr>
          <w:rStyle w:val="CharSectno"/>
        </w:rPr>
        <w:t>16</w:t>
      </w:r>
      <w:r>
        <w:t>.</w:t>
      </w:r>
      <w:r>
        <w:tab/>
        <w:t>Notice of compulsory conference</w:t>
      </w:r>
      <w:bookmarkEnd w:id="35"/>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36" w:name="_Toc123112647"/>
      <w:r>
        <w:rPr>
          <w:rStyle w:val="CharSectno"/>
        </w:rPr>
        <w:t>17</w:t>
      </w:r>
      <w:r>
        <w:t>.</w:t>
      </w:r>
      <w:r>
        <w:tab/>
        <w:t>Notice of mediation</w:t>
      </w:r>
      <w:bookmarkEnd w:id="36"/>
    </w:p>
    <w:p>
      <w:pPr>
        <w:pStyle w:val="Subsection"/>
      </w:pPr>
      <w:r>
        <w:tab/>
      </w:r>
      <w:r>
        <w:tab/>
        <w:t>The executive officer is to give notice of a mediation in writing and in accordance with any other requirements of these rules.</w:t>
      </w:r>
    </w:p>
    <w:p>
      <w:pPr>
        <w:pStyle w:val="Heading5"/>
        <w:spacing w:before="260"/>
      </w:pPr>
      <w:bookmarkStart w:id="37" w:name="_Toc123112648"/>
      <w:r>
        <w:rPr>
          <w:rStyle w:val="CharSectno"/>
        </w:rPr>
        <w:t>18</w:t>
      </w:r>
      <w:r>
        <w:t>.</w:t>
      </w:r>
      <w:r>
        <w:tab/>
        <w:t>Notice of hearing</w:t>
      </w:r>
      <w:bookmarkEnd w:id="37"/>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38" w:name="_Toc123112649"/>
      <w:r>
        <w:rPr>
          <w:rStyle w:val="CharSectno"/>
        </w:rPr>
        <w:lastRenderedPageBreak/>
        <w:t>19</w:t>
      </w:r>
      <w:r>
        <w:t>.</w:t>
      </w:r>
      <w:r>
        <w:tab/>
        <w:t>Authentication of decision: section 74 of Act</w:t>
      </w:r>
      <w:bookmarkEnd w:id="38"/>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being recorded in the ECMS and being confirmed by an entry into the ECMS made by a member of the Tribunal or by the executive officer.</w:t>
      </w:r>
    </w:p>
    <w:p>
      <w:pPr>
        <w:pStyle w:val="Footnotesection"/>
      </w:pPr>
      <w:r>
        <w:tab/>
        <w:t>[Rule 19 amended: SL 2022/219 r. 10.]</w:t>
      </w:r>
    </w:p>
    <w:p>
      <w:pPr>
        <w:pStyle w:val="Heading5"/>
      </w:pPr>
      <w:bookmarkStart w:id="39" w:name="_Toc123112650"/>
      <w:r>
        <w:rPr>
          <w:rStyle w:val="CharSectno"/>
        </w:rPr>
        <w:t>20</w:t>
      </w:r>
      <w:r>
        <w:t>.</w:t>
      </w:r>
      <w:r>
        <w:tab/>
        <w:t>Time limit for purposes of section 84(3) of Act</w:t>
      </w:r>
      <w:bookmarkEnd w:id="39"/>
    </w:p>
    <w:p>
      <w:pPr>
        <w:pStyle w:val="Subsection"/>
        <w:keepNext/>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40" w:name="_Toc123112651"/>
      <w:r>
        <w:rPr>
          <w:rStyle w:val="CharSectno"/>
        </w:rPr>
        <w:t>21</w:t>
      </w:r>
      <w:r>
        <w:t>.</w:t>
      </w:r>
      <w:r>
        <w:tab/>
        <w:t>Limit on applications: section 84(4) of Act</w:t>
      </w:r>
      <w:bookmarkEnd w:id="40"/>
    </w:p>
    <w:p>
      <w:pPr>
        <w:pStyle w:val="Subsection"/>
      </w:pPr>
      <w:r>
        <w:tab/>
      </w:r>
      <w:r>
        <w:tab/>
        <w:t>For the purposes of the Act section 84(4), the number of applications is 2.</w:t>
      </w:r>
    </w:p>
    <w:p>
      <w:pPr>
        <w:pStyle w:val="Heading5"/>
      </w:pPr>
      <w:bookmarkStart w:id="41" w:name="_Toc123112652"/>
      <w:r>
        <w:rPr>
          <w:rStyle w:val="CharSectno"/>
        </w:rPr>
        <w:t>22</w:t>
      </w:r>
      <w:r>
        <w:t>.</w:t>
      </w:r>
      <w:r>
        <w:tab/>
        <w:t>Relief from procedural requirements: section 92(1) of Act</w:t>
      </w:r>
      <w:bookmarkEnd w:id="41"/>
    </w:p>
    <w:p>
      <w:pPr>
        <w:pStyle w:val="Subsection"/>
      </w:pPr>
      <w:r>
        <w:tab/>
      </w:r>
      <w:r>
        <w:tab/>
        <w:t>The Tribunal may exercise any of the powers referred to in the Act section 92(1) in connection with any proceeding.</w:t>
      </w:r>
    </w:p>
    <w:p>
      <w:pPr>
        <w:pStyle w:val="Ednotesection"/>
      </w:pPr>
      <w:r>
        <w:t>[</w:t>
      </w:r>
      <w:r>
        <w:rPr>
          <w:b/>
        </w:rPr>
        <w:t>23.</w:t>
      </w:r>
      <w:r>
        <w:tab/>
        <w:t>Deleted: Gazette 6 Feb 2015 p. 570.]</w:t>
      </w:r>
    </w:p>
    <w:p>
      <w:pPr>
        <w:pStyle w:val="Heading5"/>
        <w:rPr>
          <w:bCs/>
        </w:rPr>
      </w:pPr>
      <w:bookmarkStart w:id="42" w:name="_Toc123112653"/>
      <w:r>
        <w:rPr>
          <w:rStyle w:val="CharSectno"/>
        </w:rPr>
        <w:lastRenderedPageBreak/>
        <w:t>24</w:t>
      </w:r>
      <w:r>
        <w:rPr>
          <w:bCs/>
        </w:rPr>
        <w:t>.</w:t>
      </w:r>
      <w:r>
        <w:rPr>
          <w:bCs/>
        </w:rPr>
        <w:tab/>
        <w:t>Request for and return of summons to witness and production of documents and other material by third parties</w:t>
      </w:r>
      <w:bookmarkEnd w:id="42"/>
    </w:p>
    <w:p>
      <w:pPr>
        <w:pStyle w:val="Subsection"/>
      </w:pPr>
      <w:r>
        <w:tab/>
        <w:t>(1)</w:t>
      </w:r>
      <w:r>
        <w:tab/>
        <w:t xml:space="preserve">A request for the issue of a summons under section 66(1) of the Act must be made — </w:t>
      </w:r>
    </w:p>
    <w:p>
      <w:pPr>
        <w:pStyle w:val="Indenta"/>
      </w:pPr>
      <w:r>
        <w:tab/>
        <w:t>(a)</w:t>
      </w:r>
      <w:r>
        <w:tab/>
        <w:t>in an approved form; and</w:t>
      </w:r>
    </w:p>
    <w:p>
      <w:pPr>
        <w:pStyle w:val="Indenta"/>
      </w:pPr>
      <w:r>
        <w:tab/>
        <w:t>(b)</w:t>
      </w:r>
      <w:r>
        <w:tab/>
        <w:t>at least 14 days before the date on which the summons is to be returnable, unless the Tribunal grants leave to make a request nearer to that date.</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lastRenderedPageBreak/>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Gazette 13 Apr 2006 p. 1557</w:t>
      </w:r>
      <w:r>
        <w:noBreakHyphen/>
        <w:t>8; amended: Gazette 14 May 2013 p. 1970; SL 2022/219 r. 11.]</w:t>
      </w:r>
    </w:p>
    <w:p>
      <w:pPr>
        <w:pStyle w:val="Heading5"/>
      </w:pPr>
      <w:bookmarkStart w:id="43" w:name="_Toc121145739"/>
      <w:bookmarkStart w:id="44" w:name="_Toc122525489"/>
      <w:bookmarkStart w:id="45" w:name="_Toc123112654"/>
      <w:r>
        <w:rPr>
          <w:rStyle w:val="CharSectno"/>
        </w:rPr>
        <w:t>24A</w:t>
      </w:r>
      <w:r>
        <w:t>.</w:t>
      </w:r>
      <w:r>
        <w:tab/>
        <w:t>Issue of summons</w:t>
      </w:r>
      <w:bookmarkEnd w:id="43"/>
      <w:bookmarkEnd w:id="44"/>
      <w:bookmarkEnd w:id="45"/>
    </w:p>
    <w:p>
      <w:pPr>
        <w:pStyle w:val="Subsection"/>
      </w:pPr>
      <w:r>
        <w:tab/>
      </w:r>
      <w:r>
        <w:tab/>
        <w:t xml:space="preserve">A summons is taken to be signed on behalf of the Tribunal by the executive officer, and is authenticated for the purposes of the </w:t>
      </w:r>
      <w:r>
        <w:rPr>
          <w:i/>
        </w:rPr>
        <w:t>Courts and Tribunals (Electronic Processes Facilitation) Act 2013</w:t>
      </w:r>
      <w:r>
        <w:t xml:space="preserve"> section 10, if — </w:t>
      </w:r>
    </w:p>
    <w:p>
      <w:pPr>
        <w:pStyle w:val="Indenta"/>
      </w:pPr>
      <w:r>
        <w:tab/>
        <w:t>(a)</w:t>
      </w:r>
      <w:r>
        <w:tab/>
        <w:t>the summons is recorded in the ECMS; and</w:t>
      </w:r>
    </w:p>
    <w:p>
      <w:pPr>
        <w:pStyle w:val="Indenta"/>
      </w:pPr>
      <w:r>
        <w:tab/>
        <w:t>(b)</w:t>
      </w:r>
      <w:r>
        <w:tab/>
        <w:t>the executive officer enters a confirmation of the summons into the ECMS.</w:t>
      </w:r>
    </w:p>
    <w:p>
      <w:pPr>
        <w:pStyle w:val="Footnotesection"/>
      </w:pPr>
      <w:r>
        <w:tab/>
        <w:t>[Rule 24A inserted: SL 2022/219 r. 12.]</w:t>
      </w:r>
    </w:p>
    <w:p>
      <w:pPr>
        <w:pStyle w:val="Heading5"/>
      </w:pPr>
      <w:bookmarkStart w:id="46" w:name="_Toc123112655"/>
      <w:r>
        <w:rPr>
          <w:rStyle w:val="CharSectno"/>
        </w:rPr>
        <w:t>25</w:t>
      </w:r>
      <w:r>
        <w:t>.</w:t>
      </w:r>
      <w:r>
        <w:tab/>
        <w:t>Service of summons</w:t>
      </w:r>
      <w:bookmarkEnd w:id="46"/>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47" w:name="_Toc122687077"/>
      <w:bookmarkStart w:id="48" w:name="_Toc122689783"/>
      <w:bookmarkStart w:id="49" w:name="_Toc123112656"/>
      <w:r>
        <w:rPr>
          <w:rStyle w:val="CharDivNo"/>
        </w:rPr>
        <w:lastRenderedPageBreak/>
        <w:t>Division 3</w:t>
      </w:r>
      <w:r>
        <w:t> — </w:t>
      </w:r>
      <w:r>
        <w:rPr>
          <w:rStyle w:val="CharDivText"/>
        </w:rPr>
        <w:t>Service</w:t>
      </w:r>
      <w:bookmarkEnd w:id="47"/>
      <w:bookmarkEnd w:id="48"/>
      <w:bookmarkEnd w:id="49"/>
    </w:p>
    <w:p>
      <w:pPr>
        <w:pStyle w:val="Heading5"/>
      </w:pPr>
      <w:bookmarkStart w:id="50" w:name="_Toc123112657"/>
      <w:r>
        <w:rPr>
          <w:rStyle w:val="CharSectno"/>
        </w:rPr>
        <w:t>26</w:t>
      </w:r>
      <w:r>
        <w:t>.</w:t>
      </w:r>
      <w:r>
        <w:tab/>
        <w:t>Giving copy of application</w:t>
      </w:r>
      <w:bookmarkEnd w:id="50"/>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 xml:space="preserve">Subject to these rules or a decision of the Tribunal, a copy of an application may be given — </w:t>
      </w:r>
    </w:p>
    <w:p>
      <w:pPr>
        <w:pStyle w:val="Indenta"/>
      </w:pPr>
      <w:r>
        <w:tab/>
        <w:t>(a)</w:t>
      </w:r>
      <w:r>
        <w:tab/>
        <w:t>by personal service; or</w:t>
      </w:r>
    </w:p>
    <w:p>
      <w:pPr>
        <w:pStyle w:val="Indenta"/>
      </w:pPr>
      <w:r>
        <w:tab/>
        <w:t>(b)</w:t>
      </w:r>
      <w:r>
        <w:tab/>
        <w:t>by ordinary service; or</w:t>
      </w:r>
    </w:p>
    <w:p>
      <w:pPr>
        <w:pStyle w:val="Indenta"/>
      </w:pPr>
      <w:r>
        <w:tab/>
        <w:t>(c)</w:t>
      </w:r>
      <w:r>
        <w:tab/>
        <w:t>by pre</w:t>
      </w:r>
      <w:r>
        <w:noBreakHyphen/>
        <w:t>paid post.</w:t>
      </w:r>
    </w:p>
    <w:p>
      <w:pPr>
        <w:pStyle w:val="Ednotesubsection"/>
        <w:spacing w:before="150"/>
      </w:pPr>
      <w:r>
        <w:tab/>
        <w:t>[(4), (5)</w:t>
      </w:r>
      <w:r>
        <w:tab/>
        <w:t>deleted]</w:t>
      </w:r>
    </w:p>
    <w:p>
      <w:pPr>
        <w:pStyle w:val="Footnotesection"/>
      </w:pPr>
      <w:r>
        <w:tab/>
        <w:t>[Rule 26 amended: Gazette 6 Feb 2015 p. 570.]</w:t>
      </w:r>
    </w:p>
    <w:p>
      <w:pPr>
        <w:pStyle w:val="Heading5"/>
      </w:pPr>
      <w:bookmarkStart w:id="51" w:name="_Toc123112658"/>
      <w:r>
        <w:rPr>
          <w:rStyle w:val="CharSectno"/>
        </w:rPr>
        <w:t>27</w:t>
      </w:r>
      <w:r>
        <w:t>.</w:t>
      </w:r>
      <w:r>
        <w:tab/>
        <w:t>Exemption: section 45(2)(c) of Act</w:t>
      </w:r>
      <w:bookmarkEnd w:id="51"/>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52" w:name="_Toc123112659"/>
      <w:r>
        <w:rPr>
          <w:rStyle w:val="CharSectno"/>
        </w:rPr>
        <w:t>28</w:t>
      </w:r>
      <w:r>
        <w:t>.</w:t>
      </w:r>
      <w:r>
        <w:tab/>
        <w:t>Giving other documents</w:t>
      </w:r>
      <w:bookmarkEnd w:id="52"/>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lastRenderedPageBreak/>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2015</w:t>
      </w:r>
      <w:r>
        <w:t xml:space="preserve"> section 3, in accordance with section 176 of that Act; or</w:t>
      </w:r>
    </w:p>
    <w:p>
      <w:pPr>
        <w:pStyle w:val="Indenta"/>
      </w:pPr>
      <w:r>
        <w:tab/>
        <w:t>(e)</w:t>
      </w:r>
      <w:r>
        <w:tab/>
        <w:t>in the case of an unincorporated association, by delivering it personally to the president, secretary or other similar officer of the association.</w:t>
      </w:r>
    </w:p>
    <w:p>
      <w:pPr>
        <w:pStyle w:val="Footnotesection"/>
      </w:pPr>
      <w:r>
        <w:tab/>
        <w:t>[Rule 28 amended: Gazette 24 Apr 2018 p. 1352.]</w:t>
      </w:r>
    </w:p>
    <w:p>
      <w:pPr>
        <w:pStyle w:val="Heading5"/>
      </w:pPr>
      <w:bookmarkStart w:id="53" w:name="_Toc123112660"/>
      <w:r>
        <w:rPr>
          <w:rStyle w:val="CharSectno"/>
        </w:rPr>
        <w:t>29</w:t>
      </w:r>
      <w:r>
        <w:t>.</w:t>
      </w:r>
      <w:r>
        <w:tab/>
        <w:t>Giving documents by Tribunal or executive officer</w:t>
      </w:r>
      <w:bookmarkEnd w:id="53"/>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54" w:name="_Toc123112661"/>
      <w:r>
        <w:rPr>
          <w:rStyle w:val="CharSectno"/>
        </w:rPr>
        <w:t>30</w:t>
      </w:r>
      <w:r>
        <w:t>.</w:t>
      </w:r>
      <w:r>
        <w:tab/>
        <w:t>Giving application to decision</w:t>
      </w:r>
      <w:r>
        <w:noBreakHyphen/>
        <w:t>maker</w:t>
      </w:r>
      <w:bookmarkEnd w:id="54"/>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to the holder of that office.</w:t>
      </w:r>
    </w:p>
    <w:p>
      <w:pPr>
        <w:pStyle w:val="Footnotesection"/>
      </w:pPr>
      <w:r>
        <w:tab/>
        <w:t>[Rule 30 amended: Gazette 6 Feb 2015 p. 571.]</w:t>
      </w:r>
    </w:p>
    <w:p>
      <w:pPr>
        <w:pStyle w:val="Heading5"/>
      </w:pPr>
      <w:bookmarkStart w:id="55" w:name="_Toc123112662"/>
      <w:r>
        <w:rPr>
          <w:rStyle w:val="CharSectno"/>
        </w:rPr>
        <w:lastRenderedPageBreak/>
        <w:t>31</w:t>
      </w:r>
      <w:r>
        <w:t>.</w:t>
      </w:r>
      <w:r>
        <w:tab/>
        <w:t>Personal service: how effected</w:t>
      </w:r>
      <w:bookmarkEnd w:id="55"/>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at the principal place of business, or the principal office, of the corporation in the State,</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keepNext/>
        <w:keepLines/>
      </w:pPr>
      <w:r>
        <w:lastRenderedPageBreak/>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Footnotesection"/>
      </w:pPr>
      <w:r>
        <w:tab/>
        <w:t>[Rule 31 amended: Gazette 6 Feb 2015 p. 571.]</w:t>
      </w:r>
    </w:p>
    <w:p>
      <w:pPr>
        <w:pStyle w:val="Heading5"/>
        <w:spacing w:before="200"/>
      </w:pPr>
      <w:bookmarkStart w:id="56" w:name="_Toc123112663"/>
      <w:r>
        <w:rPr>
          <w:rStyle w:val="CharSectno"/>
        </w:rPr>
        <w:t>32</w:t>
      </w:r>
      <w:r>
        <w:t>.</w:t>
      </w:r>
      <w:r>
        <w:tab/>
        <w:t>Pre</w:t>
      </w:r>
      <w:r>
        <w:noBreakHyphen/>
        <w:t>paid post: how effected</w:t>
      </w:r>
      <w:bookmarkEnd w:id="56"/>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tab/>
        <w:t>(2)</w:t>
      </w:r>
      <w:r>
        <w:tab/>
        <w:t>A document given by pre</w:t>
      </w:r>
      <w:r>
        <w:noBreakHyphen/>
        <w:t>paid post is to be taken to have been given to a person 2 business days after the day on which the document was posted.</w:t>
      </w:r>
    </w:p>
    <w:p>
      <w:pPr>
        <w:pStyle w:val="Heading5"/>
        <w:spacing w:before="200"/>
      </w:pPr>
      <w:bookmarkStart w:id="57" w:name="_Toc123112664"/>
      <w:r>
        <w:rPr>
          <w:rStyle w:val="CharSectno"/>
        </w:rPr>
        <w:lastRenderedPageBreak/>
        <w:t>33</w:t>
      </w:r>
      <w:r>
        <w:t>.</w:t>
      </w:r>
      <w:r>
        <w:tab/>
        <w:t>Ordinary service: how effected</w:t>
      </w:r>
      <w:bookmarkEnd w:id="57"/>
    </w:p>
    <w:p>
      <w:pPr>
        <w:pStyle w:val="Subsection"/>
        <w:keepNext/>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(2A)</w:t>
      </w:r>
      <w:r>
        <w:tab/>
        <w:t>A document given by ordinary service must comply with any requirements under these rules, a practice note or a direction.</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if the person to be given the document has specified or authorised a number for service by fax transmission, by sending the document to that fax number; or</w:t>
      </w:r>
    </w:p>
    <w:p>
      <w:pPr>
        <w:pStyle w:val="Indenta"/>
      </w:pPr>
      <w:r>
        <w:tab/>
        <w:t>(d)</w:t>
      </w:r>
      <w:r>
        <w:tab/>
        <w:t>if the person to be given the document has specified or authorised an address for service by email, by sending the document to that email address; or</w:t>
      </w:r>
    </w:p>
    <w:p>
      <w:pPr>
        <w:pStyle w:val="Indenta"/>
      </w:pPr>
      <w:r>
        <w:tab/>
        <w:t>(e)</w:t>
      </w:r>
      <w:r>
        <w:tab/>
        <w:t>if the person to be given the document is a public sector body, by sending the document to the body’s address for service in the proceedings.</w:t>
      </w:r>
    </w:p>
    <w:p>
      <w:pPr>
        <w:pStyle w:val="Ednotesubsection"/>
        <w:spacing w:before="150"/>
      </w:pPr>
      <w:r>
        <w:tab/>
        <w:t>[(3)-(5)</w:t>
      </w:r>
      <w:r>
        <w:tab/>
        <w:t>deleted]</w:t>
      </w:r>
    </w:p>
    <w:p>
      <w:pPr>
        <w:pStyle w:val="Subsection"/>
        <w:keepNext/>
      </w:pPr>
      <w:r>
        <w:lastRenderedPageBreak/>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fax transmission or email under subrule (2)(c), (d) or (e), at the time the fax or email is received.</w:t>
      </w:r>
    </w:p>
    <w:p>
      <w:pPr>
        <w:pStyle w:val="Subsection"/>
      </w:pPr>
      <w:r>
        <w:tab/>
        <w:t>(7)</w:t>
      </w:r>
      <w:r>
        <w:tab/>
        <w:t>If a fax or an email is received after 4.00 p.m. on any day, it is to be taken to have been received on the next business day.</w:t>
      </w:r>
    </w:p>
    <w:p>
      <w:pPr>
        <w:pStyle w:val="Footnotesection"/>
      </w:pPr>
      <w:r>
        <w:tab/>
        <w:t>[Rule 33 amended: Gazette 14 May 2013 p. 1970; 6 Feb 2015 p. 571.]</w:t>
      </w:r>
    </w:p>
    <w:p>
      <w:pPr>
        <w:pStyle w:val="Heading5"/>
      </w:pPr>
      <w:bookmarkStart w:id="58" w:name="_Toc123112665"/>
      <w:r>
        <w:rPr>
          <w:rStyle w:val="CharSectno"/>
        </w:rPr>
        <w:t>34</w:t>
      </w:r>
      <w:r>
        <w:t>.</w:t>
      </w:r>
      <w:r>
        <w:tab/>
        <w:t>Address for service</w:t>
      </w:r>
      <w:bookmarkEnd w:id="58"/>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fax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fax number or an email address of a public sector body.</w:t>
      </w:r>
    </w:p>
    <w:p>
      <w:pPr>
        <w:pStyle w:val="Subsection"/>
      </w:pPr>
      <w:r>
        <w:lastRenderedPageBreak/>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lastRenderedPageBreak/>
        <w:tab/>
        <w:t>[Rule 34 amended: Gazette 13 Apr 2007 p. 1684; 6 Feb 2015 p. 571.]</w:t>
      </w:r>
    </w:p>
    <w:p>
      <w:pPr>
        <w:pStyle w:val="Heading5"/>
      </w:pPr>
      <w:bookmarkStart w:id="59" w:name="_Toc123112666"/>
      <w:r>
        <w:rPr>
          <w:rStyle w:val="CharSectno"/>
        </w:rPr>
        <w:t>35</w:t>
      </w:r>
      <w:r>
        <w:t>.</w:t>
      </w:r>
      <w:r>
        <w:tab/>
        <w:t>Acceptance by legal practitioner or agent</w:t>
      </w:r>
      <w:bookmarkEnd w:id="59"/>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60" w:name="_Toc123112667"/>
      <w:r>
        <w:rPr>
          <w:rStyle w:val="CharSectno"/>
        </w:rPr>
        <w:t>36</w:t>
      </w:r>
      <w:r>
        <w:t>.</w:t>
      </w:r>
      <w:r>
        <w:tab/>
        <w:t>Substituted service</w:t>
      </w:r>
      <w:bookmarkEnd w:id="60"/>
    </w:p>
    <w:p>
      <w:pPr>
        <w:pStyle w:val="Subsection"/>
      </w:pPr>
      <w:r>
        <w:tab/>
        <w:t>(1)</w:t>
      </w:r>
      <w:r>
        <w:tab/>
        <w:t>If for any reason it is impractical to give a document in the manner set out in the rules, the Tribunal may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Footnotesection"/>
      </w:pPr>
      <w:r>
        <w:tab/>
        <w:t>[Rule 36 amended: Gazette 6 Feb 2015 p. 572.]</w:t>
      </w:r>
    </w:p>
    <w:p>
      <w:pPr>
        <w:pStyle w:val="Heading5"/>
        <w:spacing w:before="240"/>
      </w:pPr>
      <w:bookmarkStart w:id="61" w:name="_Toc123112668"/>
      <w:r>
        <w:rPr>
          <w:rStyle w:val="CharSectno"/>
        </w:rPr>
        <w:lastRenderedPageBreak/>
        <w:t>37</w:t>
      </w:r>
      <w:r>
        <w:t>.</w:t>
      </w:r>
      <w:r>
        <w:tab/>
        <w:t>Informal service: confirmation</w:t>
      </w:r>
      <w:bookmarkEnd w:id="61"/>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62" w:name="_Toc123112669"/>
      <w:r>
        <w:rPr>
          <w:rStyle w:val="CharSectno"/>
        </w:rPr>
        <w:t>38</w:t>
      </w:r>
      <w:r>
        <w:t>.</w:t>
      </w:r>
      <w:r>
        <w:tab/>
        <w:t>Proof of service</w:t>
      </w:r>
      <w:bookmarkEnd w:id="62"/>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63" w:name="_Toc122687091"/>
      <w:bookmarkStart w:id="64" w:name="_Toc122689797"/>
      <w:bookmarkStart w:id="65" w:name="_Toc123112670"/>
      <w:r>
        <w:rPr>
          <w:rStyle w:val="CharDivNo"/>
        </w:rPr>
        <w:t>Division 4</w:t>
      </w:r>
      <w:r>
        <w:t> — </w:t>
      </w:r>
      <w:r>
        <w:rPr>
          <w:rStyle w:val="CharDivText"/>
        </w:rPr>
        <w:t>Litigation guardian</w:t>
      </w:r>
      <w:bookmarkEnd w:id="63"/>
      <w:bookmarkEnd w:id="64"/>
      <w:bookmarkEnd w:id="65"/>
    </w:p>
    <w:p>
      <w:pPr>
        <w:pStyle w:val="Heading5"/>
      </w:pPr>
      <w:bookmarkStart w:id="66" w:name="_Toc123112671"/>
      <w:r>
        <w:rPr>
          <w:rStyle w:val="CharSectno"/>
        </w:rPr>
        <w:t>39</w:t>
      </w:r>
      <w:r>
        <w:t>.</w:t>
      </w:r>
      <w:r>
        <w:tab/>
        <w:t>Litigation guardian: section 40(2) of Act</w:t>
      </w:r>
      <w:bookmarkEnd w:id="66"/>
    </w:p>
    <w:p>
      <w:pPr>
        <w:pStyle w:val="Subsection"/>
      </w:pPr>
      <w:r>
        <w:tab/>
        <w:t>(1)</w:t>
      </w:r>
      <w:r>
        <w:tab/>
        <w:t xml:space="preserve">A person is qualified for appointment as a litigation guardian to conduct proceedings or proposed proceedings for a party or potential party if the person — </w:t>
      </w:r>
    </w:p>
    <w:p>
      <w:pPr>
        <w:pStyle w:val="Indenta"/>
      </w:pPr>
      <w:r>
        <w:tab/>
        <w:t>(a)</w:t>
      </w:r>
      <w:r>
        <w:tab/>
        <w:t>is an adult; and</w:t>
      </w:r>
    </w:p>
    <w:p>
      <w:pPr>
        <w:pStyle w:val="Indenta"/>
      </w:pPr>
      <w:r>
        <w:tab/>
        <w:t>(b)</w:t>
      </w:r>
      <w:r>
        <w:tab/>
        <w:t>has no interest in the proceedings or proposed proceedings that is adverse to the interest of the party or potential party; and</w:t>
      </w:r>
    </w:p>
    <w:p>
      <w:pPr>
        <w:pStyle w:val="Indenta"/>
      </w:pPr>
      <w:r>
        <w:tab/>
        <w:t>(c)</w:t>
      </w:r>
      <w:r>
        <w:tab/>
        <w:t>can fairly and competently conduct the proceedings or proposed proceedings for the party or potential party; and</w:t>
      </w:r>
    </w:p>
    <w:p>
      <w:pPr>
        <w:pStyle w:val="Indenta"/>
      </w:pPr>
      <w:r>
        <w:tab/>
        <w:t>(d)</w:t>
      </w:r>
      <w:r>
        <w:tab/>
        <w:t>has consented to act as the litigation guardian.</w:t>
      </w:r>
    </w:p>
    <w:p>
      <w:pPr>
        <w:pStyle w:val="Subsection"/>
        <w:keepNext/>
      </w:pPr>
      <w:r>
        <w:lastRenderedPageBreak/>
        <w:tab/>
        <w:t>(2)</w:t>
      </w:r>
      <w:r>
        <w:tab/>
        <w:t xml:space="preserve">On application by any person or of its own motion the Tribunal may — </w:t>
      </w:r>
    </w:p>
    <w:p>
      <w:pPr>
        <w:pStyle w:val="Indenta"/>
      </w:pPr>
      <w:r>
        <w:tab/>
        <w:t>(a)</w:t>
      </w:r>
      <w:r>
        <w:tab/>
        <w:t>under section 40(2) of the Act, appoint a qualified person as a litigation guardian for a party or potential party; or</w:t>
      </w:r>
    </w:p>
    <w:p>
      <w:pPr>
        <w:pStyle w:val="Indenta"/>
      </w:pPr>
      <w:r>
        <w:tab/>
        <w:t>(b)</w:t>
      </w:r>
      <w:r>
        <w:tab/>
        <w:t>remove a litigation guardian previously appointed; or</w:t>
      </w:r>
    </w:p>
    <w:p>
      <w:pPr>
        <w:pStyle w:val="Indenta"/>
      </w:pPr>
      <w:r>
        <w:tab/>
        <w:t>(c)</w:t>
      </w:r>
      <w:r>
        <w:tab/>
        <w:t>if satisfied that in the circumstances of the case it is proper to do so, permit a party or potential party to participate in the proceedings without a litigation guardian.</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Footnotesection"/>
      </w:pPr>
      <w:r>
        <w:tab/>
        <w:t>[Rule 39 amended: SL 2022/219 r. 13.]</w:t>
      </w:r>
    </w:p>
    <w:p>
      <w:pPr>
        <w:pStyle w:val="Heading3"/>
      </w:pPr>
      <w:bookmarkStart w:id="67" w:name="_Toc122687093"/>
      <w:bookmarkStart w:id="68" w:name="_Toc122689799"/>
      <w:bookmarkStart w:id="69" w:name="_Toc123112672"/>
      <w:r>
        <w:rPr>
          <w:rStyle w:val="CharDivNo"/>
        </w:rPr>
        <w:lastRenderedPageBreak/>
        <w:t>Division 4A</w:t>
      </w:r>
      <w:r>
        <w:t> — </w:t>
      </w:r>
      <w:r>
        <w:rPr>
          <w:rStyle w:val="CharDivText"/>
        </w:rPr>
        <w:t>Expert evidence</w:t>
      </w:r>
      <w:bookmarkEnd w:id="67"/>
      <w:bookmarkEnd w:id="68"/>
      <w:bookmarkEnd w:id="69"/>
    </w:p>
    <w:p>
      <w:pPr>
        <w:pStyle w:val="Footnoteheading"/>
        <w:keepNext/>
      </w:pPr>
      <w:r>
        <w:tab/>
        <w:t>[Heading inserted: Gazette 17 May 2016 p. 1491.]</w:t>
      </w:r>
    </w:p>
    <w:p>
      <w:pPr>
        <w:pStyle w:val="Heading5"/>
      </w:pPr>
      <w:bookmarkStart w:id="70" w:name="_Toc123112673"/>
      <w:r>
        <w:rPr>
          <w:rStyle w:val="CharSectno"/>
        </w:rPr>
        <w:t>39A</w:t>
      </w:r>
      <w:r>
        <w:t>.</w:t>
      </w:r>
      <w:r>
        <w:tab/>
        <w:t>Experts’ duties</w:t>
      </w:r>
      <w:bookmarkEnd w:id="70"/>
    </w:p>
    <w:p>
      <w:pPr>
        <w:pStyle w:val="Subsection"/>
      </w:pPr>
      <w:r>
        <w:tab/>
      </w:r>
      <w:r>
        <w:tab/>
        <w:t>An expert at a hearing, or at a conference referred to in rule 39B(1), has these paramount duties as to matters within their expertise —</w:t>
      </w:r>
    </w:p>
    <w:p>
      <w:pPr>
        <w:pStyle w:val="Indenta"/>
      </w:pPr>
      <w:r>
        <w:tab/>
        <w:t>(a)</w:t>
      </w:r>
      <w:r>
        <w:tab/>
        <w:t>to be impartial and independent;</w:t>
      </w:r>
    </w:p>
    <w:p>
      <w:pPr>
        <w:pStyle w:val="Indenta"/>
      </w:pPr>
      <w:r>
        <w:tab/>
        <w:t>(b)</w:t>
      </w:r>
      <w:r>
        <w:tab/>
        <w:t>to assist the Tribunal;</w:t>
      </w:r>
    </w:p>
    <w:p>
      <w:pPr>
        <w:pStyle w:val="Indenta"/>
      </w:pPr>
      <w:r>
        <w:tab/>
        <w:t>(c)</w:t>
      </w:r>
      <w:r>
        <w:tab/>
        <w:t>not to be an advocate for the party that has engaged them.</w:t>
      </w:r>
    </w:p>
    <w:p>
      <w:pPr>
        <w:pStyle w:val="Footnotesection"/>
      </w:pPr>
      <w:r>
        <w:tab/>
        <w:t>[Rule 39A inserted: Gazette 17 May 2016 p. 1491.]</w:t>
      </w:r>
    </w:p>
    <w:p>
      <w:pPr>
        <w:pStyle w:val="Heading5"/>
      </w:pPr>
      <w:bookmarkStart w:id="71" w:name="_Toc123112674"/>
      <w:r>
        <w:rPr>
          <w:rStyle w:val="CharSectno"/>
        </w:rPr>
        <w:t>39B</w:t>
      </w:r>
      <w:r>
        <w:t>.</w:t>
      </w:r>
      <w:r>
        <w:tab/>
        <w:t>Conference of experts pre-hearing</w:t>
      </w:r>
      <w:bookmarkEnd w:id="71"/>
    </w:p>
    <w:p>
      <w:pPr>
        <w:pStyle w:val="Subsection"/>
      </w:pPr>
      <w:r>
        <w:tab/>
        <w:t>(1)</w:t>
      </w:r>
      <w:r>
        <w:tab/>
        <w:t>This rule applies if in a proceeding the Tribunal orders experts with a common or overlapping expertise to confer and to file a joint statement about matters such as the points on which they agree and disagree.</w:t>
      </w:r>
    </w:p>
    <w:p>
      <w:pPr>
        <w:pStyle w:val="Subsection"/>
      </w:pPr>
      <w:r>
        <w:tab/>
        <w:t>(2)</w:t>
      </w:r>
      <w:r>
        <w:tab/>
        <w:t>Unless the Tribunal orders otherwise, the experts must confer in the absence of the parties and the parties’ representatives.</w:t>
      </w:r>
    </w:p>
    <w:p>
      <w:pPr>
        <w:pStyle w:val="Subsection"/>
      </w:pPr>
      <w:r>
        <w:tab/>
        <w:t>(3)</w:t>
      </w:r>
      <w:r>
        <w:tab/>
        <w:t>An expert who is required to confer must not, before the joint statement is filed, discuss any matter raised in the conference with, or disclose any such matter to, any person who is not part of the conference.</w:t>
      </w:r>
    </w:p>
    <w:p>
      <w:pPr>
        <w:pStyle w:val="Subsection"/>
      </w:pPr>
      <w:r>
        <w:tab/>
        <w:t>(4)</w:t>
      </w:r>
      <w:r>
        <w:tab/>
        <w:t>Evidence of anything said or done in the course of the conference of experts, other than the joint statement, is not admissible at any later stage of the proceeding without the Tribunal’s leave.</w:t>
      </w:r>
    </w:p>
    <w:p>
      <w:pPr>
        <w:pStyle w:val="Subsection"/>
      </w:pPr>
      <w:r>
        <w:tab/>
        <w:t>(5)</w:t>
      </w:r>
      <w:r>
        <w:tab/>
        <w:t>Unless the Tribunal orders otherwise, it will admit the joint statement filed by the experts into evidence at the hearing of the proceeding.</w:t>
      </w:r>
    </w:p>
    <w:p>
      <w:pPr>
        <w:pStyle w:val="Subsection"/>
      </w:pPr>
      <w:r>
        <w:lastRenderedPageBreak/>
        <w:tab/>
        <w:t>(6)</w:t>
      </w:r>
      <w:r>
        <w:tab/>
        <w:t>If the joint statement is admitted into evidence, no party can adduce any evidence inconsistent with any matters on which the statement says the experts agree, without the Tribunal’s leave.</w:t>
      </w:r>
    </w:p>
    <w:p>
      <w:pPr>
        <w:pStyle w:val="Footnotesection"/>
      </w:pPr>
      <w:r>
        <w:tab/>
        <w:t>[Rule 39B inserted: Gazette 17 May 2016 p. 1491.]</w:t>
      </w:r>
    </w:p>
    <w:p>
      <w:pPr>
        <w:pStyle w:val="Heading5"/>
      </w:pPr>
      <w:bookmarkStart w:id="72" w:name="_Toc123112675"/>
      <w:r>
        <w:rPr>
          <w:rStyle w:val="CharSectno"/>
        </w:rPr>
        <w:t>39C</w:t>
      </w:r>
      <w:r>
        <w:t>.</w:t>
      </w:r>
      <w:r>
        <w:tab/>
        <w:t>Experts to give evidence concurrently</w:t>
      </w:r>
      <w:bookmarkEnd w:id="72"/>
    </w:p>
    <w:p>
      <w:pPr>
        <w:pStyle w:val="Subsection"/>
      </w:pPr>
      <w:r>
        <w:tab/>
        <w:t>(1)</w:t>
      </w:r>
      <w:r>
        <w:tab/>
        <w:t>If at the hearing of a proceeding one or more of the parties propose to adduce evidence of 2 or more experts with a common or overlapping expertise then the experts must all be present (including by means of a video link or an audio link) together in the witness box at the same time, unless the Tribunal orders otherwise.</w:t>
      </w:r>
    </w:p>
    <w:p>
      <w:pPr>
        <w:pStyle w:val="Subsection"/>
      </w:pPr>
      <w:r>
        <w:tab/>
        <w:t>(2)</w:t>
      </w:r>
      <w:r>
        <w:tab/>
        <w:t>Subject to the Tribunal’s directions, when experts are together in the witness box —</w:t>
      </w:r>
    </w:p>
    <w:p>
      <w:pPr>
        <w:pStyle w:val="Indenta"/>
      </w:pPr>
      <w:r>
        <w:tab/>
        <w:t>(a)</w:t>
      </w:r>
      <w:r>
        <w:tab/>
        <w:t>they may be questioned together or separately by the Tribunal, the parties or the parties’ representatives; and</w:t>
      </w:r>
    </w:p>
    <w:p>
      <w:pPr>
        <w:pStyle w:val="Indenta"/>
      </w:pPr>
      <w:r>
        <w:tab/>
        <w:t>(b)</w:t>
      </w:r>
      <w:r>
        <w:tab/>
        <w:t>they may respond immediately to each other’s evidence; and</w:t>
      </w:r>
    </w:p>
    <w:p>
      <w:pPr>
        <w:pStyle w:val="Indenta"/>
        <w:keepNext/>
      </w:pPr>
      <w:r>
        <w:tab/>
        <w:t>(c)</w:t>
      </w:r>
      <w:r>
        <w:tab/>
        <w:t>they may ask each other questions.</w:t>
      </w:r>
    </w:p>
    <w:p>
      <w:pPr>
        <w:pStyle w:val="Footnotesection"/>
      </w:pPr>
      <w:r>
        <w:tab/>
        <w:t>[Rule 39C inserted: Gazette 17 May 2016 p. 1491</w:t>
      </w:r>
      <w:r>
        <w:noBreakHyphen/>
        <w:t>2.]</w:t>
      </w:r>
    </w:p>
    <w:p>
      <w:pPr>
        <w:pStyle w:val="Heading3"/>
      </w:pPr>
      <w:bookmarkStart w:id="73" w:name="_Toc122687097"/>
      <w:bookmarkStart w:id="74" w:name="_Toc122689803"/>
      <w:bookmarkStart w:id="75" w:name="_Toc123112676"/>
      <w:r>
        <w:rPr>
          <w:rStyle w:val="CharDivNo"/>
        </w:rPr>
        <w:t>Division 5</w:t>
      </w:r>
      <w:r>
        <w:t> — </w:t>
      </w:r>
      <w:r>
        <w:rPr>
          <w:rStyle w:val="CharDivText"/>
        </w:rPr>
        <w:t>Settlements</w:t>
      </w:r>
      <w:bookmarkEnd w:id="73"/>
      <w:bookmarkEnd w:id="74"/>
      <w:bookmarkEnd w:id="75"/>
    </w:p>
    <w:p>
      <w:pPr>
        <w:pStyle w:val="Heading5"/>
        <w:spacing w:before="180"/>
      </w:pPr>
      <w:bookmarkStart w:id="76" w:name="_Toc123112677"/>
      <w:r>
        <w:rPr>
          <w:rStyle w:val="CharSectno"/>
        </w:rPr>
        <w:t>40</w:t>
      </w:r>
      <w:r>
        <w:t>.</w:t>
      </w:r>
      <w:r>
        <w:tab/>
        <w:t>Settlement offers</w:t>
      </w:r>
      <w:bookmarkEnd w:id="76"/>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spacing w:before="130"/>
      </w:pPr>
      <w:r>
        <w:lastRenderedPageBreak/>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77" w:name="_Toc123112678"/>
      <w:r>
        <w:rPr>
          <w:rStyle w:val="CharSectno"/>
        </w:rPr>
        <w:t>41</w:t>
      </w:r>
      <w:r>
        <w:t>.</w:t>
      </w:r>
      <w:r>
        <w:tab/>
        <w:t>Acceptance of settlement offers</w:t>
      </w:r>
      <w:bookmarkEnd w:id="77"/>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Gazette 13 Apr 2006 p. 1558.]</w:t>
      </w:r>
    </w:p>
    <w:p>
      <w:pPr>
        <w:pStyle w:val="Heading3"/>
      </w:pPr>
      <w:bookmarkStart w:id="78" w:name="_Toc122687100"/>
      <w:bookmarkStart w:id="79" w:name="_Toc122689806"/>
      <w:bookmarkStart w:id="80" w:name="_Toc123112679"/>
      <w:r>
        <w:rPr>
          <w:rStyle w:val="CharDivNo"/>
        </w:rPr>
        <w:lastRenderedPageBreak/>
        <w:t>Division 6</w:t>
      </w:r>
      <w:r>
        <w:t> — </w:t>
      </w:r>
      <w:r>
        <w:rPr>
          <w:rStyle w:val="CharDivText"/>
        </w:rPr>
        <w:t>Costs</w:t>
      </w:r>
      <w:bookmarkEnd w:id="78"/>
      <w:bookmarkEnd w:id="79"/>
      <w:bookmarkEnd w:id="80"/>
    </w:p>
    <w:p>
      <w:pPr>
        <w:pStyle w:val="Heading5"/>
      </w:pPr>
      <w:bookmarkStart w:id="81" w:name="_Toc123112680"/>
      <w:r>
        <w:rPr>
          <w:rStyle w:val="CharSectno"/>
        </w:rPr>
        <w:t>42A</w:t>
      </w:r>
      <w:r>
        <w:t>.</w:t>
      </w:r>
      <w:r>
        <w:tab/>
        <w:t>Time within which costs application may be made</w:t>
      </w:r>
      <w:bookmarkEnd w:id="81"/>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Gazette 14 May 2013 p. 1970.]</w:t>
      </w:r>
    </w:p>
    <w:p>
      <w:pPr>
        <w:pStyle w:val="Heading5"/>
      </w:pPr>
      <w:bookmarkStart w:id="82" w:name="_Toc123112681"/>
      <w:r>
        <w:rPr>
          <w:rStyle w:val="CharSectno"/>
        </w:rPr>
        <w:t>42</w:t>
      </w:r>
      <w:r>
        <w:t>.</w:t>
      </w:r>
      <w:r>
        <w:tab/>
        <w:t>Order for costs if settlement offer is rejected</w:t>
      </w:r>
      <w:bookmarkEnd w:id="82"/>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83" w:name="_Toc123112682"/>
      <w:r>
        <w:rPr>
          <w:rStyle w:val="CharSectno"/>
        </w:rPr>
        <w:t>43</w:t>
      </w:r>
      <w:r>
        <w:t>.</w:t>
      </w:r>
      <w:r>
        <w:tab/>
        <w:t>Amount of costs</w:t>
      </w:r>
      <w:bookmarkEnd w:id="83"/>
    </w:p>
    <w:p>
      <w:pPr>
        <w:pStyle w:val="Subsection"/>
      </w:pPr>
      <w:r>
        <w:tab/>
        <w:t>(1)</w:t>
      </w:r>
      <w:r>
        <w:tab/>
        <w:t xml:space="preserve">If the Tribunal makes an order under the Act Part 4 Division 5 for the payment of costs and does not fix the amount of costs, </w:t>
      </w:r>
      <w:r>
        <w:lastRenderedPageBreak/>
        <w:t xml:space="preserve">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84" w:name="_Toc122687104"/>
      <w:bookmarkStart w:id="85" w:name="_Toc122689810"/>
      <w:bookmarkStart w:id="86" w:name="_Toc123112683"/>
      <w:r>
        <w:rPr>
          <w:rStyle w:val="CharDivNo"/>
        </w:rPr>
        <w:t>Division 7</w:t>
      </w:r>
      <w:r>
        <w:t> — </w:t>
      </w:r>
      <w:r>
        <w:rPr>
          <w:rStyle w:val="CharDivText"/>
        </w:rPr>
        <w:t>Miscellaneous</w:t>
      </w:r>
      <w:bookmarkEnd w:id="84"/>
      <w:bookmarkEnd w:id="85"/>
      <w:bookmarkEnd w:id="86"/>
    </w:p>
    <w:p>
      <w:pPr>
        <w:pStyle w:val="Ednotesection"/>
      </w:pPr>
      <w:r>
        <w:t>[</w:t>
      </w:r>
      <w:r>
        <w:rPr>
          <w:b/>
        </w:rPr>
        <w:t>44.</w:t>
      </w:r>
      <w:r>
        <w:tab/>
        <w:t>Deleted: Gazette 6 Feb 2015 p. 572.]</w:t>
      </w:r>
    </w:p>
    <w:p>
      <w:pPr>
        <w:pStyle w:val="Heading5"/>
      </w:pPr>
      <w:bookmarkStart w:id="87" w:name="_Toc123112684"/>
      <w:r>
        <w:rPr>
          <w:rStyle w:val="CharSectno"/>
        </w:rPr>
        <w:t>45</w:t>
      </w:r>
      <w:r>
        <w:t>.</w:t>
      </w:r>
      <w:r>
        <w:tab/>
        <w:t>Barring people from being agents representing parties</w:t>
      </w:r>
      <w:bookmarkEnd w:id="87"/>
    </w:p>
    <w:p>
      <w:pPr>
        <w:pStyle w:val="Subsection"/>
      </w:pPr>
      <w:r>
        <w:tab/>
        <w:t>(1)</w:t>
      </w:r>
      <w:r>
        <w:tab/>
        <w:t>If a judicial member is satisfied a person, other than a legal practitioner —</w:t>
      </w:r>
    </w:p>
    <w:p>
      <w:pPr>
        <w:pStyle w:val="Indenta"/>
      </w:pPr>
      <w:r>
        <w:t xml:space="preserve"> </w:t>
      </w:r>
      <w:r>
        <w:tab/>
        <w:t>(a)</w:t>
      </w:r>
      <w:r>
        <w:tab/>
        <w:t>has, under the Act section 39(1), represented a party to a proceeding before the Tribunal; and</w:t>
      </w:r>
    </w:p>
    <w:p>
      <w:pPr>
        <w:pStyle w:val="Indenta"/>
      </w:pPr>
      <w:r>
        <w:tab/>
        <w:t>(b)</w:t>
      </w:r>
      <w:r>
        <w:tab/>
        <w:t>in doing so has acted inappropriately or improperly,</w:t>
      </w:r>
    </w:p>
    <w:p>
      <w:pPr>
        <w:pStyle w:val="Subsection"/>
      </w:pPr>
      <w:r>
        <w:tab/>
      </w:r>
      <w:r>
        <w:tab/>
        <w:t>the judicial member may, by order, prohibit the person from again representing a party.</w:t>
      </w:r>
    </w:p>
    <w:p>
      <w:pPr>
        <w:pStyle w:val="Subsection"/>
      </w:pPr>
      <w:r>
        <w:lastRenderedPageBreak/>
        <w:tab/>
        <w:t>(2)</w:t>
      </w:r>
      <w:r>
        <w:tab/>
        <w:t>The practice and procedure for making an order under subrule (1) is to be determined by the President.</w:t>
      </w:r>
    </w:p>
    <w:p>
      <w:pPr>
        <w:pStyle w:val="Footnotesection"/>
      </w:pPr>
      <w:r>
        <w:tab/>
        <w:t>[Rule 45 inserted: Gazette 17 May 2016 p. 1492.]</w:t>
      </w:r>
    </w:p>
    <w:p>
      <w:pPr>
        <w:pStyle w:val="Heading5"/>
      </w:pPr>
      <w:bookmarkStart w:id="88" w:name="_Toc123112685"/>
      <w:r>
        <w:rPr>
          <w:rStyle w:val="CharSectno"/>
        </w:rPr>
        <w:t>46</w:t>
      </w:r>
      <w:r>
        <w:t>.</w:t>
      </w:r>
      <w:r>
        <w:tab/>
        <w:t>Dispensing with compliance with requirement of a rule</w:t>
      </w:r>
      <w:bookmarkEnd w:id="88"/>
    </w:p>
    <w:p>
      <w:pPr>
        <w:pStyle w:val="Subsection"/>
      </w:pPr>
      <w:r>
        <w:tab/>
      </w:r>
      <w:r>
        <w:tab/>
        <w:t>The Tribunal may dispense with compliance with a requirement of a rule, either before or after the time for compliance with the requirement arises.</w:t>
      </w:r>
    </w:p>
    <w:p>
      <w:pPr>
        <w:pStyle w:val="Footnotesection"/>
      </w:pPr>
      <w:r>
        <w:tab/>
        <w:t>[Rule 46 amended: Gazette 6 Feb 2015 p. 572.]</w:t>
      </w:r>
    </w:p>
    <w:p>
      <w:pPr>
        <w:pStyle w:val="Heading5"/>
      </w:pPr>
      <w:bookmarkStart w:id="89" w:name="_Toc123112686"/>
      <w:r>
        <w:rPr>
          <w:rStyle w:val="CharSectno"/>
        </w:rPr>
        <w:t>47</w:t>
      </w:r>
      <w:r>
        <w:t>.</w:t>
      </w:r>
      <w:r>
        <w:tab/>
        <w:t>Forms</w:t>
      </w:r>
      <w:bookmarkEnd w:id="89"/>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 xml:space="preserve">A form may be accepted by the executive officer or dealt with by the Tribunal if it is substantially in the approved form </w:t>
      </w:r>
      <w:bookmarkStart w:id="90" w:name="_Hlk121145613"/>
      <w:r>
        <w:t>and</w:t>
      </w:r>
      <w:bookmarkEnd w:id="90"/>
      <w:r>
        <w:t xml:space="preserve"> has been substantially completed.</w:t>
      </w:r>
    </w:p>
    <w:p>
      <w:pPr>
        <w:pStyle w:val="Subsection"/>
      </w:pPr>
      <w:r>
        <w:tab/>
        <w:t>(4)</w:t>
      </w:r>
      <w:r>
        <w:tab/>
        <w:t>The executive officer is to make the approved forms available to persons requiring them.</w:t>
      </w:r>
    </w:p>
    <w:p>
      <w:pPr>
        <w:pStyle w:val="Footnotesection"/>
      </w:pPr>
      <w:r>
        <w:tab/>
        <w:t>[Rule 47 amended: SL 2022/219 r. 14.]</w:t>
      </w:r>
    </w:p>
    <w:p>
      <w:pPr>
        <w:pStyle w:val="Heading2"/>
      </w:pPr>
      <w:bookmarkStart w:id="91" w:name="_Toc122687108"/>
      <w:bookmarkStart w:id="92" w:name="_Toc122689814"/>
      <w:bookmarkStart w:id="93" w:name="_Toc123112687"/>
      <w:r>
        <w:rPr>
          <w:rStyle w:val="CharPartNo"/>
        </w:rPr>
        <w:lastRenderedPageBreak/>
        <w:t>Part 3</w:t>
      </w:r>
      <w:r>
        <w:rPr>
          <w:rStyle w:val="CharDivNo"/>
        </w:rPr>
        <w:t> </w:t>
      </w:r>
      <w:r>
        <w:t>—</w:t>
      </w:r>
      <w:r>
        <w:rPr>
          <w:rStyle w:val="CharDivText"/>
        </w:rPr>
        <w:t> </w:t>
      </w:r>
      <w:r>
        <w:rPr>
          <w:rStyle w:val="CharPartText"/>
        </w:rPr>
        <w:t>Special rules</w:t>
      </w:r>
      <w:bookmarkEnd w:id="91"/>
      <w:bookmarkEnd w:id="92"/>
      <w:bookmarkEnd w:id="93"/>
    </w:p>
    <w:p>
      <w:pPr>
        <w:pStyle w:val="Heading5"/>
      </w:pPr>
      <w:bookmarkStart w:id="94" w:name="_Toc123112688"/>
      <w:r>
        <w:rPr>
          <w:rStyle w:val="CharSectno"/>
        </w:rPr>
        <w:t>48</w:t>
      </w:r>
      <w:r>
        <w:t>.</w:t>
      </w:r>
      <w:r>
        <w:tab/>
      </w:r>
      <w:r>
        <w:rPr>
          <w:i/>
        </w:rPr>
        <w:t>Animal Welfare Act 2002</w:t>
      </w:r>
      <w:bookmarkEnd w:id="94"/>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pPr>
      <w:bookmarkStart w:id="95" w:name="_Toc123112689"/>
      <w:r>
        <w:rPr>
          <w:rStyle w:val="CharSectno"/>
        </w:rPr>
        <w:t>48A</w:t>
      </w:r>
      <w:r>
        <w:t>.</w:t>
      </w:r>
      <w:r>
        <w:tab/>
      </w:r>
      <w:r>
        <w:rPr>
          <w:i/>
        </w:rPr>
        <w:t>Community Titles Act 2018</w:t>
      </w:r>
      <w:bookmarkEnd w:id="95"/>
    </w:p>
    <w:p>
      <w:pPr>
        <w:pStyle w:val="Subsection"/>
      </w:pPr>
      <w:r>
        <w:tab/>
      </w:r>
      <w:r>
        <w:tab/>
        <w:t xml:space="preserve">If a community corporation is given a copy of an application under the Act section 45, the community corporation must give a copy of the application to the persons referred to in the </w:t>
      </w:r>
      <w:r>
        <w:rPr>
          <w:i/>
        </w:rPr>
        <w:t>Community Titles Act 2018</w:t>
      </w:r>
      <w:r>
        <w:rPr>
          <w:iCs/>
        </w:rPr>
        <w:t xml:space="preserve"> </w:t>
      </w:r>
      <w:r>
        <w:t>section 163(2)(a), (b) or (c).</w:t>
      </w:r>
    </w:p>
    <w:p>
      <w:pPr>
        <w:pStyle w:val="Footnotesection"/>
        <w:rPr>
          <w:rStyle w:val="CharSectno"/>
        </w:rPr>
      </w:pPr>
      <w:r>
        <w:tab/>
        <w:t>[Rule 48A inserted: SL 2021/123 r. 4.]</w:t>
      </w:r>
    </w:p>
    <w:p>
      <w:pPr>
        <w:pStyle w:val="Heading5"/>
        <w:rPr>
          <w:i/>
        </w:rPr>
      </w:pPr>
      <w:bookmarkStart w:id="96" w:name="_Toc123112690"/>
      <w:r>
        <w:rPr>
          <w:rStyle w:val="CharSectno"/>
        </w:rPr>
        <w:t>49</w:t>
      </w:r>
      <w:r>
        <w:t>.</w:t>
      </w:r>
      <w:r>
        <w:tab/>
      </w:r>
      <w:r>
        <w:rPr>
          <w:i/>
        </w:rPr>
        <w:t>Credit (Administration) Act 1984</w:t>
      </w:r>
      <w:bookmarkEnd w:id="96"/>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97" w:name="_Toc123112691"/>
      <w:r>
        <w:rPr>
          <w:rStyle w:val="CharSectno"/>
        </w:rPr>
        <w:t>50</w:t>
      </w:r>
      <w:r>
        <w:t>.</w:t>
      </w:r>
      <w:r>
        <w:tab/>
      </w:r>
      <w:r>
        <w:rPr>
          <w:i/>
        </w:rPr>
        <w:t>Employment Agents Act 1976</w:t>
      </w:r>
      <w:bookmarkEnd w:id="97"/>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98" w:name="_Toc123112692"/>
      <w:r>
        <w:rPr>
          <w:rStyle w:val="CharSectno"/>
        </w:rPr>
        <w:lastRenderedPageBreak/>
        <w:t>51</w:t>
      </w:r>
      <w:r>
        <w:t>.</w:t>
      </w:r>
      <w:r>
        <w:tab/>
      </w:r>
      <w:r>
        <w:rPr>
          <w:i/>
        </w:rPr>
        <w:t>Equal Opportunity Act 1984</w:t>
      </w:r>
      <w:bookmarkEnd w:id="98"/>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Gazette 28 Mar 2008 p. 918; 29 Aug 2008 p. 4043.]</w:t>
      </w:r>
    </w:p>
    <w:p>
      <w:pPr>
        <w:pStyle w:val="Heading5"/>
      </w:pPr>
      <w:bookmarkStart w:id="99" w:name="_Toc123112693"/>
      <w:r>
        <w:rPr>
          <w:rStyle w:val="CharSectno"/>
        </w:rPr>
        <w:t>52</w:t>
      </w:r>
      <w:r>
        <w:t>.</w:t>
      </w:r>
      <w:r>
        <w:tab/>
      </w:r>
      <w:r>
        <w:rPr>
          <w:i/>
        </w:rPr>
        <w:t>Firearms Act 1973</w:t>
      </w:r>
      <w:bookmarkEnd w:id="99"/>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lastRenderedPageBreak/>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Gazette 14 Oct 2005 p. 4570.]</w:t>
      </w:r>
    </w:p>
    <w:p>
      <w:pPr>
        <w:pStyle w:val="Heading5"/>
      </w:pPr>
      <w:bookmarkStart w:id="100" w:name="_Toc123112694"/>
      <w:r>
        <w:rPr>
          <w:rStyle w:val="CharSectno"/>
        </w:rPr>
        <w:t>53</w:t>
      </w:r>
      <w:r>
        <w:t>.</w:t>
      </w:r>
      <w:r>
        <w:tab/>
      </w:r>
      <w:r>
        <w:rPr>
          <w:i/>
        </w:rPr>
        <w:t>Fish Resources Management Act 1994</w:t>
      </w:r>
      <w:bookmarkEnd w:id="100"/>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1</w:t>
      </w:r>
      <w:r>
        <w:t xml:space="preserve"> is to be refunded to the applicant.</w:t>
      </w:r>
    </w:p>
    <w:p>
      <w:pPr>
        <w:pStyle w:val="Heading5"/>
      </w:pPr>
      <w:bookmarkStart w:id="101" w:name="_Toc123112695"/>
      <w:r>
        <w:rPr>
          <w:rStyle w:val="CharSectno"/>
        </w:rPr>
        <w:t>54</w:t>
      </w:r>
      <w:r>
        <w:t>.</w:t>
      </w:r>
      <w:r>
        <w:tab/>
      </w:r>
      <w:r>
        <w:rPr>
          <w:i/>
        </w:rPr>
        <w:t>Guardianship and Administration Act 1990</w:t>
      </w:r>
      <w:bookmarkEnd w:id="101"/>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02" w:name="_Toc123112696"/>
      <w:r>
        <w:rPr>
          <w:rStyle w:val="CharSectno"/>
        </w:rPr>
        <w:t>55</w:t>
      </w:r>
      <w:r>
        <w:t>.</w:t>
      </w:r>
      <w:r>
        <w:tab/>
      </w:r>
      <w:r>
        <w:rPr>
          <w:i/>
        </w:rPr>
        <w:t>Medical Act 1894</w:t>
      </w:r>
      <w:bookmarkEnd w:id="102"/>
    </w:p>
    <w:p>
      <w:pPr>
        <w:pStyle w:val="Subsection"/>
      </w:pPr>
      <w:r>
        <w:tab/>
      </w:r>
      <w:r>
        <w:tab/>
        <w:t xml:space="preserve">Under the Act section 39(1)(f), a person who makes an application for review under the </w:t>
      </w:r>
      <w:r>
        <w:rPr>
          <w:i/>
        </w:rPr>
        <w:t>Medical Act 1894</w:t>
      </w:r>
      <w:r>
        <w:rPr>
          <w:vertAlign w:val="superscript"/>
        </w:rPr>
        <w:t> 2</w:t>
      </w:r>
      <w:r>
        <w:t xml:space="preserve"> </w:t>
      </w:r>
      <w:r>
        <w:lastRenderedPageBreak/>
        <w:t>section 13(8) is authorised to be represented by a person other than a legal practitioner.</w:t>
      </w:r>
    </w:p>
    <w:p>
      <w:pPr>
        <w:pStyle w:val="Heading5"/>
        <w:rPr>
          <w:i/>
        </w:rPr>
      </w:pPr>
      <w:bookmarkStart w:id="103" w:name="_Toc123112697"/>
      <w:r>
        <w:rPr>
          <w:rStyle w:val="CharSectno"/>
        </w:rPr>
        <w:t>56</w:t>
      </w:r>
      <w:r>
        <w:t>.</w:t>
      </w:r>
      <w:r>
        <w:tab/>
      </w:r>
      <w:r>
        <w:rPr>
          <w:i/>
        </w:rPr>
        <w:t>Mental Health Act 1996</w:t>
      </w:r>
      <w:bookmarkEnd w:id="103"/>
    </w:p>
    <w:p>
      <w:pPr>
        <w:pStyle w:val="Subsection"/>
        <w:keepNext/>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2014</w:t>
      </w:r>
      <w:r>
        <w:t xml:space="preserve"> section 4.</w:t>
      </w:r>
    </w:p>
    <w:p>
      <w:pPr>
        <w:pStyle w:val="Ednotesubsection"/>
      </w:pPr>
      <w:r>
        <w:tab/>
        <w:t>[(2)</w:t>
      </w:r>
      <w:r>
        <w:tab/>
        <w:t>deleted]</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lastRenderedPageBreak/>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Footnotesection"/>
      </w:pPr>
      <w:r>
        <w:tab/>
        <w:t>[Rule 56 amended: Gazette 12 Feb 2016 p. 384.]</w:t>
      </w:r>
    </w:p>
    <w:p>
      <w:pPr>
        <w:pStyle w:val="Heading5"/>
      </w:pPr>
      <w:bookmarkStart w:id="104" w:name="_Toc123112698"/>
      <w:r>
        <w:rPr>
          <w:rStyle w:val="CharSectno"/>
        </w:rPr>
        <w:t>57</w:t>
      </w:r>
      <w:r>
        <w:t>.</w:t>
      </w:r>
      <w:r>
        <w:tab/>
      </w:r>
      <w:r>
        <w:rPr>
          <w:i/>
          <w:iCs/>
        </w:rPr>
        <w:t>Pawnbrokers and Second</w:t>
      </w:r>
      <w:r>
        <w:rPr>
          <w:i/>
          <w:iCs/>
        </w:rPr>
        <w:noBreakHyphen/>
        <w:t>hand Dealers Act 1994</w:t>
      </w:r>
      <w:bookmarkEnd w:id="104"/>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Gazette 14 Oct 2005 p. 4570; amended: Gazette 13 Apr 2007 p. 1684.]</w:t>
      </w:r>
    </w:p>
    <w:p>
      <w:pPr>
        <w:pStyle w:val="Heading5"/>
        <w:rPr>
          <w:bCs/>
        </w:rPr>
      </w:pPr>
      <w:bookmarkStart w:id="105" w:name="_Toc123112699"/>
      <w:r>
        <w:rPr>
          <w:rStyle w:val="CharSectno"/>
        </w:rPr>
        <w:t>58</w:t>
      </w:r>
      <w:r>
        <w:t>.</w:t>
      </w:r>
      <w:r>
        <w:tab/>
      </w:r>
      <w:r>
        <w:rPr>
          <w:bCs/>
          <w:i/>
          <w:iCs/>
        </w:rPr>
        <w:t>Public Order in Streets Act 1984</w:t>
      </w:r>
      <w:bookmarkEnd w:id="105"/>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lastRenderedPageBreak/>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Gazette 14 Oct 2005 p. 4570; 13 Apr 2007 p. 1685.]</w:t>
      </w:r>
    </w:p>
    <w:p>
      <w:pPr>
        <w:pStyle w:val="Heading5"/>
        <w:rPr>
          <w:i/>
        </w:rPr>
      </w:pPr>
      <w:bookmarkStart w:id="106" w:name="_Toc123112700"/>
      <w:r>
        <w:rPr>
          <w:rStyle w:val="CharSectno"/>
        </w:rPr>
        <w:t>59</w:t>
      </w:r>
      <w:r>
        <w:t>.</w:t>
      </w:r>
      <w:r>
        <w:tab/>
      </w:r>
      <w:r>
        <w:rPr>
          <w:i/>
        </w:rPr>
        <w:t>Retirement Villages Act 1992</w:t>
      </w:r>
      <w:bookmarkEnd w:id="106"/>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t xml:space="preserve">a person who is in the course of completing the practical legal training requirements specified in the </w:t>
      </w:r>
      <w:r>
        <w:rPr>
          <w:i/>
        </w:rPr>
        <w:t>Legal Profession Uniform Rules (WA)</w:t>
      </w:r>
      <w:r>
        <w:t xml:space="preserve"> for the purposes of the </w:t>
      </w:r>
      <w:r>
        <w:rPr>
          <w:i/>
        </w:rPr>
        <w:t xml:space="preserve">Legal Profession Uniform Law (WA) </w:t>
      </w:r>
      <w:r>
        <w:t>section 17(1)(b);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keepNext/>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lastRenderedPageBreak/>
        <w:tab/>
        <w:t>(b)</w:t>
      </w:r>
      <w:r>
        <w:tab/>
        <w:t>no other party will be unfairly disadvantaged by the fact that the agent is allowed so to act.</w:t>
      </w:r>
    </w:p>
    <w:p>
      <w:pPr>
        <w:pStyle w:val="Subsection"/>
        <w:keepNext/>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keepNext/>
      </w:pPr>
      <w:r>
        <w:tab/>
        <w:t>(4)</w:t>
      </w:r>
      <w:r>
        <w:tab/>
        <w:t>Subrule (3) does not apply to a minor proceeding as defined in the Act section 93(1).</w:t>
      </w:r>
    </w:p>
    <w:p>
      <w:pPr>
        <w:pStyle w:val="Footnotesection"/>
      </w:pPr>
      <w:r>
        <w:tab/>
        <w:t>[Rule 59 amended: Gazette 9 Jul 2010 p. 3242; SL 2022/73 r. 4.]</w:t>
      </w:r>
    </w:p>
    <w:p>
      <w:pPr>
        <w:pStyle w:val="Heading5"/>
        <w:rPr>
          <w:i/>
        </w:rPr>
      </w:pPr>
      <w:bookmarkStart w:id="107" w:name="_Toc123112701"/>
      <w:r>
        <w:rPr>
          <w:rStyle w:val="CharSectno"/>
        </w:rPr>
        <w:t>60</w:t>
      </w:r>
      <w:r>
        <w:t>.</w:t>
      </w:r>
      <w:r>
        <w:tab/>
      </w:r>
      <w:r>
        <w:rPr>
          <w:i/>
        </w:rPr>
        <w:t>Rights in Water and Irrigation Act 1914</w:t>
      </w:r>
      <w:bookmarkEnd w:id="107"/>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 xml:space="preserve">State </w:t>
      </w:r>
      <w:r>
        <w:rPr>
          <w:i/>
          <w:iCs/>
        </w:rPr>
        <w:lastRenderedPageBreak/>
        <w:t>Administrative Tribunal Regulations 2004</w:t>
      </w:r>
      <w:r>
        <w:t xml:space="preserve"> Schedule 15</w:t>
      </w:r>
      <w:r>
        <w:rPr>
          <w:vertAlign w:val="superscript"/>
        </w:rPr>
        <w:t> 1</w:t>
      </w:r>
      <w:r>
        <w:t xml:space="preserve"> paid by the applicant.</w:t>
      </w:r>
    </w:p>
    <w:p>
      <w:pPr>
        <w:pStyle w:val="Heading5"/>
      </w:pPr>
      <w:bookmarkStart w:id="108" w:name="_Toc123112702"/>
      <w:r>
        <w:rPr>
          <w:rStyle w:val="CharSectno"/>
        </w:rPr>
        <w:t>61</w:t>
      </w:r>
      <w:r>
        <w:t>.</w:t>
      </w:r>
      <w:r>
        <w:tab/>
      </w:r>
      <w:r>
        <w:rPr>
          <w:i/>
        </w:rPr>
        <w:t>Security and Related Activities (Control) Act 1996</w:t>
      </w:r>
      <w:bookmarkEnd w:id="108"/>
    </w:p>
    <w:p>
      <w:pPr>
        <w:pStyle w:val="Subsection"/>
        <w:keepNext/>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pPr>
      <w:r>
        <w:tab/>
        <w:t>(b)</w:t>
      </w:r>
      <w:r>
        <w:tab/>
        <w:t>a reference by the Commissioner to the Tribunal under section 67(3b)</w:t>
      </w:r>
      <w:r>
        <w:rPr>
          <w:vertAlign w:val="superscript"/>
        </w:rPr>
        <w:t> 3</w:t>
      </w:r>
      <w:r>
        <w:t xml:space="preserve"> of that Act; and</w:t>
      </w:r>
    </w:p>
    <w:p>
      <w:pPr>
        <w:pStyle w:val="Indenta"/>
      </w:pPr>
      <w:r>
        <w:tab/>
        <w:t>(c)</w:t>
      </w:r>
      <w:r>
        <w:tab/>
        <w:t>an application for review under section 72 of that Act.</w:t>
      </w:r>
    </w:p>
    <w:p>
      <w:pPr>
        <w:pStyle w:val="Subsection"/>
        <w:keepNext/>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Ednotesubsection"/>
        <w:keepNext/>
      </w:pPr>
      <w:r>
        <w:tab/>
        <w:t>[(5)</w:t>
      </w:r>
      <w:r>
        <w:tab/>
        <w:t>deleted]</w:t>
      </w:r>
    </w:p>
    <w:p>
      <w:pPr>
        <w:pStyle w:val="Footnotesection"/>
      </w:pPr>
      <w:r>
        <w:tab/>
        <w:t>[Rule 61 amended: Gazette 14 Oct 2005 p. 4570; 29 Aug 2008 p. 4043-4; 6 Feb 2015 p. 572.]</w:t>
      </w:r>
    </w:p>
    <w:p>
      <w:pPr>
        <w:pStyle w:val="Heading5"/>
      </w:pPr>
      <w:bookmarkStart w:id="109" w:name="_Toc123112703"/>
      <w:r>
        <w:rPr>
          <w:rStyle w:val="CharSectno"/>
        </w:rPr>
        <w:t>62</w:t>
      </w:r>
      <w:r>
        <w:t>.</w:t>
      </w:r>
      <w:r>
        <w:tab/>
      </w:r>
      <w:r>
        <w:rPr>
          <w:i/>
        </w:rPr>
        <w:t>Strata Titles Act 1985</w:t>
      </w:r>
      <w:bookmarkEnd w:id="109"/>
    </w:p>
    <w:p>
      <w:pPr>
        <w:pStyle w:val="Subsection"/>
        <w:keepNext/>
        <w:rPr>
          <w:iCs/>
        </w:rPr>
      </w:pPr>
      <w:r>
        <w:tab/>
      </w:r>
      <w:r>
        <w:tab/>
        <w:t xml:space="preserve">If a strata company is given a copy of an application under the Act section 45, the strata company must give a copy of the </w:t>
      </w:r>
      <w:r>
        <w:lastRenderedPageBreak/>
        <w:t xml:space="preserve">application to the persons referred to in the </w:t>
      </w:r>
      <w:r>
        <w:rPr>
          <w:i/>
        </w:rPr>
        <w:t>Strata Titles Act 1985</w:t>
      </w:r>
      <w:r>
        <w:rPr>
          <w:iCs/>
        </w:rPr>
        <w:t xml:space="preserve"> </w:t>
      </w:r>
      <w:r>
        <w:t>section 198(2)(a), (b) or (c).</w:t>
      </w:r>
    </w:p>
    <w:p>
      <w:pPr>
        <w:pStyle w:val="Footnotesection"/>
      </w:pPr>
      <w:r>
        <w:tab/>
        <w:t>[Rule 62 amended: Gazette 31 Dec 2019 p. 4661.]</w:t>
      </w:r>
    </w:p>
    <w:p>
      <w:pPr>
        <w:pStyle w:val="Heading5"/>
        <w:rPr>
          <w:bCs/>
        </w:rPr>
      </w:pPr>
      <w:bookmarkStart w:id="110" w:name="_Toc123112704"/>
      <w:r>
        <w:rPr>
          <w:rStyle w:val="CharSectno"/>
        </w:rPr>
        <w:t>63</w:t>
      </w:r>
      <w:r>
        <w:rPr>
          <w:bCs/>
        </w:rPr>
        <w:t>.</w:t>
      </w:r>
      <w:r>
        <w:rPr>
          <w:bCs/>
        </w:rPr>
        <w:tab/>
      </w:r>
      <w:r>
        <w:rPr>
          <w:bCs/>
          <w:i/>
        </w:rPr>
        <w:t>Planning and Development Act 2005</w:t>
      </w:r>
      <w:bookmarkEnd w:id="110"/>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 xml:space="preserve">Under the Act section 39(1)(f) a party to the review is authorised to be represented by an agent, unless the review is one referred to in the </w:t>
      </w:r>
      <w:r>
        <w:rPr>
          <w:i/>
        </w:rPr>
        <w:t>Planning and Development Act 2005</w:t>
      </w:r>
      <w:r>
        <w:t xml:space="preserve"> section 244 and is applied for by a party.</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keepNext/>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pPr>
        <w:pStyle w:val="Footnotesection"/>
      </w:pPr>
      <w:r>
        <w:tab/>
        <w:t>[Rule 63 inserted: Gazette 13 Apr 2006 p. 1558; amended: Gazette 29 Aug 2008 p. 4044; 28 Jan 2014 p. 182; 17 May 2016 p. 1492.]</w:t>
      </w:r>
    </w:p>
    <w:p>
      <w:pPr>
        <w:pStyle w:val="Heading5"/>
      </w:pPr>
      <w:bookmarkStart w:id="111" w:name="_Toc123112705"/>
      <w:r>
        <w:rPr>
          <w:rStyle w:val="CharSectno"/>
        </w:rPr>
        <w:t>64</w:t>
      </w:r>
      <w:r>
        <w:t>.</w:t>
      </w:r>
      <w:r>
        <w:tab/>
      </w:r>
      <w:r>
        <w:rPr>
          <w:i/>
        </w:rPr>
        <w:t>Taxation Administration Act 2003</w:t>
      </w:r>
      <w:bookmarkEnd w:id="111"/>
    </w:p>
    <w:p>
      <w:pPr>
        <w:pStyle w:val="Subsection"/>
        <w:keepNext/>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2"/>
          <w:headerReference w:type="default" r:id="rId23"/>
          <w:headerReference w:type="first" r:id="rId24"/>
          <w:endnotePr>
            <w:numFmt w:val="decimal"/>
          </w:endnotePr>
          <w:pgSz w:w="11907" w:h="16840" w:code="9"/>
          <w:pgMar w:top="2376" w:right="2404" w:bottom="3544" w:left="2404" w:header="720" w:footer="3380" w:gutter="0"/>
          <w:pgNumType w:start="1"/>
          <w:cols w:space="720"/>
          <w:noEndnote/>
          <w:titlePg/>
          <w:docGrid w:linePitch="326"/>
        </w:sectPr>
      </w:pPr>
    </w:p>
    <w:p>
      <w:pPr>
        <w:pStyle w:val="nHeading2"/>
      </w:pPr>
      <w:bookmarkStart w:id="112" w:name="_Toc122687127"/>
      <w:bookmarkStart w:id="113" w:name="_Toc122689833"/>
      <w:bookmarkStart w:id="114" w:name="_Toc123112706"/>
      <w:r>
        <w:lastRenderedPageBreak/>
        <w:t>Notes</w:t>
      </w:r>
      <w:bookmarkEnd w:id="112"/>
      <w:bookmarkEnd w:id="113"/>
      <w:bookmarkEnd w:id="114"/>
    </w:p>
    <w:p>
      <w:pPr>
        <w:pStyle w:val="nStatement"/>
      </w:pPr>
      <w:r>
        <w:t xml:space="preserve">This is a compilation of the </w:t>
      </w:r>
      <w:r>
        <w:rPr>
          <w:i/>
          <w:noProof/>
        </w:rPr>
        <w:t>State Administrative Tribunal Rules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5" w:name="_Toc123112707"/>
      <w:r>
        <w:t>Compilation table</w:t>
      </w:r>
      <w:bookmarkEnd w:id="11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before="50" w:after="5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Published</w:t>
            </w:r>
          </w:p>
        </w:tc>
        <w:tc>
          <w:tcPr>
            <w:tcW w:w="2693"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18" w:type="dxa"/>
            <w:tcBorders>
              <w:top w:val="single" w:sz="8" w:space="0" w:color="auto"/>
            </w:tcBorders>
          </w:tcPr>
          <w:p>
            <w:pPr>
              <w:pStyle w:val="nTable"/>
              <w:spacing w:before="50" w:after="50"/>
            </w:pPr>
            <w:r>
              <w:rPr>
                <w:i/>
              </w:rPr>
              <w:t>State Administrative Tribunal Rules 2004</w:t>
            </w:r>
          </w:p>
        </w:tc>
        <w:tc>
          <w:tcPr>
            <w:tcW w:w="1276" w:type="dxa"/>
            <w:tcBorders>
              <w:top w:val="single" w:sz="8" w:space="0" w:color="auto"/>
            </w:tcBorders>
          </w:tcPr>
          <w:p>
            <w:pPr>
              <w:pStyle w:val="nTable"/>
              <w:spacing w:before="50" w:after="50"/>
            </w:pPr>
            <w:r>
              <w:t>30 Dec 2004 p. 6849</w:t>
            </w:r>
            <w:r>
              <w:noBreakHyphen/>
              <w:t>89</w:t>
            </w:r>
          </w:p>
        </w:tc>
        <w:tc>
          <w:tcPr>
            <w:tcW w:w="2693" w:type="dxa"/>
            <w:tcBorders>
              <w:top w:val="single" w:sz="8" w:space="0" w:color="auto"/>
            </w:tcBorders>
          </w:tcPr>
          <w:p>
            <w:pPr>
              <w:pStyle w:val="nTable"/>
              <w:spacing w:before="50" w:after="50"/>
              <w:rPr>
                <w:i/>
                <w:iCs/>
              </w:rPr>
            </w:pPr>
            <w:r>
              <w:t>1 Jan 2005 (see r. 2)</w:t>
            </w:r>
          </w:p>
        </w:tc>
      </w:tr>
      <w:tr>
        <w:trPr>
          <w:cantSplit/>
        </w:trPr>
        <w:tc>
          <w:tcPr>
            <w:tcW w:w="3118" w:type="dxa"/>
          </w:tcPr>
          <w:p>
            <w:pPr>
              <w:pStyle w:val="nTable"/>
              <w:spacing w:before="50" w:after="50"/>
              <w:rPr>
                <w:i/>
              </w:rPr>
            </w:pPr>
            <w:r>
              <w:rPr>
                <w:i/>
              </w:rPr>
              <w:t>State Administrative Tribunal Rules (Amendment No. 1) 2005</w:t>
            </w:r>
          </w:p>
        </w:tc>
        <w:tc>
          <w:tcPr>
            <w:tcW w:w="1276" w:type="dxa"/>
          </w:tcPr>
          <w:p>
            <w:pPr>
              <w:pStyle w:val="nTable"/>
              <w:spacing w:before="50" w:after="50"/>
            </w:pPr>
            <w:r>
              <w:t>14 Oct 2005 p. 4568</w:t>
            </w:r>
            <w:r>
              <w:noBreakHyphen/>
              <w:t>70</w:t>
            </w:r>
          </w:p>
        </w:tc>
        <w:tc>
          <w:tcPr>
            <w:tcW w:w="2693" w:type="dxa"/>
          </w:tcPr>
          <w:p>
            <w:pPr>
              <w:pStyle w:val="nTable"/>
              <w:spacing w:before="50" w:after="50"/>
            </w:pPr>
            <w:r>
              <w:t>17 Oct 2005 (see r. 2)</w:t>
            </w:r>
          </w:p>
        </w:tc>
      </w:tr>
      <w:tr>
        <w:trPr>
          <w:cantSplit/>
        </w:trPr>
        <w:tc>
          <w:tcPr>
            <w:tcW w:w="3118" w:type="dxa"/>
          </w:tcPr>
          <w:p>
            <w:pPr>
              <w:pStyle w:val="nTable"/>
              <w:spacing w:before="50" w:after="50"/>
              <w:rPr>
                <w:iCs/>
              </w:rPr>
            </w:pPr>
            <w:r>
              <w:rPr>
                <w:i/>
              </w:rPr>
              <w:t>State Administrative Tribunal Rules (Amendment No. 1) 2006</w:t>
            </w:r>
          </w:p>
        </w:tc>
        <w:tc>
          <w:tcPr>
            <w:tcW w:w="1276" w:type="dxa"/>
          </w:tcPr>
          <w:p>
            <w:pPr>
              <w:pStyle w:val="nTable"/>
              <w:spacing w:before="50" w:after="50"/>
            </w:pPr>
            <w:r>
              <w:t>13 Apr 2006 p. 1556</w:t>
            </w:r>
            <w:r>
              <w:noBreakHyphen/>
              <w:t>8</w:t>
            </w:r>
          </w:p>
        </w:tc>
        <w:tc>
          <w:tcPr>
            <w:tcW w:w="2693" w:type="dxa"/>
          </w:tcPr>
          <w:p>
            <w:pPr>
              <w:pStyle w:val="nTable"/>
              <w:spacing w:before="50" w:after="50"/>
              <w:rPr>
                <w:vertAlign w:val="superscript"/>
              </w:rPr>
            </w:pPr>
            <w:r>
              <w:t>13 Apr 2006 </w:t>
            </w:r>
            <w:r>
              <w:rPr>
                <w:vertAlign w:val="superscript"/>
              </w:rPr>
              <w:t>4</w:t>
            </w:r>
          </w:p>
        </w:tc>
      </w:tr>
      <w:tr>
        <w:trPr>
          <w:cantSplit/>
        </w:trPr>
        <w:tc>
          <w:tcPr>
            <w:tcW w:w="3118" w:type="dxa"/>
          </w:tcPr>
          <w:p>
            <w:pPr>
              <w:pStyle w:val="nTable"/>
              <w:spacing w:before="50" w:after="50"/>
              <w:rPr>
                <w:i/>
              </w:rPr>
            </w:pPr>
            <w:r>
              <w:rPr>
                <w:i/>
              </w:rPr>
              <w:t>State Administrative Tribunal Amendment Rules 2007</w:t>
            </w:r>
          </w:p>
        </w:tc>
        <w:tc>
          <w:tcPr>
            <w:tcW w:w="1276" w:type="dxa"/>
          </w:tcPr>
          <w:p>
            <w:pPr>
              <w:pStyle w:val="nTable"/>
              <w:spacing w:before="50" w:after="50"/>
            </w:pPr>
            <w:r>
              <w:t>13 Apr 2007 p. 1682</w:t>
            </w:r>
            <w:r>
              <w:noBreakHyphen/>
              <w:t>5</w:t>
            </w:r>
          </w:p>
        </w:tc>
        <w:tc>
          <w:tcPr>
            <w:tcW w:w="2693" w:type="dxa"/>
          </w:tcPr>
          <w:p>
            <w:pPr>
              <w:pStyle w:val="nTable"/>
              <w:spacing w:before="50" w:after="50"/>
            </w:pPr>
            <w:r>
              <w:t>13 Apr 2007</w:t>
            </w:r>
          </w:p>
        </w:tc>
      </w:tr>
      <w:tr>
        <w:trPr>
          <w:cantSplit/>
        </w:trPr>
        <w:tc>
          <w:tcPr>
            <w:tcW w:w="7087" w:type="dxa"/>
            <w:gridSpan w:val="3"/>
          </w:tcPr>
          <w:p>
            <w:pPr>
              <w:pStyle w:val="nTable"/>
              <w:spacing w:before="50" w:after="50"/>
            </w:pPr>
            <w:r>
              <w:rPr>
                <w:b/>
                <w:bCs/>
              </w:rPr>
              <w:t xml:space="preserve">Reprint 1:  The </w:t>
            </w:r>
            <w:r>
              <w:rPr>
                <w:b/>
                <w:bCs/>
                <w:i/>
              </w:rPr>
              <w:t>State Administrative Tribunal Rules 2004</w:t>
            </w:r>
            <w:r>
              <w:rPr>
                <w:b/>
                <w:bCs/>
              </w:rPr>
              <w:t xml:space="preserve"> as at 13 Jul 2007</w:t>
            </w:r>
            <w:r>
              <w:t xml:space="preserve"> (includes amendments listed above)</w:t>
            </w:r>
          </w:p>
        </w:tc>
      </w:tr>
      <w:tr>
        <w:trPr>
          <w:cantSplit/>
        </w:trPr>
        <w:tc>
          <w:tcPr>
            <w:tcW w:w="3118" w:type="dxa"/>
          </w:tcPr>
          <w:p>
            <w:pPr>
              <w:pStyle w:val="nTable"/>
              <w:spacing w:before="50" w:after="50"/>
              <w:rPr>
                <w:i/>
              </w:rPr>
            </w:pPr>
            <w:r>
              <w:rPr>
                <w:i/>
              </w:rPr>
              <w:t>State Administrative Tribunal Amendment Rules 2008</w:t>
            </w:r>
          </w:p>
        </w:tc>
        <w:tc>
          <w:tcPr>
            <w:tcW w:w="1276" w:type="dxa"/>
          </w:tcPr>
          <w:p>
            <w:pPr>
              <w:pStyle w:val="nTable"/>
              <w:spacing w:before="50" w:after="50"/>
            </w:pPr>
            <w:r>
              <w:t>28 Mar 2008 p. 918-19</w:t>
            </w:r>
          </w:p>
        </w:tc>
        <w:tc>
          <w:tcPr>
            <w:tcW w:w="2693" w:type="dxa"/>
          </w:tcPr>
          <w:p>
            <w:pPr>
              <w:pStyle w:val="nTable"/>
              <w:spacing w:before="50" w:after="50"/>
            </w:pPr>
            <w:r>
              <w:t>r. 1 and 2: 28 Mar 2008 (see r. 2(a));</w:t>
            </w:r>
          </w:p>
          <w:p>
            <w:pPr>
              <w:pStyle w:val="nTable"/>
              <w:spacing w:before="50" w:after="50"/>
            </w:pPr>
            <w:r>
              <w:t>Rules other than r. 1 and 2: 29 Mar 2008 (see r. 2(b))</w:t>
            </w:r>
          </w:p>
        </w:tc>
      </w:tr>
      <w:tr>
        <w:trPr>
          <w:cantSplit/>
        </w:trPr>
        <w:tc>
          <w:tcPr>
            <w:tcW w:w="3118" w:type="dxa"/>
          </w:tcPr>
          <w:p>
            <w:pPr>
              <w:pStyle w:val="nTable"/>
              <w:spacing w:before="50" w:after="50"/>
              <w:rPr>
                <w:i/>
              </w:rPr>
            </w:pPr>
            <w:r>
              <w:rPr>
                <w:i/>
              </w:rPr>
              <w:t>State Administrative Tribunal Amendment Rules (No. 2) 2008</w:t>
            </w:r>
          </w:p>
        </w:tc>
        <w:tc>
          <w:tcPr>
            <w:tcW w:w="1276" w:type="dxa"/>
          </w:tcPr>
          <w:p>
            <w:pPr>
              <w:pStyle w:val="nTable"/>
              <w:spacing w:before="50" w:after="50"/>
            </w:pPr>
            <w:r>
              <w:t>29 Aug 2008 p. 4043-4</w:t>
            </w:r>
          </w:p>
        </w:tc>
        <w:tc>
          <w:tcPr>
            <w:tcW w:w="2693" w:type="dxa"/>
          </w:tcPr>
          <w:p>
            <w:pPr>
              <w:pStyle w:val="nTable"/>
              <w:spacing w:before="50" w:after="50"/>
            </w:pPr>
            <w:r>
              <w:t>r. 1 and 2: 29 Aug 2008 (see r. 2(a));</w:t>
            </w:r>
            <w:r>
              <w:br/>
              <w:t>Rules other than r. 1 and 2: 30 Aug 2008 (see r. 2(b))</w:t>
            </w:r>
          </w:p>
        </w:tc>
      </w:tr>
      <w:tr>
        <w:trPr>
          <w:cantSplit/>
        </w:trPr>
        <w:tc>
          <w:tcPr>
            <w:tcW w:w="3118" w:type="dxa"/>
          </w:tcPr>
          <w:p>
            <w:pPr>
              <w:pStyle w:val="nTable"/>
              <w:spacing w:before="50" w:after="50"/>
              <w:rPr>
                <w:i/>
              </w:rPr>
            </w:pPr>
            <w:r>
              <w:rPr>
                <w:i/>
              </w:rPr>
              <w:t>State Administrative Tribunal Amendment Rules 2010</w:t>
            </w:r>
          </w:p>
        </w:tc>
        <w:tc>
          <w:tcPr>
            <w:tcW w:w="1276" w:type="dxa"/>
          </w:tcPr>
          <w:p>
            <w:pPr>
              <w:pStyle w:val="nTable"/>
              <w:spacing w:before="50" w:after="50"/>
            </w:pPr>
            <w:r>
              <w:t>9 Jul 2010 p. 3240-2</w:t>
            </w:r>
          </w:p>
        </w:tc>
        <w:tc>
          <w:tcPr>
            <w:tcW w:w="2693" w:type="dxa"/>
          </w:tcPr>
          <w:p>
            <w:pPr>
              <w:pStyle w:val="nTable"/>
              <w:spacing w:before="50" w:after="50"/>
            </w:pPr>
            <w:r>
              <w:t>r. 1 and 2: 9 Jul 2010 (see r. 2(a));</w:t>
            </w:r>
            <w:r>
              <w:br/>
              <w:t>Rules other than r. 1 and 2: 10 Jul 2010 (see r. 2(b))</w:t>
            </w:r>
          </w:p>
        </w:tc>
      </w:tr>
      <w:tr>
        <w:trPr>
          <w:cantSplit/>
        </w:trPr>
        <w:tc>
          <w:tcPr>
            <w:tcW w:w="3118" w:type="dxa"/>
            <w:shd w:val="clear" w:color="auto" w:fill="auto"/>
          </w:tcPr>
          <w:p>
            <w:pPr>
              <w:pStyle w:val="nTable"/>
              <w:spacing w:before="50" w:after="50"/>
              <w:rPr>
                <w:i/>
              </w:rPr>
            </w:pPr>
            <w:r>
              <w:rPr>
                <w:i/>
              </w:rPr>
              <w:t>State Administrative Tribunal Amendment Rules 2013</w:t>
            </w:r>
          </w:p>
        </w:tc>
        <w:tc>
          <w:tcPr>
            <w:tcW w:w="1276" w:type="dxa"/>
            <w:shd w:val="clear" w:color="auto" w:fill="auto"/>
          </w:tcPr>
          <w:p>
            <w:pPr>
              <w:pStyle w:val="nTable"/>
              <w:spacing w:before="50" w:after="50"/>
            </w:pPr>
            <w:r>
              <w:t>14 May 2013 p. 1969-70</w:t>
            </w:r>
          </w:p>
        </w:tc>
        <w:tc>
          <w:tcPr>
            <w:tcW w:w="2693" w:type="dxa"/>
            <w:shd w:val="clear" w:color="auto" w:fill="auto"/>
          </w:tcPr>
          <w:p>
            <w:pPr>
              <w:pStyle w:val="nTable"/>
              <w:spacing w:before="50" w:after="50"/>
            </w:pPr>
            <w:r>
              <w:t>r. 1 and 2: 14 May 2013 (see r. 2(a));</w:t>
            </w:r>
            <w:r>
              <w:br/>
              <w:t>Rules other than r. 1 and 2: 15 May 2013 (see r. 2(b))</w:t>
            </w:r>
          </w:p>
        </w:tc>
      </w:tr>
      <w:tr>
        <w:trPr>
          <w:cantSplit/>
        </w:trPr>
        <w:tc>
          <w:tcPr>
            <w:tcW w:w="7087" w:type="dxa"/>
            <w:gridSpan w:val="3"/>
            <w:shd w:val="clear" w:color="auto" w:fill="auto"/>
          </w:tcPr>
          <w:p>
            <w:pPr>
              <w:pStyle w:val="nTable"/>
              <w:spacing w:before="50" w:after="50"/>
            </w:pPr>
            <w:r>
              <w:rPr>
                <w:b/>
                <w:bCs/>
              </w:rPr>
              <w:t xml:space="preserve">Reprint 2:  The </w:t>
            </w:r>
            <w:r>
              <w:rPr>
                <w:b/>
                <w:bCs/>
                <w:i/>
              </w:rPr>
              <w:t>State Administrative Tribunal Rules 2004</w:t>
            </w:r>
            <w:r>
              <w:rPr>
                <w:b/>
                <w:bCs/>
              </w:rPr>
              <w:t xml:space="preserve"> as at 19 Jul 2013</w:t>
            </w:r>
            <w:r>
              <w:t xml:space="preserve"> (includes amendments listed above)</w:t>
            </w:r>
          </w:p>
        </w:tc>
      </w:tr>
      <w:tr>
        <w:trPr>
          <w:cantSplit/>
        </w:trPr>
        <w:tc>
          <w:tcPr>
            <w:tcW w:w="3118" w:type="dxa"/>
            <w:shd w:val="clear" w:color="auto" w:fill="auto"/>
          </w:tcPr>
          <w:p>
            <w:pPr>
              <w:pStyle w:val="nTable"/>
              <w:spacing w:before="50" w:after="50"/>
              <w:rPr>
                <w:i/>
              </w:rPr>
            </w:pPr>
            <w:r>
              <w:rPr>
                <w:i/>
              </w:rPr>
              <w:lastRenderedPageBreak/>
              <w:t>State Administrative Tribunal Amendment Rules (No. 2) 2013</w:t>
            </w:r>
          </w:p>
        </w:tc>
        <w:tc>
          <w:tcPr>
            <w:tcW w:w="1276" w:type="dxa"/>
            <w:shd w:val="clear" w:color="auto" w:fill="auto"/>
          </w:tcPr>
          <w:p>
            <w:pPr>
              <w:pStyle w:val="nTable"/>
              <w:spacing w:before="50" w:after="50"/>
            </w:pPr>
            <w:r>
              <w:t>28 Jan 2014 p. 181-2</w:t>
            </w:r>
          </w:p>
        </w:tc>
        <w:tc>
          <w:tcPr>
            <w:tcW w:w="2693" w:type="dxa"/>
            <w:shd w:val="clear" w:color="auto" w:fill="auto"/>
          </w:tcPr>
          <w:p>
            <w:pPr>
              <w:pStyle w:val="nTable"/>
              <w:spacing w:before="50" w:after="50"/>
            </w:pPr>
            <w:r>
              <w:t>r. 1 and 2: 28 Jan 2014 (see r. 2(a));</w:t>
            </w:r>
            <w:r>
              <w:br/>
              <w:t>Rules other than r. 1 and 2: 29 Jan 2014 (see r. 2(b))</w:t>
            </w:r>
          </w:p>
        </w:tc>
      </w:tr>
      <w:tr>
        <w:trPr>
          <w:cantSplit/>
        </w:trPr>
        <w:tc>
          <w:tcPr>
            <w:tcW w:w="3118" w:type="dxa"/>
            <w:shd w:val="clear" w:color="auto" w:fill="auto"/>
          </w:tcPr>
          <w:p>
            <w:pPr>
              <w:pStyle w:val="nTable"/>
              <w:spacing w:before="50" w:after="50"/>
              <w:rPr>
                <w:i/>
              </w:rPr>
            </w:pPr>
            <w:r>
              <w:rPr>
                <w:i/>
              </w:rPr>
              <w:t>State Administrative Tribunal Amendment Rules 2014</w:t>
            </w:r>
          </w:p>
        </w:tc>
        <w:tc>
          <w:tcPr>
            <w:tcW w:w="1276" w:type="dxa"/>
            <w:shd w:val="clear" w:color="auto" w:fill="auto"/>
          </w:tcPr>
          <w:p>
            <w:pPr>
              <w:pStyle w:val="nTable"/>
              <w:spacing w:before="50" w:after="50"/>
            </w:pPr>
            <w:r>
              <w:t>6 Feb 2015 p. 567-72</w:t>
            </w:r>
          </w:p>
        </w:tc>
        <w:tc>
          <w:tcPr>
            <w:tcW w:w="2693" w:type="dxa"/>
            <w:shd w:val="clear" w:color="auto" w:fill="auto"/>
          </w:tcPr>
          <w:p>
            <w:pPr>
              <w:pStyle w:val="nTable"/>
              <w:spacing w:before="50" w:after="50"/>
            </w:pPr>
            <w:r>
              <w:t>r. 1 and 2: 6 Feb 2015 (see r. 2(a));</w:t>
            </w:r>
            <w:r>
              <w:br/>
              <w:t>Rules other than r. 1 and 2: 7 Feb 2015 (see r. 2(b))</w:t>
            </w:r>
          </w:p>
        </w:tc>
      </w:tr>
      <w:tr>
        <w:trPr>
          <w:cantSplit/>
        </w:trPr>
        <w:tc>
          <w:tcPr>
            <w:tcW w:w="3118" w:type="dxa"/>
            <w:shd w:val="clear" w:color="auto" w:fill="auto"/>
          </w:tcPr>
          <w:p>
            <w:pPr>
              <w:pStyle w:val="nTable"/>
              <w:spacing w:before="50" w:after="50"/>
              <w:rPr>
                <w:i/>
              </w:rPr>
            </w:pPr>
            <w:r>
              <w:rPr>
                <w:i/>
              </w:rPr>
              <w:t>State Administrative Tribunal Amendment Rules 2016</w:t>
            </w:r>
          </w:p>
        </w:tc>
        <w:tc>
          <w:tcPr>
            <w:tcW w:w="1276" w:type="dxa"/>
            <w:shd w:val="clear" w:color="auto" w:fill="auto"/>
          </w:tcPr>
          <w:p>
            <w:pPr>
              <w:pStyle w:val="nTable"/>
              <w:spacing w:before="50" w:after="50"/>
            </w:pPr>
            <w:r>
              <w:t>12 Feb 2016 p. 384</w:t>
            </w:r>
          </w:p>
        </w:tc>
        <w:tc>
          <w:tcPr>
            <w:tcW w:w="2693" w:type="dxa"/>
            <w:shd w:val="clear" w:color="auto" w:fill="auto"/>
          </w:tcPr>
          <w:p>
            <w:pPr>
              <w:pStyle w:val="nTable"/>
              <w:spacing w:before="50" w:after="50"/>
            </w:pPr>
            <w:r>
              <w:t>r. 1 and 2: 12 Feb 2016 (see r. 2(a));</w:t>
            </w:r>
            <w:r>
              <w:br/>
              <w:t>Rules other than r. 1 and 2: 13 Feb 2016 (see r. 2(b))</w:t>
            </w:r>
          </w:p>
        </w:tc>
      </w:tr>
      <w:tr>
        <w:trPr>
          <w:cantSplit/>
        </w:trPr>
        <w:tc>
          <w:tcPr>
            <w:tcW w:w="3118" w:type="dxa"/>
            <w:shd w:val="clear" w:color="auto" w:fill="auto"/>
          </w:tcPr>
          <w:p>
            <w:pPr>
              <w:pStyle w:val="nTable"/>
              <w:spacing w:before="50" w:after="50"/>
              <w:rPr>
                <w:i/>
              </w:rPr>
            </w:pPr>
            <w:r>
              <w:rPr>
                <w:i/>
              </w:rPr>
              <w:t>State Administrative Tribunal Amendment Rules (No. 2) 2016</w:t>
            </w:r>
          </w:p>
        </w:tc>
        <w:tc>
          <w:tcPr>
            <w:tcW w:w="1276" w:type="dxa"/>
            <w:shd w:val="clear" w:color="auto" w:fill="auto"/>
          </w:tcPr>
          <w:p>
            <w:pPr>
              <w:pStyle w:val="nTable"/>
              <w:spacing w:before="50" w:after="50"/>
            </w:pPr>
            <w:r>
              <w:t>17 May 2016 p. 1490</w:t>
            </w:r>
            <w:r>
              <w:noBreakHyphen/>
              <w:t>2</w:t>
            </w:r>
          </w:p>
        </w:tc>
        <w:tc>
          <w:tcPr>
            <w:tcW w:w="2693" w:type="dxa"/>
            <w:shd w:val="clear" w:color="auto" w:fill="auto"/>
          </w:tcPr>
          <w:p>
            <w:pPr>
              <w:pStyle w:val="nTable"/>
              <w:spacing w:before="50" w:after="50"/>
            </w:pPr>
            <w:r>
              <w:t>r. 1 and 2: 17 May 2016 (see r. 2(a));</w:t>
            </w:r>
            <w:r>
              <w:br/>
              <w:t>Rules other than r. 1 and 2: 18 May 2016 (see r. 2(b))</w:t>
            </w:r>
          </w:p>
        </w:tc>
      </w:tr>
      <w:tr>
        <w:trPr>
          <w:cantSplit/>
        </w:trPr>
        <w:tc>
          <w:tcPr>
            <w:tcW w:w="3118" w:type="dxa"/>
            <w:shd w:val="clear" w:color="auto" w:fill="auto"/>
          </w:tcPr>
          <w:p>
            <w:pPr>
              <w:pStyle w:val="nTable"/>
              <w:spacing w:before="50" w:after="50"/>
              <w:rPr>
                <w:i/>
              </w:rPr>
            </w:pPr>
            <w:r>
              <w:rPr>
                <w:i/>
              </w:rPr>
              <w:t>State Administrative Tribunal Amendment Rules 2018</w:t>
            </w:r>
          </w:p>
        </w:tc>
        <w:tc>
          <w:tcPr>
            <w:tcW w:w="1276" w:type="dxa"/>
            <w:shd w:val="clear" w:color="auto" w:fill="auto"/>
          </w:tcPr>
          <w:p>
            <w:pPr>
              <w:pStyle w:val="nTable"/>
              <w:spacing w:before="50" w:after="50"/>
            </w:pPr>
            <w:r>
              <w:t>24 Apr 2018 p. 1351</w:t>
            </w:r>
            <w:r>
              <w:noBreakHyphen/>
              <w:t>2</w:t>
            </w:r>
          </w:p>
        </w:tc>
        <w:tc>
          <w:tcPr>
            <w:tcW w:w="2693" w:type="dxa"/>
            <w:shd w:val="clear" w:color="auto" w:fill="auto"/>
          </w:tcPr>
          <w:p>
            <w:pPr>
              <w:pStyle w:val="nTable"/>
              <w:spacing w:before="50" w:after="50"/>
            </w:pPr>
            <w:r>
              <w:t>r. 1 and 2: 24 Apr 2017 (see r. 2(a));</w:t>
            </w:r>
            <w:r>
              <w:br/>
              <w:t>Rules other than r. 1 and 2: 25 Apr 2018 (see r. 2(b))</w:t>
            </w:r>
          </w:p>
        </w:tc>
      </w:tr>
      <w:tr>
        <w:trPr>
          <w:cantSplit/>
        </w:trPr>
        <w:tc>
          <w:tcPr>
            <w:tcW w:w="3118" w:type="dxa"/>
            <w:shd w:val="clear" w:color="auto" w:fill="auto"/>
          </w:tcPr>
          <w:p>
            <w:pPr>
              <w:pStyle w:val="nTable"/>
              <w:spacing w:before="50" w:after="50"/>
              <w:rPr>
                <w:i/>
              </w:rPr>
            </w:pPr>
            <w:r>
              <w:rPr>
                <w:i/>
              </w:rPr>
              <w:t>State Administrative Tribunal Amendment Rules (No. 2) 2019</w:t>
            </w:r>
          </w:p>
        </w:tc>
        <w:tc>
          <w:tcPr>
            <w:tcW w:w="1276" w:type="dxa"/>
            <w:shd w:val="clear" w:color="auto" w:fill="auto"/>
          </w:tcPr>
          <w:p>
            <w:pPr>
              <w:pStyle w:val="nTable"/>
              <w:spacing w:before="50" w:after="50"/>
            </w:pPr>
            <w:r>
              <w:t>31 Dec 2019 p. 4661</w:t>
            </w:r>
          </w:p>
        </w:tc>
        <w:tc>
          <w:tcPr>
            <w:tcW w:w="2693" w:type="dxa"/>
            <w:shd w:val="clear" w:color="auto" w:fill="auto"/>
          </w:tcPr>
          <w:p>
            <w:pPr>
              <w:pStyle w:val="nTable"/>
              <w:spacing w:before="50" w:after="50"/>
            </w:pPr>
            <w:r>
              <w:t>r. 1 and 2: 31 Dec 2019 (see r. 2(a));</w:t>
            </w:r>
            <w:r>
              <w:br/>
              <w:t>Rules other than r. 1 and 2: 1 May 2020 (see r. 2(b) and SL 2020/39 cl. 2)</w:t>
            </w:r>
          </w:p>
        </w:tc>
      </w:tr>
      <w:tr>
        <w:trPr>
          <w:cantSplit/>
        </w:trPr>
        <w:tc>
          <w:tcPr>
            <w:tcW w:w="3118" w:type="dxa"/>
            <w:shd w:val="clear" w:color="auto" w:fill="auto"/>
          </w:tcPr>
          <w:p>
            <w:pPr>
              <w:pStyle w:val="nTable"/>
              <w:spacing w:before="50" w:after="50"/>
              <w:rPr>
                <w:i/>
              </w:rPr>
            </w:pPr>
            <w:r>
              <w:rPr>
                <w:i/>
              </w:rPr>
              <w:t>State Administrative Tribunal Amendment Rules 2021</w:t>
            </w:r>
          </w:p>
        </w:tc>
        <w:tc>
          <w:tcPr>
            <w:tcW w:w="1276" w:type="dxa"/>
            <w:shd w:val="clear" w:color="auto" w:fill="auto"/>
          </w:tcPr>
          <w:p>
            <w:pPr>
              <w:pStyle w:val="nTable"/>
              <w:spacing w:before="50" w:after="50"/>
            </w:pPr>
            <w:r>
              <w:t>SL 2021/123 16 Jul 2021</w:t>
            </w:r>
          </w:p>
        </w:tc>
        <w:tc>
          <w:tcPr>
            <w:tcW w:w="2693" w:type="dxa"/>
            <w:shd w:val="clear" w:color="auto" w:fill="auto"/>
          </w:tcPr>
          <w:p>
            <w:pPr>
              <w:pStyle w:val="nTable"/>
              <w:spacing w:before="50" w:after="50"/>
            </w:pPr>
            <w:r>
              <w:t>r. 1 and 2: 16 Jul 2021 (see r. 2(a));</w:t>
            </w:r>
            <w:r>
              <w:br/>
              <w:t>Rules other than r. 1 and 2: 17 Jul 2021 (see r. 2(b))</w:t>
            </w:r>
          </w:p>
        </w:tc>
      </w:tr>
      <w:tr>
        <w:trPr>
          <w:cantSplit/>
        </w:trPr>
        <w:tc>
          <w:tcPr>
            <w:tcW w:w="3118" w:type="dxa"/>
            <w:shd w:val="clear" w:color="auto" w:fill="auto"/>
          </w:tcPr>
          <w:p>
            <w:pPr>
              <w:pStyle w:val="nTable"/>
              <w:spacing w:before="50" w:after="50"/>
              <w:rPr>
                <w:i/>
              </w:rPr>
            </w:pPr>
            <w:r>
              <w:rPr>
                <w:i/>
              </w:rPr>
              <w:t>State Administrative Tribunal Amendment Rules (No. 2) 2022</w:t>
            </w:r>
          </w:p>
        </w:tc>
        <w:tc>
          <w:tcPr>
            <w:tcW w:w="1276" w:type="dxa"/>
            <w:shd w:val="clear" w:color="auto" w:fill="auto"/>
          </w:tcPr>
          <w:p>
            <w:pPr>
              <w:pStyle w:val="nTable"/>
              <w:spacing w:before="50" w:after="50"/>
            </w:pPr>
            <w:r>
              <w:t>SL 2022/73 10 Jun 2022</w:t>
            </w:r>
          </w:p>
        </w:tc>
        <w:tc>
          <w:tcPr>
            <w:tcW w:w="2693" w:type="dxa"/>
            <w:shd w:val="clear" w:color="auto" w:fill="auto"/>
          </w:tcPr>
          <w:p>
            <w:pPr>
              <w:pStyle w:val="nTable"/>
              <w:spacing w:before="50" w:after="50"/>
            </w:pPr>
            <w:r>
              <w:t>r. 1 and 2: 10 Jun 2022 (see r. 2(a));</w:t>
            </w:r>
            <w:r>
              <w:br/>
              <w:t>Rules other than r. 1 and 2: 1 Jul 2022 (see r. 2(b)) and SL 2022/113 cl. 2)</w:t>
            </w:r>
          </w:p>
        </w:tc>
      </w:tr>
      <w:tr>
        <w:trPr>
          <w:cantSplit/>
        </w:trPr>
        <w:tc>
          <w:tcPr>
            <w:tcW w:w="3118" w:type="dxa"/>
            <w:tcBorders>
              <w:bottom w:val="single" w:sz="4" w:space="0" w:color="auto"/>
            </w:tcBorders>
            <w:shd w:val="clear" w:color="auto" w:fill="auto"/>
          </w:tcPr>
          <w:p>
            <w:pPr>
              <w:pStyle w:val="nTable"/>
              <w:spacing w:before="50" w:after="50"/>
            </w:pPr>
            <w:r>
              <w:rPr>
                <w:i/>
              </w:rPr>
              <w:t xml:space="preserve">State Administrative Tribunal Amendment Rules 2022 </w:t>
            </w:r>
            <w:r>
              <w:t>(other than r. 5-7)</w:t>
            </w:r>
          </w:p>
        </w:tc>
        <w:tc>
          <w:tcPr>
            <w:tcW w:w="1276" w:type="dxa"/>
            <w:tcBorders>
              <w:bottom w:val="single" w:sz="4" w:space="0" w:color="auto"/>
            </w:tcBorders>
            <w:shd w:val="clear" w:color="auto" w:fill="auto"/>
          </w:tcPr>
          <w:p>
            <w:pPr>
              <w:pStyle w:val="nTable"/>
              <w:spacing w:before="50" w:after="50"/>
            </w:pPr>
            <w:r>
              <w:t>SL 2022/219 30 Dec 2022</w:t>
            </w:r>
          </w:p>
        </w:tc>
        <w:tc>
          <w:tcPr>
            <w:tcW w:w="2693" w:type="dxa"/>
            <w:tcBorders>
              <w:bottom w:val="single" w:sz="4" w:space="0" w:color="auto"/>
            </w:tcBorders>
            <w:shd w:val="clear" w:color="auto" w:fill="auto"/>
          </w:tcPr>
          <w:p>
            <w:pPr>
              <w:pStyle w:val="nTable"/>
              <w:spacing w:before="50" w:after="50"/>
            </w:pPr>
            <w:r>
              <w:t>r. 1 and 2: 30 Dec 2022 (see r. 2(a));</w:t>
            </w:r>
            <w:r>
              <w:br/>
              <w:t>Rules other than r. 1, 2 and 5</w:t>
            </w:r>
            <w:r>
              <w:noBreakHyphen/>
              <w:t>7: 31 Dec 2022 (see r. 2(c))</w:t>
            </w:r>
          </w:p>
        </w:tc>
      </w:tr>
    </w:tbl>
    <w:p>
      <w:pPr>
        <w:pStyle w:val="nHeading3"/>
      </w:pPr>
      <w:bookmarkStart w:id="116" w:name="_Toc123112708"/>
      <w:r>
        <w:lastRenderedPageBreak/>
        <w:t>Uncommenced provisions table</w:t>
      </w:r>
      <w:bookmarkEnd w:id="11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State Administrative Tribunal Amendment Rules 2022 </w:t>
            </w:r>
            <w:r>
              <w:t>r. 5-7</w:t>
            </w:r>
          </w:p>
        </w:tc>
        <w:tc>
          <w:tcPr>
            <w:tcW w:w="1276" w:type="dxa"/>
          </w:tcPr>
          <w:p>
            <w:pPr>
              <w:pStyle w:val="nTable"/>
              <w:spacing w:after="40"/>
            </w:pPr>
            <w:r>
              <w:t>SL 2022/219 30 Dec 2022</w:t>
            </w:r>
          </w:p>
        </w:tc>
        <w:tc>
          <w:tcPr>
            <w:tcW w:w="2693" w:type="dxa"/>
          </w:tcPr>
          <w:p>
            <w:pPr>
              <w:pStyle w:val="nTable"/>
              <w:spacing w:after="40"/>
            </w:pPr>
            <w:r>
              <w:t>1 Jul 2023 (see r. 2(b))</w:t>
            </w:r>
          </w:p>
        </w:tc>
      </w:tr>
    </w:tbl>
    <w:p>
      <w:pPr>
        <w:pStyle w:val="nHeading3"/>
      </w:pPr>
      <w:bookmarkStart w:id="117" w:name="_Toc123112709"/>
      <w:r>
        <w:t>Other notes</w:t>
      </w:r>
      <w:bookmarkEnd w:id="117"/>
    </w:p>
    <w:p>
      <w:pPr>
        <w:pStyle w:val="nNote"/>
        <w:spacing w:before="120"/>
      </w:pPr>
      <w:r>
        <w:rPr>
          <w:vertAlign w:val="superscript"/>
        </w:rPr>
        <w:t>1</w:t>
      </w:r>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Note"/>
        <w:spacing w:before="120"/>
      </w:pPr>
      <w:r>
        <w:rPr>
          <w:vertAlign w:val="superscript"/>
        </w:rPr>
        <w:t>2</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Note"/>
        <w:spacing w:before="120"/>
      </w:pPr>
      <w:r>
        <w:rPr>
          <w:vertAlign w:val="superscript"/>
        </w:rPr>
        <w:t>3</w:t>
      </w:r>
      <w:r>
        <w:tab/>
        <w:t xml:space="preserve">Section 67(3b) deleted by the </w:t>
      </w:r>
      <w:r>
        <w:rPr>
          <w:i/>
        </w:rPr>
        <w:t>Security and Related Activities (Control) Amendment Act 2008</w:t>
      </w:r>
      <w:r>
        <w:t xml:space="preserve"> s. 46(4).</w:t>
      </w:r>
    </w:p>
    <w:p>
      <w:pPr>
        <w:pStyle w:val="nNote"/>
        <w:spacing w:before="120"/>
      </w:pPr>
      <w:r>
        <w:rPr>
          <w:vertAlign w:val="superscript"/>
        </w:rPr>
        <w:t>4</w:t>
      </w:r>
      <w:r>
        <w:tab/>
        <w:t>The commencement date of 9 Apr 2006 that was specified in r. 2 was before the date of gazettal.</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19" w:name="_Toc123112710"/>
      <w:r>
        <w:rPr>
          <w:sz w:val="28"/>
        </w:rPr>
        <w:lastRenderedPageBreak/>
        <w:t>Defined terms</w:t>
      </w:r>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address for service in the proceedings</w:t>
      </w:r>
      <w:r>
        <w:tab/>
        <w:t>3</w:t>
      </w:r>
    </w:p>
    <w:p>
      <w:pPr>
        <w:pStyle w:val="DefinedTerms"/>
      </w:pPr>
      <w:r>
        <w:t>agent</w:t>
      </w:r>
      <w:r>
        <w:tab/>
        <w:t>59(1)</w:t>
      </w:r>
    </w:p>
    <w:p>
      <w:pPr>
        <w:pStyle w:val="DefinedTerms"/>
      </w:pPr>
      <w:r>
        <w:t>approved form</w:t>
      </w:r>
      <w:r>
        <w:tab/>
        <w:t>3</w:t>
      </w:r>
    </w:p>
    <w:p>
      <w:pPr>
        <w:pStyle w:val="DefinedTerms"/>
      </w:pPr>
      <w:r>
        <w:t>authorised hospital</w:t>
      </w:r>
      <w:r>
        <w:tab/>
        <w:t>56(1)</w:t>
      </w:r>
    </w:p>
    <w:p>
      <w:pPr>
        <w:pStyle w:val="DefinedTerms"/>
      </w:pPr>
      <w:r>
        <w:t>business day</w:t>
      </w:r>
      <w:r>
        <w:tab/>
        <w:t>3</w:t>
      </w:r>
    </w:p>
    <w:p>
      <w:pPr>
        <w:pStyle w:val="DefinedTerms"/>
      </w:pPr>
      <w:r>
        <w:t>cognate Acts</w:t>
      </w:r>
      <w:r>
        <w:tab/>
        <w:t>49(1)</w:t>
      </w:r>
    </w:p>
    <w:p>
      <w:pPr>
        <w:pStyle w:val="DefinedTerms"/>
      </w:pPr>
      <w:r>
        <w:t>Commissioner</w:t>
      </w:r>
      <w:r>
        <w:tab/>
        <w:t>49(1), 59(1), 61(2)</w:t>
      </w:r>
    </w:p>
    <w:p>
      <w:pPr>
        <w:pStyle w:val="DefinedTerms"/>
      </w:pPr>
      <w:r>
        <w:t>community treatment order</w:t>
      </w:r>
      <w:r>
        <w:tab/>
        <w:t>56(1)</w:t>
      </w:r>
    </w:p>
    <w:p>
      <w:pPr>
        <w:pStyle w:val="DefinedTerms"/>
      </w:pPr>
      <w:r>
        <w:t>Corporations Act</w:t>
      </w:r>
      <w:r>
        <w:tab/>
        <w:t>3</w:t>
      </w:r>
    </w:p>
    <w:p>
      <w:pPr>
        <w:pStyle w:val="DefinedTerms"/>
      </w:pPr>
      <w:r>
        <w:t>Department</w:t>
      </w:r>
      <w:r>
        <w:tab/>
        <w:t>61(2)</w:t>
      </w:r>
    </w:p>
    <w:p>
      <w:pPr>
        <w:pStyle w:val="DefinedTerms"/>
      </w:pPr>
      <w:r>
        <w:t>direction</w:t>
      </w:r>
      <w:r>
        <w:tab/>
        <w:t>3</w:t>
      </w:r>
    </w:p>
    <w:p>
      <w:pPr>
        <w:pStyle w:val="DefinedTerms"/>
      </w:pPr>
      <w:r>
        <w:t>document</w:t>
      </w:r>
      <w:r>
        <w:tab/>
        <w:t>3, 6A</w:t>
      </w:r>
    </w:p>
    <w:p>
      <w:pPr>
        <w:pStyle w:val="DefinedTerms"/>
      </w:pPr>
      <w:r>
        <w:t>ECMS</w:t>
      </w:r>
      <w:r>
        <w:tab/>
        <w:t>3</w:t>
      </w:r>
    </w:p>
    <w:p>
      <w:pPr>
        <w:pStyle w:val="DefinedTerms"/>
      </w:pPr>
      <w:r>
        <w:t>guardian ad litem</w:t>
      </w:r>
      <w:r>
        <w:tab/>
        <w:t>3</w:t>
      </w:r>
    </w:p>
    <w:p>
      <w:pPr>
        <w:pStyle w:val="DefinedTerms"/>
      </w:pPr>
      <w:r>
        <w:t>interim application</w:t>
      </w:r>
      <w:r>
        <w:tab/>
        <w:t>14</w:t>
      </w:r>
    </w:p>
    <w:p>
      <w:pPr>
        <w:pStyle w:val="DefinedTerms"/>
      </w:pPr>
      <w:r>
        <w:t>involuntary patient</w:t>
      </w:r>
      <w:r>
        <w:tab/>
        <w:t>56(1)</w:t>
      </w:r>
    </w:p>
    <w:p>
      <w:pPr>
        <w:pStyle w:val="DefinedTerms"/>
      </w:pPr>
      <w:r>
        <w:t>legally qualified person</w:t>
      </w:r>
      <w:r>
        <w:tab/>
        <w:t>59(1)</w:t>
      </w:r>
    </w:p>
    <w:p>
      <w:pPr>
        <w:pStyle w:val="DefinedTerms"/>
      </w:pPr>
      <w:r>
        <w:t>material</w:t>
      </w:r>
      <w:r>
        <w:tab/>
        <w:t>12(1)</w:t>
      </w:r>
    </w:p>
    <w:p>
      <w:pPr>
        <w:pStyle w:val="DefinedTerms"/>
      </w:pPr>
      <w:r>
        <w:t>nominated member</w:t>
      </w:r>
      <w:r>
        <w:tab/>
        <w:t>43(1)</w:t>
      </w:r>
    </w:p>
    <w:p>
      <w:pPr>
        <w:pStyle w:val="DefinedTerms"/>
      </w:pPr>
      <w:r>
        <w:t>notice of representation</w:t>
      </w:r>
      <w:r>
        <w:tab/>
        <w:t>3</w:t>
      </w:r>
    </w:p>
    <w:p>
      <w:pPr>
        <w:pStyle w:val="DefinedTerms"/>
      </w:pPr>
      <w:r>
        <w:t>notifiable person</w:t>
      </w:r>
      <w:r>
        <w:tab/>
        <w:t>3</w:t>
      </w:r>
    </w:p>
    <w:p>
      <w:pPr>
        <w:pStyle w:val="DefinedTerms"/>
      </w:pPr>
      <w:r>
        <w:t>oral application</w:t>
      </w:r>
      <w:r>
        <w:tab/>
        <w:t>8(1)</w:t>
      </w:r>
    </w:p>
    <w:p>
      <w:pPr>
        <w:pStyle w:val="DefinedTerms"/>
      </w:pPr>
      <w:r>
        <w:t>ordinary service</w:t>
      </w:r>
      <w:r>
        <w:tab/>
        <w:t>3</w:t>
      </w:r>
    </w:p>
    <w:p>
      <w:pPr>
        <w:pStyle w:val="DefinedTerms"/>
      </w:pPr>
      <w:r>
        <w:t>personal service</w:t>
      </w:r>
      <w:r>
        <w:tab/>
        <w:t>3</w:t>
      </w:r>
    </w:p>
    <w:p>
      <w:pPr>
        <w:pStyle w:val="DefinedTerms"/>
      </w:pPr>
      <w:r>
        <w:t>practice note</w:t>
      </w:r>
      <w:r>
        <w:tab/>
        <w:t>3</w:t>
      </w:r>
    </w:p>
    <w:p>
      <w:pPr>
        <w:pStyle w:val="DefinedTerms"/>
      </w:pPr>
      <w:r>
        <w:t>pre-paid post</w:t>
      </w:r>
      <w:r>
        <w:tab/>
        <w:t>3</w:t>
      </w:r>
    </w:p>
    <w:p>
      <w:pPr>
        <w:pStyle w:val="DefinedTerms"/>
      </w:pPr>
      <w:r>
        <w:t>public sector body</w:t>
      </w:r>
      <w:r>
        <w:tab/>
        <w:t>3</w:t>
      </w:r>
    </w:p>
    <w:p>
      <w:pPr>
        <w:pStyle w:val="DefinedTerms"/>
      </w:pPr>
      <w:r>
        <w:t>referring person</w:t>
      </w:r>
      <w:r>
        <w:tab/>
        <w:t>3</w:t>
      </w:r>
    </w:p>
    <w:p>
      <w:pPr>
        <w:pStyle w:val="DefinedTerms"/>
      </w:pPr>
      <w:r>
        <w:t>representative</w:t>
      </w:r>
      <w:r>
        <w:tab/>
        <w:t>35(2)</w:t>
      </w:r>
    </w:p>
    <w:p>
      <w:pPr>
        <w:pStyle w:val="DefinedTerms"/>
      </w:pPr>
      <w:r>
        <w:t>RV Act</w:t>
      </w:r>
      <w:r>
        <w:tab/>
        <w:t>59(1)</w:t>
      </w:r>
    </w:p>
    <w:p>
      <w:pPr>
        <w:pStyle w:val="DefinedTerms"/>
      </w:pPr>
      <w:r>
        <w:t>supervising psychiatrist</w:t>
      </w:r>
      <w:r>
        <w:tab/>
        <w:t>56(1)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20" w:name="DefinedTerms"/>
    <w:bookmarkEnd w:id="1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1" w:name="Coversheet"/>
    <w:bookmarkEnd w:id="1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3BA3CA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67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3112216"/>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0720161139" w:val="ResetPageSize,UpdateArrangement,UpdateNTable"/>
    <w:docVar w:name="WAFER_20150720161139_GUID" w:val="4fc531ba-e6fa-4c94-8bdc-9c2c346fa0d4"/>
    <w:docVar w:name="WAFER_20151111095639" w:val="UpdateStyles,UsedStyles"/>
    <w:docVar w:name="WAFER_20151111095639_GUID" w:val="466d5d44-8f01-4f21-ac26-0ca6f84617c8"/>
    <w:docVar w:name="WAFER_20151201122445" w:val="RemoveTrackChanges"/>
    <w:docVar w:name="WAFER_20151201122445_GUID" w:val="16290c37-8989-4572-85a3-0f068c0de189"/>
    <w:docVar w:name="WAFER_20191218141119" w:val="RemoveTocBookmarks,RemoveUnusedBookmarks,RemoveLanguageTags,ResetPageSize,RunningHeaders,UpdateStyles,UsedStyles"/>
    <w:docVar w:name="WAFER_20191218141119_GUID" w:val="b716df9c-bca5-4a4e-94ef-02b5507fe3fd"/>
    <w:docVar w:name="WAFER_202002111042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201_GUID" w:val="54544428-b32f-412c-957b-b5d74a68f4a6"/>
    <w:docVar w:name="WAFER_20200417151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629_GUID" w:val="2cd92d22-c4c6-467c-a5be-8ea40189f0f7"/>
    <w:docVar w:name="WAFER_2020042009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512_GUID" w:val="a081d9dc-5e2f-49cb-9fe0-a390af62bfeb"/>
    <w:docVar w:name="WAFER_2021071515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55033_GUID" w:val="b55a46df-7355-43d6-ac28-b30c92568410"/>
    <w:docVar w:name="WAFER_202206071556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7155636_GUID" w:val="0189d43b-5ee8-47ce-9387-a8d060005e3d"/>
    <w:docVar w:name="WAFER_202206271542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4212_GUID" w:val="b114a52a-6afa-4d4c-a062-20b5d22f6dd9"/>
    <w:docVar w:name="WAFER_202212231122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12216_GUID" w:val="419a8cff-7ae0-4c4b-ac5b-dad62c4b72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F157A168-78E9-4AB9-A645-3682C74C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3380488">
      <w:bodyDiv w:val="1"/>
      <w:marLeft w:val="0"/>
      <w:marRight w:val="0"/>
      <w:marTop w:val="0"/>
      <w:marBottom w:val="0"/>
      <w:divBdr>
        <w:top w:val="none" w:sz="0" w:space="0" w:color="auto"/>
        <w:left w:val="none" w:sz="0" w:space="0" w:color="auto"/>
        <w:bottom w:val="none" w:sz="0" w:space="0" w:color="auto"/>
        <w:right w:val="none" w:sz="0" w:space="0" w:color="auto"/>
      </w:divBdr>
    </w:div>
    <w:div w:id="1204951110">
      <w:bodyDiv w:val="1"/>
      <w:marLeft w:val="0"/>
      <w:marRight w:val="0"/>
      <w:marTop w:val="0"/>
      <w:marBottom w:val="0"/>
      <w:divBdr>
        <w:top w:val="none" w:sz="0" w:space="0" w:color="auto"/>
        <w:left w:val="none" w:sz="0" w:space="0" w:color="auto"/>
        <w:bottom w:val="none" w:sz="0" w:space="0" w:color="auto"/>
        <w:right w:val="none" w:sz="0" w:space="0" w:color="auto"/>
      </w:divBdr>
    </w:div>
    <w:div w:id="1887374799">
      <w:bodyDiv w:val="1"/>
      <w:marLeft w:val="0"/>
      <w:marRight w:val="0"/>
      <w:marTop w:val="0"/>
      <w:marBottom w:val="0"/>
      <w:divBdr>
        <w:top w:val="none" w:sz="0" w:space="0" w:color="auto"/>
        <w:left w:val="none" w:sz="0" w:space="0" w:color="auto"/>
        <w:bottom w:val="none" w:sz="0" w:space="0" w:color="auto"/>
        <w:right w:val="none" w:sz="0" w:space="0" w:color="auto"/>
      </w:divBdr>
    </w:div>
    <w:div w:id="206513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1190D0-6161-4A73-98B1-A432B6DB5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11443</Words>
  <Characters>52756</Characters>
  <Application>Microsoft Office Word</Application>
  <DocSecurity>0</DocSecurity>
  <Lines>1507</Lines>
  <Paragraphs>904</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63295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2004 - 02-l0-00</dc:title>
  <dc:subject/>
  <dc:creator/>
  <cp:keywords/>
  <dc:description/>
  <cp:lastModifiedBy>Master Repository Process</cp:lastModifiedBy>
  <cp:revision>4</cp:revision>
  <cp:lastPrinted>2013-08-01T06:51:00Z</cp:lastPrinted>
  <dcterms:created xsi:type="dcterms:W3CDTF">2022-12-29T07:54:00Z</dcterms:created>
  <dcterms:modified xsi:type="dcterms:W3CDTF">2022-12-29T07:54:00Z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OwlsUID">
    <vt:i4>34305</vt:i4>
  </property>
  <property fmtid="{D5CDD505-2E9C-101B-9397-08002B2CF9AE}" pid="4" name="ReprintNo">
    <vt:lpwstr>2</vt:lpwstr>
  </property>
  <property fmtid="{D5CDD505-2E9C-101B-9397-08002B2CF9AE}" pid="5" name="ReprintedAsAt">
    <vt:filetime>2013-07-18T16:00:00Z</vt:filetime>
  </property>
  <property fmtid="{D5CDD505-2E9C-101B-9397-08002B2CF9AE}" pid="6" name="DocumentType">
    <vt:lpwstr>Reg</vt:lpwstr>
  </property>
  <property fmtid="{D5CDD505-2E9C-101B-9397-08002B2CF9AE}" pid="7" name="AsAtDate">
    <vt:lpwstr>31 Dec 2022</vt:lpwstr>
  </property>
  <property fmtid="{D5CDD505-2E9C-101B-9397-08002B2CF9AE}" pid="8" name="Suffix">
    <vt:lpwstr>02-l0-00</vt:lpwstr>
  </property>
  <property fmtid="{D5CDD505-2E9C-101B-9397-08002B2CF9AE}" pid="9" name="CommencementDate">
    <vt:lpwstr>20221231</vt:lpwstr>
  </property>
</Properties>
</file>