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Betting Control Act 1954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Betting Control Regulations 1978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Betting Control Regulations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_Toc122683323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Transitional provision</w:t>
      </w:r>
      <w:r>
        <w:tab/>
      </w:r>
      <w:r>
        <w:fldChar w:fldCharType="begin"/>
      </w:r>
      <w:r>
        <w:instrText xml:space="preserve"> PAGEREF _Toc122683324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_Toc122683325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Licences, fees and commissions</w:t>
      </w:r>
    </w:p>
    <w:p>
      <w:pPr>
        <w:pStyle w:val="TOC8"/>
        <w:rPr>
          <w:rFonts w:asciiTheme="minorHAnsi" w:eastAsiaTheme="minorEastAsia" w:hAnsiTheme="minorHAnsi" w:cstheme="minorBidi"/>
          <w:szCs w:val="22"/>
        </w:rPr>
      </w:pPr>
      <w:r>
        <w:t>9</w:t>
      </w:r>
      <w:r>
        <w:rPr>
          <w:snapToGrid w:val="0"/>
        </w:rPr>
        <w:t>.</w:t>
      </w:r>
      <w:r>
        <w:rPr>
          <w:snapToGrid w:val="0"/>
        </w:rPr>
        <w:tab/>
        <w:t>Application for licence</w:t>
      </w:r>
      <w:r>
        <w:tab/>
      </w:r>
      <w:r>
        <w:fldChar w:fldCharType="begin"/>
      </w:r>
      <w:r>
        <w:instrText xml:space="preserve"> PAGEREF _Toc122683327 \h </w:instrText>
      </w:r>
      <w:r>
        <w:fldChar w:fldCharType="separate"/>
      </w:r>
      <w:r>
        <w:t>6</w:t>
      </w:r>
      <w:r>
        <w:fldChar w:fldCharType="end"/>
      </w:r>
    </w:p>
    <w:p>
      <w:pPr>
        <w:pStyle w:val="TOC8"/>
        <w:rPr>
          <w:rFonts w:asciiTheme="minorHAnsi" w:eastAsiaTheme="minorEastAsia" w:hAnsiTheme="minorHAnsi" w:cstheme="minorBidi"/>
          <w:szCs w:val="22"/>
        </w:rPr>
      </w:pPr>
      <w:r>
        <w:t>9A.</w:t>
      </w:r>
      <w:r>
        <w:tab/>
        <w:t>Application to conduct a designated sporting event</w:t>
      </w:r>
      <w:r>
        <w:tab/>
      </w:r>
      <w:r>
        <w:fldChar w:fldCharType="begin"/>
      </w:r>
      <w:r>
        <w:instrText xml:space="preserve"> PAGEREF _Toc122683328 \h </w:instrText>
      </w:r>
      <w:r>
        <w:fldChar w:fldCharType="separate"/>
      </w:r>
      <w:r>
        <w:t>6</w:t>
      </w:r>
      <w:r>
        <w:fldChar w:fldCharType="end"/>
      </w:r>
    </w:p>
    <w:p>
      <w:pPr>
        <w:pStyle w:val="TOC8"/>
        <w:rPr>
          <w:rFonts w:asciiTheme="minorHAnsi" w:eastAsiaTheme="minorEastAsia" w:hAnsiTheme="minorHAnsi" w:cstheme="minorBidi"/>
          <w:szCs w:val="22"/>
        </w:rPr>
      </w:pPr>
      <w:r>
        <w:t>10.</w:t>
      </w:r>
      <w:r>
        <w:tab/>
        <w:t>Application for approval</w:t>
      </w:r>
      <w:r>
        <w:tab/>
      </w:r>
      <w:r>
        <w:fldChar w:fldCharType="begin"/>
      </w:r>
      <w:r>
        <w:instrText xml:space="preserve"> PAGEREF _Toc122683329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When licence may be renewed</w:t>
      </w:r>
      <w:r>
        <w:tab/>
      </w:r>
      <w:r>
        <w:fldChar w:fldCharType="begin"/>
      </w:r>
      <w:r>
        <w:instrText xml:space="preserve"> PAGEREF _Toc122683330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Grant of licence</w:t>
      </w:r>
      <w:r>
        <w:tab/>
      </w:r>
      <w:r>
        <w:fldChar w:fldCharType="begin"/>
      </w:r>
      <w:r>
        <w:instrText xml:space="preserve"> PAGEREF _Toc122683331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Effect of licence</w:t>
      </w:r>
      <w:r>
        <w:tab/>
      </w:r>
      <w:r>
        <w:fldChar w:fldCharType="begin"/>
      </w:r>
      <w:r>
        <w:instrText xml:space="preserve"> PAGEREF _Toc122683332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Duplicate licences</w:t>
      </w:r>
      <w:r>
        <w:tab/>
      </w:r>
      <w:r>
        <w:fldChar w:fldCharType="begin"/>
      </w:r>
      <w:r>
        <w:instrText xml:space="preserve"> PAGEREF _Toc122683333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and charges</w:t>
      </w:r>
      <w:r>
        <w:tab/>
      </w:r>
      <w:r>
        <w:fldChar w:fldCharType="begin"/>
      </w:r>
      <w:r>
        <w:instrText xml:space="preserve"> PAGEREF _Toc122683334 \h </w:instrText>
      </w:r>
      <w:r>
        <w:fldChar w:fldCharType="separate"/>
      </w:r>
      <w:r>
        <w:t>10</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Bookmakers’ annual licence fee</w:t>
      </w:r>
      <w:r>
        <w:tab/>
      </w:r>
      <w:r>
        <w:fldChar w:fldCharType="begin"/>
      </w:r>
      <w:r>
        <w:instrText xml:space="preserve"> PAGEREF _Toc122683335 \h </w:instrText>
      </w:r>
      <w:r>
        <w:fldChar w:fldCharType="separate"/>
      </w:r>
      <w:r>
        <w:t>12</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On</w:t>
      </w:r>
      <w:r>
        <w:rPr>
          <w:snapToGrid w:val="0"/>
        </w:rPr>
        <w:noBreakHyphen/>
        <w:t>course totalisator annual licence fee</w:t>
      </w:r>
      <w:r>
        <w:tab/>
      </w:r>
      <w:r>
        <w:fldChar w:fldCharType="begin"/>
      </w:r>
      <w:r>
        <w:instrText xml:space="preserve"> PAGEREF _Toc122683336 \h </w:instrText>
      </w:r>
      <w:r>
        <w:fldChar w:fldCharType="separate"/>
      </w:r>
      <w:r>
        <w:t>13</w:t>
      </w:r>
      <w:r>
        <w:fldChar w:fldCharType="end"/>
      </w:r>
    </w:p>
    <w:p>
      <w:pPr>
        <w:pStyle w:val="TOC8"/>
        <w:rPr>
          <w:rFonts w:asciiTheme="minorHAnsi" w:eastAsiaTheme="minorEastAsia" w:hAnsiTheme="minorHAnsi" w:cstheme="minorBidi"/>
          <w:szCs w:val="22"/>
        </w:rPr>
      </w:pPr>
      <w:r>
        <w:t>17C</w:t>
      </w:r>
      <w:r>
        <w:rPr>
          <w:spacing w:val="-2"/>
        </w:rPr>
        <w:t>.</w:t>
      </w:r>
      <w:r>
        <w:rPr>
          <w:spacing w:val="-2"/>
        </w:rPr>
        <w:tab/>
      </w:r>
      <w:r>
        <w:t>Percentage of bets to belong to RWWA</w:t>
      </w:r>
      <w:r>
        <w:tab/>
      </w:r>
      <w:r>
        <w:fldChar w:fldCharType="begin"/>
      </w:r>
      <w:r>
        <w:instrText xml:space="preserve"> PAGEREF _Toc122683337 \h </w:instrText>
      </w:r>
      <w:r>
        <w:fldChar w:fldCharType="separate"/>
      </w:r>
      <w:r>
        <w:t>14</w:t>
      </w:r>
      <w:r>
        <w:fldChar w:fldCharType="end"/>
      </w:r>
    </w:p>
    <w:p>
      <w:pPr>
        <w:pStyle w:val="TOC8"/>
        <w:rPr>
          <w:rFonts w:asciiTheme="minorHAnsi" w:eastAsiaTheme="minorEastAsia" w:hAnsiTheme="minorHAnsi" w:cstheme="minorBidi"/>
          <w:szCs w:val="22"/>
        </w:rPr>
      </w:pPr>
      <w:r>
        <w:t>17D.</w:t>
      </w:r>
      <w:r>
        <w:tab/>
        <w:t>Percentage of bets to belong to racing club</w:t>
      </w:r>
      <w:r>
        <w:tab/>
      </w:r>
      <w:r>
        <w:fldChar w:fldCharType="begin"/>
      </w:r>
      <w:r>
        <w:instrText xml:space="preserve"> PAGEREF _Toc122683338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Provisions relating to bookmakers</w:t>
      </w:r>
    </w:p>
    <w:p>
      <w:pPr>
        <w:pStyle w:val="TOC8"/>
        <w:rPr>
          <w:rFonts w:asciiTheme="minorHAnsi" w:eastAsiaTheme="minorEastAsia" w:hAnsiTheme="minorHAnsi" w:cstheme="minorBidi"/>
          <w:szCs w:val="22"/>
        </w:rPr>
      </w:pPr>
      <w:r>
        <w:t>18.</w:t>
      </w:r>
      <w:r>
        <w:tab/>
        <w:t>Security to be given</w:t>
      </w:r>
      <w:r>
        <w:tab/>
      </w:r>
      <w:r>
        <w:fldChar w:fldCharType="begin"/>
      </w:r>
      <w:r>
        <w:instrText xml:space="preserve"> PAGEREF _Toc122683340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Register</w:t>
      </w:r>
      <w:r>
        <w:tab/>
      </w:r>
      <w:r>
        <w:fldChar w:fldCharType="begin"/>
      </w:r>
      <w:r>
        <w:instrText xml:space="preserve"> PAGEREF _Toc122683341 \h </w:instrText>
      </w:r>
      <w:r>
        <w:fldChar w:fldCharType="separate"/>
      </w:r>
      <w:r>
        <w:t>17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Change of address</w:t>
      </w:r>
      <w:r>
        <w:tab/>
      </w:r>
      <w:r>
        <w:fldChar w:fldCharType="begin"/>
      </w:r>
      <w:r>
        <w:instrText xml:space="preserve"> PAGEREF _Toc122683342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Return of licence</w:t>
      </w:r>
      <w:r>
        <w:tab/>
      </w:r>
      <w:r>
        <w:fldChar w:fldCharType="begin"/>
      </w:r>
      <w:r>
        <w:instrText xml:space="preserve"> PAGEREF _Toc122683343 \h </w:instrText>
      </w:r>
      <w:r>
        <w:fldChar w:fldCharType="separate"/>
      </w:r>
      <w:r>
        <w:t>18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Production of licence</w:t>
      </w:r>
      <w:r>
        <w:tab/>
      </w:r>
      <w:r>
        <w:fldChar w:fldCharType="begin"/>
      </w:r>
      <w:r>
        <w:instrText xml:space="preserve"> PAGEREF _Toc122683344 \h </w:instrText>
      </w:r>
      <w:r>
        <w:fldChar w:fldCharType="separate"/>
      </w:r>
      <w:r>
        <w:t>19</w:t>
      </w:r>
      <w:r>
        <w:fldChar w:fldCharType="end"/>
      </w:r>
    </w:p>
    <w:p>
      <w:pPr>
        <w:pStyle w:val="TOC8"/>
        <w:rPr>
          <w:rFonts w:asciiTheme="minorHAnsi" w:eastAsiaTheme="minorEastAsia" w:hAnsiTheme="minorHAnsi" w:cstheme="minorBidi"/>
          <w:szCs w:val="22"/>
        </w:rPr>
      </w:pPr>
      <w:r>
        <w:lastRenderedPageBreak/>
        <w:t>30</w:t>
      </w:r>
      <w:r>
        <w:rPr>
          <w:snapToGrid w:val="0"/>
        </w:rPr>
        <w:t>.</w:t>
      </w:r>
      <w:r>
        <w:rPr>
          <w:snapToGrid w:val="0"/>
        </w:rPr>
        <w:tab/>
        <w:t>Advertising</w:t>
      </w:r>
      <w:r>
        <w:tab/>
      </w:r>
      <w:r>
        <w:fldChar w:fldCharType="begin"/>
      </w:r>
      <w:r>
        <w:instrText xml:space="preserve"> PAGEREF _Toc122683345 \h </w:instrText>
      </w:r>
      <w:r>
        <w:fldChar w:fldCharType="separate"/>
      </w:r>
      <w:r>
        <w:t>19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Betting tickets</w:t>
      </w:r>
      <w:r>
        <w:tab/>
      </w:r>
      <w:r>
        <w:fldChar w:fldCharType="begin"/>
      </w:r>
      <w:r>
        <w:instrText xml:space="preserve"> PAGEREF _Toc122683346 \h </w:instrText>
      </w:r>
      <w:r>
        <w:fldChar w:fldCharType="separate"/>
      </w:r>
      <w:r>
        <w:t>19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Written record of betting transactions</w:t>
      </w:r>
      <w:r>
        <w:tab/>
      </w:r>
      <w:r>
        <w:fldChar w:fldCharType="begin"/>
      </w:r>
      <w:r>
        <w:instrText xml:space="preserve"> PAGEREF _Toc122683347 \h </w:instrText>
      </w:r>
      <w:r>
        <w:fldChar w:fldCharType="separate"/>
      </w:r>
      <w:r>
        <w:t>21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Supply of books</w:t>
      </w:r>
      <w:r>
        <w:tab/>
      </w:r>
      <w:r>
        <w:fldChar w:fldCharType="begin"/>
      </w:r>
      <w:r>
        <w:instrText xml:space="preserve"> PAGEREF _Toc122683348 \h </w:instrText>
      </w:r>
      <w:r>
        <w:fldChar w:fldCharType="separate"/>
      </w:r>
      <w:r>
        <w:t>24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Loss of books etc.</w:t>
      </w:r>
      <w:r>
        <w:tab/>
      </w:r>
      <w:r>
        <w:fldChar w:fldCharType="begin"/>
      </w:r>
      <w:r>
        <w:instrText xml:space="preserve"> PAGEREF _Toc122683349 \h </w:instrText>
      </w:r>
      <w:r>
        <w:fldChar w:fldCharType="separate"/>
      </w:r>
      <w:r>
        <w:t>24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Betting material</w:t>
      </w:r>
      <w:r>
        <w:tab/>
      </w:r>
      <w:r>
        <w:fldChar w:fldCharType="begin"/>
      </w:r>
      <w:r>
        <w:instrText xml:space="preserve"> PAGEREF _Toc122683350 \h </w:instrText>
      </w:r>
      <w:r>
        <w:fldChar w:fldCharType="separate"/>
      </w:r>
      <w:r>
        <w:t>24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Rules of Betting</w:t>
      </w:r>
      <w:r>
        <w:tab/>
      </w:r>
      <w:r>
        <w:fldChar w:fldCharType="begin"/>
      </w:r>
      <w:r>
        <w:instrText xml:space="preserve"> PAGEREF _Toc122683351 \h </w:instrText>
      </w:r>
      <w:r>
        <w:fldChar w:fldCharType="separate"/>
      </w:r>
      <w:r>
        <w:t>25</w:t>
      </w:r>
      <w:r>
        <w:fldChar w:fldCharType="end"/>
      </w:r>
    </w:p>
    <w:p>
      <w:pPr>
        <w:pStyle w:val="TOC8"/>
        <w:rPr>
          <w:rFonts w:asciiTheme="minorHAnsi" w:eastAsiaTheme="minorEastAsia" w:hAnsiTheme="minorHAnsi" w:cstheme="minorBidi"/>
          <w:szCs w:val="22"/>
        </w:rPr>
      </w:pPr>
      <w:r>
        <w:t>48A.</w:t>
      </w:r>
      <w:r>
        <w:tab/>
        <w:t>Minimum bet obligations</w:t>
      </w:r>
      <w:r>
        <w:tab/>
      </w:r>
      <w:r>
        <w:fldChar w:fldCharType="begin"/>
      </w:r>
      <w:r>
        <w:instrText xml:space="preserve"> PAGEREF _Toc122683352 \h </w:instrText>
      </w:r>
      <w:r>
        <w:fldChar w:fldCharType="separate"/>
      </w:r>
      <w:r>
        <w:t>25</w:t>
      </w:r>
      <w:r>
        <w:fldChar w:fldCharType="end"/>
      </w:r>
    </w:p>
    <w:p>
      <w:pPr>
        <w:pStyle w:val="TOC8"/>
        <w:rPr>
          <w:rFonts w:asciiTheme="minorHAnsi" w:eastAsiaTheme="minorEastAsia" w:hAnsiTheme="minorHAnsi" w:cstheme="minorBidi"/>
          <w:szCs w:val="22"/>
        </w:rPr>
      </w:pPr>
      <w:r>
        <w:t>49.</w:t>
      </w:r>
      <w:r>
        <w:tab/>
        <w:t>Bets on more than one result</w:t>
      </w:r>
      <w:r>
        <w:tab/>
      </w:r>
      <w:r>
        <w:fldChar w:fldCharType="begin"/>
      </w:r>
      <w:r>
        <w:instrText xml:space="preserve"> PAGEREF _Toc122683353 \h </w:instrText>
      </w:r>
      <w:r>
        <w:fldChar w:fldCharType="separate"/>
      </w:r>
      <w:r>
        <w:t>25</w:t>
      </w:r>
      <w:r>
        <w:fldChar w:fldCharType="end"/>
      </w:r>
    </w:p>
    <w:p>
      <w:pPr>
        <w:pStyle w:val="TOC8"/>
        <w:rPr>
          <w:rFonts w:asciiTheme="minorHAnsi" w:eastAsiaTheme="minorEastAsia" w:hAnsiTheme="minorHAnsi" w:cstheme="minorBidi"/>
          <w:szCs w:val="22"/>
        </w:rPr>
      </w:pPr>
      <w:r>
        <w:t>50.</w:t>
      </w:r>
      <w:r>
        <w:tab/>
        <w:t>Permitted bets</w:t>
      </w:r>
      <w:r>
        <w:tab/>
      </w:r>
      <w:r>
        <w:fldChar w:fldCharType="begin"/>
      </w:r>
      <w:r>
        <w:instrText xml:space="preserve"> PAGEREF _Toc122683354 \h </w:instrText>
      </w:r>
      <w:r>
        <w:fldChar w:fldCharType="separate"/>
      </w:r>
      <w:r>
        <w:t>26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Place betting</w:t>
      </w:r>
      <w:r>
        <w:tab/>
      </w:r>
      <w:r>
        <w:fldChar w:fldCharType="begin"/>
      </w:r>
      <w:r>
        <w:instrText xml:space="preserve"> PAGEREF _Toc122683355 \h </w:instrText>
      </w:r>
      <w:r>
        <w:fldChar w:fldCharType="separate"/>
      </w:r>
      <w:r>
        <w:t>26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Concession betting</w:t>
      </w:r>
      <w:r>
        <w:tab/>
      </w:r>
      <w:r>
        <w:fldChar w:fldCharType="begin"/>
      </w:r>
      <w:r>
        <w:instrText xml:space="preserve"> PAGEREF _Toc122683356 \h </w:instrText>
      </w:r>
      <w:r>
        <w:fldChar w:fldCharType="separate"/>
      </w:r>
      <w:r>
        <w:t>27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Doubles other than multiple doubles</w:t>
      </w:r>
      <w:r>
        <w:tab/>
      </w:r>
      <w:r>
        <w:fldChar w:fldCharType="begin"/>
      </w:r>
      <w:r>
        <w:instrText xml:space="preserve"> PAGEREF _Toc122683357 \h </w:instrText>
      </w:r>
      <w:r>
        <w:fldChar w:fldCharType="separate"/>
      </w:r>
      <w:r>
        <w:t>27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Trebles</w:t>
      </w:r>
      <w:r>
        <w:tab/>
      </w:r>
      <w:r>
        <w:fldChar w:fldCharType="begin"/>
      </w:r>
      <w:r>
        <w:instrText xml:space="preserve"> PAGEREF _Toc122683358 \h </w:instrText>
      </w:r>
      <w:r>
        <w:fldChar w:fldCharType="separate"/>
      </w:r>
      <w:r>
        <w:t>27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All</w:t>
      </w:r>
      <w:r>
        <w:rPr>
          <w:snapToGrid w:val="0"/>
        </w:rPr>
        <w:noBreakHyphen/>
        <w:t>up</w:t>
      </w:r>
      <w:r>
        <w:tab/>
      </w:r>
      <w:r>
        <w:fldChar w:fldCharType="begin"/>
      </w:r>
      <w:r>
        <w:instrText xml:space="preserve"> PAGEREF _Toc122683359 \h </w:instrText>
      </w:r>
      <w:r>
        <w:fldChar w:fldCharType="separate"/>
      </w:r>
      <w:r>
        <w:t>28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Stand</w:t>
      </w:r>
      <w:r>
        <w:tab/>
      </w:r>
      <w:r>
        <w:fldChar w:fldCharType="begin"/>
      </w:r>
      <w:r>
        <w:instrText xml:space="preserve"> PAGEREF _Toc122683360 \h </w:instrText>
      </w:r>
      <w:r>
        <w:fldChar w:fldCharType="separate"/>
      </w:r>
      <w:r>
        <w:t>28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Use of stand</w:t>
      </w:r>
      <w:r>
        <w:tab/>
      </w:r>
      <w:r>
        <w:fldChar w:fldCharType="begin"/>
      </w:r>
      <w:r>
        <w:instrText xml:space="preserve"> PAGEREF _Toc122683361 \h </w:instrText>
      </w:r>
      <w:r>
        <w:fldChar w:fldCharType="separate"/>
      </w:r>
      <w:r>
        <w:t>28</w:t>
      </w:r>
      <w:r>
        <w:fldChar w:fldCharType="end"/>
      </w:r>
    </w:p>
    <w:p>
      <w:pPr>
        <w:pStyle w:val="TOC8"/>
        <w:rPr>
          <w:rFonts w:asciiTheme="minorHAnsi" w:eastAsiaTheme="minorEastAsia" w:hAnsiTheme="minorHAnsi" w:cstheme="minorBidi"/>
          <w:szCs w:val="22"/>
        </w:rPr>
      </w:pPr>
      <w:r>
        <w:t>59.</w:t>
      </w:r>
      <w:r>
        <w:tab/>
        <w:t>Name of bookmaker to be shown</w:t>
      </w:r>
      <w:r>
        <w:tab/>
      </w:r>
      <w:r>
        <w:fldChar w:fldCharType="begin"/>
      </w:r>
      <w:r>
        <w:instrText xml:space="preserve"> PAGEREF _Toc122683362 \h </w:instrText>
      </w:r>
      <w:r>
        <w:fldChar w:fldCharType="separate"/>
      </w:r>
      <w:r>
        <w:t>29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Betting boards etc. to be approved</w:t>
      </w:r>
      <w:r>
        <w:tab/>
      </w:r>
      <w:r>
        <w:fldChar w:fldCharType="begin"/>
      </w:r>
      <w:r>
        <w:instrText xml:space="preserve"> PAGEREF _Toc122683363 \h </w:instrText>
      </w:r>
      <w:r>
        <w:fldChar w:fldCharType="separate"/>
      </w:r>
      <w:r>
        <w:t>29</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Betting boards</w:t>
      </w:r>
      <w:r>
        <w:tab/>
      </w:r>
      <w:r>
        <w:fldChar w:fldCharType="begin"/>
      </w:r>
      <w:r>
        <w:instrText xml:space="preserve"> PAGEREF _Toc122683364 \h </w:instrText>
      </w:r>
      <w:r>
        <w:fldChar w:fldCharType="separate"/>
      </w:r>
      <w:r>
        <w:t>30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Omissions from betting board etc.</w:t>
      </w:r>
      <w:r>
        <w:tab/>
      </w:r>
      <w:r>
        <w:fldChar w:fldCharType="begin"/>
      </w:r>
      <w:r>
        <w:instrText xml:space="preserve"> PAGEREF _Toc122683365 \h </w:instrText>
      </w:r>
      <w:r>
        <w:fldChar w:fldCharType="separate"/>
      </w:r>
      <w:r>
        <w:t>30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Bets with domestic betting operators and totalisators</w:t>
      </w:r>
      <w:r>
        <w:tab/>
      </w:r>
      <w:r>
        <w:fldChar w:fldCharType="begin"/>
      </w:r>
      <w:r>
        <w:instrText xml:space="preserve"> PAGEREF _Toc122683366 \h </w:instrText>
      </w:r>
      <w:r>
        <w:fldChar w:fldCharType="separate"/>
      </w:r>
      <w:r>
        <w:t>31</w:t>
      </w:r>
      <w:r>
        <w:fldChar w:fldCharType="end"/>
      </w:r>
    </w:p>
    <w:p>
      <w:pPr>
        <w:pStyle w:val="TOC8"/>
        <w:rPr>
          <w:rFonts w:asciiTheme="minorHAnsi" w:eastAsiaTheme="minorEastAsia" w:hAnsiTheme="minorHAnsi" w:cstheme="minorBidi"/>
          <w:szCs w:val="22"/>
        </w:rPr>
      </w:pPr>
      <w:r>
        <w:t>64.</w:t>
      </w:r>
      <w:r>
        <w:tab/>
        <w:t>Bet back by means of a betting exchange</w:t>
      </w:r>
      <w:r>
        <w:tab/>
      </w:r>
      <w:r>
        <w:fldChar w:fldCharType="begin"/>
      </w:r>
      <w:r>
        <w:instrText xml:space="preserve"> PAGEREF _Toc122683367 \h </w:instrText>
      </w:r>
      <w:r>
        <w:fldChar w:fldCharType="separate"/>
      </w:r>
      <w:r>
        <w:t>32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 xml:space="preserve">Cooperation with </w:t>
      </w:r>
      <w:r>
        <w:t>Commission</w:t>
      </w:r>
      <w:r>
        <w:rPr>
          <w:snapToGrid w:val="0"/>
        </w:rPr>
        <w:t xml:space="preserve"> in matters relating to betting disputes</w:t>
      </w:r>
      <w:r>
        <w:tab/>
      </w:r>
      <w:r>
        <w:fldChar w:fldCharType="begin"/>
      </w:r>
      <w:r>
        <w:instrText xml:space="preserve"> PAGEREF _Toc122683368 \h </w:instrText>
      </w:r>
      <w:r>
        <w:fldChar w:fldCharType="separate"/>
      </w:r>
      <w:r>
        <w:t>33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Telephone betting on approved events</w:t>
      </w:r>
      <w:r>
        <w:tab/>
      </w:r>
      <w:r>
        <w:fldChar w:fldCharType="begin"/>
      </w:r>
      <w:r>
        <w:instrText xml:space="preserve"> PAGEREF _Toc122683369 \h </w:instrText>
      </w:r>
      <w:r>
        <w:fldChar w:fldCharType="separate"/>
      </w:r>
      <w:r>
        <w:t>33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Telephone betting on racing</w:t>
      </w:r>
      <w:r>
        <w:tab/>
      </w:r>
      <w:r>
        <w:fldChar w:fldCharType="begin"/>
      </w:r>
      <w:r>
        <w:instrText xml:space="preserve"> PAGEREF _Toc122683370 \h </w:instrText>
      </w:r>
      <w:r>
        <w:fldChar w:fldCharType="separate"/>
      </w:r>
      <w:r>
        <w:t>35</w:t>
      </w:r>
      <w:r>
        <w:fldChar w:fldCharType="end"/>
      </w:r>
    </w:p>
    <w:p>
      <w:pPr>
        <w:pStyle w:val="TOC8"/>
        <w:rPr>
          <w:rFonts w:asciiTheme="minorHAnsi" w:eastAsiaTheme="minorEastAsia" w:hAnsiTheme="minorHAnsi" w:cstheme="minorBidi"/>
          <w:szCs w:val="22"/>
        </w:rPr>
      </w:pPr>
      <w:r>
        <w:t>73.</w:t>
      </w:r>
      <w:r>
        <w:tab/>
        <w:t>Credit betting other than by telephone</w:t>
      </w:r>
      <w:r>
        <w:tab/>
      </w:r>
      <w:r>
        <w:fldChar w:fldCharType="begin"/>
      </w:r>
      <w:r>
        <w:instrText xml:space="preserve"> PAGEREF _Toc122683371 \h </w:instrText>
      </w:r>
      <w:r>
        <w:fldChar w:fldCharType="separate"/>
      </w:r>
      <w:r>
        <w:t>36</w:t>
      </w:r>
      <w:r>
        <w:fldChar w:fldCharType="end"/>
      </w:r>
    </w:p>
    <w:p>
      <w:pPr>
        <w:pStyle w:val="TOC8"/>
        <w:rPr>
          <w:rFonts w:asciiTheme="minorHAnsi" w:eastAsiaTheme="minorEastAsia" w:hAnsiTheme="minorHAnsi" w:cstheme="minorBidi"/>
          <w:szCs w:val="22"/>
        </w:rPr>
      </w:pPr>
      <w:r>
        <w:t>74.</w:t>
      </w:r>
      <w:r>
        <w:tab/>
        <w:t>Internet betting (approved events)</w:t>
      </w:r>
      <w:r>
        <w:tab/>
      </w:r>
      <w:r>
        <w:fldChar w:fldCharType="begin"/>
      </w:r>
      <w:r>
        <w:instrText xml:space="preserve"> PAGEREF _Toc122683372 \h </w:instrText>
      </w:r>
      <w:r>
        <w:fldChar w:fldCharType="separate"/>
      </w:r>
      <w:r>
        <w:t>37</w:t>
      </w:r>
      <w:r>
        <w:fldChar w:fldCharType="end"/>
      </w:r>
    </w:p>
    <w:p>
      <w:pPr>
        <w:pStyle w:val="TOC8"/>
        <w:rPr>
          <w:rFonts w:asciiTheme="minorHAnsi" w:eastAsiaTheme="minorEastAsia" w:hAnsiTheme="minorHAnsi" w:cstheme="minorBidi"/>
          <w:szCs w:val="22"/>
        </w:rPr>
      </w:pPr>
      <w:r>
        <w:t>75.</w:t>
      </w:r>
      <w:r>
        <w:tab/>
        <w:t>Internet betting (racing)</w:t>
      </w:r>
      <w:r>
        <w:tab/>
      </w:r>
      <w:r>
        <w:fldChar w:fldCharType="begin"/>
      </w:r>
      <w:r>
        <w:instrText xml:space="preserve"> PAGEREF _Toc122683373 \h </w:instrText>
      </w:r>
      <w:r>
        <w:fldChar w:fldCharType="separate"/>
      </w:r>
      <w:r>
        <w:t>37</w:t>
      </w:r>
      <w:r>
        <w:fldChar w:fldCharType="end"/>
      </w:r>
    </w:p>
    <w:p>
      <w:pPr>
        <w:pStyle w:val="TOC8"/>
        <w:rPr>
          <w:rFonts w:asciiTheme="minorHAnsi" w:eastAsiaTheme="minorEastAsia" w:hAnsiTheme="minorHAnsi" w:cstheme="minorBidi"/>
          <w:szCs w:val="22"/>
        </w:rPr>
      </w:pPr>
      <w:r>
        <w:t>76.</w:t>
      </w:r>
      <w:r>
        <w:tab/>
        <w:t>Procedures for internet betting</w:t>
      </w:r>
      <w:r>
        <w:tab/>
      </w:r>
      <w:r>
        <w:fldChar w:fldCharType="begin"/>
      </w:r>
      <w:r>
        <w:instrText xml:space="preserve"> PAGEREF _Toc122683374 \h </w:instrText>
      </w:r>
      <w:r>
        <w:fldChar w:fldCharType="separate"/>
      </w:r>
      <w:r>
        <w:t>38</w:t>
      </w:r>
      <w:r>
        <w:fldChar w:fldCharType="end"/>
      </w:r>
    </w:p>
    <w:p>
      <w:pPr>
        <w:pStyle w:val="TOC8"/>
        <w:rPr>
          <w:rFonts w:asciiTheme="minorHAnsi" w:eastAsiaTheme="minorEastAsia" w:hAnsiTheme="minorHAnsi" w:cstheme="minorBidi"/>
          <w:szCs w:val="22"/>
        </w:rPr>
      </w:pPr>
      <w:r>
        <w:t>77.</w:t>
      </w:r>
      <w:r>
        <w:tab/>
        <w:t>Form of search warrant</w:t>
      </w:r>
      <w:r>
        <w:tab/>
      </w:r>
      <w:r>
        <w:fldChar w:fldCharType="begin"/>
      </w:r>
      <w:r>
        <w:instrText xml:space="preserve"> PAGEREF _Toc122683375 \h </w:instrText>
      </w:r>
      <w:r>
        <w:fldChar w:fldCharType="separate"/>
      </w:r>
      <w:r>
        <w:t>39</w:t>
      </w:r>
      <w:r>
        <w:fldChar w:fldCharType="end"/>
      </w:r>
    </w:p>
    <w:p>
      <w:pPr>
        <w:pStyle w:val="TOC2"/>
        <w:keepLines/>
        <w:tabs>
          <w:tab w:val="right" w:leader="dot" w:pos="7077"/>
        </w:tabs>
        <w:rPr>
          <w:rFonts w:asciiTheme="minorHAnsi" w:eastAsiaTheme="minorEastAsia" w:hAnsiTheme="minorHAnsi" w:cstheme="minorBidi"/>
          <w:b w:val="0"/>
          <w:sz w:val="22"/>
          <w:szCs w:val="22"/>
        </w:rPr>
      </w:pPr>
      <w:r>
        <w:lastRenderedPageBreak/>
        <w:t>Part 4 — General conditions relating to bets made at or through on</w:t>
      </w:r>
      <w:r>
        <w:noBreakHyphen/>
        <w:t>course totalisators and local on</w:t>
      </w:r>
      <w:r>
        <w:noBreakHyphen/>
        <w:t>course totalisators</w:t>
      </w:r>
    </w:p>
    <w:p>
      <w:pPr>
        <w:pStyle w:val="TOC4"/>
        <w:keepLines/>
        <w:tabs>
          <w:tab w:val="right" w:leader="dot" w:pos="7077"/>
        </w:tabs>
        <w:rPr>
          <w:rFonts w:asciiTheme="minorHAnsi" w:eastAsiaTheme="minorEastAsia" w:hAnsiTheme="minorHAnsi" w:cstheme="minorBidi"/>
          <w:b w:val="0"/>
          <w:szCs w:val="22"/>
        </w:rPr>
      </w:pPr>
      <w:r>
        <w:t>Division 1 — Preliminary</w:t>
      </w:r>
    </w:p>
    <w:p>
      <w:pPr>
        <w:pStyle w:val="TOC8"/>
        <w:keepLines/>
        <w:rPr>
          <w:rFonts w:asciiTheme="minorHAnsi" w:eastAsiaTheme="minorEastAsia" w:hAnsiTheme="minorHAnsi" w:cstheme="minorBidi"/>
          <w:szCs w:val="22"/>
        </w:rPr>
      </w:pPr>
      <w:r>
        <w:t>78.</w:t>
      </w:r>
      <w:r>
        <w:tab/>
        <w:t>Terms used</w:t>
      </w:r>
      <w:r>
        <w:tab/>
      </w:r>
      <w:r>
        <w:fldChar w:fldCharType="begin"/>
      </w:r>
      <w:r>
        <w:instrText xml:space="preserve"> PAGEREF _Toc122683378 \h </w:instrText>
      </w:r>
      <w:r>
        <w:fldChar w:fldCharType="separate"/>
      </w:r>
      <w:r>
        <w:t>40</w:t>
      </w:r>
      <w:r>
        <w:fldChar w:fldCharType="end"/>
      </w:r>
    </w:p>
    <w:p>
      <w:pPr>
        <w:pStyle w:val="TOC4"/>
        <w:keepLines/>
        <w:tabs>
          <w:tab w:val="right" w:leader="dot" w:pos="7077"/>
        </w:tabs>
        <w:rPr>
          <w:rFonts w:asciiTheme="minorHAnsi" w:eastAsiaTheme="minorEastAsia" w:hAnsiTheme="minorHAnsi" w:cstheme="minorBidi"/>
          <w:b w:val="0"/>
          <w:szCs w:val="22"/>
        </w:rPr>
      </w:pPr>
      <w:r>
        <w:t>Division 2 — Betting with on</w:t>
      </w:r>
      <w:r>
        <w:noBreakHyphen/>
        <w:t>course and local on</w:t>
      </w:r>
      <w:r>
        <w:noBreakHyphen/>
        <w:t>course totalisators</w:t>
      </w:r>
    </w:p>
    <w:p>
      <w:pPr>
        <w:pStyle w:val="TOC8"/>
        <w:keepLines/>
        <w:rPr>
          <w:rFonts w:asciiTheme="minorHAnsi" w:eastAsiaTheme="minorEastAsia" w:hAnsiTheme="minorHAnsi" w:cstheme="minorBidi"/>
          <w:szCs w:val="22"/>
        </w:rPr>
      </w:pPr>
      <w:r>
        <w:t>79.</w:t>
      </w:r>
      <w:r>
        <w:tab/>
        <w:t>On</w:t>
      </w:r>
      <w:r>
        <w:noBreakHyphen/>
        <w:t>course totalisator bets accepted subject to the rules and these regulations</w:t>
      </w:r>
      <w:r>
        <w:tab/>
      </w:r>
      <w:r>
        <w:fldChar w:fldCharType="begin"/>
      </w:r>
      <w:r>
        <w:instrText xml:space="preserve"> PAGEREF _Toc122683380 \h </w:instrText>
      </w:r>
      <w:r>
        <w:fldChar w:fldCharType="separate"/>
      </w:r>
      <w:r>
        <w:t>41</w:t>
      </w:r>
      <w:r>
        <w:fldChar w:fldCharType="end"/>
      </w:r>
    </w:p>
    <w:p>
      <w:pPr>
        <w:pStyle w:val="TOC8"/>
        <w:keepLines/>
        <w:rPr>
          <w:rFonts w:asciiTheme="minorHAnsi" w:eastAsiaTheme="minorEastAsia" w:hAnsiTheme="minorHAnsi" w:cstheme="minorBidi"/>
          <w:szCs w:val="22"/>
        </w:rPr>
      </w:pPr>
      <w:r>
        <w:t>80.</w:t>
      </w:r>
      <w:r>
        <w:tab/>
        <w:t>Local on</w:t>
      </w:r>
      <w:r>
        <w:noBreakHyphen/>
        <w:t>course totalisator bets accepted subject to the rules and these regulations</w:t>
      </w:r>
      <w:r>
        <w:tab/>
      </w:r>
      <w:r>
        <w:fldChar w:fldCharType="begin"/>
      </w:r>
      <w:r>
        <w:instrText xml:space="preserve"> PAGEREF _Toc122683381 \h </w:instrText>
      </w:r>
      <w:r>
        <w:fldChar w:fldCharType="separate"/>
      </w:r>
      <w:r>
        <w:t>42</w:t>
      </w:r>
      <w:r>
        <w:fldChar w:fldCharType="end"/>
      </w:r>
    </w:p>
    <w:p>
      <w:pPr>
        <w:pStyle w:val="TOC8"/>
        <w:keepLines/>
        <w:rPr>
          <w:rFonts w:asciiTheme="minorHAnsi" w:eastAsiaTheme="minorEastAsia" w:hAnsiTheme="minorHAnsi" w:cstheme="minorBidi"/>
          <w:szCs w:val="22"/>
        </w:rPr>
      </w:pPr>
      <w:r>
        <w:t>81.</w:t>
      </w:r>
      <w:r>
        <w:tab/>
        <w:t>All bets to be 50 cents or multiples of 50 cents</w:t>
      </w:r>
      <w:r>
        <w:tab/>
      </w:r>
      <w:r>
        <w:fldChar w:fldCharType="begin"/>
      </w:r>
      <w:r>
        <w:instrText xml:space="preserve"> PAGEREF _Toc122683382 \h </w:instrText>
      </w:r>
      <w:r>
        <w:fldChar w:fldCharType="separate"/>
      </w:r>
      <w:r>
        <w:t>42</w:t>
      </w:r>
      <w:r>
        <w:fldChar w:fldCharType="end"/>
      </w:r>
    </w:p>
    <w:p>
      <w:pPr>
        <w:pStyle w:val="TOC8"/>
        <w:keepLines/>
        <w:rPr>
          <w:rFonts w:asciiTheme="minorHAnsi" w:eastAsiaTheme="minorEastAsia" w:hAnsiTheme="minorHAnsi" w:cstheme="minorBidi"/>
          <w:szCs w:val="22"/>
        </w:rPr>
      </w:pPr>
      <w:r>
        <w:t>82.</w:t>
      </w:r>
      <w:r>
        <w:tab/>
        <w:t>On</w:t>
      </w:r>
      <w:r>
        <w:noBreakHyphen/>
        <w:t>course totalisator dividend as declared</w:t>
      </w:r>
      <w:r>
        <w:tab/>
      </w:r>
      <w:r>
        <w:fldChar w:fldCharType="begin"/>
      </w:r>
      <w:r>
        <w:instrText xml:space="preserve"> PAGEREF _Toc122683383 \h </w:instrText>
      </w:r>
      <w:r>
        <w:fldChar w:fldCharType="separate"/>
      </w:r>
      <w:r>
        <w:t>43</w:t>
      </w:r>
      <w:r>
        <w:fldChar w:fldCharType="end"/>
      </w:r>
    </w:p>
    <w:p>
      <w:pPr>
        <w:pStyle w:val="TOC8"/>
        <w:keepLines/>
        <w:rPr>
          <w:rFonts w:asciiTheme="minorHAnsi" w:eastAsiaTheme="minorEastAsia" w:hAnsiTheme="minorHAnsi" w:cstheme="minorBidi"/>
          <w:szCs w:val="22"/>
        </w:rPr>
      </w:pPr>
      <w:r>
        <w:t>83.</w:t>
      </w:r>
      <w:r>
        <w:tab/>
        <w:t>Local on</w:t>
      </w:r>
      <w:r>
        <w:noBreakHyphen/>
        <w:t>course totalisator dividend as declared</w:t>
      </w:r>
      <w:r>
        <w:tab/>
      </w:r>
      <w:r>
        <w:fldChar w:fldCharType="begin"/>
      </w:r>
      <w:r>
        <w:instrText xml:space="preserve"> PAGEREF _Toc122683384 \h </w:instrText>
      </w:r>
      <w:r>
        <w:fldChar w:fldCharType="separate"/>
      </w:r>
      <w:r>
        <w:t>44</w:t>
      </w:r>
      <w:r>
        <w:fldChar w:fldCharType="end"/>
      </w:r>
    </w:p>
    <w:p>
      <w:pPr>
        <w:pStyle w:val="TOC8"/>
        <w:keepLines/>
        <w:rPr>
          <w:rFonts w:asciiTheme="minorHAnsi" w:eastAsiaTheme="minorEastAsia" w:hAnsiTheme="minorHAnsi" w:cstheme="minorBidi"/>
          <w:szCs w:val="22"/>
        </w:rPr>
      </w:pPr>
      <w:r>
        <w:t>84.</w:t>
      </w:r>
      <w:r>
        <w:tab/>
        <w:t>Bets may be refused</w:t>
      </w:r>
      <w:r>
        <w:tab/>
      </w:r>
      <w:r>
        <w:fldChar w:fldCharType="begin"/>
      </w:r>
      <w:r>
        <w:instrText xml:space="preserve"> PAGEREF _Toc122683385 \h </w:instrText>
      </w:r>
      <w:r>
        <w:fldChar w:fldCharType="separate"/>
      </w:r>
      <w:r>
        <w:t>44</w:t>
      </w:r>
      <w:r>
        <w:fldChar w:fldCharType="end"/>
      </w:r>
    </w:p>
    <w:p>
      <w:pPr>
        <w:pStyle w:val="TOC8"/>
        <w:keepLines/>
        <w:rPr>
          <w:rFonts w:asciiTheme="minorHAnsi" w:eastAsiaTheme="minorEastAsia" w:hAnsiTheme="minorHAnsi" w:cstheme="minorBidi"/>
          <w:szCs w:val="22"/>
        </w:rPr>
      </w:pPr>
      <w:r>
        <w:t>85.</w:t>
      </w:r>
      <w:r>
        <w:tab/>
        <w:t>Only authorised bets to be accepted</w:t>
      </w:r>
      <w:r>
        <w:tab/>
      </w:r>
      <w:r>
        <w:fldChar w:fldCharType="begin"/>
      </w:r>
      <w:r>
        <w:instrText xml:space="preserve"> PAGEREF _Toc122683386 \h </w:instrText>
      </w:r>
      <w:r>
        <w:fldChar w:fldCharType="separate"/>
      </w:r>
      <w:r>
        <w:t>45</w:t>
      </w:r>
      <w:r>
        <w:fldChar w:fldCharType="end"/>
      </w:r>
    </w:p>
    <w:p>
      <w:pPr>
        <w:pStyle w:val="TOC8"/>
        <w:keepLines/>
        <w:rPr>
          <w:rFonts w:asciiTheme="minorHAnsi" w:eastAsiaTheme="minorEastAsia" w:hAnsiTheme="minorHAnsi" w:cstheme="minorBidi"/>
          <w:szCs w:val="22"/>
        </w:rPr>
      </w:pPr>
      <w:r>
        <w:t>86.</w:t>
      </w:r>
      <w:r>
        <w:tab/>
        <w:t>Hours for opening</w:t>
      </w:r>
      <w:r>
        <w:tab/>
      </w:r>
      <w:r>
        <w:fldChar w:fldCharType="begin"/>
      </w:r>
      <w:r>
        <w:instrText xml:space="preserve"> PAGEREF _Toc122683387 \h </w:instrText>
      </w:r>
      <w:r>
        <w:fldChar w:fldCharType="separate"/>
      </w:r>
      <w:r>
        <w:t>45</w:t>
      </w:r>
      <w:r>
        <w:fldChar w:fldCharType="end"/>
      </w:r>
    </w:p>
    <w:p>
      <w:pPr>
        <w:pStyle w:val="TOC8"/>
        <w:keepLines/>
        <w:rPr>
          <w:rFonts w:asciiTheme="minorHAnsi" w:eastAsiaTheme="minorEastAsia" w:hAnsiTheme="minorHAnsi" w:cstheme="minorBidi"/>
          <w:szCs w:val="22"/>
        </w:rPr>
      </w:pPr>
      <w:r>
        <w:t>87.</w:t>
      </w:r>
      <w:r>
        <w:tab/>
        <w:t>Bets may be made by various methods</w:t>
      </w:r>
      <w:r>
        <w:tab/>
      </w:r>
      <w:r>
        <w:fldChar w:fldCharType="begin"/>
      </w:r>
      <w:r>
        <w:instrText xml:space="preserve"> PAGEREF _Toc122683388 \h </w:instrText>
      </w:r>
      <w:r>
        <w:fldChar w:fldCharType="separate"/>
      </w:r>
      <w:r>
        <w:t>46</w:t>
      </w:r>
      <w:r>
        <w:fldChar w:fldCharType="end"/>
      </w:r>
    </w:p>
    <w:p>
      <w:pPr>
        <w:pStyle w:val="TOC8"/>
        <w:keepLines/>
        <w:rPr>
          <w:rFonts w:asciiTheme="minorHAnsi" w:eastAsiaTheme="minorEastAsia" w:hAnsiTheme="minorHAnsi" w:cstheme="minorBidi"/>
          <w:szCs w:val="22"/>
        </w:rPr>
      </w:pPr>
      <w:r>
        <w:t>88.</w:t>
      </w:r>
      <w:r>
        <w:tab/>
        <w:t>On</w:t>
      </w:r>
      <w:r>
        <w:noBreakHyphen/>
        <w:t>course totalisator bets to be properly marked</w:t>
      </w:r>
      <w:r>
        <w:tab/>
      </w:r>
      <w:r>
        <w:fldChar w:fldCharType="begin"/>
      </w:r>
      <w:r>
        <w:instrText xml:space="preserve"> PAGEREF _Toc122683389 \h </w:instrText>
      </w:r>
      <w:r>
        <w:fldChar w:fldCharType="separate"/>
      </w:r>
      <w:r>
        <w:t>46</w:t>
      </w:r>
      <w:r>
        <w:fldChar w:fldCharType="end"/>
      </w:r>
    </w:p>
    <w:p>
      <w:pPr>
        <w:pStyle w:val="TOC8"/>
        <w:keepLines/>
        <w:rPr>
          <w:rFonts w:asciiTheme="minorHAnsi" w:eastAsiaTheme="minorEastAsia" w:hAnsiTheme="minorHAnsi" w:cstheme="minorBidi"/>
          <w:szCs w:val="22"/>
        </w:rPr>
      </w:pPr>
      <w:r>
        <w:t>89.</w:t>
      </w:r>
      <w:r>
        <w:tab/>
        <w:t>Local on</w:t>
      </w:r>
      <w:r>
        <w:noBreakHyphen/>
        <w:t>course totalisator bets to be properly marked</w:t>
      </w:r>
      <w:r>
        <w:tab/>
      </w:r>
      <w:r>
        <w:fldChar w:fldCharType="begin"/>
      </w:r>
      <w:r>
        <w:instrText xml:space="preserve"> PAGEREF _Toc122683390 \h </w:instrText>
      </w:r>
      <w:r>
        <w:fldChar w:fldCharType="separate"/>
      </w:r>
      <w:r>
        <w:t>47</w:t>
      </w:r>
      <w:r>
        <w:fldChar w:fldCharType="end"/>
      </w:r>
    </w:p>
    <w:p>
      <w:pPr>
        <w:pStyle w:val="TOC8"/>
        <w:keepLines/>
        <w:rPr>
          <w:rFonts w:asciiTheme="minorHAnsi" w:eastAsiaTheme="minorEastAsia" w:hAnsiTheme="minorHAnsi" w:cstheme="minorBidi"/>
          <w:szCs w:val="22"/>
        </w:rPr>
      </w:pPr>
      <w:r>
        <w:t>90.</w:t>
      </w:r>
      <w:r>
        <w:tab/>
        <w:t>Tickets to be properly marked</w:t>
      </w:r>
      <w:r>
        <w:tab/>
      </w:r>
      <w:r>
        <w:fldChar w:fldCharType="begin"/>
      </w:r>
      <w:r>
        <w:instrText xml:space="preserve"> PAGEREF _Toc122683391 \h </w:instrText>
      </w:r>
      <w:r>
        <w:fldChar w:fldCharType="separate"/>
      </w:r>
      <w:r>
        <w:t>47</w:t>
      </w:r>
      <w:r>
        <w:fldChar w:fldCharType="end"/>
      </w:r>
    </w:p>
    <w:p>
      <w:pPr>
        <w:pStyle w:val="TOC8"/>
        <w:keepLines/>
        <w:rPr>
          <w:rFonts w:asciiTheme="minorHAnsi" w:eastAsiaTheme="minorEastAsia" w:hAnsiTheme="minorHAnsi" w:cstheme="minorBidi"/>
          <w:szCs w:val="22"/>
        </w:rPr>
      </w:pPr>
      <w:r>
        <w:t>91.</w:t>
      </w:r>
      <w:r>
        <w:tab/>
        <w:t>Host racing club to exhibit notices at on</w:t>
      </w:r>
      <w:r>
        <w:noBreakHyphen/>
        <w:t>course totalisator and local on</w:t>
      </w:r>
      <w:r>
        <w:noBreakHyphen/>
        <w:t>course totalisator</w:t>
      </w:r>
      <w:r>
        <w:tab/>
      </w:r>
      <w:r>
        <w:fldChar w:fldCharType="begin"/>
      </w:r>
      <w:r>
        <w:instrText xml:space="preserve"> PAGEREF _Toc122683392 \h </w:instrText>
      </w:r>
      <w:r>
        <w:fldChar w:fldCharType="separate"/>
      </w:r>
      <w:r>
        <w:t>48</w:t>
      </w:r>
      <w:r>
        <w:fldChar w:fldCharType="end"/>
      </w:r>
    </w:p>
    <w:p>
      <w:pPr>
        <w:pStyle w:val="TOC8"/>
        <w:keepLines/>
        <w:rPr>
          <w:rFonts w:asciiTheme="minorHAnsi" w:eastAsiaTheme="minorEastAsia" w:hAnsiTheme="minorHAnsi" w:cstheme="minorBidi"/>
          <w:szCs w:val="22"/>
        </w:rPr>
      </w:pPr>
      <w:r>
        <w:t>92.</w:t>
      </w:r>
      <w:r>
        <w:tab/>
        <w:t>Correction of errors and omissions and the giving of certain refunds</w:t>
      </w:r>
      <w:r>
        <w:tab/>
      </w:r>
      <w:r>
        <w:fldChar w:fldCharType="begin"/>
      </w:r>
      <w:r>
        <w:instrText xml:space="preserve"> PAGEREF _Toc122683393 \h </w:instrText>
      </w:r>
      <w:r>
        <w:fldChar w:fldCharType="separate"/>
      </w:r>
      <w:r>
        <w:t>49</w:t>
      </w:r>
      <w:r>
        <w:fldChar w:fldCharType="end"/>
      </w:r>
    </w:p>
    <w:p>
      <w:pPr>
        <w:pStyle w:val="TOC8"/>
        <w:keepLines/>
        <w:rPr>
          <w:rFonts w:asciiTheme="minorHAnsi" w:eastAsiaTheme="minorEastAsia" w:hAnsiTheme="minorHAnsi" w:cstheme="minorBidi"/>
          <w:szCs w:val="22"/>
        </w:rPr>
      </w:pPr>
      <w:r>
        <w:t>93.</w:t>
      </w:r>
      <w:r>
        <w:tab/>
        <w:t>Time for payment of dividends or refunds for cash bets</w:t>
      </w:r>
      <w:r>
        <w:tab/>
      </w:r>
      <w:r>
        <w:fldChar w:fldCharType="begin"/>
      </w:r>
      <w:r>
        <w:instrText xml:space="preserve"> PAGEREF _Toc122683394 \h </w:instrText>
      </w:r>
      <w:r>
        <w:fldChar w:fldCharType="separate"/>
      </w:r>
      <w:r>
        <w:t>51</w:t>
      </w:r>
      <w:r>
        <w:fldChar w:fldCharType="end"/>
      </w:r>
    </w:p>
    <w:p>
      <w:pPr>
        <w:pStyle w:val="TOC8"/>
        <w:keepLines/>
        <w:rPr>
          <w:rFonts w:asciiTheme="minorHAnsi" w:eastAsiaTheme="minorEastAsia" w:hAnsiTheme="minorHAnsi" w:cstheme="minorBidi"/>
          <w:szCs w:val="22"/>
        </w:rPr>
      </w:pPr>
      <w:r>
        <w:t>94.</w:t>
      </w:r>
      <w:r>
        <w:tab/>
        <w:t>Presentation of tickets or claims</w:t>
      </w:r>
      <w:r>
        <w:tab/>
      </w:r>
      <w:r>
        <w:fldChar w:fldCharType="begin"/>
      </w:r>
      <w:r>
        <w:instrText xml:space="preserve"> PAGEREF _Toc122683395 \h </w:instrText>
      </w:r>
      <w:r>
        <w:fldChar w:fldCharType="separate"/>
      </w:r>
      <w:r>
        <w:t>51</w:t>
      </w:r>
      <w:r>
        <w:fldChar w:fldCharType="end"/>
      </w:r>
    </w:p>
    <w:p>
      <w:pPr>
        <w:pStyle w:val="TOC8"/>
        <w:keepLines/>
        <w:rPr>
          <w:rFonts w:asciiTheme="minorHAnsi" w:eastAsiaTheme="minorEastAsia" w:hAnsiTheme="minorHAnsi" w:cstheme="minorBidi"/>
          <w:szCs w:val="22"/>
        </w:rPr>
      </w:pPr>
      <w:r>
        <w:t>95.</w:t>
      </w:r>
      <w:r>
        <w:tab/>
        <w:t>When refunds of bets are payable</w:t>
      </w:r>
      <w:r>
        <w:tab/>
      </w:r>
      <w:r>
        <w:fldChar w:fldCharType="begin"/>
      </w:r>
      <w:r>
        <w:instrText xml:space="preserve"> PAGEREF _Toc122683396 \h </w:instrText>
      </w:r>
      <w:r>
        <w:fldChar w:fldCharType="separate"/>
      </w:r>
      <w:r>
        <w:t>52</w:t>
      </w:r>
      <w:r>
        <w:fldChar w:fldCharType="end"/>
      </w:r>
    </w:p>
    <w:p>
      <w:pPr>
        <w:pStyle w:val="TOC4"/>
        <w:keepLines/>
        <w:tabs>
          <w:tab w:val="right" w:leader="dot" w:pos="7077"/>
        </w:tabs>
        <w:rPr>
          <w:rFonts w:asciiTheme="minorHAnsi" w:eastAsiaTheme="minorEastAsia" w:hAnsiTheme="minorHAnsi" w:cstheme="minorBidi"/>
          <w:b w:val="0"/>
          <w:szCs w:val="22"/>
        </w:rPr>
      </w:pPr>
      <w:r>
        <w:t>Division 3 — Miscellaneous discipline and offence provisions</w:t>
      </w:r>
    </w:p>
    <w:p>
      <w:pPr>
        <w:pStyle w:val="TOC8"/>
        <w:keepLines/>
        <w:rPr>
          <w:rFonts w:asciiTheme="minorHAnsi" w:eastAsiaTheme="minorEastAsia" w:hAnsiTheme="minorHAnsi" w:cstheme="minorBidi"/>
          <w:szCs w:val="22"/>
        </w:rPr>
      </w:pPr>
      <w:r>
        <w:t>96.</w:t>
      </w:r>
      <w:r>
        <w:tab/>
        <w:t>Person making bet bound by these regulations, the rules of wagering and instructions</w:t>
      </w:r>
      <w:r>
        <w:tab/>
      </w:r>
      <w:r>
        <w:fldChar w:fldCharType="begin"/>
      </w:r>
      <w:r>
        <w:instrText xml:space="preserve"> PAGEREF _Toc122683398 \h </w:instrText>
      </w:r>
      <w:r>
        <w:fldChar w:fldCharType="separate"/>
      </w:r>
      <w:r>
        <w:t>54</w:t>
      </w:r>
      <w:r>
        <w:fldChar w:fldCharType="end"/>
      </w:r>
    </w:p>
    <w:p>
      <w:pPr>
        <w:pStyle w:val="TOC8"/>
        <w:keepLines/>
        <w:rPr>
          <w:rFonts w:asciiTheme="minorHAnsi" w:eastAsiaTheme="minorEastAsia" w:hAnsiTheme="minorHAnsi" w:cstheme="minorBidi"/>
          <w:szCs w:val="22"/>
        </w:rPr>
      </w:pPr>
      <w:r>
        <w:t>97.</w:t>
      </w:r>
      <w:r>
        <w:tab/>
        <w:t>Offences relating to making and accepting wagers</w:t>
      </w:r>
      <w:r>
        <w:tab/>
      </w:r>
      <w:r>
        <w:fldChar w:fldCharType="begin"/>
      </w:r>
      <w:r>
        <w:instrText xml:space="preserve"> PAGEREF _Toc122683399 \h </w:instrText>
      </w:r>
      <w:r>
        <w:fldChar w:fldCharType="separate"/>
      </w:r>
      <w:r>
        <w:t>54</w:t>
      </w:r>
      <w:r>
        <w:fldChar w:fldCharType="end"/>
      </w:r>
    </w:p>
    <w:p>
      <w:pPr>
        <w:pStyle w:val="TOC2"/>
        <w:keepLines/>
        <w:tabs>
          <w:tab w:val="right" w:leader="dot" w:pos="7077"/>
        </w:tabs>
        <w:rPr>
          <w:rFonts w:asciiTheme="minorHAnsi" w:eastAsiaTheme="minorEastAsia" w:hAnsiTheme="minorHAnsi" w:cstheme="minorBidi"/>
          <w:b w:val="0"/>
          <w:sz w:val="22"/>
          <w:szCs w:val="22"/>
        </w:rPr>
      </w:pPr>
      <w:r>
        <w:lastRenderedPageBreak/>
        <w:t>Part 5 — Approval to publish or make available WA race fields</w:t>
      </w:r>
    </w:p>
    <w:p>
      <w:pPr>
        <w:pStyle w:val="TOC8"/>
        <w:keepLines/>
        <w:rPr>
          <w:rFonts w:asciiTheme="minorHAnsi" w:eastAsiaTheme="minorEastAsia" w:hAnsiTheme="minorHAnsi" w:cstheme="minorBidi"/>
          <w:szCs w:val="22"/>
        </w:rPr>
      </w:pPr>
      <w:r>
        <w:t>98.</w:t>
      </w:r>
      <w:r>
        <w:tab/>
        <w:t>Terms used</w:t>
      </w:r>
      <w:r>
        <w:tab/>
      </w:r>
      <w:r>
        <w:fldChar w:fldCharType="begin"/>
      </w:r>
      <w:r>
        <w:instrText xml:space="preserve"> PAGEREF _Toc122683401 \h </w:instrText>
      </w:r>
      <w:r>
        <w:fldChar w:fldCharType="separate"/>
      </w:r>
      <w:r>
        <w:t>56</w:t>
      </w:r>
      <w:r>
        <w:fldChar w:fldCharType="end"/>
      </w:r>
    </w:p>
    <w:p>
      <w:pPr>
        <w:pStyle w:val="TOC8"/>
        <w:keepLines/>
        <w:rPr>
          <w:rFonts w:asciiTheme="minorHAnsi" w:eastAsiaTheme="minorEastAsia" w:hAnsiTheme="minorHAnsi" w:cstheme="minorBidi"/>
          <w:szCs w:val="22"/>
        </w:rPr>
      </w:pPr>
      <w:r>
        <w:t>99.</w:t>
      </w:r>
      <w:r>
        <w:tab/>
        <w:t>Prescribed criteria: section 27D(5)</w:t>
      </w:r>
      <w:r>
        <w:tab/>
      </w:r>
      <w:r>
        <w:fldChar w:fldCharType="begin"/>
      </w:r>
      <w:r>
        <w:instrText xml:space="preserve"> PAGEREF _Toc122683402 \h </w:instrText>
      </w:r>
      <w:r>
        <w:fldChar w:fldCharType="separate"/>
      </w:r>
      <w:r>
        <w:t>56</w:t>
      </w:r>
      <w:r>
        <w:fldChar w:fldCharType="end"/>
      </w:r>
    </w:p>
    <w:p>
      <w:pPr>
        <w:pStyle w:val="TOC8"/>
        <w:keepLines/>
        <w:rPr>
          <w:rFonts w:asciiTheme="minorHAnsi" w:eastAsiaTheme="minorEastAsia" w:hAnsiTheme="minorHAnsi" w:cstheme="minorBidi"/>
          <w:szCs w:val="22"/>
        </w:rPr>
      </w:pPr>
      <w:r>
        <w:t>100.</w:t>
      </w:r>
      <w:r>
        <w:tab/>
        <w:t>Application for approval</w:t>
      </w:r>
      <w:r>
        <w:tab/>
      </w:r>
      <w:r>
        <w:fldChar w:fldCharType="begin"/>
      </w:r>
      <w:r>
        <w:instrText xml:space="preserve"> PAGEREF _Toc122683403 \h </w:instrText>
      </w:r>
      <w:r>
        <w:fldChar w:fldCharType="separate"/>
      </w:r>
      <w:r>
        <w:t>58</w:t>
      </w:r>
      <w:r>
        <w:fldChar w:fldCharType="end"/>
      </w:r>
    </w:p>
    <w:p>
      <w:pPr>
        <w:pStyle w:val="TOC2"/>
        <w:keepLines/>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Racing bets levy</w:t>
      </w:r>
    </w:p>
    <w:p>
      <w:pPr>
        <w:pStyle w:val="TOC8"/>
        <w:keepLines/>
        <w:rPr>
          <w:rFonts w:asciiTheme="minorHAnsi" w:eastAsiaTheme="minorEastAsia" w:hAnsiTheme="minorHAnsi" w:cstheme="minorBidi"/>
          <w:szCs w:val="22"/>
        </w:rPr>
      </w:pPr>
      <w:r>
        <w:t>101.</w:t>
      </w:r>
      <w:r>
        <w:tab/>
        <w:t>Term used: approved offshore betting operator</w:t>
      </w:r>
      <w:r>
        <w:tab/>
      </w:r>
      <w:r>
        <w:fldChar w:fldCharType="begin"/>
      </w:r>
      <w:r>
        <w:instrText xml:space="preserve"> PAGEREF _Toc122683405 \h </w:instrText>
      </w:r>
      <w:r>
        <w:fldChar w:fldCharType="separate"/>
      </w:r>
      <w:r>
        <w:t>59</w:t>
      </w:r>
      <w:r>
        <w:fldChar w:fldCharType="end"/>
      </w:r>
    </w:p>
    <w:p>
      <w:pPr>
        <w:pStyle w:val="TOC8"/>
        <w:keepLines/>
        <w:rPr>
          <w:rFonts w:asciiTheme="minorHAnsi" w:eastAsiaTheme="minorEastAsia" w:hAnsiTheme="minorHAnsi" w:cstheme="minorBidi"/>
          <w:szCs w:val="22"/>
        </w:rPr>
      </w:pPr>
      <w:r>
        <w:t>102.</w:t>
      </w:r>
      <w:r>
        <w:tab/>
        <w:t>Prescribed period: section 14A(2)(a)</w:t>
      </w:r>
      <w:r>
        <w:tab/>
      </w:r>
      <w:r>
        <w:fldChar w:fldCharType="begin"/>
      </w:r>
      <w:r>
        <w:instrText xml:space="preserve"> PAGEREF _Toc122683406 \h </w:instrText>
      </w:r>
      <w:r>
        <w:fldChar w:fldCharType="separate"/>
      </w:r>
      <w:r>
        <w:t>59</w:t>
      </w:r>
      <w:r>
        <w:fldChar w:fldCharType="end"/>
      </w:r>
    </w:p>
    <w:p>
      <w:pPr>
        <w:pStyle w:val="TOC8"/>
        <w:keepLines/>
        <w:rPr>
          <w:rFonts w:asciiTheme="minorHAnsi" w:eastAsiaTheme="minorEastAsia" w:hAnsiTheme="minorHAnsi" w:cstheme="minorBidi"/>
          <w:szCs w:val="22"/>
        </w:rPr>
      </w:pPr>
      <w:r>
        <w:t>103.</w:t>
      </w:r>
      <w:r>
        <w:tab/>
        <w:t>Information prescribed: section 27D(4A)(a)</w:t>
      </w:r>
      <w:r>
        <w:tab/>
      </w:r>
      <w:r>
        <w:fldChar w:fldCharType="begin"/>
      </w:r>
      <w:r>
        <w:instrText xml:space="preserve"> PAGEREF _Toc122683407 \h </w:instrText>
      </w:r>
      <w:r>
        <w:fldChar w:fldCharType="separate"/>
      </w:r>
      <w:r>
        <w:t>59</w:t>
      </w:r>
      <w:r>
        <w:fldChar w:fldCharType="end"/>
      </w:r>
    </w:p>
    <w:p>
      <w:pPr>
        <w:pStyle w:val="TOC8"/>
        <w:keepLines/>
        <w:rPr>
          <w:rFonts w:asciiTheme="minorHAnsi" w:eastAsiaTheme="minorEastAsia" w:hAnsiTheme="minorHAnsi" w:cstheme="minorBidi"/>
          <w:szCs w:val="22"/>
        </w:rPr>
      </w:pPr>
      <w:r>
        <w:t>104.</w:t>
      </w:r>
      <w:r>
        <w:tab/>
        <w:t>Manner of access to prescribed information: section 27D(4A)(a)</w:t>
      </w:r>
      <w:r>
        <w:tab/>
      </w:r>
      <w:r>
        <w:fldChar w:fldCharType="begin"/>
      </w:r>
      <w:r>
        <w:instrText xml:space="preserve"> PAGEREF _Toc122683408 \h </w:instrText>
      </w:r>
      <w:r>
        <w:fldChar w:fldCharType="separate"/>
      </w:r>
      <w:r>
        <w:t>59</w:t>
      </w:r>
      <w:r>
        <w:fldChar w:fldCharType="end"/>
      </w:r>
    </w:p>
    <w:p>
      <w:pPr>
        <w:pStyle w:val="TOC8"/>
        <w:keepLines/>
        <w:rPr>
          <w:rFonts w:asciiTheme="minorHAnsi" w:eastAsiaTheme="minorEastAsia" w:hAnsiTheme="minorHAnsi" w:cstheme="minorBidi"/>
          <w:szCs w:val="22"/>
        </w:rPr>
      </w:pPr>
      <w:r>
        <w:t>105.</w:t>
      </w:r>
      <w:r>
        <w:tab/>
        <w:t>Prescribed conditions: section 27D(4A)(b)</w:t>
      </w:r>
      <w:r>
        <w:tab/>
      </w:r>
      <w:r>
        <w:fldChar w:fldCharType="begin"/>
      </w:r>
      <w:r>
        <w:instrText xml:space="preserve"> PAGEREF _Toc122683409 \h </w:instrText>
      </w:r>
      <w:r>
        <w:fldChar w:fldCharType="separate"/>
      </w:r>
      <w:r>
        <w:t>60</w:t>
      </w:r>
      <w:r>
        <w:fldChar w:fldCharType="end"/>
      </w:r>
    </w:p>
    <w:p>
      <w:pPr>
        <w:pStyle w:val="TOC8"/>
        <w:keepLines/>
        <w:rPr>
          <w:rFonts w:asciiTheme="minorHAnsi" w:eastAsiaTheme="minorEastAsia" w:hAnsiTheme="minorHAnsi" w:cstheme="minorBidi"/>
          <w:szCs w:val="22"/>
        </w:rPr>
      </w:pPr>
      <w:r>
        <w:t>105A.</w:t>
      </w:r>
      <w:r>
        <w:tab/>
        <w:t>Prescribed conditions for greyhound and harness races: section 27F(1)</w:t>
      </w:r>
      <w:r>
        <w:tab/>
      </w:r>
      <w:r>
        <w:fldChar w:fldCharType="begin"/>
      </w:r>
      <w:r>
        <w:instrText xml:space="preserve"> PAGEREF _Toc122683410 \h </w:instrText>
      </w:r>
      <w:r>
        <w:fldChar w:fldCharType="separate"/>
      </w:r>
      <w:r>
        <w:t>62</w:t>
      </w:r>
      <w:r>
        <w:fldChar w:fldCharType="end"/>
      </w:r>
    </w:p>
    <w:p>
      <w:pPr>
        <w:pStyle w:val="TOC8"/>
        <w:keepLines/>
        <w:rPr>
          <w:rFonts w:asciiTheme="minorHAnsi" w:eastAsiaTheme="minorEastAsia" w:hAnsiTheme="minorHAnsi" w:cstheme="minorBidi"/>
          <w:szCs w:val="22"/>
        </w:rPr>
      </w:pPr>
      <w:r>
        <w:t>105B.</w:t>
      </w:r>
      <w:r>
        <w:tab/>
        <w:t>Prescribed conditions for thoroughbred races: section 27F(1)</w:t>
      </w:r>
      <w:r>
        <w:tab/>
      </w:r>
      <w:r>
        <w:fldChar w:fldCharType="begin"/>
      </w:r>
      <w:r>
        <w:instrText xml:space="preserve"> PAGEREF _Toc122683411 \h </w:instrText>
      </w:r>
      <w:r>
        <w:fldChar w:fldCharType="separate"/>
      </w:r>
      <w:r>
        <w:t>64</w:t>
      </w:r>
      <w:r>
        <w:fldChar w:fldCharType="end"/>
      </w:r>
    </w:p>
    <w:p>
      <w:pPr>
        <w:pStyle w:val="TOC8"/>
        <w:keepLines/>
        <w:rPr>
          <w:rFonts w:asciiTheme="minorHAnsi" w:eastAsiaTheme="minorEastAsia" w:hAnsiTheme="minorHAnsi" w:cstheme="minorBidi"/>
          <w:szCs w:val="22"/>
        </w:rPr>
      </w:pPr>
      <w:r>
        <w:t>105C.</w:t>
      </w:r>
      <w:r>
        <w:tab/>
        <w:t>Prescribed conditions under regulations 105A and 105B do not apply to certain bets</w:t>
      </w:r>
      <w:r>
        <w:tab/>
      </w:r>
      <w:r>
        <w:fldChar w:fldCharType="begin"/>
      </w:r>
      <w:r>
        <w:instrText xml:space="preserve"> PAGEREF _Toc122683412 \h </w:instrText>
      </w:r>
      <w:r>
        <w:fldChar w:fldCharType="separate"/>
      </w:r>
      <w:r>
        <w:t>67</w:t>
      </w:r>
      <w:r>
        <w:fldChar w:fldCharType="end"/>
      </w:r>
    </w:p>
    <w:p>
      <w:pPr>
        <w:pStyle w:val="TOC8"/>
        <w:keepLines/>
        <w:rPr>
          <w:rFonts w:asciiTheme="minorHAnsi" w:eastAsiaTheme="minorEastAsia" w:hAnsiTheme="minorHAnsi" w:cstheme="minorBidi"/>
          <w:szCs w:val="22"/>
        </w:rPr>
      </w:pPr>
      <w:r>
        <w:t>106.</w:t>
      </w:r>
      <w:r>
        <w:tab/>
        <w:t>Information prescribed: section 27F(2)(a)</w:t>
      </w:r>
      <w:r>
        <w:tab/>
      </w:r>
      <w:r>
        <w:fldChar w:fldCharType="begin"/>
      </w:r>
      <w:r>
        <w:instrText xml:space="preserve"> PAGEREF _Toc122683413 \h </w:instrText>
      </w:r>
      <w:r>
        <w:fldChar w:fldCharType="separate"/>
      </w:r>
      <w:r>
        <w:t>69</w:t>
      </w:r>
      <w:r>
        <w:fldChar w:fldCharType="end"/>
      </w:r>
    </w:p>
    <w:p>
      <w:pPr>
        <w:pStyle w:val="TOC8"/>
        <w:keepLines/>
        <w:rPr>
          <w:rFonts w:asciiTheme="minorHAnsi" w:eastAsiaTheme="minorEastAsia" w:hAnsiTheme="minorHAnsi" w:cstheme="minorBidi"/>
          <w:szCs w:val="22"/>
        </w:rPr>
      </w:pPr>
      <w:r>
        <w:t>107.</w:t>
      </w:r>
      <w:r>
        <w:tab/>
        <w:t>Manner of access to prescribed information: section 27F(2)(a)</w:t>
      </w:r>
      <w:r>
        <w:tab/>
      </w:r>
      <w:r>
        <w:fldChar w:fldCharType="begin"/>
      </w:r>
      <w:r>
        <w:instrText xml:space="preserve"> PAGEREF _Toc122683414 \h </w:instrText>
      </w:r>
      <w:r>
        <w:fldChar w:fldCharType="separate"/>
      </w:r>
      <w:r>
        <w:t>69</w:t>
      </w:r>
      <w:r>
        <w:fldChar w:fldCharType="end"/>
      </w:r>
    </w:p>
    <w:p>
      <w:pPr>
        <w:pStyle w:val="TOC8"/>
        <w:keepLines/>
        <w:rPr>
          <w:rFonts w:asciiTheme="minorHAnsi" w:eastAsiaTheme="minorEastAsia" w:hAnsiTheme="minorHAnsi" w:cstheme="minorBidi"/>
          <w:szCs w:val="22"/>
        </w:rPr>
      </w:pPr>
      <w:r>
        <w:t>108.</w:t>
      </w:r>
      <w:r>
        <w:tab/>
        <w:t>Prescribed conditions: section 27F(2)(b)</w:t>
      </w:r>
      <w:r>
        <w:tab/>
      </w:r>
      <w:r>
        <w:fldChar w:fldCharType="begin"/>
      </w:r>
      <w:r>
        <w:instrText xml:space="preserve"> PAGEREF _Toc122683415 \h </w:instrText>
      </w:r>
      <w:r>
        <w:fldChar w:fldCharType="separate"/>
      </w:r>
      <w:r>
        <w:t>70</w:t>
      </w:r>
      <w:r>
        <w:fldChar w:fldCharType="end"/>
      </w:r>
    </w:p>
    <w:p>
      <w:pPr>
        <w:pStyle w:val="TOC8"/>
        <w:keepLines/>
        <w:rPr>
          <w:rFonts w:asciiTheme="minorHAnsi" w:eastAsiaTheme="minorEastAsia" w:hAnsiTheme="minorHAnsi" w:cstheme="minorBidi"/>
          <w:szCs w:val="22"/>
        </w:rPr>
      </w:pPr>
      <w:r>
        <w:t>109.</w:t>
      </w:r>
      <w:r>
        <w:tab/>
        <w:t>Prescribed criteria: section 27F(4)</w:t>
      </w:r>
      <w:r>
        <w:tab/>
      </w:r>
      <w:r>
        <w:fldChar w:fldCharType="begin"/>
      </w:r>
      <w:r>
        <w:instrText xml:space="preserve"> PAGEREF _Toc122683416 \h </w:instrText>
      </w:r>
      <w:r>
        <w:fldChar w:fldCharType="separate"/>
      </w:r>
      <w:r>
        <w:t>71</w:t>
      </w:r>
      <w:r>
        <w:fldChar w:fldCharType="end"/>
      </w:r>
    </w:p>
    <w:p>
      <w:pPr>
        <w:pStyle w:val="TOC8"/>
        <w:keepLines/>
        <w:rPr>
          <w:rFonts w:asciiTheme="minorHAnsi" w:eastAsiaTheme="minorEastAsia" w:hAnsiTheme="minorHAnsi" w:cstheme="minorBidi"/>
          <w:szCs w:val="22"/>
        </w:rPr>
      </w:pPr>
      <w:r>
        <w:t>110.</w:t>
      </w:r>
      <w:r>
        <w:tab/>
        <w:t>Audited return</w:t>
      </w:r>
      <w:r>
        <w:tab/>
      </w:r>
      <w:r>
        <w:fldChar w:fldCharType="begin"/>
      </w:r>
      <w:r>
        <w:instrText xml:space="preserve"> PAGEREF _Toc122683417 \h </w:instrText>
      </w:r>
      <w:r>
        <w:fldChar w:fldCharType="separate"/>
      </w:r>
      <w:r>
        <w:t>72</w:t>
      </w:r>
      <w:r>
        <w:fldChar w:fldCharType="end"/>
      </w:r>
    </w:p>
    <w:p>
      <w:pPr>
        <w:pStyle w:val="TOC2"/>
        <w:keepLines/>
        <w:tabs>
          <w:tab w:val="right" w:leader="dot" w:pos="7077"/>
        </w:tabs>
        <w:rPr>
          <w:rFonts w:asciiTheme="minorHAnsi" w:eastAsiaTheme="minorEastAsia" w:hAnsiTheme="minorHAnsi" w:cstheme="minorBidi"/>
          <w:b w:val="0"/>
          <w:sz w:val="22"/>
          <w:szCs w:val="22"/>
        </w:rPr>
      </w:pPr>
      <w:r>
        <w:t>Appendix</w:t>
      </w:r>
    </w:p>
    <w:p>
      <w:pPr>
        <w:pStyle w:val="TOC2"/>
        <w:keepLines/>
        <w:tabs>
          <w:tab w:val="right" w:leader="dot" w:pos="7077"/>
        </w:tabs>
        <w:rPr>
          <w:rFonts w:asciiTheme="minorHAnsi" w:eastAsiaTheme="minorEastAsia" w:hAnsiTheme="minorHAnsi" w:cstheme="minorBidi"/>
          <w:b w:val="0"/>
          <w:sz w:val="22"/>
          <w:szCs w:val="22"/>
        </w:rPr>
      </w:pPr>
      <w:r>
        <w:t>Rules of Betting</w:t>
      </w:r>
    </w:p>
    <w:p>
      <w:pPr>
        <w:pStyle w:val="TOC4"/>
        <w:keepLines/>
        <w:tabs>
          <w:tab w:val="right" w:leader="dot" w:pos="7077"/>
        </w:tabs>
        <w:rPr>
          <w:rFonts w:asciiTheme="minorHAnsi" w:eastAsiaTheme="minorEastAsia" w:hAnsiTheme="minorHAnsi" w:cstheme="minorBidi"/>
          <w:b w:val="0"/>
          <w:szCs w:val="22"/>
        </w:rPr>
      </w:pPr>
      <w:r>
        <w:t>Part 1 — Betting under the rules of racing</w:t>
      </w:r>
    </w:p>
    <w:p>
      <w:pPr>
        <w:pStyle w:val="TOC8"/>
        <w:keepLines/>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_Toc122683421 \h </w:instrText>
      </w:r>
      <w:r>
        <w:fldChar w:fldCharType="separate"/>
      </w:r>
      <w:r>
        <w:t>73</w:t>
      </w:r>
      <w:r>
        <w:fldChar w:fldCharType="end"/>
      </w:r>
    </w:p>
    <w:p>
      <w:pPr>
        <w:pStyle w:val="TOC8"/>
        <w:keepLines/>
        <w:rPr>
          <w:rFonts w:asciiTheme="minorHAnsi" w:eastAsiaTheme="minorEastAsia" w:hAnsiTheme="minorHAnsi" w:cstheme="minorBidi"/>
          <w:szCs w:val="22"/>
        </w:rPr>
      </w:pPr>
      <w:r>
        <w:t>2</w:t>
      </w:r>
      <w:r>
        <w:rPr>
          <w:snapToGrid w:val="0"/>
        </w:rPr>
        <w:t>.</w:t>
      </w:r>
      <w:r>
        <w:rPr>
          <w:snapToGrid w:val="0"/>
        </w:rPr>
        <w:tab/>
        <w:t>Bets void in certain circumstances</w:t>
      </w:r>
      <w:r>
        <w:tab/>
      </w:r>
      <w:r>
        <w:fldChar w:fldCharType="begin"/>
      </w:r>
      <w:r>
        <w:instrText xml:space="preserve"> PAGEREF _Toc122683422 \h </w:instrText>
      </w:r>
      <w:r>
        <w:fldChar w:fldCharType="separate"/>
      </w:r>
      <w:r>
        <w:t>74</w:t>
      </w:r>
      <w:r>
        <w:fldChar w:fldCharType="end"/>
      </w:r>
    </w:p>
    <w:p>
      <w:pPr>
        <w:pStyle w:val="TOC8"/>
        <w:keepLines/>
        <w:rPr>
          <w:rFonts w:asciiTheme="minorHAnsi" w:eastAsiaTheme="minorEastAsia" w:hAnsiTheme="minorHAnsi" w:cstheme="minorBidi"/>
          <w:szCs w:val="22"/>
        </w:rPr>
      </w:pPr>
      <w:r>
        <w:t>3</w:t>
      </w:r>
      <w:r>
        <w:rPr>
          <w:snapToGrid w:val="0"/>
        </w:rPr>
        <w:t>.</w:t>
      </w:r>
      <w:r>
        <w:rPr>
          <w:snapToGrid w:val="0"/>
        </w:rPr>
        <w:tab/>
        <w:t>When bets are off</w:t>
      </w:r>
      <w:r>
        <w:tab/>
      </w:r>
      <w:r>
        <w:fldChar w:fldCharType="begin"/>
      </w:r>
      <w:r>
        <w:instrText xml:space="preserve"> PAGEREF _Toc122683423 \h </w:instrText>
      </w:r>
      <w:r>
        <w:fldChar w:fldCharType="separate"/>
      </w:r>
      <w:r>
        <w:t>74</w:t>
      </w:r>
      <w:r>
        <w:fldChar w:fldCharType="end"/>
      </w:r>
    </w:p>
    <w:p>
      <w:pPr>
        <w:pStyle w:val="TOC8"/>
        <w:keepLines/>
        <w:rPr>
          <w:rFonts w:asciiTheme="minorHAnsi" w:eastAsiaTheme="minorEastAsia" w:hAnsiTheme="minorHAnsi" w:cstheme="minorBidi"/>
          <w:szCs w:val="22"/>
        </w:rPr>
      </w:pPr>
      <w:r>
        <w:t>4A.</w:t>
      </w:r>
      <w:r>
        <w:tab/>
        <w:t>Determination of bets where runner withdrawn</w:t>
      </w:r>
      <w:r>
        <w:tab/>
      </w:r>
      <w:r>
        <w:fldChar w:fldCharType="begin"/>
      </w:r>
      <w:r>
        <w:instrText xml:space="preserve"> PAGEREF _Toc122683424 \h </w:instrText>
      </w:r>
      <w:r>
        <w:fldChar w:fldCharType="separate"/>
      </w:r>
      <w:r>
        <w:t>75</w:t>
      </w:r>
      <w:r>
        <w:fldChar w:fldCharType="end"/>
      </w:r>
    </w:p>
    <w:p>
      <w:pPr>
        <w:pStyle w:val="TOC8"/>
        <w:keepLines/>
        <w:rPr>
          <w:rFonts w:asciiTheme="minorHAnsi" w:eastAsiaTheme="minorEastAsia" w:hAnsiTheme="minorHAnsi" w:cstheme="minorBidi"/>
          <w:szCs w:val="22"/>
        </w:rPr>
      </w:pPr>
      <w:r>
        <w:t>4</w:t>
      </w:r>
      <w:r>
        <w:rPr>
          <w:snapToGrid w:val="0"/>
        </w:rPr>
        <w:t>.</w:t>
      </w:r>
      <w:r>
        <w:rPr>
          <w:snapToGrid w:val="0"/>
        </w:rPr>
        <w:tab/>
        <w:t>Determination and settlement of bets</w:t>
      </w:r>
      <w:r>
        <w:tab/>
      </w:r>
      <w:r>
        <w:fldChar w:fldCharType="begin"/>
      </w:r>
      <w:r>
        <w:instrText xml:space="preserve"> PAGEREF _Toc122683425 \h </w:instrText>
      </w:r>
      <w:r>
        <w:fldChar w:fldCharType="separate"/>
      </w:r>
      <w:r>
        <w:t>78</w:t>
      </w:r>
      <w:r>
        <w:fldChar w:fldCharType="end"/>
      </w:r>
    </w:p>
    <w:p>
      <w:pPr>
        <w:pStyle w:val="TOC8"/>
        <w:keepLines/>
        <w:rPr>
          <w:rFonts w:asciiTheme="minorHAnsi" w:eastAsiaTheme="minorEastAsia" w:hAnsiTheme="minorHAnsi" w:cstheme="minorBidi"/>
          <w:szCs w:val="22"/>
        </w:rPr>
      </w:pPr>
      <w:r>
        <w:t>5</w:t>
      </w:r>
      <w:r>
        <w:rPr>
          <w:snapToGrid w:val="0"/>
        </w:rPr>
        <w:t>.</w:t>
      </w:r>
      <w:r>
        <w:rPr>
          <w:snapToGrid w:val="0"/>
        </w:rPr>
        <w:tab/>
        <w:t>Bets in respect of postponed race or race meeting</w:t>
      </w:r>
      <w:r>
        <w:tab/>
      </w:r>
      <w:r>
        <w:fldChar w:fldCharType="begin"/>
      </w:r>
      <w:r>
        <w:instrText xml:space="preserve"> PAGEREF _Toc122683426 \h </w:instrText>
      </w:r>
      <w:r>
        <w:fldChar w:fldCharType="separate"/>
      </w:r>
      <w:r>
        <w:t>79</w:t>
      </w:r>
      <w:r>
        <w:fldChar w:fldCharType="end"/>
      </w:r>
    </w:p>
    <w:p>
      <w:pPr>
        <w:pStyle w:val="TOC8"/>
        <w:keepLines/>
        <w:rPr>
          <w:rFonts w:asciiTheme="minorHAnsi" w:eastAsiaTheme="minorEastAsia" w:hAnsiTheme="minorHAnsi" w:cstheme="minorBidi"/>
          <w:szCs w:val="22"/>
        </w:rPr>
      </w:pPr>
      <w:r>
        <w:t>6</w:t>
      </w:r>
      <w:r>
        <w:rPr>
          <w:snapToGrid w:val="0"/>
        </w:rPr>
        <w:t>.</w:t>
      </w:r>
      <w:r>
        <w:rPr>
          <w:snapToGrid w:val="0"/>
        </w:rPr>
        <w:tab/>
        <w:t>Each way bets</w:t>
      </w:r>
      <w:r>
        <w:tab/>
      </w:r>
      <w:r>
        <w:fldChar w:fldCharType="begin"/>
      </w:r>
      <w:r>
        <w:instrText xml:space="preserve"> PAGEREF _Toc122683427 \h </w:instrText>
      </w:r>
      <w:r>
        <w:fldChar w:fldCharType="separate"/>
      </w:r>
      <w:r>
        <w:t>79</w:t>
      </w:r>
      <w:r>
        <w:fldChar w:fldCharType="end"/>
      </w:r>
    </w:p>
    <w:p>
      <w:pPr>
        <w:pStyle w:val="TOC8"/>
        <w:keepLines/>
        <w:rPr>
          <w:rFonts w:asciiTheme="minorHAnsi" w:eastAsiaTheme="minorEastAsia" w:hAnsiTheme="minorHAnsi" w:cstheme="minorBidi"/>
          <w:szCs w:val="22"/>
        </w:rPr>
      </w:pPr>
      <w:r>
        <w:t>7</w:t>
      </w:r>
      <w:r>
        <w:rPr>
          <w:snapToGrid w:val="0"/>
        </w:rPr>
        <w:t>.</w:t>
      </w:r>
      <w:r>
        <w:rPr>
          <w:snapToGrid w:val="0"/>
        </w:rPr>
        <w:tab/>
        <w:t>All bets to be “play or pay” except in certain circumstances</w:t>
      </w:r>
      <w:r>
        <w:tab/>
      </w:r>
      <w:r>
        <w:fldChar w:fldCharType="begin"/>
      </w:r>
      <w:r>
        <w:instrText xml:space="preserve"> PAGEREF _Toc122683428 \h </w:instrText>
      </w:r>
      <w:r>
        <w:fldChar w:fldCharType="separate"/>
      </w:r>
      <w:r>
        <w:t>79</w:t>
      </w:r>
      <w:r>
        <w:fldChar w:fldCharType="end"/>
      </w:r>
    </w:p>
    <w:p>
      <w:pPr>
        <w:pStyle w:val="TOC8"/>
        <w:keepLines/>
        <w:rPr>
          <w:rFonts w:asciiTheme="minorHAnsi" w:eastAsiaTheme="minorEastAsia" w:hAnsiTheme="minorHAnsi" w:cstheme="minorBidi"/>
          <w:szCs w:val="22"/>
        </w:rPr>
      </w:pPr>
      <w:r>
        <w:lastRenderedPageBreak/>
        <w:t>8</w:t>
      </w:r>
      <w:r>
        <w:rPr>
          <w:snapToGrid w:val="0"/>
        </w:rPr>
        <w:t>.</w:t>
      </w:r>
      <w:r>
        <w:rPr>
          <w:snapToGrid w:val="0"/>
        </w:rPr>
        <w:tab/>
        <w:t>Provisions as to settlement of bets following dead heat</w:t>
      </w:r>
      <w:r>
        <w:tab/>
      </w:r>
      <w:r>
        <w:fldChar w:fldCharType="begin"/>
      </w:r>
      <w:r>
        <w:instrText xml:space="preserve"> PAGEREF _Toc122683429 \h </w:instrText>
      </w:r>
      <w:r>
        <w:fldChar w:fldCharType="separate"/>
      </w:r>
      <w:r>
        <w:t>80</w:t>
      </w:r>
      <w:r>
        <w:fldChar w:fldCharType="end"/>
      </w:r>
    </w:p>
    <w:p>
      <w:pPr>
        <w:pStyle w:val="TOC8"/>
        <w:keepLines/>
        <w:rPr>
          <w:rFonts w:asciiTheme="minorHAnsi" w:eastAsiaTheme="minorEastAsia" w:hAnsiTheme="minorHAnsi" w:cstheme="minorBidi"/>
          <w:szCs w:val="22"/>
        </w:rPr>
      </w:pPr>
      <w:r>
        <w:t>9</w:t>
      </w:r>
      <w:r>
        <w:rPr>
          <w:snapToGrid w:val="0"/>
        </w:rPr>
        <w:t>.</w:t>
      </w:r>
      <w:r>
        <w:rPr>
          <w:snapToGrid w:val="0"/>
        </w:rPr>
        <w:tab/>
        <w:t>Doubles</w:t>
      </w:r>
      <w:r>
        <w:tab/>
      </w:r>
      <w:r>
        <w:fldChar w:fldCharType="begin"/>
      </w:r>
      <w:r>
        <w:instrText xml:space="preserve"> PAGEREF _Toc122683430 \h </w:instrText>
      </w:r>
      <w:r>
        <w:fldChar w:fldCharType="separate"/>
      </w:r>
      <w:r>
        <w:t>81</w:t>
      </w:r>
      <w:r>
        <w:fldChar w:fldCharType="end"/>
      </w:r>
    </w:p>
    <w:p>
      <w:pPr>
        <w:pStyle w:val="TOC8"/>
        <w:keepLines/>
        <w:rPr>
          <w:rFonts w:asciiTheme="minorHAnsi" w:eastAsiaTheme="minorEastAsia" w:hAnsiTheme="minorHAnsi" w:cstheme="minorBidi"/>
          <w:szCs w:val="22"/>
        </w:rPr>
      </w:pPr>
      <w:r>
        <w:t>10</w:t>
      </w:r>
      <w:r>
        <w:rPr>
          <w:snapToGrid w:val="0"/>
        </w:rPr>
        <w:t>.</w:t>
      </w:r>
      <w:r>
        <w:rPr>
          <w:snapToGrid w:val="0"/>
        </w:rPr>
        <w:tab/>
        <w:t>Multiple doubles</w:t>
      </w:r>
      <w:r>
        <w:tab/>
      </w:r>
      <w:r>
        <w:fldChar w:fldCharType="begin"/>
      </w:r>
      <w:r>
        <w:instrText xml:space="preserve"> PAGEREF _Toc122683431 \h </w:instrText>
      </w:r>
      <w:r>
        <w:fldChar w:fldCharType="separate"/>
      </w:r>
      <w:r>
        <w:t>83</w:t>
      </w:r>
      <w:r>
        <w:fldChar w:fldCharType="end"/>
      </w:r>
    </w:p>
    <w:p>
      <w:pPr>
        <w:pStyle w:val="TOC8"/>
        <w:keepLines/>
        <w:rPr>
          <w:rFonts w:asciiTheme="minorHAnsi" w:eastAsiaTheme="minorEastAsia" w:hAnsiTheme="minorHAnsi" w:cstheme="minorBidi"/>
          <w:szCs w:val="22"/>
        </w:rPr>
      </w:pPr>
      <w:r>
        <w:t>11</w:t>
      </w:r>
      <w:r>
        <w:rPr>
          <w:snapToGrid w:val="0"/>
        </w:rPr>
        <w:t>.</w:t>
      </w:r>
      <w:r>
        <w:rPr>
          <w:snapToGrid w:val="0"/>
        </w:rPr>
        <w:tab/>
        <w:t>“All up” bets</w:t>
      </w:r>
      <w:r>
        <w:tab/>
      </w:r>
      <w:r>
        <w:fldChar w:fldCharType="begin"/>
      </w:r>
      <w:r>
        <w:instrText xml:space="preserve"> PAGEREF _Toc122683432 \h </w:instrText>
      </w:r>
      <w:r>
        <w:fldChar w:fldCharType="separate"/>
      </w:r>
      <w:r>
        <w:t>83</w:t>
      </w:r>
      <w:r>
        <w:fldChar w:fldCharType="end"/>
      </w:r>
    </w:p>
    <w:p>
      <w:pPr>
        <w:pStyle w:val="TOC8"/>
        <w:keepLines/>
        <w:rPr>
          <w:rFonts w:asciiTheme="minorHAnsi" w:eastAsiaTheme="minorEastAsia" w:hAnsiTheme="minorHAnsi" w:cstheme="minorBidi"/>
          <w:szCs w:val="22"/>
        </w:rPr>
      </w:pPr>
      <w:r>
        <w:t>12</w:t>
      </w:r>
      <w:r>
        <w:rPr>
          <w:snapToGrid w:val="0"/>
        </w:rPr>
        <w:t>.</w:t>
      </w:r>
      <w:r>
        <w:rPr>
          <w:snapToGrid w:val="0"/>
        </w:rPr>
        <w:tab/>
        <w:t>Provisions as to races that are re</w:t>
      </w:r>
      <w:r>
        <w:rPr>
          <w:snapToGrid w:val="0"/>
        </w:rPr>
        <w:noBreakHyphen/>
        <w:t>run</w:t>
      </w:r>
      <w:r>
        <w:tab/>
      </w:r>
      <w:r>
        <w:fldChar w:fldCharType="begin"/>
      </w:r>
      <w:r>
        <w:instrText xml:space="preserve"> PAGEREF _Toc122683433 \h </w:instrText>
      </w:r>
      <w:r>
        <w:fldChar w:fldCharType="separate"/>
      </w:r>
      <w:r>
        <w:t>83</w:t>
      </w:r>
      <w:r>
        <w:fldChar w:fldCharType="end"/>
      </w:r>
    </w:p>
    <w:p>
      <w:pPr>
        <w:pStyle w:val="TOC8"/>
        <w:keepLines/>
        <w:rPr>
          <w:rFonts w:asciiTheme="minorHAnsi" w:eastAsiaTheme="minorEastAsia" w:hAnsiTheme="minorHAnsi" w:cstheme="minorBidi"/>
          <w:szCs w:val="22"/>
        </w:rPr>
      </w:pPr>
      <w:r>
        <w:t>13</w:t>
      </w:r>
      <w:r>
        <w:rPr>
          <w:snapToGrid w:val="0"/>
        </w:rPr>
        <w:t>.</w:t>
      </w:r>
      <w:r>
        <w:rPr>
          <w:snapToGrid w:val="0"/>
        </w:rPr>
        <w:tab/>
        <w:t>Provisions as to bets on runners that are entered for 2 or more races on same day</w:t>
      </w:r>
      <w:r>
        <w:tab/>
      </w:r>
      <w:r>
        <w:fldChar w:fldCharType="begin"/>
      </w:r>
      <w:r>
        <w:instrText xml:space="preserve"> PAGEREF _Toc122683434 \h </w:instrText>
      </w:r>
      <w:r>
        <w:fldChar w:fldCharType="separate"/>
      </w:r>
      <w:r>
        <w:t>84</w:t>
      </w:r>
      <w:r>
        <w:fldChar w:fldCharType="end"/>
      </w:r>
    </w:p>
    <w:p>
      <w:pPr>
        <w:pStyle w:val="TOC8"/>
        <w:keepLines/>
        <w:rPr>
          <w:rFonts w:asciiTheme="minorHAnsi" w:eastAsiaTheme="minorEastAsia" w:hAnsiTheme="minorHAnsi" w:cstheme="minorBidi"/>
          <w:szCs w:val="22"/>
        </w:rPr>
      </w:pPr>
      <w:r>
        <w:t>14</w:t>
      </w:r>
      <w:r>
        <w:rPr>
          <w:snapToGrid w:val="0"/>
        </w:rPr>
        <w:t>.</w:t>
      </w:r>
      <w:r>
        <w:rPr>
          <w:snapToGrid w:val="0"/>
        </w:rPr>
        <w:tab/>
        <w:t>Prohibition on betting after race</w:t>
      </w:r>
      <w:r>
        <w:tab/>
      </w:r>
      <w:r>
        <w:fldChar w:fldCharType="begin"/>
      </w:r>
      <w:r>
        <w:instrText xml:space="preserve"> PAGEREF _Toc122683435 \h </w:instrText>
      </w:r>
      <w:r>
        <w:fldChar w:fldCharType="separate"/>
      </w:r>
      <w:r>
        <w:t>84</w:t>
      </w:r>
      <w:r>
        <w:fldChar w:fldCharType="end"/>
      </w:r>
    </w:p>
    <w:p>
      <w:pPr>
        <w:pStyle w:val="TOC8"/>
        <w:keepLines/>
        <w:rPr>
          <w:rFonts w:asciiTheme="minorHAnsi" w:eastAsiaTheme="minorEastAsia" w:hAnsiTheme="minorHAnsi" w:cstheme="minorBidi"/>
          <w:szCs w:val="22"/>
        </w:rPr>
      </w:pPr>
      <w:r>
        <w:t>15</w:t>
      </w:r>
      <w:r>
        <w:rPr>
          <w:snapToGrid w:val="0"/>
        </w:rPr>
        <w:t>.</w:t>
      </w:r>
      <w:r>
        <w:rPr>
          <w:snapToGrid w:val="0"/>
        </w:rPr>
        <w:tab/>
        <w:t>Settlement of bets on deaths of parties thereto</w:t>
      </w:r>
      <w:r>
        <w:tab/>
      </w:r>
      <w:r>
        <w:fldChar w:fldCharType="begin"/>
      </w:r>
      <w:r>
        <w:instrText xml:space="preserve"> PAGEREF _Toc122683436 \h </w:instrText>
      </w:r>
      <w:r>
        <w:fldChar w:fldCharType="separate"/>
      </w:r>
      <w:r>
        <w:t>85</w:t>
      </w:r>
      <w:r>
        <w:fldChar w:fldCharType="end"/>
      </w:r>
    </w:p>
    <w:p>
      <w:pPr>
        <w:pStyle w:val="TOC8"/>
        <w:keepLines/>
        <w:rPr>
          <w:rFonts w:asciiTheme="minorHAnsi" w:eastAsiaTheme="minorEastAsia" w:hAnsiTheme="minorHAnsi" w:cstheme="minorBidi"/>
          <w:szCs w:val="22"/>
        </w:rPr>
      </w:pPr>
      <w:r>
        <w:t>16</w:t>
      </w:r>
      <w:r>
        <w:rPr>
          <w:snapToGrid w:val="0"/>
        </w:rPr>
        <w:t>.</w:t>
      </w:r>
      <w:r>
        <w:rPr>
          <w:snapToGrid w:val="0"/>
        </w:rPr>
        <w:tab/>
        <w:t>Settlement of bets on suspension or cancellation of licence of bookmaker</w:t>
      </w:r>
      <w:r>
        <w:tab/>
      </w:r>
      <w:r>
        <w:fldChar w:fldCharType="begin"/>
      </w:r>
      <w:r>
        <w:instrText xml:space="preserve"> PAGEREF _Toc122683437 \h </w:instrText>
      </w:r>
      <w:r>
        <w:fldChar w:fldCharType="separate"/>
      </w:r>
      <w:r>
        <w:t>85</w:t>
      </w:r>
      <w:r>
        <w:fldChar w:fldCharType="end"/>
      </w:r>
    </w:p>
    <w:p>
      <w:pPr>
        <w:pStyle w:val="TOC8"/>
        <w:keepLines/>
        <w:rPr>
          <w:rFonts w:asciiTheme="minorHAnsi" w:eastAsiaTheme="minorEastAsia" w:hAnsiTheme="minorHAnsi" w:cstheme="minorBidi"/>
          <w:szCs w:val="22"/>
        </w:rPr>
      </w:pPr>
      <w:r>
        <w:t>17</w:t>
      </w:r>
      <w:r>
        <w:rPr>
          <w:snapToGrid w:val="0"/>
        </w:rPr>
        <w:t>.</w:t>
      </w:r>
      <w:r>
        <w:rPr>
          <w:snapToGrid w:val="0"/>
        </w:rPr>
        <w:tab/>
        <w:t>Settling</w:t>
      </w:r>
      <w:r>
        <w:tab/>
      </w:r>
      <w:r>
        <w:fldChar w:fldCharType="begin"/>
      </w:r>
      <w:r>
        <w:instrText xml:space="preserve"> PAGEREF _Toc122683438 \h </w:instrText>
      </w:r>
      <w:r>
        <w:fldChar w:fldCharType="separate"/>
      </w:r>
      <w:r>
        <w:t>85</w:t>
      </w:r>
      <w:r>
        <w:fldChar w:fldCharType="end"/>
      </w:r>
    </w:p>
    <w:p>
      <w:pPr>
        <w:pStyle w:val="TOC4"/>
        <w:keepLines/>
        <w:tabs>
          <w:tab w:val="right" w:leader="dot" w:pos="7077"/>
        </w:tabs>
        <w:rPr>
          <w:rFonts w:asciiTheme="minorHAnsi" w:eastAsiaTheme="minorEastAsia" w:hAnsiTheme="minorHAnsi" w:cstheme="minorBidi"/>
          <w:b w:val="0"/>
          <w:szCs w:val="22"/>
        </w:rPr>
      </w:pPr>
      <w:r>
        <w:t>Part 2 — Betting on approved events</w:t>
      </w:r>
    </w:p>
    <w:p>
      <w:pPr>
        <w:pStyle w:val="TOC2"/>
        <w:keepLines/>
        <w:tabs>
          <w:tab w:val="right" w:leader="dot" w:pos="7077"/>
        </w:tabs>
        <w:rPr>
          <w:rFonts w:asciiTheme="minorHAnsi" w:eastAsiaTheme="minorEastAsia" w:hAnsiTheme="minorHAnsi" w:cstheme="minorBidi"/>
          <w:b w:val="0"/>
          <w:sz w:val="22"/>
          <w:szCs w:val="22"/>
        </w:rPr>
      </w:pPr>
      <w:r>
        <w:t>Schedule 1 — Forms</w:t>
      </w:r>
    </w:p>
    <w:p>
      <w:pPr>
        <w:pStyle w:val="TOC2"/>
        <w:keepLines/>
        <w:tabs>
          <w:tab w:val="right" w:leader="dot" w:pos="7077"/>
        </w:tabs>
        <w:rPr>
          <w:rFonts w:asciiTheme="minorHAnsi" w:eastAsiaTheme="minorEastAsia" w:hAnsiTheme="minorHAnsi" w:cstheme="minorBidi"/>
          <w:b w:val="0"/>
          <w:sz w:val="22"/>
          <w:szCs w:val="22"/>
        </w:rPr>
      </w:pPr>
      <w:r>
        <w:t>Notes</w:t>
      </w:r>
    </w:p>
    <w:p>
      <w:pPr>
        <w:pStyle w:val="TOC8"/>
        <w:keepLines/>
        <w:rPr>
          <w:rFonts w:asciiTheme="minorHAnsi" w:eastAsiaTheme="minorEastAsia" w:hAnsiTheme="minorHAnsi" w:cstheme="minorBidi"/>
          <w:szCs w:val="22"/>
        </w:rPr>
      </w:pPr>
      <w:r>
        <w:tab/>
        <w:t>Compilation table</w:t>
      </w:r>
      <w:r>
        <w:tab/>
      </w:r>
      <w:r>
        <w:fldChar w:fldCharType="begin"/>
      </w:r>
      <w:r>
        <w:instrText xml:space="preserve"> PAGEREF _Toc122683442 \h </w:instrText>
      </w:r>
      <w:r>
        <w:fldChar w:fldCharType="separate"/>
      </w:r>
      <w:r>
        <w:t>94</w:t>
      </w:r>
      <w:r>
        <w:fldChar w:fldCharType="end"/>
      </w:r>
    </w:p>
    <w:p>
      <w:pPr>
        <w:pStyle w:val="TOC2"/>
        <w:keepLines/>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Betting Control Act 1954</w:t>
      </w:r>
    </w:p>
    <w:p>
      <w:pPr>
        <w:pStyle w:val="NameofActReg"/>
        <w:spacing w:before="720"/>
      </w:pPr>
      <w:r>
        <w:t>Betting Control Regulations 1978</w:t>
      </w:r>
    </w:p>
    <w:p>
      <w:pPr>
        <w:pStyle w:val="Heading2"/>
        <w:pageBreakBefore w:val="0"/>
      </w:pPr>
      <w:bookmarkStart w:id="3" w:name="_Toc122078612"/>
      <w:bookmarkStart w:id="4" w:name="_Toc122079088"/>
      <w:bookmarkStart w:id="5" w:name="_Toc122683322"/>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Footnoteheading"/>
      </w:pPr>
      <w:r>
        <w:tab/>
        <w:t>[Heading inserted: Gazette 21 Jul 2006 p. 2671.]</w:t>
      </w:r>
    </w:p>
    <w:p>
      <w:pPr>
        <w:pStyle w:val="Heading5"/>
        <w:rPr>
          <w:snapToGrid w:val="0"/>
        </w:rPr>
      </w:pPr>
      <w:bookmarkStart w:id="6" w:name="_Toc122683323"/>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w:t>
      </w:r>
    </w:p>
    <w:p>
      <w:pPr>
        <w:pStyle w:val="Heading5"/>
        <w:rPr>
          <w:snapToGrid w:val="0"/>
        </w:rPr>
      </w:pPr>
      <w:bookmarkStart w:id="7" w:name="_Toc122683324"/>
      <w:r>
        <w:rPr>
          <w:rStyle w:val="CharSectno"/>
        </w:rPr>
        <w:t>2</w:t>
      </w:r>
      <w:r>
        <w:rPr>
          <w:snapToGrid w:val="0"/>
        </w:rPr>
        <w:t>.</w:t>
      </w:r>
      <w:r>
        <w:rPr>
          <w:snapToGrid w:val="0"/>
        </w:rPr>
        <w:tab/>
        <w:t>Transitional provision</w:t>
      </w:r>
      <w:bookmarkEnd w:id="7"/>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Gazette 25 Jun 1996 p. 2975; amended: Gazette 22 Oct 1996 p. 5619; 30 Jan 2004 p. 412.]</w:t>
      </w:r>
    </w:p>
    <w:p>
      <w:pPr>
        <w:pStyle w:val="Heading5"/>
        <w:keepLines w:val="0"/>
        <w:rPr>
          <w:snapToGrid w:val="0"/>
        </w:rPr>
      </w:pPr>
      <w:bookmarkStart w:id="8" w:name="_Toc122683325"/>
      <w:r>
        <w:rPr>
          <w:rStyle w:val="CharSectno"/>
        </w:rPr>
        <w:t>3</w:t>
      </w:r>
      <w:r>
        <w:rPr>
          <w:snapToGrid w:val="0"/>
        </w:rPr>
        <w:t>.</w:t>
      </w:r>
      <w:r>
        <w:rPr>
          <w:snapToGrid w:val="0"/>
        </w:rPr>
        <w:tab/>
        <w:t>Terms used</w:t>
      </w:r>
      <w:bookmarkEnd w:id="8"/>
    </w:p>
    <w:p>
      <w:pPr>
        <w:pStyle w:val="Subsection"/>
        <w:keepNext/>
        <w:rPr>
          <w:snapToGrid w:val="0"/>
        </w:rPr>
      </w:pPr>
      <w:r>
        <w:rPr>
          <w:snapToGrid w:val="0"/>
        </w:rPr>
        <w:tab/>
        <w:t>(1)</w:t>
      </w:r>
      <w:r>
        <w:rPr>
          <w:snapToGrid w:val="0"/>
        </w:rPr>
        <w:tab/>
        <w:t>In these regulations unless the context requires otherwise —</w:t>
      </w:r>
    </w:p>
    <w:p>
      <w:pPr>
        <w:pStyle w:val="Defstart"/>
      </w:pPr>
      <w:r>
        <w:tab/>
      </w:r>
      <w:r>
        <w:rPr>
          <w:rStyle w:val="CharDefText"/>
        </w:rPr>
        <w:t>approved event</w:t>
      </w:r>
      <w:r>
        <w:t xml:space="preserve"> means an event, or a contingency, on or in relation to which bookmaking has been approved under section 4B(2) of the Act;</w:t>
      </w:r>
    </w:p>
    <w:p>
      <w:pPr>
        <w:pStyle w:val="Defstart"/>
        <w:keepNext/>
      </w:pPr>
      <w:r>
        <w:lastRenderedPageBreak/>
        <w:tab/>
      </w:r>
      <w:r>
        <w:rPr>
          <w:rStyle w:val="CharDefText"/>
        </w:rPr>
        <w:t>bet back</w:t>
      </w:r>
      <w:r>
        <w:t xml:space="preserve"> means a bet made by, or on behalf of, a bookmaker — </w:t>
      </w:r>
    </w:p>
    <w:p>
      <w:pPr>
        <w:pStyle w:val="Defpara"/>
        <w:keepNext/>
      </w:pPr>
      <w:r>
        <w:tab/>
        <w:t>(a)</w:t>
      </w:r>
      <w:r>
        <w:tab/>
        <w:t>on a runner or, in the context of an approved event, on a competitor or contingency; and</w:t>
      </w:r>
    </w:p>
    <w:p>
      <w:pPr>
        <w:pStyle w:val="Defpara"/>
      </w:pPr>
      <w:r>
        <w:tab/>
        <w:t>(b)</w:t>
      </w:r>
      <w:r>
        <w:tab/>
        <w:t>for the purpose of reducing the bookmaker’s liability for bets already accepted by the bookmaker against that runner, competitor or contingency;</w:t>
      </w:r>
    </w:p>
    <w:p>
      <w:pPr>
        <w:pStyle w:val="Defstart"/>
      </w:pPr>
      <w:r>
        <w:tab/>
      </w:r>
      <w:r>
        <w:rPr>
          <w:rStyle w:val="CharDefText"/>
        </w:rPr>
        <w:t>betting account</w:t>
      </w:r>
      <w:r>
        <w:t xml:space="preserve"> means an account established with a domestic betting operator for the purposes of betting;</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pPr>
      <w:r>
        <w:tab/>
      </w:r>
      <w:r>
        <w:rPr>
          <w:rStyle w:val="CharDefText"/>
        </w:rPr>
        <w:t>greyhound race</w:t>
      </w:r>
      <w:r>
        <w:t xml:space="preserve"> has the meaning given in the RWWA Act section 3(1);</w:t>
      </w:r>
    </w:p>
    <w:p>
      <w:pPr>
        <w:pStyle w:val="Defstart"/>
      </w:pPr>
      <w:r>
        <w:tab/>
      </w:r>
      <w:r>
        <w:rPr>
          <w:rStyle w:val="CharDefText"/>
        </w:rPr>
        <w:t>harness race</w:t>
      </w:r>
      <w:r>
        <w:t xml:space="preserve"> has the meaning given in the RWWA Act section 3(1);</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lastRenderedPageBreak/>
        <w:tab/>
      </w:r>
      <w:r>
        <w:rPr>
          <w:rStyle w:val="CharDefText"/>
        </w:rPr>
        <w:t>leger</w:t>
      </w:r>
      <w:r>
        <w:t xml:space="preserve"> means that portion of a racecourse which is set aside as such by the committee or other authority controlling the racecourse, and commonly known as “the leger”;</w:t>
      </w:r>
    </w:p>
    <w:p>
      <w:pPr>
        <w:pStyle w:val="Defstart"/>
      </w:pPr>
      <w:r>
        <w:tab/>
      </w:r>
      <w:r>
        <w:rPr>
          <w:rStyle w:val="CharDefText"/>
        </w:rPr>
        <w:t>place bet</w:t>
      </w:r>
      <w:r>
        <w:t xml:space="preserve"> means a bet where the person placing the bet selects a runner or other competitor to achieve a place in a particular race in accordance with the following — </w:t>
      </w:r>
    </w:p>
    <w:p>
      <w:pPr>
        <w:pStyle w:val="Defpara"/>
      </w:pPr>
      <w:r>
        <w:tab/>
        <w:t>(a)</w:t>
      </w:r>
      <w:r>
        <w:tab/>
        <w:t>if at the time the bet is made there are 8 or more starters listed to start in the race, a runner or other competitor achieves a place if it finishes 1</w:t>
      </w:r>
      <w:r>
        <w:rPr>
          <w:vertAlign w:val="superscript"/>
        </w:rPr>
        <w:t>st</w:t>
      </w:r>
      <w:r>
        <w:t>, 2</w:t>
      </w:r>
      <w:r>
        <w:rPr>
          <w:vertAlign w:val="superscript"/>
        </w:rPr>
        <w:t>nd</w:t>
      </w:r>
      <w:r>
        <w:t xml:space="preserve"> or 3</w:t>
      </w:r>
      <w:r>
        <w:rPr>
          <w:vertAlign w:val="superscript"/>
        </w:rPr>
        <w:t>rd</w:t>
      </w:r>
      <w:r>
        <w:t>;</w:t>
      </w:r>
    </w:p>
    <w:p>
      <w:pPr>
        <w:pStyle w:val="Defpara"/>
      </w:pPr>
      <w:r>
        <w:tab/>
        <w:t>(b)</w:t>
      </w:r>
      <w:r>
        <w:tab/>
        <w:t>if at the time the bet is made, there are 5, 6 or 7 starters listed to start in the race, a runner or other competitor achieves a place if it finishes 1</w:t>
      </w:r>
      <w:r>
        <w:rPr>
          <w:vertAlign w:val="superscript"/>
        </w:rPr>
        <w:t>st</w:t>
      </w:r>
      <w:r>
        <w:t xml:space="preserve"> or 2</w:t>
      </w:r>
      <w:r>
        <w:rPr>
          <w:vertAlign w:val="superscript"/>
        </w:rPr>
        <w:t>nd</w:t>
      </w:r>
      <w:r>
        <w:t>;</w:t>
      </w:r>
    </w:p>
    <w:p>
      <w:pPr>
        <w:pStyle w:val="Defstart"/>
      </w:pPr>
      <w:r>
        <w:tab/>
      </w:r>
      <w:r>
        <w:rPr>
          <w:rStyle w:val="CharDefText"/>
        </w:rPr>
        <w:t>racing year</w:t>
      </w:r>
      <w:r>
        <w:t xml:space="preserve"> has the meaning given in the RWWA Act section 3(1);</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 or</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scheduled starting time</w:t>
      </w:r>
      <w:r>
        <w:t xml:space="preserve"> has the meaning given in the </w:t>
      </w:r>
      <w:r>
        <w:rPr>
          <w:i/>
        </w:rPr>
        <w:t>Racing and Wagering Western Australia Regulations 2003</w:t>
      </w:r>
      <w:r>
        <w:t xml:space="preserve"> regulation 3(1);</w:t>
      </w:r>
    </w:p>
    <w:p>
      <w:pPr>
        <w:pStyle w:val="Defstart"/>
      </w:pPr>
      <w:r>
        <w:tab/>
      </w:r>
      <w:r>
        <w:rPr>
          <w:rStyle w:val="CharDefText"/>
        </w:rPr>
        <w:t>sporting event</w:t>
      </w:r>
      <w:r>
        <w:t xml:space="preserve"> does not include a designated sporting event;</w:t>
      </w:r>
    </w:p>
    <w:p>
      <w:pPr>
        <w:pStyle w:val="Defstart"/>
      </w:pPr>
      <w:r>
        <w:tab/>
      </w:r>
      <w:r>
        <w:rPr>
          <w:rStyle w:val="CharDefText"/>
        </w:rPr>
        <w:t>thoroughbred race</w:t>
      </w:r>
      <w:r>
        <w:t xml:space="preserve"> has the meaning given in the RWWA Act section 3(1);</w:t>
      </w:r>
    </w:p>
    <w:p>
      <w:pPr>
        <w:pStyle w:val="Defstart"/>
        <w:keepLines/>
      </w:pPr>
      <w:r>
        <w:lastRenderedPageBreak/>
        <w:tab/>
      </w:r>
      <w:r>
        <w:rPr>
          <w:rStyle w:val="CharDefText"/>
        </w:rPr>
        <w:t>Western Australian Greyhound Racing Association</w:t>
      </w:r>
      <w:r>
        <w:t xml:space="preserve"> means the Western Australian Greyhound Racing Association established under the </w:t>
      </w:r>
      <w:r>
        <w:rPr>
          <w:i/>
        </w:rPr>
        <w:t>Western Australian Greyhound Racing Association Act 1981</w:t>
      </w:r>
      <w:r>
        <w:t>;</w:t>
      </w:r>
    </w:p>
    <w:p>
      <w:pPr>
        <w:pStyle w:val="Defstart"/>
      </w:pPr>
      <w:r>
        <w:tab/>
      </w:r>
      <w:r>
        <w:rPr>
          <w:rStyle w:val="CharDefText"/>
        </w:rPr>
        <w:t>Western Australian Trotting Association</w:t>
      </w:r>
      <w:r>
        <w:t xml:space="preserve"> means the Western Australian Trotting Association constituted under the </w:t>
      </w:r>
      <w:r>
        <w:rPr>
          <w:i/>
        </w:rPr>
        <w:t>Western Australian Trotting Association Act 1946</w:t>
      </w:r>
      <w:r>
        <w:t>;</w:t>
      </w:r>
    </w:p>
    <w:p>
      <w:pPr>
        <w:pStyle w:val="Defstart"/>
        <w:rPr>
          <w:rStyle w:val="DraftersNotes"/>
          <w:b w:val="0"/>
          <w:i w:val="0"/>
        </w:rPr>
      </w:pPr>
      <w:r>
        <w:tab/>
      </w:r>
      <w:r>
        <w:rPr>
          <w:rStyle w:val="CharDefText"/>
        </w:rPr>
        <w:t>win bet</w:t>
      </w:r>
      <w:r>
        <w:t xml:space="preserve"> means a bet where the person placing the bet selects the winner of a particular race.</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 xml:space="preserve">in the context of </w:t>
      </w:r>
      <w:r>
        <w:t>an approved event</w:t>
      </w:r>
      <w:r>
        <w:rPr>
          <w:snapToGrid w:val="0"/>
        </w:rPr>
        <w:t>, an approval under section 4B,</w:t>
      </w:r>
    </w:p>
    <w:p>
      <w:pPr>
        <w:pStyle w:val="Subsection"/>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keepNext/>
      </w:pPr>
      <w:r>
        <w:tab/>
        <w:t>(4)</w:t>
      </w:r>
      <w:r>
        <w:tab/>
        <w:t>For the purpose of these regulations, a bet is an on</w:t>
      </w:r>
      <w:r>
        <w:noBreakHyphen/>
        <w:t>course totalisator bet if —</w:t>
      </w:r>
    </w:p>
    <w:p>
      <w:pPr>
        <w:pStyle w:val="Indenta"/>
        <w:keepNext/>
      </w:pPr>
      <w:r>
        <w:tab/>
        <w:t>(a)</w:t>
      </w:r>
      <w:r>
        <w:tab/>
        <w:t>the person making the bet is physically present at the racecourse; and</w:t>
      </w:r>
    </w:p>
    <w:p>
      <w:pPr>
        <w:pStyle w:val="Indenta"/>
      </w:pPr>
      <w:r>
        <w:tab/>
        <w:t>(b)</w:t>
      </w:r>
      <w:r>
        <w:tab/>
        <w:t>the bet is placed through a totalisator located on that racecourse (whether personally, or digitally using a mobile device and a telecommunications network); and</w:t>
      </w:r>
    </w:p>
    <w:p>
      <w:pPr>
        <w:pStyle w:val="Indenta"/>
      </w:pPr>
      <w:r>
        <w:lastRenderedPageBreak/>
        <w:tab/>
        <w:t>(c)</w:t>
      </w:r>
      <w:r>
        <w:tab/>
        <w:t>payment for the bet is made at the time the bet is placed, either in cash or from an established RWWA wagering account; and</w:t>
      </w:r>
    </w:p>
    <w:p>
      <w:pPr>
        <w:pStyle w:val="Indenta"/>
        <w:keepNext/>
        <w:keepLines/>
      </w:pPr>
      <w:r>
        <w:tab/>
        <w:t>(d)</w:t>
      </w:r>
      <w:r>
        <w:tab/>
        <w:t>the bet is placed in person and not by a traditional telephone voice transmission to the RWWA call centre.</w:t>
      </w:r>
    </w:p>
    <w:p>
      <w:pPr>
        <w:pStyle w:val="Footnotesection"/>
      </w:pPr>
      <w:r>
        <w:tab/>
        <w:t>[Regulation 3 amended: Gazette 24 Jun 1988 p. 2003; 14 Feb 1992 p. 857; 10 Jul 1992 p. 3286</w:t>
      </w:r>
      <w:r>
        <w:noBreakHyphen/>
        <w:t>7; 21 Jul 1998 p. 3851, 3854, 3855 and 3856; 26 Nov 1999 p. 5908; 30 Jan 2004 p. 403; 21 Jul 2006 p. 2672; 18 Sep 2007 p. 4717; 25 Sep 2009 p. 3752; 14 Jun 2013 p. 2241; 13 May 2016 p. 1427; 25 Jan 2019 p. 199 and 201-2; SL 2021/193 r. 4.]</w:t>
      </w:r>
    </w:p>
    <w:p>
      <w:pPr>
        <w:pStyle w:val="Heading2"/>
      </w:pPr>
      <w:bookmarkStart w:id="9" w:name="_Toc122078616"/>
      <w:bookmarkStart w:id="10" w:name="_Toc122079092"/>
      <w:bookmarkStart w:id="11" w:name="_Toc122683326"/>
      <w:r>
        <w:rPr>
          <w:rStyle w:val="CharPartNo"/>
        </w:rPr>
        <w:lastRenderedPageBreak/>
        <w:t>Part 2</w:t>
      </w:r>
      <w:r>
        <w:rPr>
          <w:b w:val="0"/>
        </w:rPr>
        <w:t> </w:t>
      </w:r>
      <w:r>
        <w:t>—</w:t>
      </w:r>
      <w:r>
        <w:rPr>
          <w:b w:val="0"/>
        </w:rPr>
        <w:t> </w:t>
      </w:r>
      <w:r>
        <w:rPr>
          <w:rStyle w:val="CharPartText"/>
        </w:rPr>
        <w:t>Licences, fees and commissions</w:t>
      </w:r>
      <w:bookmarkEnd w:id="9"/>
      <w:bookmarkEnd w:id="10"/>
      <w:bookmarkEnd w:id="11"/>
    </w:p>
    <w:p>
      <w:pPr>
        <w:pStyle w:val="Footnoteheading"/>
      </w:pPr>
      <w:r>
        <w:tab/>
        <w:t>[Heading inserted: Gazette 21 Jul 2006 p. 2672.]</w:t>
      </w:r>
    </w:p>
    <w:p>
      <w:pPr>
        <w:pStyle w:val="Ednotesection"/>
      </w:pPr>
      <w:r>
        <w:t>[</w:t>
      </w:r>
      <w:r>
        <w:rPr>
          <w:b/>
        </w:rPr>
        <w:t>3A</w:t>
      </w:r>
      <w:r>
        <w:rPr>
          <w:b/>
        </w:rPr>
        <w:noBreakHyphen/>
        <w:t>8.</w:t>
      </w:r>
      <w:r>
        <w:rPr>
          <w:b/>
        </w:rPr>
        <w:tab/>
      </w:r>
      <w:r>
        <w:t>Deleted: Gazette 30 Jan 2004 p. 403.]</w:t>
      </w:r>
    </w:p>
    <w:p>
      <w:pPr>
        <w:pStyle w:val="Heading5"/>
        <w:rPr>
          <w:snapToGrid w:val="0"/>
        </w:rPr>
      </w:pPr>
      <w:bookmarkStart w:id="12" w:name="_Toc122683327"/>
      <w:r>
        <w:rPr>
          <w:rStyle w:val="CharSectno"/>
        </w:rPr>
        <w:t>9</w:t>
      </w:r>
      <w:r>
        <w:rPr>
          <w:snapToGrid w:val="0"/>
        </w:rPr>
        <w:t>.</w:t>
      </w:r>
      <w:r>
        <w:rPr>
          <w:snapToGrid w:val="0"/>
        </w:rPr>
        <w:tab/>
        <w:t>Application for licence</w:t>
      </w:r>
      <w:bookmarkEnd w:id="12"/>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Gazette 14 Jul 1989 p. 2133; 10 Jul 1992 p. 3286</w:t>
      </w:r>
      <w:r>
        <w:noBreakHyphen/>
        <w:t>7; 20 Sep 2002 p. 4698; 30 Jan 2004 p. 404 and 412.]</w:t>
      </w:r>
    </w:p>
    <w:p>
      <w:pPr>
        <w:pStyle w:val="Heading5"/>
      </w:pPr>
      <w:bookmarkStart w:id="13" w:name="_Toc122683328"/>
      <w:r>
        <w:rPr>
          <w:rStyle w:val="CharSectno"/>
        </w:rPr>
        <w:t>9A</w:t>
      </w:r>
      <w:r>
        <w:t>.</w:t>
      </w:r>
      <w:r>
        <w:tab/>
        <w:t>Application to conduct a designated sporting event</w:t>
      </w:r>
      <w:bookmarkEnd w:id="13"/>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lastRenderedPageBreak/>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Gazette 21 Jul 1998 p. 3852; amended: Gazette 20 Sep 2002 p. 4698; 30 Jan 2004 p. 412.]</w:t>
      </w:r>
    </w:p>
    <w:p>
      <w:pPr>
        <w:pStyle w:val="Heading5"/>
      </w:pPr>
      <w:bookmarkStart w:id="14" w:name="_Toc122683329"/>
      <w:r>
        <w:rPr>
          <w:rStyle w:val="CharSectno"/>
        </w:rPr>
        <w:t>10</w:t>
      </w:r>
      <w:r>
        <w:t>.</w:t>
      </w:r>
      <w:r>
        <w:tab/>
        <w:t>Application for approval</w:t>
      </w:r>
      <w:bookmarkEnd w:id="14"/>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Gazette 20 Sep 2002 p. 4698; amended: Gazette 30 Jan 2004 p. 404 and 412.]</w:t>
      </w:r>
    </w:p>
    <w:p>
      <w:pPr>
        <w:pStyle w:val="Heading5"/>
        <w:rPr>
          <w:snapToGrid w:val="0"/>
        </w:rPr>
      </w:pPr>
      <w:bookmarkStart w:id="15" w:name="_Toc122683330"/>
      <w:r>
        <w:rPr>
          <w:rStyle w:val="CharSectno"/>
        </w:rPr>
        <w:t>11</w:t>
      </w:r>
      <w:r>
        <w:rPr>
          <w:snapToGrid w:val="0"/>
        </w:rPr>
        <w:t>.</w:t>
      </w:r>
      <w:r>
        <w:rPr>
          <w:snapToGrid w:val="0"/>
        </w:rPr>
        <w:tab/>
        <w:t>When licence may be renewed</w:t>
      </w:r>
      <w:bookmarkEnd w:id="15"/>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Gazette 10 Jul 1992 p. 3286</w:t>
      </w:r>
      <w:r>
        <w:noBreakHyphen/>
        <w:t>7; 20 Sep 2002 p. 4698.]</w:t>
      </w:r>
    </w:p>
    <w:p>
      <w:pPr>
        <w:pStyle w:val="Heading5"/>
        <w:rPr>
          <w:snapToGrid w:val="0"/>
        </w:rPr>
      </w:pPr>
      <w:bookmarkStart w:id="16" w:name="_Toc122683331"/>
      <w:r>
        <w:rPr>
          <w:rStyle w:val="CharSectno"/>
        </w:rPr>
        <w:t>12</w:t>
      </w:r>
      <w:r>
        <w:rPr>
          <w:snapToGrid w:val="0"/>
        </w:rPr>
        <w:t>.</w:t>
      </w:r>
      <w:r>
        <w:rPr>
          <w:snapToGrid w:val="0"/>
        </w:rPr>
        <w:tab/>
        <w:t>Grant of licence</w:t>
      </w:r>
      <w:bookmarkEnd w:id="16"/>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w:t>
      </w:r>
      <w:r>
        <w:rPr>
          <w:snapToGrid w:val="0"/>
        </w:rPr>
        <w:lastRenderedPageBreak/>
        <w:t>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Gazette 10 Jul 1992 p. 3286</w:t>
      </w:r>
      <w:r>
        <w:noBreakHyphen/>
        <w:t>8; 30 Jan 2004 p. 404 and 412.]</w:t>
      </w:r>
    </w:p>
    <w:p>
      <w:pPr>
        <w:pStyle w:val="Ednotesection"/>
      </w:pPr>
      <w:r>
        <w:t>[</w:t>
      </w:r>
      <w:r>
        <w:rPr>
          <w:b/>
        </w:rPr>
        <w:t>13.</w:t>
      </w:r>
      <w:r>
        <w:tab/>
        <w:t>Deleted: Gazette 20 Sep 2002 p. 4698.]</w:t>
      </w:r>
    </w:p>
    <w:p>
      <w:pPr>
        <w:pStyle w:val="Heading5"/>
        <w:rPr>
          <w:snapToGrid w:val="0"/>
        </w:rPr>
      </w:pPr>
      <w:bookmarkStart w:id="17" w:name="_Toc122683332"/>
      <w:r>
        <w:rPr>
          <w:rStyle w:val="CharSectno"/>
        </w:rPr>
        <w:t>14</w:t>
      </w:r>
      <w:r>
        <w:rPr>
          <w:snapToGrid w:val="0"/>
        </w:rPr>
        <w:t>.</w:t>
      </w:r>
      <w:r>
        <w:rPr>
          <w:snapToGrid w:val="0"/>
        </w:rPr>
        <w:tab/>
        <w:t>Effect of licence</w:t>
      </w:r>
      <w:bookmarkEnd w:id="17"/>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Next/>
        <w:keepLines/>
      </w:pPr>
      <w:r>
        <w:lastRenderedPageBreak/>
        <w:tab/>
        <w:t>(7)</w:t>
      </w:r>
      <w:r>
        <w:tab/>
        <w:t>A bookmaker’s licence which is endorsed to that effect authorises the licensee to carry on the business of a bookmaker, in relation to an approved event,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Gazette 24 Jun 1988 p. 2004; 10 Jul 1992 p. 3286 and 3288; 31 Aug 1993 p. 4677 (correction: Gazette 10 Sep 1993 p. 4975); 24 Dec 1993 p. 6839; 21 Jul 1998 p. 3852 and 3855; 26 Nov 1999 p. 5908</w:t>
      </w:r>
      <w:r>
        <w:noBreakHyphen/>
        <w:t>9; 20 Sep 2002 p. 4699; 30 Jan 2004 p. 412; 25 Jan 2019 p. 200.]</w:t>
      </w:r>
    </w:p>
    <w:p>
      <w:pPr>
        <w:pStyle w:val="Ednotesection"/>
      </w:pPr>
      <w:r>
        <w:t>[</w:t>
      </w:r>
      <w:r>
        <w:rPr>
          <w:b/>
        </w:rPr>
        <w:t>15.</w:t>
      </w:r>
      <w:r>
        <w:tab/>
        <w:t>Deleted: Gazette 10 Jul 1992 p. 3288.]</w:t>
      </w:r>
    </w:p>
    <w:p>
      <w:pPr>
        <w:pStyle w:val="Heading5"/>
        <w:rPr>
          <w:snapToGrid w:val="0"/>
        </w:rPr>
      </w:pPr>
      <w:bookmarkStart w:id="18" w:name="_Toc122683333"/>
      <w:r>
        <w:rPr>
          <w:rStyle w:val="CharSectno"/>
        </w:rPr>
        <w:t>16</w:t>
      </w:r>
      <w:r>
        <w:rPr>
          <w:snapToGrid w:val="0"/>
        </w:rPr>
        <w:t>.</w:t>
      </w:r>
      <w:r>
        <w:rPr>
          <w:snapToGrid w:val="0"/>
        </w:rPr>
        <w:tab/>
        <w:t>Duplicate licences</w:t>
      </w:r>
      <w:bookmarkEnd w:id="18"/>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keepNext/>
        <w:rPr>
          <w:snapToGrid w:val="0"/>
        </w:rPr>
      </w:pPr>
      <w:r>
        <w:rPr>
          <w:snapToGrid w:val="0"/>
        </w:rPr>
        <w:lastRenderedPageBreak/>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Gazette 10 Jul 1992 p. 3286 and 3288; 30 Jan 2004 p. 412.]</w:t>
      </w:r>
    </w:p>
    <w:p>
      <w:pPr>
        <w:pStyle w:val="Heading5"/>
        <w:rPr>
          <w:snapToGrid w:val="0"/>
        </w:rPr>
      </w:pPr>
      <w:bookmarkStart w:id="19" w:name="_Toc122683334"/>
      <w:r>
        <w:rPr>
          <w:rStyle w:val="CharSectno"/>
        </w:rPr>
        <w:t>17</w:t>
      </w:r>
      <w:r>
        <w:rPr>
          <w:snapToGrid w:val="0"/>
        </w:rPr>
        <w:t>.</w:t>
      </w:r>
      <w:r>
        <w:rPr>
          <w:snapToGrid w:val="0"/>
        </w:rPr>
        <w:tab/>
        <w:t>Fees and charges</w:t>
      </w:r>
      <w:bookmarkEnd w:id="19"/>
    </w:p>
    <w:p>
      <w:pPr>
        <w:pStyle w:val="Subsection"/>
        <w:rPr>
          <w:snapToGrid w:val="0"/>
        </w:rPr>
      </w:pPr>
      <w:r>
        <w:rPr>
          <w:snapToGrid w:val="0"/>
        </w:rPr>
        <w:tab/>
        <w:t>(1)</w:t>
      </w:r>
      <w:r>
        <w:rPr>
          <w:snapToGrid w:val="0"/>
        </w:rPr>
        <w:tab/>
        <w:t>The Commission shall charge the following fees —</w:t>
      </w:r>
    </w:p>
    <w:p>
      <w:pPr>
        <w:pStyle w:val="Indenta"/>
        <w:tabs>
          <w:tab w:val="right" w:leader="dot" w:pos="7088"/>
        </w:tabs>
        <w:rPr>
          <w:snapToGrid w:val="0"/>
        </w:rPr>
      </w:pPr>
      <w:r>
        <w:rPr>
          <w:snapToGrid w:val="0"/>
        </w:rPr>
        <w:tab/>
        <w:t>(aa)</w:t>
      </w:r>
      <w:r>
        <w:rPr>
          <w:snapToGrid w:val="0"/>
        </w:rPr>
        <w:tab/>
        <w:t>On the grant of a permit under section 4A</w:t>
      </w:r>
      <w:r>
        <w:rPr>
          <w:snapToGrid w:val="0"/>
        </w:rPr>
        <w:br/>
        <w:t xml:space="preserve">for a designated sporting event </w:t>
      </w:r>
      <w:r>
        <w:rPr>
          <w:snapToGrid w:val="0"/>
        </w:rPr>
        <w:tab/>
      </w:r>
      <w:r>
        <w:t>$53.50</w:t>
      </w:r>
      <w:r>
        <w:rPr>
          <w:snapToGrid w:val="0"/>
        </w:rPr>
        <w:t>;</w:t>
      </w:r>
    </w:p>
    <w:p>
      <w:pPr>
        <w:pStyle w:val="Indenta"/>
        <w:tabs>
          <w:tab w:val="right" w:leader="dot" w:pos="7088"/>
        </w:tabs>
        <w:rPr>
          <w:snapToGrid w:val="0"/>
        </w:rPr>
      </w:pPr>
      <w:r>
        <w:rPr>
          <w:snapToGrid w:val="0"/>
        </w:rPr>
        <w:tab/>
        <w:t>(ab)</w:t>
      </w:r>
      <w:r>
        <w:rPr>
          <w:snapToGrid w:val="0"/>
        </w:rPr>
        <w:tab/>
        <w:t xml:space="preserve">On the endorsement of a permit </w:t>
      </w:r>
      <w:r>
        <w:rPr>
          <w:i/>
          <w:snapToGrid w:val="0"/>
        </w:rPr>
        <w:t>(granted</w:t>
      </w:r>
      <w:r>
        <w:rPr>
          <w:i/>
          <w:snapToGrid w:val="0"/>
        </w:rPr>
        <w:br/>
        <w:t xml:space="preserve">under section 4B for betting on </w:t>
      </w:r>
      <w:r>
        <w:rPr>
          <w:i/>
        </w:rPr>
        <w:t xml:space="preserve">an approved </w:t>
      </w:r>
      <w:r>
        <w:rPr>
          <w:i/>
        </w:rPr>
        <w:br/>
        <w:t>event</w:t>
      </w:r>
      <w:r>
        <w:rPr>
          <w:i/>
          <w:snapToGrid w:val="0"/>
        </w:rPr>
        <w:t xml:space="preserve"> or granted for racing)</w:t>
      </w:r>
      <w:r>
        <w:rPr>
          <w:snapToGrid w:val="0"/>
        </w:rPr>
        <w:t xml:space="preserve"> authorising the </w:t>
      </w:r>
      <w:r>
        <w:rPr>
          <w:snapToGrid w:val="0"/>
        </w:rPr>
        <w:br/>
        <w:t>permit holder to carry on business by means of on</w:t>
      </w:r>
      <w:r>
        <w:rPr>
          <w:snapToGrid w:val="0"/>
        </w:rPr>
        <w:noBreakHyphen/>
        <w:t xml:space="preserve">course  telephone betting </w:t>
      </w:r>
      <w:r>
        <w:rPr>
          <w:snapToGrid w:val="0"/>
        </w:rPr>
        <w:tab/>
      </w:r>
      <w:r>
        <w:t>$75.00</w:t>
      </w:r>
      <w:r>
        <w:rPr>
          <w:snapToGrid w:val="0"/>
        </w:rPr>
        <w:t>;</w:t>
      </w:r>
    </w:p>
    <w:p>
      <w:pPr>
        <w:pStyle w:val="Indenta"/>
        <w:tabs>
          <w:tab w:val="right" w:leader="dot" w:pos="7088"/>
        </w:tabs>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 xml:space="preserve">under section 4B for betting on </w:t>
      </w:r>
      <w:r>
        <w:rPr>
          <w:i/>
        </w:rPr>
        <w:t xml:space="preserve">an approved </w:t>
      </w:r>
      <w:r>
        <w:rPr>
          <w:i/>
        </w:rPr>
        <w:br/>
        <w:t>event</w:t>
      </w:r>
      <w:r>
        <w:rPr>
          <w:i/>
          <w:snapToGrid w:val="0"/>
        </w:rPr>
        <w:t xml:space="preserve"> or granted for racing)</w:t>
      </w:r>
      <w:r>
        <w:rPr>
          <w:snapToGrid w:val="0"/>
        </w:rPr>
        <w:t xml:space="preserve"> authorising the </w:t>
      </w:r>
      <w:r>
        <w:rPr>
          <w:snapToGrid w:val="0"/>
        </w:rPr>
        <w:br/>
        <w:t>permit holder to carry on business by means of on</w:t>
      </w:r>
      <w:r>
        <w:rPr>
          <w:snapToGrid w:val="0"/>
        </w:rPr>
        <w:noBreakHyphen/>
        <w:t>course internet betting</w:t>
      </w:r>
      <w:r>
        <w:rPr>
          <w:snapToGrid w:val="0"/>
        </w:rPr>
        <w:tab/>
      </w:r>
      <w:r>
        <w:t>$344.00</w:t>
      </w:r>
      <w:r>
        <w:rPr>
          <w:snapToGrid w:val="0"/>
        </w:rPr>
        <w:t>;</w:t>
      </w:r>
    </w:p>
    <w:p>
      <w:pPr>
        <w:pStyle w:val="Indenta"/>
        <w:tabs>
          <w:tab w:val="right" w:leader="dot" w:pos="7088"/>
        </w:tabs>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w:t>
      </w:r>
      <w:r>
        <w:rPr>
          <w:snapToGrid w:val="0"/>
        </w:rPr>
        <w:tab/>
      </w:r>
      <w:r>
        <w:t>$80.50</w:t>
      </w:r>
      <w:r>
        <w:rPr>
          <w:snapToGrid w:val="0"/>
        </w:rPr>
        <w:t>;</w:t>
      </w:r>
    </w:p>
    <w:p>
      <w:pPr>
        <w:pStyle w:val="Indenta"/>
        <w:tabs>
          <w:tab w:val="right" w:leader="dot" w:pos="7088"/>
        </w:tabs>
        <w:spacing w:before="100"/>
        <w:rPr>
          <w:snapToGrid w:val="0"/>
        </w:rPr>
      </w:pPr>
      <w:r>
        <w:rPr>
          <w:snapToGrid w:val="0"/>
        </w:rPr>
        <w:tab/>
        <w:t>(a)</w:t>
      </w:r>
      <w:r>
        <w:rPr>
          <w:snapToGrid w:val="0"/>
        </w:rPr>
        <w:tab/>
        <w:t>On an application for a bookmaker’s</w:t>
      </w:r>
      <w:r>
        <w:rPr>
          <w:snapToGrid w:val="0"/>
        </w:rPr>
        <w:br/>
        <w:t>licence</w:t>
      </w:r>
      <w:r>
        <w:rPr>
          <w:snapToGrid w:val="0"/>
        </w:rPr>
        <w:tab/>
      </w:r>
      <w:r>
        <w:t>$690.00</w:t>
      </w:r>
      <w:r>
        <w:rPr>
          <w:snapToGrid w:val="0"/>
        </w:rPr>
        <w:t>;</w:t>
      </w:r>
    </w:p>
    <w:p>
      <w:pPr>
        <w:pStyle w:val="Indenta"/>
        <w:tabs>
          <w:tab w:val="right" w:leader="dot" w:pos="7088"/>
        </w:tabs>
        <w:spacing w:before="100"/>
        <w:rPr>
          <w:snapToGrid w:val="0"/>
        </w:rPr>
      </w:pPr>
      <w:r>
        <w:rPr>
          <w:snapToGrid w:val="0"/>
        </w:rPr>
        <w:tab/>
        <w:t>(b)</w:t>
      </w:r>
      <w:r>
        <w:rPr>
          <w:snapToGrid w:val="0"/>
        </w:rPr>
        <w:tab/>
        <w:t>On an application for, or for the renewal</w:t>
      </w:r>
      <w:r>
        <w:rPr>
          <w:snapToGrid w:val="0"/>
        </w:rPr>
        <w:br/>
        <w:t>of, a bookmaker’s employee licence</w:t>
      </w:r>
      <w:r>
        <w:rPr>
          <w:snapToGrid w:val="0"/>
        </w:rPr>
        <w:tab/>
      </w:r>
      <w:r>
        <w:t>$37.00</w:t>
      </w:r>
      <w:r>
        <w:rPr>
          <w:snapToGrid w:val="0"/>
        </w:rPr>
        <w:t>;</w:t>
      </w:r>
    </w:p>
    <w:p>
      <w:pPr>
        <w:pStyle w:val="Indenta"/>
        <w:tabs>
          <w:tab w:val="right" w:leader="dot" w:pos="7088"/>
        </w:tabs>
        <w:spacing w:before="100"/>
        <w:rPr>
          <w:snapToGrid w:val="0"/>
        </w:rPr>
      </w:pPr>
      <w:r>
        <w:rPr>
          <w:snapToGrid w:val="0"/>
        </w:rPr>
        <w:tab/>
        <w:t>(ba)</w:t>
      </w:r>
      <w:r>
        <w:rPr>
          <w:snapToGrid w:val="0"/>
        </w:rPr>
        <w:tab/>
        <w:t>On an application for a bookmaker’s</w:t>
      </w:r>
      <w:r>
        <w:rPr>
          <w:snapToGrid w:val="0"/>
        </w:rPr>
        <w:br/>
        <w:t>manager licence</w:t>
      </w:r>
      <w:r>
        <w:rPr>
          <w:snapToGrid w:val="0"/>
        </w:rPr>
        <w:tab/>
      </w:r>
      <w:r>
        <w:t>$186.50</w:t>
      </w:r>
      <w:r>
        <w:rPr>
          <w:snapToGrid w:val="0"/>
        </w:rPr>
        <w:t>;</w:t>
      </w:r>
    </w:p>
    <w:p>
      <w:pPr>
        <w:pStyle w:val="Indenta"/>
        <w:tabs>
          <w:tab w:val="right" w:leader="dot" w:pos="7088"/>
        </w:tabs>
        <w:spacing w:before="100"/>
        <w:rPr>
          <w:snapToGrid w:val="0"/>
        </w:rPr>
      </w:pPr>
      <w:r>
        <w:rPr>
          <w:snapToGrid w:val="0"/>
        </w:rPr>
        <w:tab/>
        <w:t>(bb)</w:t>
      </w:r>
      <w:r>
        <w:rPr>
          <w:snapToGrid w:val="0"/>
        </w:rPr>
        <w:tab/>
        <w:t>On an application for the renewal of a</w:t>
      </w:r>
      <w:r>
        <w:rPr>
          <w:snapToGrid w:val="0"/>
        </w:rPr>
        <w:br/>
        <w:t>bookmaker’s manager licence</w:t>
      </w:r>
      <w:r>
        <w:rPr>
          <w:snapToGrid w:val="0"/>
        </w:rPr>
        <w:tab/>
      </w:r>
      <w:r>
        <w:t>$99.00</w:t>
      </w:r>
      <w:r>
        <w:rPr>
          <w:snapToGrid w:val="0"/>
        </w:rPr>
        <w:t>;</w:t>
      </w:r>
    </w:p>
    <w:p>
      <w:pPr>
        <w:pStyle w:val="Indenta"/>
        <w:keepNext/>
        <w:tabs>
          <w:tab w:val="right" w:leader="dot" w:pos="7088"/>
        </w:tabs>
        <w:spacing w:before="100"/>
        <w:rPr>
          <w:snapToGrid w:val="0"/>
        </w:rPr>
      </w:pPr>
      <w:r>
        <w:rPr>
          <w:snapToGrid w:val="0"/>
        </w:rPr>
        <w:lastRenderedPageBreak/>
        <w:tab/>
        <w:t>(c)</w:t>
      </w:r>
      <w:r>
        <w:rPr>
          <w:snapToGrid w:val="0"/>
        </w:rPr>
        <w:tab/>
        <w:t>For an appeal to the Commission in</w:t>
      </w:r>
      <w:r>
        <w:rPr>
          <w:snapToGrid w:val="0"/>
        </w:rPr>
        <w:br/>
        <w:t>connection with a betting dispute</w:t>
      </w:r>
      <w:r>
        <w:rPr>
          <w:snapToGrid w:val="0"/>
        </w:rPr>
        <w:tab/>
      </w:r>
      <w:r>
        <w:t>$181.50</w:t>
      </w:r>
      <w:r>
        <w:rPr>
          <w:snapToGrid w:val="0"/>
        </w:rPr>
        <w:t>;</w:t>
      </w:r>
    </w:p>
    <w:p>
      <w:pPr>
        <w:pStyle w:val="Indenta"/>
        <w:tabs>
          <w:tab w:val="right" w:leader="dot" w:pos="7088"/>
        </w:tabs>
        <w:spacing w:before="100"/>
        <w:rPr>
          <w:snapToGrid w:val="0"/>
        </w:rPr>
      </w:pPr>
      <w:r>
        <w:rPr>
          <w:snapToGrid w:val="0"/>
        </w:rPr>
        <w:tab/>
        <w:t>(d)</w:t>
      </w:r>
      <w:r>
        <w:rPr>
          <w:snapToGrid w:val="0"/>
        </w:rPr>
        <w:tab/>
        <w:t>On provision of a copy of a transcript of</w:t>
      </w:r>
      <w:r>
        <w:rPr>
          <w:snapToGrid w:val="0"/>
        </w:rPr>
        <w:br/>
        <w:t xml:space="preserve">an appeal hearing, for each page </w:t>
      </w:r>
      <w:r>
        <w:rPr>
          <w:snapToGrid w:val="0"/>
        </w:rPr>
        <w:tab/>
        <w:t>$4;</w:t>
      </w:r>
    </w:p>
    <w:p>
      <w:pPr>
        <w:pStyle w:val="Indenta"/>
        <w:tabs>
          <w:tab w:val="right" w:leader="dot" w:pos="7088"/>
        </w:tabs>
        <w:spacing w:before="100"/>
        <w:rPr>
          <w:snapToGrid w:val="0"/>
        </w:rPr>
      </w:pPr>
      <w:r>
        <w:rPr>
          <w:snapToGrid w:val="0"/>
        </w:rPr>
        <w:tab/>
        <w:t>(e)</w:t>
      </w:r>
      <w:r>
        <w:rPr>
          <w:snapToGrid w:val="0"/>
        </w:rPr>
        <w:tab/>
        <w:t>On applying for the issue of a duplicate</w:t>
      </w:r>
      <w:r>
        <w:rPr>
          <w:snapToGrid w:val="0"/>
        </w:rPr>
        <w:br/>
        <w:t>licence</w:t>
      </w:r>
      <w:r>
        <w:rPr>
          <w:snapToGrid w:val="0"/>
        </w:rPr>
        <w:tab/>
      </w:r>
      <w:r>
        <w:t>$37.00</w:t>
      </w:r>
      <w:r>
        <w:rPr>
          <w:snapToGrid w:val="0"/>
        </w:rPr>
        <w:t>;</w:t>
      </w:r>
    </w:p>
    <w:p>
      <w:pPr>
        <w:pStyle w:val="Indenta"/>
        <w:tabs>
          <w:tab w:val="right" w:leader="dot" w:pos="7088"/>
        </w:tabs>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 xml:space="preserve">section 27A of the Act </w:t>
      </w:r>
      <w:r>
        <w:rPr>
          <w:snapToGrid w:val="0"/>
        </w:rPr>
        <w:tab/>
      </w:r>
      <w:r>
        <w:t>$690.00</w:t>
      </w:r>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$118.50</w:t>
      </w:r>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t>$118.50</w:t>
      </w:r>
      <w:r>
        <w:rPr>
          <w:snapToGrid w:val="0"/>
        </w:rPr>
        <w:t>.</w:t>
      </w:r>
    </w:p>
    <w:p>
      <w:pPr>
        <w:pStyle w:val="Footnotesection"/>
      </w:pPr>
      <w:r>
        <w:tab/>
        <w:t>[Regulation 17 amended: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 xml:space="preserve">3; 30 Oct 2009 p. 4312-13; 19 Nov 2010 p. 5739; 4 Nov 2011 p. 4635; 16 Nov 2012 p. 5646-7; </w:t>
      </w:r>
      <w:r>
        <w:rPr>
          <w:szCs w:val="24"/>
        </w:rPr>
        <w:t>8 Nov 2013 p.</w:t>
      </w:r>
      <w:r>
        <w:t> 4972; 14 Nov 2014 p. 4279-80; 6 Nov 2015 p. 4581</w:t>
      </w:r>
      <w:r>
        <w:noBreakHyphen/>
        <w:t>2; 28 Oct 2016 p. 4911; 10 Nov 2017 p. 5580; 7 Sep 2018 p. 3192-3; 25 Jan 2019 p. 200; 22 Oct 2019 p. 3720</w:t>
      </w:r>
      <w:r>
        <w:noBreakHyphen/>
        <w:t>1; SL 2022/144 r. 4.]</w:t>
      </w:r>
    </w:p>
    <w:p>
      <w:pPr>
        <w:pStyle w:val="Heading5"/>
        <w:rPr>
          <w:snapToGrid w:val="0"/>
        </w:rPr>
      </w:pPr>
      <w:bookmarkStart w:id="20" w:name="_Toc122683335"/>
      <w:r>
        <w:rPr>
          <w:rStyle w:val="CharSectno"/>
        </w:rPr>
        <w:lastRenderedPageBreak/>
        <w:t>17A</w:t>
      </w:r>
      <w:r>
        <w:rPr>
          <w:snapToGrid w:val="0"/>
        </w:rPr>
        <w:t>.</w:t>
      </w:r>
      <w:r>
        <w:rPr>
          <w:snapToGrid w:val="0"/>
        </w:rPr>
        <w:tab/>
        <w:t>Bookmakers’ annual licence fee</w:t>
      </w:r>
      <w:bookmarkEnd w:id="20"/>
    </w:p>
    <w:p>
      <w:pPr>
        <w:pStyle w:val="Subsection"/>
        <w:keepNext/>
        <w:spacing w:before="180"/>
        <w:rPr>
          <w:snapToGrid w:val="0"/>
        </w:rPr>
      </w:pPr>
      <w:r>
        <w:rPr>
          <w:snapToGrid w:val="0"/>
        </w:rPr>
        <w:tab/>
        <w:t>(1)</w:t>
      </w:r>
      <w:r>
        <w:rPr>
          <w:snapToGrid w:val="0"/>
        </w:rPr>
        <w:tab/>
        <w:t>The bookmakers’ annual licence fee payable under section 13(1) shall be —</w:t>
      </w:r>
    </w:p>
    <w:p>
      <w:pPr>
        <w:pStyle w:val="Indenta"/>
        <w:keepNext/>
        <w:rPr>
          <w:snapToGrid w:val="0"/>
        </w:rPr>
      </w:pPr>
      <w:r>
        <w:rPr>
          <w:snapToGrid w:val="0"/>
        </w:rPr>
        <w:tab/>
        <w:t>(a)</w:t>
      </w:r>
      <w:r>
        <w:rPr>
          <w:snapToGrid w:val="0"/>
        </w:rPr>
        <w:tab/>
        <w:t>paid, in respect of each assessment year commencing on 1 August and ending on 31 July, at the following rates for that year —</w:t>
      </w:r>
    </w:p>
    <w:p>
      <w:pPr>
        <w:pStyle w:val="Indenti"/>
        <w:tabs>
          <w:tab w:val="right" w:leader="dot" w:pos="7088"/>
        </w:tabs>
      </w:pPr>
      <w:r>
        <w:tab/>
        <w:t>(i)</w:t>
      </w:r>
      <w:r>
        <w:tab/>
        <w:t>on total turnover not exceeding</w:t>
      </w:r>
      <w:r>
        <w:br/>
        <w:t xml:space="preserve">$250 000 </w:t>
      </w:r>
      <w:r>
        <w:tab/>
        <w:t>$430.00;</w:t>
      </w:r>
    </w:p>
    <w:p>
      <w:pPr>
        <w:pStyle w:val="Indenti"/>
        <w:tabs>
          <w:tab w:val="right" w:leader="dot" w:pos="7088"/>
        </w:tabs>
      </w:pPr>
      <w:r>
        <w:tab/>
        <w:t>(ii)</w:t>
      </w:r>
      <w:r>
        <w:tab/>
        <w:t xml:space="preserve">on total turnover greater than </w:t>
      </w:r>
      <w:r>
        <w:br/>
        <w:t>$250 000 but not exceeding</w:t>
      </w:r>
      <w:r>
        <w:br/>
        <w:t xml:space="preserve">$1 000 000 </w:t>
      </w:r>
      <w:r>
        <w:tab/>
        <w:t>$878.00;</w:t>
      </w:r>
    </w:p>
    <w:p>
      <w:pPr>
        <w:pStyle w:val="Indenti"/>
        <w:tabs>
          <w:tab w:val="right" w:leader="dot" w:pos="7088"/>
        </w:tabs>
      </w:pPr>
      <w:r>
        <w:tab/>
        <w:t>(iii)</w:t>
      </w:r>
      <w:r>
        <w:tab/>
        <w:t>on total turnover greater than</w:t>
      </w:r>
      <w:r>
        <w:br/>
        <w:t xml:space="preserve">$1 000 000 </w:t>
      </w:r>
      <w:r>
        <w:tab/>
        <w:t>$1 319.00;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keepNext/>
        <w:rPr>
          <w:snapToGrid w:val="0"/>
        </w:rPr>
      </w:pPr>
      <w:r>
        <w:rPr>
          <w:snapToGrid w:val="0"/>
        </w:rPr>
        <w:tab/>
        <w:t>(3)</w:t>
      </w:r>
      <w:r>
        <w:rPr>
          <w:snapToGrid w:val="0"/>
        </w:rPr>
        <w:tab/>
        <w:t xml:space="preserve">The holder of the licence shall supply or make available to the Commission such other information as the Commission may consider to be relevant to the assessment of any bookmakers’ </w:t>
      </w:r>
      <w:r>
        <w:rPr>
          <w:snapToGrid w:val="0"/>
        </w:rPr>
        <w:lastRenderedPageBreak/>
        <w:t>annual licence fee at such time and in such manner as the Commission may, in writing, request.</w:t>
      </w:r>
    </w:p>
    <w:p>
      <w:pPr>
        <w:pStyle w:val="Footnotesection"/>
      </w:pPr>
      <w:r>
        <w:tab/>
        <w:t xml:space="preserve">[Regulation 17A inserted: Gazette 25 Jun 1996 p. 2975; amended: Gazette 10 Jul 1988 p. 3647; 21 Jul 1998 p. 3852; 26 Sep 2003 p. 4226; 30 Jan 2004 p. 412; 9 Jul 2004 p. 2781; 14 Oct 2005 p. 4559; 14 Nov 2006 p. 4730; 9 Oct 2007 p. 5349; 28 Oct 2008 p. 4733; 30 Oct 2009 p. 4313; 19 Nov 2010 p. 5740; 4 Nov 2011 p. 4636; 16 Nov 2012 p. 5647; </w:t>
      </w:r>
      <w:r>
        <w:rPr>
          <w:szCs w:val="24"/>
        </w:rPr>
        <w:t>8 Nov 2013 p. 4</w:t>
      </w:r>
      <w:r>
        <w:t>973; 14 Nov 2014 p. 4280; 6 Nov 2015 p. 4582; 28 Oct 2016 p. 4911; 10 Nov 2017 p. 5580</w:t>
      </w:r>
      <w:r>
        <w:noBreakHyphen/>
        <w:t>1; 7 Sep 2018 p. 3193; 22 Oct 2019 p. 3721; SL 2022/144 r. 4.]</w:t>
      </w:r>
    </w:p>
    <w:p>
      <w:pPr>
        <w:pStyle w:val="Heading5"/>
        <w:rPr>
          <w:snapToGrid w:val="0"/>
        </w:rPr>
      </w:pPr>
      <w:bookmarkStart w:id="21" w:name="_Toc122683336"/>
      <w:r>
        <w:rPr>
          <w:rStyle w:val="CharSectno"/>
        </w:rPr>
        <w:t>17B</w:t>
      </w:r>
      <w:r>
        <w:rPr>
          <w:snapToGrid w:val="0"/>
        </w:rPr>
        <w:t>.</w:t>
      </w:r>
      <w:r>
        <w:rPr>
          <w:snapToGrid w:val="0"/>
        </w:rPr>
        <w:tab/>
        <w:t>On</w:t>
      </w:r>
      <w:r>
        <w:rPr>
          <w:snapToGrid w:val="0"/>
        </w:rPr>
        <w:noBreakHyphen/>
        <w:t>course totalisator annual licence fee</w:t>
      </w:r>
      <w:bookmarkEnd w:id="21"/>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$178 333 — $53.50;</w:t>
      </w:r>
    </w:p>
    <w:p>
      <w:pPr>
        <w:pStyle w:val="Indenti"/>
      </w:pPr>
      <w:r>
        <w:tab/>
        <w:t>(iii)</w:t>
      </w:r>
      <w:r>
        <w:tab/>
        <w:t>on total turnover greater than $178 333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lastRenderedPageBreak/>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Gazette 25 Jun 1996 p. 2976; amended: Gazette 10 Jul 1998 p. 3647; 26 Sep 2003 p. 4226; 30 Jan 2004 p. 412; 28 Apr 2006 p. 1659; 9 Oct 2007 p. 5349</w:t>
      </w:r>
      <w:r>
        <w:noBreakHyphen/>
        <w:t>50; 19 Nov 2010 p. 5740; 16 Nov 2012 p. 5647; 8 Nov 2013 p. 4973; 14 Nov 2014 p. 4280; 6 Nov 2015 p. 4582; 10 Nov 2017 p. 5581; 7 Sep 2018 p. 3193; 22 Oct 2019 p. 3721; SL 2022/144 r. 4.]</w:t>
      </w:r>
    </w:p>
    <w:p>
      <w:pPr>
        <w:pStyle w:val="Heading5"/>
      </w:pPr>
      <w:bookmarkStart w:id="22" w:name="_Toc122683337"/>
      <w:r>
        <w:rPr>
          <w:rStyle w:val="CharSectno"/>
        </w:rPr>
        <w:t>17C</w:t>
      </w:r>
      <w:r>
        <w:rPr>
          <w:spacing w:val="-2"/>
        </w:rPr>
        <w:t>.</w:t>
      </w:r>
      <w:r>
        <w:rPr>
          <w:spacing w:val="-2"/>
        </w:rPr>
        <w:tab/>
      </w:r>
      <w:r>
        <w:t>Percentage of bets to belong to RWWA</w:t>
      </w:r>
      <w:bookmarkEnd w:id="22"/>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r>
      <w:r>
        <w:tab/>
        <w:t>and</w:t>
      </w:r>
    </w:p>
    <w:p>
      <w:pPr>
        <w:pStyle w:val="Indenta"/>
      </w:pPr>
      <w:r>
        <w:tab/>
        <w:t>(b)</w:t>
      </w:r>
      <w:r>
        <w:tab/>
        <w:t>for all win bets that are not pooled, 14.5% of those win bets; and</w:t>
      </w:r>
    </w:p>
    <w:p>
      <w:pPr>
        <w:pStyle w:val="Indenta"/>
      </w:pPr>
      <w:r>
        <w:lastRenderedPageBreak/>
        <w:tab/>
        <w:t>(ba)</w:t>
      </w:r>
      <w:r>
        <w:tab/>
        <w:t>for all place bets that are not pooled, 14.25% of those place bets; and</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Gazette 25 Jun 1996 p. 2976</w:t>
      </w:r>
      <w:r>
        <w:noBreakHyphen/>
        <w:t>7; amended: Gazette 11 Sep 2001 p. 5001; 18 Jan 2002 p. 284; 28 Apr 2006 p. 1659; 21 Jul 2006 p. 2672.]</w:t>
      </w:r>
    </w:p>
    <w:p>
      <w:pPr>
        <w:pStyle w:val="Heading5"/>
      </w:pPr>
      <w:bookmarkStart w:id="23" w:name="_Toc122683338"/>
      <w:r>
        <w:rPr>
          <w:rStyle w:val="CharSectno"/>
        </w:rPr>
        <w:t>17D</w:t>
      </w:r>
      <w:r>
        <w:t>.</w:t>
      </w:r>
      <w:r>
        <w:tab/>
        <w:t>Percentage of bets to belong to racing club</w:t>
      </w:r>
      <w:bookmarkEnd w:id="23"/>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Gazette 25 Jun 1996 p. 2977; amended: Gazette 30 Jan 2004 p. 404.]</w:t>
      </w:r>
    </w:p>
    <w:p>
      <w:pPr>
        <w:pStyle w:val="Heading2"/>
      </w:pPr>
      <w:bookmarkStart w:id="24" w:name="_Toc122078629"/>
      <w:bookmarkStart w:id="25" w:name="_Toc122079105"/>
      <w:bookmarkStart w:id="26" w:name="_Toc122683339"/>
      <w:r>
        <w:rPr>
          <w:rStyle w:val="CharPartNo"/>
        </w:rPr>
        <w:lastRenderedPageBreak/>
        <w:t>Part 3</w:t>
      </w:r>
      <w:r>
        <w:rPr>
          <w:b w:val="0"/>
        </w:rPr>
        <w:t> </w:t>
      </w:r>
      <w:r>
        <w:t>—</w:t>
      </w:r>
      <w:r>
        <w:rPr>
          <w:b w:val="0"/>
        </w:rPr>
        <w:t> </w:t>
      </w:r>
      <w:r>
        <w:rPr>
          <w:rStyle w:val="CharPartText"/>
        </w:rPr>
        <w:t>Provisions relating to bookmakers</w:t>
      </w:r>
      <w:bookmarkEnd w:id="24"/>
      <w:bookmarkEnd w:id="25"/>
      <w:bookmarkEnd w:id="26"/>
    </w:p>
    <w:p>
      <w:pPr>
        <w:pStyle w:val="Footnoteheading"/>
      </w:pPr>
      <w:r>
        <w:tab/>
        <w:t>[Heading inserted: Gazette 21 Jul 2006 p. 2672.]</w:t>
      </w:r>
    </w:p>
    <w:p>
      <w:pPr>
        <w:pStyle w:val="Ednotesection"/>
      </w:pPr>
      <w:r>
        <w:t>[</w:t>
      </w:r>
      <w:r>
        <w:rPr>
          <w:b/>
        </w:rPr>
        <w:t>17E.</w:t>
      </w:r>
      <w:r>
        <w:tab/>
        <w:t>Deleted: Gazette 25 Jan 2019 p. 203.]</w:t>
      </w:r>
    </w:p>
    <w:p>
      <w:pPr>
        <w:pStyle w:val="Heading5"/>
      </w:pPr>
      <w:bookmarkStart w:id="27" w:name="_Toc122683340"/>
      <w:r>
        <w:rPr>
          <w:rStyle w:val="CharSectno"/>
        </w:rPr>
        <w:t>18</w:t>
      </w:r>
      <w:r>
        <w:t>.</w:t>
      </w:r>
      <w:r>
        <w:tab/>
        <w:t>Security to be given</w:t>
      </w:r>
      <w:bookmarkEnd w:id="27"/>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betting on approved events or double event betting, or both.............................................</w:t>
            </w:r>
          </w:p>
        </w:tc>
        <w:tc>
          <w:tcPr>
            <w:tcW w:w="1200" w:type="dxa"/>
          </w:tcPr>
          <w:p>
            <w:pPr>
              <w:pStyle w:val="TableNAm"/>
              <w:ind w:right="57"/>
              <w:jc w:val="right"/>
            </w:pPr>
            <w:r>
              <w:br/>
            </w:r>
            <w:r>
              <w:br/>
              <w:t>$100 000.</w:t>
            </w:r>
          </w:p>
        </w:tc>
      </w:tr>
    </w:tbl>
    <w:p>
      <w:pPr>
        <w:pStyle w:val="Subsection"/>
        <w:keepNext/>
        <w:keepLines/>
      </w:pPr>
      <w:r>
        <w:lastRenderedPageBreak/>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Gazette 24 Jun 1988 p. 2004; 10 Jul 1992 p. 3288</w:t>
      </w:r>
      <w:r>
        <w:noBreakHyphen/>
        <w:t>9; 4 Mar 1997 p. 1396 (as amended: Gazette 24 Jun 1997 p. 3014); 21 Jul 1998 p. 3854; 20 Sep 2002 p. 4699</w:t>
      </w:r>
      <w:r>
        <w:noBreakHyphen/>
        <w:t>700; 17 Dec 2002 p. 5923</w:t>
      </w:r>
      <w:r>
        <w:noBreakHyphen/>
        <w:t>4; 30 Jan 2004 p. 412; 25 Jan 2019 p. 201-2.]</w:t>
      </w:r>
    </w:p>
    <w:p>
      <w:pPr>
        <w:pStyle w:val="Ednotesection"/>
      </w:pPr>
      <w:r>
        <w:t>[</w:t>
      </w:r>
      <w:r>
        <w:rPr>
          <w:b/>
        </w:rPr>
        <w:t>19</w:t>
      </w:r>
      <w:r>
        <w:rPr>
          <w:b/>
        </w:rPr>
        <w:noBreakHyphen/>
        <w:t>24.</w:t>
      </w:r>
      <w:r>
        <w:tab/>
        <w:t>Deleted: Gazette 10 Jul 1992 p. 3289.]</w:t>
      </w:r>
    </w:p>
    <w:p>
      <w:pPr>
        <w:pStyle w:val="Heading5"/>
        <w:rPr>
          <w:snapToGrid w:val="0"/>
        </w:rPr>
      </w:pPr>
      <w:bookmarkStart w:id="28" w:name="_Toc122683341"/>
      <w:r>
        <w:rPr>
          <w:rStyle w:val="CharSectno"/>
        </w:rPr>
        <w:t>25</w:t>
      </w:r>
      <w:r>
        <w:rPr>
          <w:snapToGrid w:val="0"/>
        </w:rPr>
        <w:t>.</w:t>
      </w:r>
      <w:r>
        <w:rPr>
          <w:snapToGrid w:val="0"/>
        </w:rPr>
        <w:tab/>
        <w:t>Register</w:t>
      </w:r>
      <w:bookmarkEnd w:id="28"/>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Gazette 20 Sep 2002 p. 4700; 30 Jan 2004 p. 404.]</w:t>
      </w:r>
    </w:p>
    <w:p>
      <w:pPr>
        <w:pStyle w:val="Ednotesection"/>
      </w:pPr>
      <w:r>
        <w:t>[</w:t>
      </w:r>
      <w:r>
        <w:rPr>
          <w:b/>
        </w:rPr>
        <w:t>26.</w:t>
      </w:r>
      <w:r>
        <w:tab/>
        <w:t>Deleted: Gazette 10 Jul 1992 p. 3289.]</w:t>
      </w:r>
    </w:p>
    <w:p>
      <w:pPr>
        <w:pStyle w:val="Heading5"/>
        <w:rPr>
          <w:snapToGrid w:val="0"/>
        </w:rPr>
      </w:pPr>
      <w:bookmarkStart w:id="29" w:name="_Toc122683342"/>
      <w:r>
        <w:rPr>
          <w:rStyle w:val="CharSectno"/>
        </w:rPr>
        <w:t>27</w:t>
      </w:r>
      <w:r>
        <w:rPr>
          <w:snapToGrid w:val="0"/>
        </w:rPr>
        <w:t>.</w:t>
      </w:r>
      <w:r>
        <w:rPr>
          <w:snapToGrid w:val="0"/>
        </w:rPr>
        <w:tab/>
        <w:t>Change of address</w:t>
      </w:r>
      <w:bookmarkEnd w:id="29"/>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w:t>
      </w:r>
      <w:r>
        <w:lastRenderedPageBreak/>
        <w:t xml:space="preserve">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Gazette 24 Jun 1988 p. 2004; 10 Jul 1992 p. 3286 and 3289; 25 Jun 1996 p. 2977; 20 Sep 2002 p. 4700; 30 Jan 2004 p. 412.]</w:t>
      </w:r>
    </w:p>
    <w:p>
      <w:pPr>
        <w:pStyle w:val="Heading5"/>
        <w:rPr>
          <w:snapToGrid w:val="0"/>
        </w:rPr>
      </w:pPr>
      <w:bookmarkStart w:id="30" w:name="_Toc122683343"/>
      <w:r>
        <w:rPr>
          <w:rStyle w:val="CharSectno"/>
        </w:rPr>
        <w:t>28</w:t>
      </w:r>
      <w:r>
        <w:rPr>
          <w:snapToGrid w:val="0"/>
        </w:rPr>
        <w:t>.</w:t>
      </w:r>
      <w:r>
        <w:rPr>
          <w:snapToGrid w:val="0"/>
        </w:rPr>
        <w:tab/>
        <w:t>Return of licence</w:t>
      </w:r>
      <w:bookmarkEnd w:id="30"/>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Gazette 24 Jun 1988 p. 2004; 10 Jul 1992 p. 3286 and 3289; 20 Sep 2002 p. 4700</w:t>
      </w:r>
      <w:r>
        <w:noBreakHyphen/>
        <w:t>1; 30 Jan 2004 p. 404 and 412.]</w:t>
      </w:r>
    </w:p>
    <w:p>
      <w:pPr>
        <w:pStyle w:val="Heading5"/>
        <w:spacing w:before="180"/>
        <w:rPr>
          <w:snapToGrid w:val="0"/>
        </w:rPr>
      </w:pPr>
      <w:bookmarkStart w:id="31" w:name="_Toc122683344"/>
      <w:r>
        <w:rPr>
          <w:rStyle w:val="CharSectno"/>
        </w:rPr>
        <w:lastRenderedPageBreak/>
        <w:t>29</w:t>
      </w:r>
      <w:r>
        <w:rPr>
          <w:snapToGrid w:val="0"/>
        </w:rPr>
        <w:t>.</w:t>
      </w:r>
      <w:r>
        <w:rPr>
          <w:snapToGrid w:val="0"/>
        </w:rPr>
        <w:tab/>
        <w:t>Production of licence</w:t>
      </w:r>
      <w:bookmarkEnd w:id="31"/>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Gazette 24 Jun 1988 p. 2004; 10 Jul 1992 p. 3286 and 3289; 20 Sep 2002 p. 4701; 30 Jan 2004 p. 405 and 412.]</w:t>
      </w:r>
    </w:p>
    <w:p>
      <w:pPr>
        <w:pStyle w:val="Heading5"/>
        <w:spacing w:before="180"/>
        <w:rPr>
          <w:snapToGrid w:val="0"/>
        </w:rPr>
      </w:pPr>
      <w:bookmarkStart w:id="32" w:name="_Toc122683345"/>
      <w:r>
        <w:rPr>
          <w:rStyle w:val="CharSectno"/>
        </w:rPr>
        <w:t>30</w:t>
      </w:r>
      <w:r>
        <w:rPr>
          <w:snapToGrid w:val="0"/>
        </w:rPr>
        <w:t>.</w:t>
      </w:r>
      <w:r>
        <w:rPr>
          <w:snapToGrid w:val="0"/>
        </w:rPr>
        <w:tab/>
        <w:t>Advertising</w:t>
      </w:r>
      <w:bookmarkEnd w:id="32"/>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Gazette 12 Aug 1983 p. 2918; amended: Gazette 10 Jul 1992 p. 3289; 13 Oct 2000 p. 5726; 20 Sep 2002 p. 4701.]</w:t>
      </w:r>
    </w:p>
    <w:p>
      <w:pPr>
        <w:pStyle w:val="Ednotesection"/>
        <w:spacing w:before="160"/>
        <w:ind w:left="890" w:hanging="890"/>
      </w:pPr>
      <w:r>
        <w:t>[</w:t>
      </w:r>
      <w:r>
        <w:rPr>
          <w:b/>
        </w:rPr>
        <w:t>31</w:t>
      </w:r>
      <w:r>
        <w:rPr>
          <w:b/>
        </w:rPr>
        <w:noBreakHyphen/>
        <w:t>35.</w:t>
      </w:r>
      <w:r>
        <w:tab/>
        <w:t>Deleted: Gazette 10 Jul 1992 p. 3289.]</w:t>
      </w:r>
    </w:p>
    <w:p>
      <w:pPr>
        <w:pStyle w:val="Heading5"/>
        <w:rPr>
          <w:snapToGrid w:val="0"/>
        </w:rPr>
      </w:pPr>
      <w:bookmarkStart w:id="33" w:name="_Toc122683346"/>
      <w:r>
        <w:rPr>
          <w:rStyle w:val="CharSectno"/>
        </w:rPr>
        <w:t>36</w:t>
      </w:r>
      <w:r>
        <w:rPr>
          <w:snapToGrid w:val="0"/>
        </w:rPr>
        <w:t>.</w:t>
      </w:r>
      <w:r>
        <w:rPr>
          <w:snapToGrid w:val="0"/>
        </w:rPr>
        <w:tab/>
        <w:t>Betting tickets</w:t>
      </w:r>
      <w:bookmarkEnd w:id="33"/>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lastRenderedPageBreak/>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 and</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lastRenderedPageBreak/>
        <w:tab/>
        <w:t>(b)</w:t>
      </w:r>
      <w:r>
        <w:tab/>
        <w:t>any offence against this regulation that would otherwise be an offence by the partnership is to be taken to have been committed by each of the partners.</w:t>
      </w:r>
    </w:p>
    <w:p>
      <w:pPr>
        <w:pStyle w:val="Footnotesection"/>
      </w:pPr>
      <w:r>
        <w:tab/>
        <w:t>[Regulation 36 amended: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34" w:name="_Toc122683347"/>
      <w:r>
        <w:rPr>
          <w:rStyle w:val="CharSectno"/>
        </w:rPr>
        <w:t>37</w:t>
      </w:r>
      <w:r>
        <w:rPr>
          <w:snapToGrid w:val="0"/>
        </w:rPr>
        <w:t>.</w:t>
      </w:r>
      <w:r>
        <w:rPr>
          <w:snapToGrid w:val="0"/>
        </w:rPr>
        <w:tab/>
        <w:t>Written record of betting transactions</w:t>
      </w:r>
      <w:bookmarkEnd w:id="34"/>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 xml:space="preserve">the name of the bookmaker; </w:t>
      </w:r>
    </w:p>
    <w:p>
      <w:pPr>
        <w:pStyle w:val="Indenta"/>
        <w:rPr>
          <w:snapToGrid w:val="0"/>
        </w:rPr>
      </w:pPr>
      <w:r>
        <w:rPr>
          <w:snapToGrid w:val="0"/>
        </w:rPr>
        <w:tab/>
        <w:t>(b)</w:t>
      </w:r>
      <w:r>
        <w:rPr>
          <w:snapToGrid w:val="0"/>
        </w:rPr>
        <w:tab/>
        <w:t xml:space="preserve">the name of the racecourse; </w:t>
      </w:r>
    </w:p>
    <w:p>
      <w:pPr>
        <w:pStyle w:val="Indenta"/>
        <w:rPr>
          <w:snapToGrid w:val="0"/>
        </w:rPr>
      </w:pPr>
      <w:r>
        <w:rPr>
          <w:snapToGrid w:val="0"/>
        </w:rPr>
        <w:tab/>
        <w:t>(c)</w:t>
      </w:r>
      <w:r>
        <w:rPr>
          <w:snapToGrid w:val="0"/>
        </w:rPr>
        <w:tab/>
        <w:t xml:space="preserve">the date of the meeting; </w:t>
      </w:r>
    </w:p>
    <w:p>
      <w:pPr>
        <w:pStyle w:val="Indenta"/>
        <w:rPr>
          <w:snapToGrid w:val="0"/>
        </w:rPr>
      </w:pPr>
      <w:r>
        <w:rPr>
          <w:snapToGrid w:val="0"/>
        </w:rPr>
        <w:tab/>
        <w:t>(d)</w:t>
      </w:r>
      <w:r>
        <w:rPr>
          <w:snapToGrid w:val="0"/>
        </w:rPr>
        <w:tab/>
        <w:t xml:space="preserve">where appropriate, the race number; </w:t>
      </w:r>
    </w:p>
    <w:p>
      <w:pPr>
        <w:pStyle w:val="Indenta"/>
        <w:rPr>
          <w:snapToGrid w:val="0"/>
        </w:rPr>
      </w:pPr>
      <w:r>
        <w:rPr>
          <w:snapToGrid w:val="0"/>
        </w:rPr>
        <w:tab/>
        <w:t>(e)</w:t>
      </w:r>
      <w:r>
        <w:rPr>
          <w:snapToGrid w:val="0"/>
        </w:rPr>
        <w:tab/>
        <w:t xml:space="preserve">the number of the betting ticket; </w:t>
      </w:r>
    </w:p>
    <w:p>
      <w:pPr>
        <w:pStyle w:val="Indenta"/>
        <w:rPr>
          <w:snapToGrid w:val="0"/>
        </w:rPr>
      </w:pPr>
      <w:r>
        <w:rPr>
          <w:snapToGrid w:val="0"/>
        </w:rPr>
        <w:tab/>
        <w:t>(f)</w:t>
      </w:r>
      <w:r>
        <w:rPr>
          <w:snapToGrid w:val="0"/>
        </w:rPr>
        <w:tab/>
        <w:t xml:space="preserve">the name of the runner, or the nature of the event or contingency, on which the bet is made; </w:t>
      </w:r>
    </w:p>
    <w:p>
      <w:pPr>
        <w:pStyle w:val="Indenta"/>
        <w:rPr>
          <w:snapToGrid w:val="0"/>
        </w:rPr>
      </w:pPr>
      <w:r>
        <w:rPr>
          <w:snapToGrid w:val="0"/>
        </w:rPr>
        <w:tab/>
        <w:t>(g)</w:t>
      </w:r>
      <w:r>
        <w:rPr>
          <w:snapToGrid w:val="0"/>
        </w:rPr>
        <w:tab/>
        <w:t xml:space="preserve">the kind of bet made, in sufficient detail to identify the bet; </w:t>
      </w:r>
    </w:p>
    <w:p>
      <w:pPr>
        <w:pStyle w:val="Indenta"/>
      </w:pPr>
      <w:r>
        <w:tab/>
        <w:t>(h)</w:t>
      </w:r>
      <w:r>
        <w:tab/>
        <w:t xml:space="preserve">the amount of the bet and the odds at which it was made or the method by which the odds will be calculated (if the odds are not known); </w:t>
      </w:r>
    </w:p>
    <w:p>
      <w:pPr>
        <w:pStyle w:val="Indenta"/>
        <w:rPr>
          <w:snapToGrid w:val="0"/>
        </w:rPr>
      </w:pPr>
      <w:r>
        <w:rPr>
          <w:snapToGrid w:val="0"/>
        </w:rPr>
        <w:tab/>
        <w:t>(j)</w:t>
      </w:r>
      <w:r>
        <w:rPr>
          <w:snapToGrid w:val="0"/>
        </w:rPr>
        <w:tab/>
        <w:t xml:space="preserve">where the bet is not made for cash, the name of the person with whom the bet is made; </w:t>
      </w:r>
    </w:p>
    <w:p>
      <w:pPr>
        <w:pStyle w:val="Indenta"/>
        <w:rPr>
          <w:snapToGrid w:val="0"/>
        </w:rPr>
      </w:pPr>
      <w:r>
        <w:rPr>
          <w:snapToGrid w:val="0"/>
        </w:rPr>
        <w:tab/>
        <w:t>(k)</w:t>
      </w:r>
      <w:r>
        <w:rPr>
          <w:snapToGrid w:val="0"/>
        </w:rPr>
        <w:tab/>
        <w:t xml:space="preserve">where the bet is on </w:t>
      </w:r>
      <w:r>
        <w:t>an approved event</w:t>
      </w:r>
      <w:r>
        <w:rPr>
          <w:snapToGrid w:val="0"/>
        </w:rPr>
        <w:t xml:space="preserve">, such other particulars as are specified in an approval under section 4B approving the conduct of betting; </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keepNext/>
      </w:pPr>
      <w:r>
        <w:lastRenderedPageBreak/>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pPr>
      <w:r>
        <w:tab/>
        <w:t>(3A)</w:t>
      </w:r>
      <w:r>
        <w:tab/>
        <w:t>For the purposes of subregulation (2)(a) if the odds are not known at the time the bet is made, the method by which the odds will be calculated must be recorded.</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keepNext/>
        <w:rPr>
          <w:snapToGrid w:val="0"/>
        </w:rPr>
      </w:pPr>
      <w:r>
        <w:rPr>
          <w:snapToGrid w:val="0"/>
        </w:rPr>
        <w:lastRenderedPageBreak/>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 and</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 and</w:t>
      </w:r>
    </w:p>
    <w:p>
      <w:pPr>
        <w:pStyle w:val="Indenti"/>
        <w:rPr>
          <w:snapToGrid w:val="0"/>
        </w:rPr>
      </w:pPr>
      <w:r>
        <w:rPr>
          <w:snapToGrid w:val="0"/>
        </w:rPr>
        <w:tab/>
        <w:t>(ii)</w:t>
      </w:r>
      <w:r>
        <w:rPr>
          <w:snapToGrid w:val="0"/>
        </w:rPr>
        <w:tab/>
        <w:t>the time or circumstances of the use of; and</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lastRenderedPageBreak/>
        <w:tab/>
        <w:t>[Regulation 37 inserted: Gazette 14 Feb 1992 p. 860</w:t>
      </w:r>
      <w:r>
        <w:noBreakHyphen/>
        <w:t>1; amended: Gazette 25 Jun 1996 p. 2977; 21 Jul 1998 p. 3853 and 3855; 2 Oct 2001 p. 5455; 30 Jan 2004 p. 412; 25 Sep 2009 p. 3752; 29 Nov 2013 p. 5467; 25 Jan 2019 p. 201-2.]</w:t>
      </w:r>
    </w:p>
    <w:p>
      <w:pPr>
        <w:pStyle w:val="Heading5"/>
        <w:rPr>
          <w:snapToGrid w:val="0"/>
        </w:rPr>
      </w:pPr>
      <w:bookmarkStart w:id="35" w:name="_Toc122683348"/>
      <w:r>
        <w:rPr>
          <w:rStyle w:val="CharSectno"/>
        </w:rPr>
        <w:t>38</w:t>
      </w:r>
      <w:r>
        <w:rPr>
          <w:snapToGrid w:val="0"/>
        </w:rPr>
        <w:t>.</w:t>
      </w:r>
      <w:r>
        <w:rPr>
          <w:snapToGrid w:val="0"/>
        </w:rPr>
        <w:tab/>
        <w:t>Supply of books</w:t>
      </w:r>
      <w:bookmarkEnd w:id="35"/>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Gazette 10 Jul 1992 p. 3290; 25 Jun 1996 p. 2977; 30 Jan 2004 p. 412.]</w:t>
      </w:r>
    </w:p>
    <w:p>
      <w:pPr>
        <w:pStyle w:val="Heading5"/>
        <w:rPr>
          <w:snapToGrid w:val="0"/>
        </w:rPr>
      </w:pPr>
      <w:bookmarkStart w:id="36" w:name="_Toc122683349"/>
      <w:r>
        <w:rPr>
          <w:rStyle w:val="CharSectno"/>
        </w:rPr>
        <w:t>39</w:t>
      </w:r>
      <w:r>
        <w:rPr>
          <w:snapToGrid w:val="0"/>
        </w:rPr>
        <w:t>.</w:t>
      </w:r>
      <w:r>
        <w:rPr>
          <w:snapToGrid w:val="0"/>
        </w:rPr>
        <w:tab/>
        <w:t>Loss of books etc.</w:t>
      </w:r>
      <w:bookmarkEnd w:id="36"/>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Gazette 14 Feb 1992 p. 861; 25 Jun 1996 p. 2977; 30 Jan 2004 p. 412.]</w:t>
      </w:r>
    </w:p>
    <w:p>
      <w:pPr>
        <w:pStyle w:val="Ednotesection"/>
        <w:spacing w:before="180"/>
        <w:ind w:left="890" w:hanging="890"/>
      </w:pPr>
      <w:r>
        <w:t>[</w:t>
      </w:r>
      <w:r>
        <w:rPr>
          <w:b/>
        </w:rPr>
        <w:t>40</w:t>
      </w:r>
      <w:r>
        <w:rPr>
          <w:b/>
        </w:rPr>
        <w:noBreakHyphen/>
        <w:t>42.</w:t>
      </w:r>
      <w:r>
        <w:tab/>
        <w:t>Deleted: Gazette 10 Jul 1992 p. 3290.]</w:t>
      </w:r>
    </w:p>
    <w:p>
      <w:pPr>
        <w:pStyle w:val="Heading5"/>
        <w:spacing w:before="180"/>
        <w:rPr>
          <w:snapToGrid w:val="0"/>
        </w:rPr>
      </w:pPr>
      <w:bookmarkStart w:id="37" w:name="_Toc122683350"/>
      <w:r>
        <w:rPr>
          <w:rStyle w:val="CharSectno"/>
        </w:rPr>
        <w:t>43</w:t>
      </w:r>
      <w:r>
        <w:rPr>
          <w:snapToGrid w:val="0"/>
        </w:rPr>
        <w:t>.</w:t>
      </w:r>
      <w:r>
        <w:rPr>
          <w:snapToGrid w:val="0"/>
        </w:rPr>
        <w:tab/>
        <w:t>Betting material</w:t>
      </w:r>
      <w:bookmarkEnd w:id="37"/>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lastRenderedPageBreak/>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Gazette 10 Jul 1992 p. 3290; 20 Sep 2002 p. 4702; 30 Jan 2004 p. 412.]</w:t>
      </w:r>
    </w:p>
    <w:p>
      <w:pPr>
        <w:pStyle w:val="Ednotesection"/>
        <w:spacing w:before="180"/>
      </w:pPr>
      <w:r>
        <w:t>[</w:t>
      </w:r>
      <w:r>
        <w:rPr>
          <w:b/>
        </w:rPr>
        <w:t>44</w:t>
      </w:r>
      <w:r>
        <w:rPr>
          <w:b/>
        </w:rPr>
        <w:noBreakHyphen/>
        <w:t>47.</w:t>
      </w:r>
      <w:r>
        <w:tab/>
        <w:t>Deleted: Gazette 10 Jul 1992 p. 3290.]</w:t>
      </w:r>
    </w:p>
    <w:p>
      <w:pPr>
        <w:pStyle w:val="Heading5"/>
        <w:spacing w:before="180"/>
        <w:rPr>
          <w:snapToGrid w:val="0"/>
        </w:rPr>
      </w:pPr>
      <w:bookmarkStart w:id="38" w:name="_Toc122683351"/>
      <w:r>
        <w:rPr>
          <w:rStyle w:val="CharSectno"/>
        </w:rPr>
        <w:t>48</w:t>
      </w:r>
      <w:r>
        <w:rPr>
          <w:snapToGrid w:val="0"/>
        </w:rPr>
        <w:t>.</w:t>
      </w:r>
      <w:r>
        <w:rPr>
          <w:snapToGrid w:val="0"/>
        </w:rPr>
        <w:tab/>
        <w:t>Rules of Betting</w:t>
      </w:r>
      <w:bookmarkEnd w:id="38"/>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Gazette 30 Jan 2004 p. 405.]</w:t>
      </w:r>
    </w:p>
    <w:p>
      <w:pPr>
        <w:pStyle w:val="Heading5"/>
      </w:pPr>
      <w:bookmarkStart w:id="39" w:name="_Toc122683352"/>
      <w:r>
        <w:rPr>
          <w:rStyle w:val="CharSectno"/>
        </w:rPr>
        <w:t>48A</w:t>
      </w:r>
      <w:r>
        <w:t>.</w:t>
      </w:r>
      <w:r>
        <w:tab/>
        <w:t>Minimum bet obligations</w:t>
      </w:r>
      <w:bookmarkEnd w:id="39"/>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Gazette 30 Jan 2004 p. 405.]</w:t>
      </w:r>
    </w:p>
    <w:p>
      <w:pPr>
        <w:pStyle w:val="Heading5"/>
      </w:pPr>
      <w:bookmarkStart w:id="40" w:name="_Toc122683353"/>
      <w:r>
        <w:rPr>
          <w:rStyle w:val="CharSectno"/>
        </w:rPr>
        <w:t>49</w:t>
      </w:r>
      <w:r>
        <w:t>.</w:t>
      </w:r>
      <w:r>
        <w:tab/>
        <w:t>Bets on more than one result</w:t>
      </w:r>
      <w:bookmarkEnd w:id="40"/>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an approved event an approval under section 4B provides otherwise.</w:t>
      </w:r>
    </w:p>
    <w:p>
      <w:pPr>
        <w:pStyle w:val="Footnotesection"/>
      </w:pPr>
      <w:r>
        <w:tab/>
        <w:t>[Regulation 49 inserted: Gazette 21 Jul 1998 p. 3853; amended: 25 Jan 2019 p. 201-2.]</w:t>
      </w:r>
    </w:p>
    <w:p>
      <w:pPr>
        <w:pStyle w:val="Heading5"/>
      </w:pPr>
      <w:bookmarkStart w:id="41" w:name="_Toc122683354"/>
      <w:r>
        <w:rPr>
          <w:rStyle w:val="CharSectno"/>
        </w:rPr>
        <w:lastRenderedPageBreak/>
        <w:t>50</w:t>
      </w:r>
      <w:r>
        <w:t>.</w:t>
      </w:r>
      <w:r>
        <w:tab/>
        <w:t>Permitted bets</w:t>
      </w:r>
      <w:bookmarkEnd w:id="41"/>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 or</w:t>
      </w:r>
    </w:p>
    <w:p>
      <w:pPr>
        <w:pStyle w:val="Indenta"/>
      </w:pPr>
      <w:r>
        <w:tab/>
        <w:t>(b)</w:t>
      </w:r>
      <w:r>
        <w:tab/>
        <w:t>in the context of an approved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Gazette 21 Jul 1998 p. 3853; amended: Gazette 30 Jan 2004 p. 405; 25 Jan 2019 p. 201-2.]</w:t>
      </w:r>
    </w:p>
    <w:p>
      <w:pPr>
        <w:pStyle w:val="Heading5"/>
        <w:rPr>
          <w:snapToGrid w:val="0"/>
        </w:rPr>
      </w:pPr>
      <w:bookmarkStart w:id="42" w:name="_Toc122683355"/>
      <w:r>
        <w:rPr>
          <w:rStyle w:val="CharSectno"/>
        </w:rPr>
        <w:t>51</w:t>
      </w:r>
      <w:r>
        <w:rPr>
          <w:snapToGrid w:val="0"/>
        </w:rPr>
        <w:t>.</w:t>
      </w:r>
      <w:r>
        <w:rPr>
          <w:snapToGrid w:val="0"/>
        </w:rPr>
        <w:tab/>
        <w:t>Place betting</w:t>
      </w:r>
      <w:bookmarkEnd w:id="42"/>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 or</w:t>
      </w:r>
    </w:p>
    <w:p>
      <w:pPr>
        <w:pStyle w:val="Indenta"/>
        <w:rPr>
          <w:snapToGrid w:val="0"/>
        </w:rPr>
      </w:pPr>
      <w:r>
        <w:rPr>
          <w:snapToGrid w:val="0"/>
        </w:rPr>
        <w:tab/>
        <w:t>(b)</w:t>
      </w:r>
      <w:r>
        <w:rPr>
          <w:snapToGrid w:val="0"/>
        </w:rPr>
        <w:tab/>
        <w:t xml:space="preserve">in the context of </w:t>
      </w:r>
      <w:r>
        <w:t>an approved event</w:t>
      </w:r>
      <w:r>
        <w:rPr>
          <w:snapToGrid w:val="0"/>
        </w:rPr>
        <w:t xml:space="preserve"> an approval under section 4B provides otherwise; or</w:t>
      </w:r>
    </w:p>
    <w:p>
      <w:pPr>
        <w:pStyle w:val="Indenta"/>
        <w:keepNext/>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 xml:space="preserve">Where place betting is permitted a bookmaker who offers odds against a runner, or competitor or contingency in the context of </w:t>
      </w:r>
      <w:r>
        <w:t>an approved event</w:t>
      </w:r>
      <w:r>
        <w:rPr>
          <w:snapToGrid w:val="0"/>
        </w:rPr>
        <w:t xml:space="preserve">, shall, unless the favourite is at “odds on” at the time the bet is laid, accept a win and place bet on that </w:t>
      </w:r>
      <w:r>
        <w:rPr>
          <w:snapToGrid w:val="0"/>
        </w:rPr>
        <w:lastRenderedPageBreak/>
        <w:t xml:space="preserve">runner, or competitor or contingency in the context of </w:t>
      </w:r>
      <w:r>
        <w:t>an approved event</w:t>
      </w:r>
      <w:r>
        <w:rPr>
          <w:snapToGrid w:val="0"/>
        </w:rPr>
        <w:t>, if that bet is demanded by the backer.</w:t>
      </w:r>
    </w:p>
    <w:p>
      <w:pPr>
        <w:pStyle w:val="Penstart"/>
        <w:rPr>
          <w:snapToGrid w:val="0"/>
        </w:rPr>
      </w:pPr>
      <w:r>
        <w:rPr>
          <w:snapToGrid w:val="0"/>
        </w:rPr>
        <w:tab/>
        <w:t>Penalty: $200.</w:t>
      </w:r>
    </w:p>
    <w:p>
      <w:pPr>
        <w:pStyle w:val="Footnotesection"/>
      </w:pPr>
      <w:r>
        <w:tab/>
        <w:t>[Regulation 51 amended: Gazette 24 Jun 1988 p. 2005; 14 Sep 1990 p. 4863; 10 Jul 1992 p. 3291; 21 Jul 1998 p. 3854 and 3855; 20 Sep 2002 p. 4702; 25 Jan 2019 p. 201</w:t>
      </w:r>
      <w:r>
        <w:noBreakHyphen/>
        <w:t>2.]</w:t>
      </w:r>
    </w:p>
    <w:p>
      <w:pPr>
        <w:pStyle w:val="Heading5"/>
        <w:spacing w:before="260"/>
        <w:rPr>
          <w:snapToGrid w:val="0"/>
        </w:rPr>
      </w:pPr>
      <w:bookmarkStart w:id="43" w:name="_Toc122683356"/>
      <w:r>
        <w:rPr>
          <w:rStyle w:val="CharSectno"/>
        </w:rPr>
        <w:t>52</w:t>
      </w:r>
      <w:r>
        <w:rPr>
          <w:snapToGrid w:val="0"/>
        </w:rPr>
        <w:t>.</w:t>
      </w:r>
      <w:r>
        <w:rPr>
          <w:snapToGrid w:val="0"/>
        </w:rPr>
        <w:tab/>
        <w:t>Concession betting</w:t>
      </w:r>
      <w:bookmarkEnd w:id="43"/>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Gazette 24 Jun 1988 p. 2005; 10 Jul 1992 p. 3291.]</w:t>
      </w:r>
    </w:p>
    <w:p>
      <w:pPr>
        <w:pStyle w:val="Heading5"/>
        <w:rPr>
          <w:snapToGrid w:val="0"/>
        </w:rPr>
      </w:pPr>
      <w:bookmarkStart w:id="44" w:name="_Toc122683357"/>
      <w:r>
        <w:rPr>
          <w:rStyle w:val="CharSectno"/>
        </w:rPr>
        <w:t>53</w:t>
      </w:r>
      <w:r>
        <w:rPr>
          <w:snapToGrid w:val="0"/>
        </w:rPr>
        <w:t>.</w:t>
      </w:r>
      <w:r>
        <w:rPr>
          <w:snapToGrid w:val="0"/>
        </w:rPr>
        <w:tab/>
        <w:t>Doubles other than multiple doubles</w:t>
      </w:r>
      <w:bookmarkEnd w:id="44"/>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Gazette 24 Jun 1988 p. 2005; 30 Jan 2004 p. 412.]</w:t>
      </w:r>
    </w:p>
    <w:p>
      <w:pPr>
        <w:pStyle w:val="Heading5"/>
        <w:rPr>
          <w:snapToGrid w:val="0"/>
        </w:rPr>
      </w:pPr>
      <w:bookmarkStart w:id="45" w:name="_Toc122683358"/>
      <w:r>
        <w:rPr>
          <w:rStyle w:val="CharSectno"/>
        </w:rPr>
        <w:t>54</w:t>
      </w:r>
      <w:r>
        <w:rPr>
          <w:snapToGrid w:val="0"/>
        </w:rPr>
        <w:t>.</w:t>
      </w:r>
      <w:r>
        <w:rPr>
          <w:snapToGrid w:val="0"/>
        </w:rPr>
        <w:tab/>
        <w:t>Trebles</w:t>
      </w:r>
      <w:bookmarkEnd w:id="45"/>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Gazette 24 Jun 1988 p. 2005; 30 Jan 2004 p. 412.]</w:t>
      </w:r>
    </w:p>
    <w:p>
      <w:pPr>
        <w:pStyle w:val="Heading5"/>
        <w:spacing w:before="260"/>
        <w:rPr>
          <w:snapToGrid w:val="0"/>
        </w:rPr>
      </w:pPr>
      <w:bookmarkStart w:id="46" w:name="_Toc122683359"/>
      <w:r>
        <w:rPr>
          <w:rStyle w:val="CharSectno"/>
        </w:rPr>
        <w:lastRenderedPageBreak/>
        <w:t>55</w:t>
      </w:r>
      <w:r>
        <w:rPr>
          <w:snapToGrid w:val="0"/>
        </w:rPr>
        <w:t>.</w:t>
      </w:r>
      <w:r>
        <w:rPr>
          <w:snapToGrid w:val="0"/>
        </w:rPr>
        <w:tab/>
        <w:t>All</w:t>
      </w:r>
      <w:r>
        <w:rPr>
          <w:snapToGrid w:val="0"/>
        </w:rPr>
        <w:noBreakHyphen/>
        <w:t>up</w:t>
      </w:r>
      <w:bookmarkEnd w:id="46"/>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Gazette 24 Jun 1988 p. 2005.]</w:t>
      </w:r>
    </w:p>
    <w:p>
      <w:pPr>
        <w:pStyle w:val="Ednotesection"/>
        <w:keepNext/>
        <w:spacing w:before="180"/>
        <w:ind w:left="890" w:hanging="890"/>
      </w:pPr>
      <w:r>
        <w:t>[</w:t>
      </w:r>
      <w:r>
        <w:rPr>
          <w:rStyle w:val="CharSectno"/>
          <w:b/>
        </w:rPr>
        <w:t>56</w:t>
      </w:r>
      <w:r>
        <w:rPr>
          <w:b/>
        </w:rPr>
        <w:t>.</w:t>
      </w:r>
      <w:r>
        <w:tab/>
        <w:t>Deleted: Gazette 13 Oct 2000 p. 5726.]</w:t>
      </w:r>
    </w:p>
    <w:p>
      <w:pPr>
        <w:pStyle w:val="Heading5"/>
        <w:spacing w:before="260"/>
        <w:rPr>
          <w:snapToGrid w:val="0"/>
        </w:rPr>
      </w:pPr>
      <w:bookmarkStart w:id="47" w:name="_Toc122683360"/>
      <w:r>
        <w:rPr>
          <w:rStyle w:val="CharSectno"/>
        </w:rPr>
        <w:t>57</w:t>
      </w:r>
      <w:r>
        <w:rPr>
          <w:snapToGrid w:val="0"/>
        </w:rPr>
        <w:t>.</w:t>
      </w:r>
      <w:r>
        <w:rPr>
          <w:snapToGrid w:val="0"/>
        </w:rPr>
        <w:tab/>
        <w:t>Stand</w:t>
      </w:r>
      <w:bookmarkEnd w:id="47"/>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Gazette 24 Jun 1988 p. 2005; 10 Jul 1992 p. 3291; 21 Jul 1998 p. 3854.]</w:t>
      </w:r>
    </w:p>
    <w:p>
      <w:pPr>
        <w:pStyle w:val="Heading5"/>
        <w:spacing w:before="260"/>
        <w:rPr>
          <w:snapToGrid w:val="0"/>
        </w:rPr>
      </w:pPr>
      <w:bookmarkStart w:id="48" w:name="_Toc122683361"/>
      <w:r>
        <w:rPr>
          <w:rStyle w:val="CharSectno"/>
        </w:rPr>
        <w:t>58</w:t>
      </w:r>
      <w:r>
        <w:rPr>
          <w:snapToGrid w:val="0"/>
        </w:rPr>
        <w:t>.</w:t>
      </w:r>
      <w:r>
        <w:rPr>
          <w:snapToGrid w:val="0"/>
        </w:rPr>
        <w:tab/>
        <w:t>Use of stand</w:t>
      </w:r>
      <w:bookmarkEnd w:id="48"/>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Gazette 24 Jun 1988 p. 2005; 10 Jul 1992 p. 3291; 20 Sep 2002 p. 4702.]</w:t>
      </w:r>
    </w:p>
    <w:p>
      <w:pPr>
        <w:pStyle w:val="Heading5"/>
        <w:keepLines w:val="0"/>
      </w:pPr>
      <w:bookmarkStart w:id="49" w:name="_Toc122683362"/>
      <w:r>
        <w:rPr>
          <w:rStyle w:val="CharSectno"/>
        </w:rPr>
        <w:lastRenderedPageBreak/>
        <w:t>59</w:t>
      </w:r>
      <w:r>
        <w:t>.</w:t>
      </w:r>
      <w:r>
        <w:tab/>
        <w:t>Name of bookmaker to be shown</w:t>
      </w:r>
      <w:bookmarkEnd w:id="49"/>
    </w:p>
    <w:p>
      <w:pPr>
        <w:pStyle w:val="Subsection"/>
        <w:keepNext/>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Gazette 11 Nov 2003 p. 4673</w:t>
      </w:r>
      <w:r>
        <w:noBreakHyphen/>
        <w:t>4; amended: Gazette 30 Jan 2004 p. 405 and 412.]</w:t>
      </w:r>
    </w:p>
    <w:p>
      <w:pPr>
        <w:pStyle w:val="Heading5"/>
        <w:spacing w:before="240"/>
        <w:rPr>
          <w:snapToGrid w:val="0"/>
        </w:rPr>
      </w:pPr>
      <w:bookmarkStart w:id="50" w:name="_Toc122683363"/>
      <w:r>
        <w:rPr>
          <w:rStyle w:val="CharSectno"/>
        </w:rPr>
        <w:t>60</w:t>
      </w:r>
      <w:r>
        <w:rPr>
          <w:snapToGrid w:val="0"/>
        </w:rPr>
        <w:t>.</w:t>
      </w:r>
      <w:r>
        <w:rPr>
          <w:snapToGrid w:val="0"/>
        </w:rPr>
        <w:tab/>
        <w:t>Betting boards etc. to be approved</w:t>
      </w:r>
      <w:bookmarkEnd w:id="50"/>
    </w:p>
    <w:p>
      <w:pPr>
        <w:pStyle w:val="Subsection"/>
        <w:spacing w:before="180"/>
        <w:rPr>
          <w:snapToGrid w:val="0"/>
        </w:rPr>
      </w:pPr>
      <w:r>
        <w:rPr>
          <w:snapToGrid w:val="0"/>
        </w:rPr>
        <w:tab/>
      </w:r>
      <w:r>
        <w:rPr>
          <w:snapToGrid w:val="0"/>
        </w:rPr>
        <w:tab/>
        <w:t xml:space="preserve">No bookmaker carrying on business as a bookmaker at a race meeting shall use or display any betting board, tablet or sign, or display the name of that bookmaker or the names of runners, or in the context of </w:t>
      </w:r>
      <w:r>
        <w:t>an approved event</w:t>
      </w:r>
      <w:r>
        <w:rPr>
          <w:snapToGrid w:val="0"/>
        </w:rPr>
        <w:t xml:space="preserve">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Gazette 24 Jun 1988 p. 2005; 10 Jul 1992 p. 3291; 21 Jul 1998 p. 3856; 25 Jan 2019 p. 201</w:t>
      </w:r>
      <w:r>
        <w:noBreakHyphen/>
        <w:t>2.]</w:t>
      </w:r>
    </w:p>
    <w:p>
      <w:pPr>
        <w:pStyle w:val="Heading5"/>
        <w:spacing w:before="240"/>
        <w:rPr>
          <w:snapToGrid w:val="0"/>
        </w:rPr>
      </w:pPr>
      <w:bookmarkStart w:id="51" w:name="_Toc122683364"/>
      <w:r>
        <w:rPr>
          <w:rStyle w:val="CharSectno"/>
        </w:rPr>
        <w:lastRenderedPageBreak/>
        <w:t>61</w:t>
      </w:r>
      <w:r>
        <w:rPr>
          <w:snapToGrid w:val="0"/>
        </w:rPr>
        <w:t>.</w:t>
      </w:r>
      <w:r>
        <w:rPr>
          <w:snapToGrid w:val="0"/>
        </w:rPr>
        <w:tab/>
        <w:t>Betting boards</w:t>
      </w:r>
      <w:bookmarkEnd w:id="51"/>
    </w:p>
    <w:p>
      <w:pPr>
        <w:pStyle w:val="Subsection"/>
        <w:rPr>
          <w:snapToGrid w:val="0"/>
        </w:rPr>
      </w:pPr>
      <w:r>
        <w:rPr>
          <w:snapToGrid w:val="0"/>
        </w:rPr>
        <w:tab/>
        <w:t>(1)</w:t>
      </w:r>
      <w:r>
        <w:rPr>
          <w:snapToGrid w:val="0"/>
        </w:rPr>
        <w:tab/>
        <w:t xml:space="preserve">A licensed bookmaker who carries on business as a bookmaker at a race meeting shall display a betting board on which is listed the names of the runners in each race in the same order as they appear in the official race book published for that race meeting or in the context of </w:t>
      </w:r>
      <w:r>
        <w:t>an approved event</w:t>
      </w:r>
      <w:r>
        <w:rPr>
          <w:snapToGrid w:val="0"/>
        </w:rPr>
        <w:t xml:space="preserve">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Gazette 24 Jun 1988 p. 2005; 10 Jul 1992 p. 3292; 21 Jul 1998 p. 3855 and 3856; 20 Sep 2002 p. 4703; 30 Jan 2004 p. 405; 25 Jan 2019 p. 201</w:t>
      </w:r>
      <w:r>
        <w:noBreakHyphen/>
        <w:t>2.]</w:t>
      </w:r>
    </w:p>
    <w:p>
      <w:pPr>
        <w:pStyle w:val="Heading5"/>
        <w:rPr>
          <w:snapToGrid w:val="0"/>
        </w:rPr>
      </w:pPr>
      <w:bookmarkStart w:id="52" w:name="_Toc122683365"/>
      <w:r>
        <w:rPr>
          <w:rStyle w:val="CharSectno"/>
        </w:rPr>
        <w:t>62</w:t>
      </w:r>
      <w:r>
        <w:rPr>
          <w:snapToGrid w:val="0"/>
        </w:rPr>
        <w:t>.</w:t>
      </w:r>
      <w:r>
        <w:rPr>
          <w:snapToGrid w:val="0"/>
        </w:rPr>
        <w:tab/>
        <w:t>Omissions from betting board etc.</w:t>
      </w:r>
      <w:bookmarkEnd w:id="52"/>
    </w:p>
    <w:p>
      <w:pPr>
        <w:pStyle w:val="Subsection"/>
        <w:keepNext/>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lastRenderedPageBreak/>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No bookmaker shall bet or offer to bet on any runner, or in the context of </w:t>
      </w:r>
      <w:r>
        <w:t xml:space="preserve">an approved event </w:t>
      </w:r>
      <w:r>
        <w:rPr>
          <w:snapToGrid w:val="0"/>
        </w:rPr>
        <w:t>any competitor or contingency, which is not at that time included in the official list.</w:t>
      </w:r>
    </w:p>
    <w:p>
      <w:pPr>
        <w:pStyle w:val="Footnotesection"/>
      </w:pPr>
      <w:r>
        <w:tab/>
        <w:t>[Regulation 62 amended: Gazette 10 Jul 1992 p. 3292; 21 Jul 1998 p. 3855; 20 Sep 2002 p. 4703; 25 Jan 2019 p. 201</w:t>
      </w:r>
      <w:r>
        <w:noBreakHyphen/>
        <w:t>2.]</w:t>
      </w:r>
    </w:p>
    <w:p>
      <w:pPr>
        <w:pStyle w:val="Heading5"/>
        <w:rPr>
          <w:snapToGrid w:val="0"/>
        </w:rPr>
      </w:pPr>
      <w:bookmarkStart w:id="53" w:name="_Toc122683366"/>
      <w:r>
        <w:rPr>
          <w:rStyle w:val="CharSectno"/>
        </w:rPr>
        <w:t>63</w:t>
      </w:r>
      <w:r>
        <w:rPr>
          <w:snapToGrid w:val="0"/>
        </w:rPr>
        <w:t>.</w:t>
      </w:r>
      <w:r>
        <w:rPr>
          <w:snapToGrid w:val="0"/>
        </w:rPr>
        <w:tab/>
        <w:t>Bets with domestic betting operators and totalisators</w:t>
      </w:r>
      <w:bookmarkEnd w:id="53"/>
    </w:p>
    <w:p>
      <w:pPr>
        <w:pStyle w:val="Subsection"/>
      </w:pPr>
      <w:r>
        <w:tab/>
        <w:t>(1A)</w:t>
      </w:r>
      <w:r>
        <w:tab/>
        <w:t xml:space="preserve">In this regulation — </w:t>
      </w:r>
    </w:p>
    <w:p>
      <w:pPr>
        <w:pStyle w:val="Defstart"/>
      </w:pPr>
      <w:r>
        <w:tab/>
      </w:r>
      <w:r>
        <w:rPr>
          <w:rStyle w:val="CharDefText"/>
        </w:rPr>
        <w:t>totalisator</w:t>
      </w:r>
      <w:r>
        <w:t xml:space="preserve"> includes a totalisator (however described) operated in another State or a Territory.</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 (3)</w:t>
      </w:r>
      <w:r>
        <w:tab/>
        <w:t>deleted]</w:t>
      </w:r>
    </w:p>
    <w:p>
      <w:pPr>
        <w:pStyle w:val="Subsection"/>
        <w:spacing w:before="180"/>
        <w:rPr>
          <w:snapToGrid w:val="0"/>
        </w:rPr>
      </w:pPr>
      <w:r>
        <w:rPr>
          <w:snapToGrid w:val="0"/>
        </w:rPr>
        <w:tab/>
        <w:t>(4)</w:t>
      </w:r>
      <w:r>
        <w:rPr>
          <w:snapToGrid w:val="0"/>
        </w:rPr>
        <w:tab/>
        <w:t>Where a bet is made by or on behalf of a bookmaker with</w:t>
      </w:r>
      <w:r>
        <w:t xml:space="preserve"> a domestic betting operator —</w:t>
      </w:r>
    </w:p>
    <w:p>
      <w:pPr>
        <w:pStyle w:val="Indenta"/>
        <w:rPr>
          <w:snapToGrid w:val="0"/>
        </w:rPr>
      </w:pPr>
      <w:r>
        <w:rPr>
          <w:snapToGrid w:val="0"/>
        </w:rPr>
        <w:tab/>
        <w:t>(a)</w:t>
      </w:r>
      <w:r>
        <w:rPr>
          <w:snapToGrid w:val="0"/>
        </w:rPr>
        <w:tab/>
      </w:r>
      <w:r>
        <w:t>if the domestic betting operator is another bookmaker, the bookmaker receiving</w:t>
      </w:r>
      <w:r>
        <w:rPr>
          <w:snapToGrid w:val="0"/>
        </w:rPr>
        <w:t xml:space="preserve">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 and</w:t>
      </w:r>
    </w:p>
    <w:p>
      <w:pPr>
        <w:pStyle w:val="Indenti"/>
      </w:pPr>
      <w:r>
        <w:lastRenderedPageBreak/>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 xml:space="preserve">Where a bet by way of </w:t>
      </w:r>
      <w:r>
        <w:t>a bet back is</w:t>
      </w:r>
      <w:r>
        <w:rPr>
          <w:snapToGrid w:val="0"/>
        </w:rPr>
        <w:t xml:space="preserve"> made by a bookmaker or by any person on behalf of a bookmaker on any totalisator, the bookmaker who makes the bet or on whose behalf the bet is made shall record the transaction as </w:t>
      </w:r>
      <w:r>
        <w:t>a bet back on</w:t>
      </w:r>
      <w:r>
        <w:rPr>
          <w:snapToGrid w:val="0"/>
        </w:rPr>
        <w:t xml:space="preserve"> the totalisator and shall retain the totalisator ticket or tickets of all losing bets for a period of one month.</w:t>
      </w:r>
    </w:p>
    <w:p>
      <w:pPr>
        <w:pStyle w:val="Subsection"/>
      </w:pPr>
      <w:r>
        <w:tab/>
        <w:t>(6)</w:t>
      </w:r>
      <w:r>
        <w:tab/>
        <w:t xml:space="preserve">A bookmaker who makes a bet back, or on whose behalf a bet back is made, with a domestic betting operator or a totalisator is not permitted to deduct the amount of the bet back from the total of the bets the bookmaker has received — </w:t>
      </w:r>
    </w:p>
    <w:p>
      <w:pPr>
        <w:pStyle w:val="Indenta"/>
      </w:pPr>
      <w:r>
        <w:tab/>
        <w:t>(a)</w:t>
      </w:r>
      <w:r>
        <w:tab/>
        <w:t>for the race, race meeting or approved event to which the bet relates; or</w:t>
      </w:r>
    </w:p>
    <w:p>
      <w:pPr>
        <w:pStyle w:val="Indenta"/>
      </w:pPr>
      <w:r>
        <w:tab/>
        <w:t>(b)</w:t>
      </w:r>
      <w:r>
        <w:tab/>
        <w:t>for any other races, race meetings or approved events in relation to which the bookmaker has accepted bets.</w:t>
      </w:r>
    </w:p>
    <w:p>
      <w:pPr>
        <w:pStyle w:val="Footnotesection"/>
      </w:pPr>
      <w:r>
        <w:tab/>
        <w:t>[Regulation 63 amended: Gazette 24 Jun 1988 p. 2005; 10 Jul 1992 p. 3293; 21 Jul 1998 p. 3855 and 3856; 17 Dec 2002 p. 5924; 14 Jun 2013 p. 2241-2; 25 Jan 2019 p. 201-2.]</w:t>
      </w:r>
    </w:p>
    <w:p>
      <w:pPr>
        <w:pStyle w:val="Heading5"/>
      </w:pPr>
      <w:bookmarkStart w:id="54" w:name="_Toc122683367"/>
      <w:r>
        <w:rPr>
          <w:rStyle w:val="CharSectno"/>
        </w:rPr>
        <w:t>64</w:t>
      </w:r>
      <w:r>
        <w:t>.</w:t>
      </w:r>
      <w:r>
        <w:tab/>
        <w:t>Bet back by means of a betting exchange</w:t>
      </w:r>
      <w:bookmarkEnd w:id="54"/>
    </w:p>
    <w:p>
      <w:pPr>
        <w:pStyle w:val="Subsection"/>
      </w:pPr>
      <w:r>
        <w:tab/>
        <w:t>(1)</w:t>
      </w:r>
      <w:r>
        <w:tab/>
        <w:t>This regulation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bet; and</w:t>
      </w:r>
    </w:p>
    <w:p>
      <w:pPr>
        <w:pStyle w:val="Indenta"/>
      </w:pPr>
      <w:r>
        <w:tab/>
        <w:t>(b)</w:t>
      </w:r>
      <w:r>
        <w:tab/>
        <w:t>the bet as a bet back; and</w:t>
      </w:r>
    </w:p>
    <w:p>
      <w:pPr>
        <w:pStyle w:val="Indenta"/>
      </w:pPr>
      <w:r>
        <w:tab/>
        <w:t>(c)</w:t>
      </w:r>
      <w:r>
        <w:tab/>
        <w:t>the number of the betting ticket.</w:t>
      </w:r>
    </w:p>
    <w:p>
      <w:pPr>
        <w:pStyle w:val="Subsection"/>
        <w:keepNext/>
      </w:pPr>
      <w:r>
        <w:tab/>
        <w:t>(3)</w:t>
      </w:r>
      <w:r>
        <w:tab/>
        <w:t xml:space="preserve">The bookmaker who makes the bet back, or on whose behalf the bet back is made, is not permitted to deduct the amount of the </w:t>
      </w:r>
      <w:r>
        <w:lastRenderedPageBreak/>
        <w:t xml:space="preserve">bet back from the total of the bets the bookmaker has received — </w:t>
      </w:r>
    </w:p>
    <w:p>
      <w:pPr>
        <w:pStyle w:val="Indenta"/>
        <w:spacing w:before="60"/>
      </w:pPr>
      <w:r>
        <w:tab/>
        <w:t>(a)</w:t>
      </w:r>
      <w:r>
        <w:tab/>
        <w:t>for the race, race meeting or approved event to which the bet relates; or</w:t>
      </w:r>
    </w:p>
    <w:p>
      <w:pPr>
        <w:pStyle w:val="Indenta"/>
        <w:spacing w:before="60"/>
      </w:pPr>
      <w:r>
        <w:tab/>
        <w:t>(b)</w:t>
      </w:r>
      <w:r>
        <w:tab/>
        <w:t>for any other races, race meetings or approved events in relation to which the bookmaker has accepted bets.</w:t>
      </w:r>
    </w:p>
    <w:p>
      <w:pPr>
        <w:pStyle w:val="Footnotesection"/>
        <w:spacing w:before="100"/>
      </w:pPr>
      <w:r>
        <w:tab/>
        <w:t>[Regulation 64 inserted: Gazette 14 Jun 2013 p. 2242-3; amended: 25 Jan 2019 p. 201-2.]</w:t>
      </w:r>
    </w:p>
    <w:p>
      <w:pPr>
        <w:pStyle w:val="Ednotesection"/>
        <w:spacing w:before="200"/>
      </w:pPr>
      <w:r>
        <w:t>[</w:t>
      </w:r>
      <w:r>
        <w:rPr>
          <w:b/>
        </w:rPr>
        <w:t>65.</w:t>
      </w:r>
      <w:r>
        <w:tab/>
        <w:t>Deleted: Gazette 13 Oct 2000 p. 5726.]</w:t>
      </w:r>
    </w:p>
    <w:p>
      <w:pPr>
        <w:pStyle w:val="Ednotesection"/>
        <w:spacing w:before="200"/>
      </w:pPr>
      <w:r>
        <w:t>[</w:t>
      </w:r>
      <w:r>
        <w:rPr>
          <w:b/>
        </w:rPr>
        <w:t>66</w:t>
      </w:r>
      <w:r>
        <w:rPr>
          <w:b/>
        </w:rPr>
        <w:noBreakHyphen/>
        <w:t>67.</w:t>
      </w:r>
      <w:r>
        <w:rPr>
          <w:b/>
        </w:rPr>
        <w:tab/>
      </w:r>
      <w:r>
        <w:t>Deleted: Gazette 10 Jul 1992 p. 3293.]</w:t>
      </w:r>
    </w:p>
    <w:p>
      <w:pPr>
        <w:pStyle w:val="Heading5"/>
        <w:spacing w:before="200"/>
        <w:rPr>
          <w:snapToGrid w:val="0"/>
        </w:rPr>
      </w:pPr>
      <w:bookmarkStart w:id="55" w:name="_Toc122683368"/>
      <w:r>
        <w:rPr>
          <w:rStyle w:val="CharSectno"/>
        </w:rPr>
        <w:t>68</w:t>
      </w:r>
      <w:r>
        <w:rPr>
          <w:snapToGrid w:val="0"/>
        </w:rPr>
        <w:t>.</w:t>
      </w:r>
      <w:r>
        <w:rPr>
          <w:snapToGrid w:val="0"/>
        </w:rPr>
        <w:tab/>
        <w:t xml:space="preserve">Cooperation with </w:t>
      </w:r>
      <w:r>
        <w:t>Commission</w:t>
      </w:r>
      <w:r>
        <w:rPr>
          <w:snapToGrid w:val="0"/>
        </w:rPr>
        <w:t xml:space="preserve"> in matters relating to betting disputes</w:t>
      </w:r>
      <w:bookmarkEnd w:id="55"/>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spacing w:before="100"/>
      </w:pPr>
      <w:r>
        <w:tab/>
        <w:t>[Regulation 68 amended: Gazette 30 Jan 2004 p. 405; 1 Jul 2004 p. 2625.]</w:t>
      </w:r>
    </w:p>
    <w:p>
      <w:pPr>
        <w:pStyle w:val="Ednotesection"/>
        <w:spacing w:before="200"/>
      </w:pPr>
      <w:r>
        <w:t>[</w:t>
      </w:r>
      <w:r>
        <w:rPr>
          <w:b/>
        </w:rPr>
        <w:t>69.</w:t>
      </w:r>
      <w:r>
        <w:tab/>
        <w:t>Deleted: Gazette 21 Jul 1998 p. 3854.]</w:t>
      </w:r>
    </w:p>
    <w:p>
      <w:pPr>
        <w:pStyle w:val="Ednotesection"/>
        <w:spacing w:before="200"/>
      </w:pPr>
      <w:r>
        <w:t>[</w:t>
      </w:r>
      <w:r>
        <w:rPr>
          <w:b/>
        </w:rPr>
        <w:t>70.</w:t>
      </w:r>
      <w:r>
        <w:tab/>
        <w:t>Deleted: Gazette 21 Jul 2006 p. 2673.]</w:t>
      </w:r>
    </w:p>
    <w:p>
      <w:pPr>
        <w:pStyle w:val="Heading5"/>
        <w:spacing w:before="200"/>
        <w:rPr>
          <w:snapToGrid w:val="0"/>
        </w:rPr>
      </w:pPr>
      <w:bookmarkStart w:id="56" w:name="_Toc122683369"/>
      <w:r>
        <w:rPr>
          <w:rStyle w:val="CharSectno"/>
        </w:rPr>
        <w:t>71</w:t>
      </w:r>
      <w:r>
        <w:rPr>
          <w:snapToGrid w:val="0"/>
        </w:rPr>
        <w:t>.</w:t>
      </w:r>
      <w:r>
        <w:rPr>
          <w:snapToGrid w:val="0"/>
        </w:rPr>
        <w:tab/>
        <w:t>Telephone betting on approved events</w:t>
      </w:r>
      <w:bookmarkEnd w:id="56"/>
    </w:p>
    <w:p>
      <w:pPr>
        <w:pStyle w:val="Subsection"/>
        <w:spacing w:before="140"/>
        <w:rPr>
          <w:snapToGrid w:val="0"/>
        </w:rPr>
      </w:pPr>
      <w:r>
        <w:rPr>
          <w:snapToGrid w:val="0"/>
        </w:rPr>
        <w:tab/>
        <w:t>(1)</w:t>
      </w:r>
      <w:r>
        <w:rPr>
          <w:snapToGrid w:val="0"/>
        </w:rPr>
        <w:tab/>
        <w:t xml:space="preserve">When betting on </w:t>
      </w:r>
      <w:r>
        <w:t xml:space="preserve">an event, </w:t>
      </w:r>
      <w:r>
        <w:rPr>
          <w:snapToGrid w:val="0"/>
        </w:rPr>
        <w:t xml:space="preserve">or a contingency, is approved under section 4B a licensee who is so authorised by endorsement on the licence may carry on business as a bookmaker by means of </w:t>
      </w:r>
      <w:r>
        <w:rPr>
          <w:snapToGrid w:val="0"/>
        </w:rPr>
        <w:lastRenderedPageBreak/>
        <w:t>on</w:t>
      </w:r>
      <w:r>
        <w:rPr>
          <w:snapToGrid w:val="0"/>
        </w:rPr>
        <w:noBreakHyphen/>
        <w:t xml:space="preserve">course telephone betting in relation to </w:t>
      </w:r>
      <w:r>
        <w:t>that event</w:t>
      </w:r>
      <w:r>
        <w:rPr>
          <w:snapToGrid w:val="0"/>
        </w:rPr>
        <w:t xml:space="preserve"> or contingency —</w:t>
      </w:r>
    </w:p>
    <w:p>
      <w:pPr>
        <w:pStyle w:val="Indenta"/>
        <w:spacing w:before="60"/>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spacing w:before="60"/>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spacing w:before="60"/>
        <w:rPr>
          <w:snapToGrid w:val="0"/>
        </w:rPr>
      </w:pPr>
      <w:r>
        <w:rPr>
          <w:snapToGrid w:val="0"/>
        </w:rPr>
        <w:tab/>
        <w:t>(a)</w:t>
      </w:r>
      <w:r>
        <w:rPr>
          <w:snapToGrid w:val="0"/>
        </w:rPr>
        <w:tab/>
        <w:t>the telephone system to be used shall be of a type approved by the Commission; and</w:t>
      </w:r>
    </w:p>
    <w:p>
      <w:pPr>
        <w:pStyle w:val="Indenta"/>
        <w:spacing w:before="60"/>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spacing w:before="60"/>
        <w:rPr>
          <w:snapToGrid w:val="0"/>
        </w:rPr>
      </w:pPr>
      <w:r>
        <w:rPr>
          <w:snapToGrid w:val="0"/>
        </w:rPr>
        <w:tab/>
        <w:t>(c)</w:t>
      </w:r>
      <w:r>
        <w:rPr>
          <w:snapToGrid w:val="0"/>
        </w:rPr>
        <w:tab/>
        <w:t>consent to the voice logging of the betting transactions is to be obtained from all telephone bettors; and</w:t>
      </w:r>
    </w:p>
    <w:p>
      <w:pPr>
        <w:pStyle w:val="Indenta"/>
        <w:spacing w:before="60"/>
        <w:rPr>
          <w:snapToGrid w:val="0"/>
        </w:rPr>
      </w:pPr>
      <w:r>
        <w:rPr>
          <w:snapToGrid w:val="0"/>
        </w:rPr>
        <w:tab/>
        <w:t>(d)</w:t>
      </w:r>
      <w:r>
        <w:rPr>
          <w:snapToGrid w:val="0"/>
        </w:rPr>
        <w:tab/>
        <w:t>all betting transactions by telephone shall be recorded through the voice logging equipment; and</w:t>
      </w:r>
    </w:p>
    <w:p>
      <w:pPr>
        <w:pStyle w:val="Indenta"/>
        <w:keepNext/>
        <w:keepLines/>
        <w:spacing w:before="60"/>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keepNext/>
        <w:keepLines/>
        <w:spacing w:before="60"/>
        <w:rPr>
          <w:snapToGrid w:val="0"/>
        </w:rPr>
      </w:pPr>
      <w:r>
        <w:rPr>
          <w:snapToGrid w:val="0"/>
        </w:rPr>
        <w:tab/>
        <w:t>(f)</w:t>
      </w:r>
      <w:r>
        <w:rPr>
          <w:snapToGrid w:val="0"/>
        </w:rPr>
        <w:tab/>
        <w:t>tapes, when used to record betting transactions, shall —</w:t>
      </w:r>
    </w:p>
    <w:p>
      <w:pPr>
        <w:pStyle w:val="Indenti"/>
        <w:spacing w:before="60"/>
        <w:rPr>
          <w:snapToGrid w:val="0"/>
        </w:rPr>
      </w:pPr>
      <w:r>
        <w:rPr>
          <w:snapToGrid w:val="0"/>
        </w:rPr>
        <w:tab/>
        <w:t>(i)</w:t>
      </w:r>
      <w:r>
        <w:rPr>
          <w:snapToGrid w:val="0"/>
        </w:rPr>
        <w:tab/>
        <w:t>be held and distributed by stewards; and</w:t>
      </w:r>
    </w:p>
    <w:p>
      <w:pPr>
        <w:pStyle w:val="Indenti"/>
        <w:spacing w:before="60"/>
        <w:rPr>
          <w:snapToGrid w:val="0"/>
        </w:rPr>
      </w:pPr>
      <w:r>
        <w:rPr>
          <w:snapToGrid w:val="0"/>
        </w:rPr>
        <w:tab/>
        <w:t>(ii)</w:t>
      </w:r>
      <w:r>
        <w:rPr>
          <w:snapToGrid w:val="0"/>
        </w:rPr>
        <w:tab/>
        <w:t>at the end of each race meeting, be collected by the Betting Steward, together with the duplicate sports betting sheets; and</w:t>
      </w:r>
    </w:p>
    <w:p>
      <w:pPr>
        <w:pStyle w:val="Indenti"/>
        <w:spacing w:before="60"/>
        <w:rPr>
          <w:snapToGrid w:val="0"/>
        </w:rPr>
      </w:pPr>
      <w:r>
        <w:rPr>
          <w:snapToGrid w:val="0"/>
        </w:rPr>
        <w:tab/>
        <w:t>(iii)</w:t>
      </w:r>
      <w:r>
        <w:rPr>
          <w:snapToGrid w:val="0"/>
        </w:rPr>
        <w:tab/>
        <w:t>be maintained as betting records for inspection or audit by any authorised person;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lastRenderedPageBreak/>
        <w:tab/>
        <w:t>(3)</w:t>
      </w:r>
      <w:r>
        <w:rPr>
          <w:snapToGrid w:val="0"/>
        </w:rPr>
        <w:tab/>
        <w:t xml:space="preserve">The details of all bets received by telephone are to be separately </w:t>
      </w:r>
      <w:r>
        <w:t>recorded.</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Gazette 31 Aug 1993 p. 4677; amended: Gazette 24 Dec 1993 p. 6839; 21 Jul 1998 p. 3854; 20 Sep 2002 p. 4703; 30 Jan 2004 p. 412; 25 Jan 2019 p. 200 and 203.]</w:t>
      </w:r>
    </w:p>
    <w:p>
      <w:pPr>
        <w:pStyle w:val="Heading5"/>
        <w:rPr>
          <w:snapToGrid w:val="0"/>
        </w:rPr>
      </w:pPr>
      <w:bookmarkStart w:id="57" w:name="_Toc122683370"/>
      <w:r>
        <w:rPr>
          <w:rStyle w:val="CharSectno"/>
        </w:rPr>
        <w:t>72</w:t>
      </w:r>
      <w:r>
        <w:rPr>
          <w:snapToGrid w:val="0"/>
        </w:rPr>
        <w:t>.</w:t>
      </w:r>
      <w:r>
        <w:rPr>
          <w:snapToGrid w:val="0"/>
        </w:rPr>
        <w:tab/>
        <w:t>Telephone betting on racing</w:t>
      </w:r>
      <w:bookmarkEnd w:id="57"/>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 and</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rPr>
          <w:snapToGrid w:val="0"/>
        </w:rPr>
      </w:pPr>
      <w:r>
        <w:rPr>
          <w:snapToGrid w:val="0"/>
        </w:rPr>
        <w:tab/>
        <w:t>(c)</w:t>
      </w:r>
      <w:r>
        <w:rPr>
          <w:snapToGrid w:val="0"/>
        </w:rPr>
        <w:tab/>
        <w:t>consent to the voice logging of the betting transactions is to be obtained from all telephone bettors; and</w:t>
      </w:r>
    </w:p>
    <w:p>
      <w:pPr>
        <w:pStyle w:val="Indenta"/>
        <w:rPr>
          <w:snapToGrid w:val="0"/>
        </w:rPr>
      </w:pPr>
      <w:r>
        <w:rPr>
          <w:snapToGrid w:val="0"/>
        </w:rPr>
        <w:lastRenderedPageBreak/>
        <w:tab/>
        <w:t>(d)</w:t>
      </w:r>
      <w:r>
        <w:rPr>
          <w:snapToGrid w:val="0"/>
        </w:rPr>
        <w:tab/>
        <w:t>all betting transactions by telephone shall be recorded through the voice logging equipment; and</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 and</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 xml:space="preserve">The details of all bets received by telephone are to be separately </w:t>
      </w:r>
      <w:r>
        <w:t>recorded.</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Gazette 24 Dec 1993 p. 6839</w:t>
      </w:r>
      <w:r>
        <w:noBreakHyphen/>
        <w:t>40; amended: Gazette 24 Jun 1997 p. 3014; 21 Jul 1998 p. 3854 and 3855; 13 Oct 2000 p. 5727; 20 Sep 2002 p. 4703; 25 Mar 2003 p. 921</w:t>
      </w:r>
      <w:r>
        <w:noBreakHyphen/>
        <w:t>2; 20 Jun 2003 p. 2250; 30 Jan 2004 p. 412; 1 Jul 2004 p. 2625</w:t>
      </w:r>
      <w:r>
        <w:noBreakHyphen/>
        <w:t>6; 25 Jan 2019 p. 203.]</w:t>
      </w:r>
    </w:p>
    <w:p>
      <w:pPr>
        <w:pStyle w:val="Heading5"/>
      </w:pPr>
      <w:bookmarkStart w:id="58" w:name="_Toc122683371"/>
      <w:r>
        <w:rPr>
          <w:rStyle w:val="CharSectno"/>
        </w:rPr>
        <w:t>73</w:t>
      </w:r>
      <w:r>
        <w:t>.</w:t>
      </w:r>
      <w:r>
        <w:tab/>
        <w:t>Credit betting other than by telephone</w:t>
      </w:r>
      <w:bookmarkEnd w:id="58"/>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lastRenderedPageBreak/>
        <w:tab/>
        <w:t>(2)</w:t>
      </w:r>
      <w:r>
        <w:tab/>
        <w:t>Subregulation (1) does not apply to a bet back.</w:t>
      </w:r>
    </w:p>
    <w:p>
      <w:pPr>
        <w:pStyle w:val="PermNoteHeading"/>
      </w:pPr>
      <w:r>
        <w:tab/>
        <w:t>Note:</w:t>
      </w:r>
    </w:p>
    <w:p>
      <w:pPr>
        <w:pStyle w:val="PermNoteText"/>
      </w:pPr>
      <w:r>
        <w:tab/>
      </w:r>
      <w:r>
        <w:tab/>
        <w:t>The requirement to write and deliver to the bettor a betting ticket does not apply to bets made by telephone in accordance with the regulations, see section 31(1)(b)(iii) of the Act.</w:t>
      </w:r>
    </w:p>
    <w:p>
      <w:pPr>
        <w:pStyle w:val="Footnotesection"/>
      </w:pPr>
      <w:r>
        <w:tab/>
        <w:t>[Regulation 73 inserted: Gazette 21 Jul 1998 p. 3854; amended: Gazette 17 Dec 2002 p. 5924; 14 Jun 2013 p. 2243.]</w:t>
      </w:r>
    </w:p>
    <w:p>
      <w:pPr>
        <w:pStyle w:val="Heading5"/>
      </w:pPr>
      <w:bookmarkStart w:id="59" w:name="_Toc122683372"/>
      <w:r>
        <w:rPr>
          <w:rStyle w:val="CharSectno"/>
        </w:rPr>
        <w:t>74</w:t>
      </w:r>
      <w:r>
        <w:t>.</w:t>
      </w:r>
      <w:r>
        <w:tab/>
        <w:t>Internet betting (approved events)</w:t>
      </w:r>
      <w:bookmarkEnd w:id="59"/>
    </w:p>
    <w:p>
      <w:pPr>
        <w:pStyle w:val="Subsection"/>
      </w:pPr>
      <w:r>
        <w:tab/>
      </w:r>
      <w:r>
        <w:tab/>
        <w:t>When betting on an event, or a contingency, is approved under section 4B a licensee who is so authorised by endorsement on the licence may carry on business as a bookmaker by means of on</w:t>
      </w:r>
      <w:r>
        <w:noBreakHyphen/>
        <w:t>course internet betting, in relation to that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spacing w:before="120"/>
      </w:pPr>
      <w:r>
        <w:tab/>
      </w:r>
      <w:r>
        <w:tab/>
        <w:t>and not otherwise.</w:t>
      </w:r>
    </w:p>
    <w:p>
      <w:pPr>
        <w:pStyle w:val="Footnotesection"/>
        <w:keepLines w:val="0"/>
      </w:pPr>
      <w:r>
        <w:tab/>
        <w:t>[Regulation 74 inserted: Gazette 26 Nov 1999 p. 5909; amended: Gazette 30 Jan 2004 p. 412; 25 Jan 2019 p. 200.]</w:t>
      </w:r>
    </w:p>
    <w:p>
      <w:pPr>
        <w:pStyle w:val="Heading5"/>
      </w:pPr>
      <w:bookmarkStart w:id="60" w:name="_Toc122683373"/>
      <w:r>
        <w:rPr>
          <w:rStyle w:val="CharSectno"/>
        </w:rPr>
        <w:t>75</w:t>
      </w:r>
      <w:r>
        <w:t>.</w:t>
      </w:r>
      <w:r>
        <w:tab/>
        <w:t>Internet betting (racing)</w:t>
      </w:r>
      <w:bookmarkEnd w:id="60"/>
    </w:p>
    <w:p>
      <w:pPr>
        <w:pStyle w:val="Subsection"/>
        <w:keepNext/>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lastRenderedPageBreak/>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Gazette 26 Nov 1999 p. 5909</w:t>
      </w:r>
      <w:r>
        <w:noBreakHyphen/>
        <w:t>10; amended: Gazette 20 Sep 2002 p. 4703</w:t>
      </w:r>
      <w:r>
        <w:noBreakHyphen/>
        <w:t>4; 25 Mar 2003 p. 922; 20 Jun 2003 p. 225; 30 Jan 2004 p. 412; 1 Jul 2004 p. 2626.]</w:t>
      </w:r>
    </w:p>
    <w:p>
      <w:pPr>
        <w:pStyle w:val="Heading5"/>
      </w:pPr>
      <w:bookmarkStart w:id="61" w:name="_Toc122683374"/>
      <w:r>
        <w:rPr>
          <w:rStyle w:val="CharSectno"/>
        </w:rPr>
        <w:t>76</w:t>
      </w:r>
      <w:r>
        <w:t>.</w:t>
      </w:r>
      <w:r>
        <w:tab/>
        <w:t>Procedures for internet betting</w:t>
      </w:r>
      <w:bookmarkEnd w:id="61"/>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lastRenderedPageBreak/>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w:t>
      </w:r>
    </w:p>
    <w:p>
      <w:pPr>
        <w:pStyle w:val="Footnotesection"/>
      </w:pPr>
      <w:r>
        <w:tab/>
        <w:t>[Regulation 76 inserted: Gazette 26 Nov 1999 p. 5910; amended: Gazette 30 Jan 2004 p. 406 and 412; 25 Jan 2019 p. 203.]</w:t>
      </w:r>
    </w:p>
    <w:p>
      <w:pPr>
        <w:pStyle w:val="Heading5"/>
      </w:pPr>
      <w:bookmarkStart w:id="62" w:name="_Toc122683375"/>
      <w:r>
        <w:rPr>
          <w:rStyle w:val="CharSectno"/>
        </w:rPr>
        <w:t>77</w:t>
      </w:r>
      <w:r>
        <w:t>.</w:t>
      </w:r>
      <w:r>
        <w:tab/>
        <w:t>Form of search warrant</w:t>
      </w:r>
      <w:bookmarkEnd w:id="62"/>
    </w:p>
    <w:p>
      <w:pPr>
        <w:pStyle w:val="Subsection"/>
      </w:pPr>
      <w:r>
        <w:tab/>
      </w:r>
      <w:r>
        <w:tab/>
        <w:t>A search warrant for the purposes of section 28A of the Act is to be in the form of Form 1 in Schedule 1.</w:t>
      </w:r>
    </w:p>
    <w:p>
      <w:pPr>
        <w:pStyle w:val="Footnotesection"/>
      </w:pPr>
      <w:r>
        <w:tab/>
        <w:t>[Regulation 77 inserted: Gazette 30 Jan 2004 p. 406.]</w:t>
      </w:r>
    </w:p>
    <w:p>
      <w:pPr>
        <w:pStyle w:val="Heading2"/>
      </w:pPr>
      <w:bookmarkStart w:id="63" w:name="_Toc122078666"/>
      <w:bookmarkStart w:id="64" w:name="_Toc122079142"/>
      <w:bookmarkStart w:id="65" w:name="_Toc122683376"/>
      <w:r>
        <w:rPr>
          <w:rStyle w:val="CharPartNo"/>
        </w:rPr>
        <w:lastRenderedPageBreak/>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63"/>
      <w:bookmarkEnd w:id="64"/>
      <w:bookmarkEnd w:id="65"/>
    </w:p>
    <w:p>
      <w:pPr>
        <w:pStyle w:val="Footnoteheading"/>
      </w:pPr>
      <w:r>
        <w:tab/>
        <w:t>[Heading inserted: Gazette 21 Jul 2006 p. 2673.]</w:t>
      </w:r>
    </w:p>
    <w:p>
      <w:pPr>
        <w:pStyle w:val="Heading3"/>
      </w:pPr>
      <w:bookmarkStart w:id="66" w:name="_Toc122078667"/>
      <w:bookmarkStart w:id="67" w:name="_Toc122079143"/>
      <w:bookmarkStart w:id="68" w:name="_Toc122683377"/>
      <w:r>
        <w:rPr>
          <w:rStyle w:val="CharDivNo"/>
        </w:rPr>
        <w:t>Division 1</w:t>
      </w:r>
      <w:r>
        <w:t> — </w:t>
      </w:r>
      <w:r>
        <w:rPr>
          <w:rStyle w:val="CharDivText"/>
        </w:rPr>
        <w:t>Preliminary</w:t>
      </w:r>
      <w:bookmarkEnd w:id="66"/>
      <w:bookmarkEnd w:id="67"/>
      <w:bookmarkEnd w:id="68"/>
    </w:p>
    <w:p>
      <w:pPr>
        <w:pStyle w:val="Footnoteheading"/>
      </w:pPr>
      <w:r>
        <w:tab/>
        <w:t>[Heading inserted: Gazette 21 Jul 2006 p. 2673.]</w:t>
      </w:r>
    </w:p>
    <w:p>
      <w:pPr>
        <w:pStyle w:val="Heading5"/>
      </w:pPr>
      <w:bookmarkStart w:id="69" w:name="_Toc122683378"/>
      <w:r>
        <w:rPr>
          <w:rStyle w:val="CharSectno"/>
        </w:rPr>
        <w:t>78</w:t>
      </w:r>
      <w:r>
        <w:t>.</w:t>
      </w:r>
      <w:r>
        <w:tab/>
        <w:t>Terms used</w:t>
      </w:r>
      <w:bookmarkEnd w:id="69"/>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r>
        <w:tab/>
        <w:t>[Regulation 78 inserted: Gazette 21 Jul 2006 p. 2673</w:t>
      </w:r>
      <w:r>
        <w:noBreakHyphen/>
        <w:t>4.]</w:t>
      </w:r>
    </w:p>
    <w:p>
      <w:pPr>
        <w:pStyle w:val="Heading3"/>
      </w:pPr>
      <w:bookmarkStart w:id="70" w:name="_Toc122078669"/>
      <w:bookmarkStart w:id="71" w:name="_Toc122079145"/>
      <w:bookmarkStart w:id="72" w:name="_Toc122683379"/>
      <w:r>
        <w:rPr>
          <w:rStyle w:val="CharDivNo"/>
        </w:rPr>
        <w:lastRenderedPageBreak/>
        <w:t>Division 2</w:t>
      </w:r>
      <w:r>
        <w:t> — </w:t>
      </w:r>
      <w:r>
        <w:rPr>
          <w:rStyle w:val="CharDivText"/>
        </w:rPr>
        <w:t>Betting with on</w:t>
      </w:r>
      <w:r>
        <w:rPr>
          <w:rStyle w:val="CharDivText"/>
        </w:rPr>
        <w:noBreakHyphen/>
        <w:t>course and local on</w:t>
      </w:r>
      <w:r>
        <w:rPr>
          <w:rStyle w:val="CharDivText"/>
        </w:rPr>
        <w:noBreakHyphen/>
        <w:t>course totalisators</w:t>
      </w:r>
      <w:bookmarkEnd w:id="70"/>
      <w:bookmarkEnd w:id="71"/>
      <w:bookmarkEnd w:id="72"/>
    </w:p>
    <w:p>
      <w:pPr>
        <w:pStyle w:val="Footnoteheading"/>
      </w:pPr>
      <w:r>
        <w:tab/>
        <w:t>[Heading inserted: Gazette 21 Jul 2006 p. 2674.]</w:t>
      </w:r>
    </w:p>
    <w:p>
      <w:pPr>
        <w:pStyle w:val="Heading5"/>
      </w:pPr>
      <w:bookmarkStart w:id="73" w:name="_Toc122683380"/>
      <w:r>
        <w:rPr>
          <w:rStyle w:val="CharSectno"/>
        </w:rPr>
        <w:t>79</w:t>
      </w:r>
      <w:r>
        <w:t>.</w:t>
      </w:r>
      <w:r>
        <w:tab/>
        <w:t>On</w:t>
      </w:r>
      <w:r>
        <w:noBreakHyphen/>
        <w:t>course totalisator bets accepted subject to the rules and these regulations</w:t>
      </w:r>
      <w:bookmarkEnd w:id="73"/>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lastRenderedPageBreak/>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Gazette 21 Jul 2006 p. 2674</w:t>
      </w:r>
      <w:r>
        <w:noBreakHyphen/>
        <w:t>5.]</w:t>
      </w:r>
    </w:p>
    <w:p>
      <w:pPr>
        <w:pStyle w:val="Heading5"/>
      </w:pPr>
      <w:bookmarkStart w:id="74" w:name="_Toc122683381"/>
      <w:r>
        <w:rPr>
          <w:rStyle w:val="CharSectno"/>
        </w:rPr>
        <w:t>80</w:t>
      </w:r>
      <w:r>
        <w:t>.</w:t>
      </w:r>
      <w:r>
        <w:tab/>
        <w:t>Local on</w:t>
      </w:r>
      <w:r>
        <w:noBreakHyphen/>
        <w:t>course totalisator bets accepted subject to the rules and these regulations</w:t>
      </w:r>
      <w:bookmarkEnd w:id="74"/>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r>
        <w:tab/>
        <w:t>[Regulation 80 inserted: Gazette 21 Jul 2006 p. 2675</w:t>
      </w:r>
      <w:r>
        <w:noBreakHyphen/>
        <w:t>6.]</w:t>
      </w:r>
    </w:p>
    <w:p>
      <w:pPr>
        <w:pStyle w:val="Heading5"/>
      </w:pPr>
      <w:bookmarkStart w:id="75" w:name="_Toc122683382"/>
      <w:r>
        <w:rPr>
          <w:rStyle w:val="CharSectno"/>
        </w:rPr>
        <w:t>81</w:t>
      </w:r>
      <w:r>
        <w:t>.</w:t>
      </w:r>
      <w:r>
        <w:tab/>
        <w:t>All bets to be 50 cents or multiples of 50 cents</w:t>
      </w:r>
      <w:bookmarkEnd w:id="75"/>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Ednotesubsection"/>
      </w:pPr>
      <w:r>
        <w:tab/>
        <w:t>[(2)</w:t>
      </w:r>
      <w:r>
        <w:tab/>
        <w:t>deleted]</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r>
        <w:tab/>
        <w:t>[Regulation 81 inserted: Gazette 21 Jul 2006 p. 2676; amended: Gazette 18 Sep 2007 p. 4717; 8 Mar 2016 p. 669.]</w:t>
      </w:r>
    </w:p>
    <w:p>
      <w:pPr>
        <w:pStyle w:val="Heading5"/>
      </w:pPr>
      <w:bookmarkStart w:id="76" w:name="_Toc122683383"/>
      <w:r>
        <w:rPr>
          <w:rStyle w:val="CharSectno"/>
        </w:rPr>
        <w:lastRenderedPageBreak/>
        <w:t>82</w:t>
      </w:r>
      <w:r>
        <w:t>.</w:t>
      </w:r>
      <w:r>
        <w:tab/>
        <w:t>On</w:t>
      </w:r>
      <w:r>
        <w:noBreakHyphen/>
        <w:t>course totalisator dividend as declared</w:t>
      </w:r>
      <w:bookmarkEnd w:id="76"/>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as a dividend somewhere between 50 cents and 55 cents, as determined by RWWA or the organiser of the other totalisator pool.</w:t>
      </w:r>
    </w:p>
    <w:p>
      <w:pPr>
        <w:pStyle w:val="Footnotesection"/>
      </w:pPr>
      <w:r>
        <w:tab/>
        <w:t>[Regulation 82 inserted: Gazette 21 Jul 2006 p. 2676</w:t>
      </w:r>
      <w:r>
        <w:noBreakHyphen/>
        <w:t>7; amended: Gazette 8 Mar 2016 p. 669.]</w:t>
      </w:r>
    </w:p>
    <w:p>
      <w:pPr>
        <w:pStyle w:val="Heading5"/>
      </w:pPr>
      <w:bookmarkStart w:id="77" w:name="_Toc122683384"/>
      <w:r>
        <w:rPr>
          <w:rStyle w:val="CharSectno"/>
        </w:rPr>
        <w:lastRenderedPageBreak/>
        <w:t>83</w:t>
      </w:r>
      <w:r>
        <w:t>.</w:t>
      </w:r>
      <w:r>
        <w:tab/>
        <w:t>Local on</w:t>
      </w:r>
      <w:r>
        <w:noBreakHyphen/>
        <w:t>course totalisator dividend as declared</w:t>
      </w:r>
      <w:bookmarkEnd w:id="77"/>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as a dividend somewhere between 50 cents and 55 cents, as determined by the local on</w:t>
      </w:r>
      <w:r>
        <w:noBreakHyphen/>
        <w:t>course totalisator or the organiser of the other totalisator pool.</w:t>
      </w:r>
    </w:p>
    <w:p>
      <w:pPr>
        <w:pStyle w:val="Footnotesection"/>
      </w:pPr>
      <w:r>
        <w:tab/>
        <w:t>[Regulation 83 inserted: Gazette 21 Jul 2006 p. 2677</w:t>
      </w:r>
      <w:r>
        <w:noBreakHyphen/>
        <w:t>8; amended: Gazette 8 Mar 2016 p. 669.]</w:t>
      </w:r>
    </w:p>
    <w:p>
      <w:pPr>
        <w:pStyle w:val="Heading5"/>
      </w:pPr>
      <w:bookmarkStart w:id="78" w:name="_Toc122683385"/>
      <w:r>
        <w:rPr>
          <w:rStyle w:val="CharSectno"/>
        </w:rPr>
        <w:t>84</w:t>
      </w:r>
      <w:r>
        <w:t>.</w:t>
      </w:r>
      <w:r>
        <w:tab/>
        <w:t>Bets may be refused</w:t>
      </w:r>
      <w:bookmarkEnd w:id="78"/>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lastRenderedPageBreak/>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Racing and Wagering Western Australia Regulations 2003</w:t>
      </w:r>
      <w:r>
        <w:t>, while that notice is in force, must not be accepted.</w:t>
      </w:r>
    </w:p>
    <w:p>
      <w:pPr>
        <w:pStyle w:val="Footnotesection"/>
        <w:spacing w:before="100"/>
      </w:pPr>
      <w:r>
        <w:tab/>
        <w:t>[Regulation 84 inserted: Gazette 21 Jul 2006 p. 2678.]</w:t>
      </w:r>
    </w:p>
    <w:p>
      <w:pPr>
        <w:pStyle w:val="Heading5"/>
      </w:pPr>
      <w:bookmarkStart w:id="79" w:name="_Toc122683386"/>
      <w:r>
        <w:rPr>
          <w:rStyle w:val="CharSectno"/>
        </w:rPr>
        <w:t>85</w:t>
      </w:r>
      <w:r>
        <w:t>.</w:t>
      </w:r>
      <w:r>
        <w:tab/>
        <w:t>Only authorised bets to be accepted</w:t>
      </w:r>
      <w:bookmarkEnd w:id="79"/>
    </w:p>
    <w:p>
      <w:pPr>
        <w:pStyle w:val="Subsection"/>
        <w:spacing w:before="140"/>
      </w:pPr>
      <w:r>
        <w:tab/>
      </w:r>
      <w:r>
        <w:tab/>
        <w:t>Bets with or through an on</w:t>
      </w:r>
      <w:r>
        <w:noBreakHyphen/>
        <w:t>course totalisator or a local on</w:t>
      </w:r>
      <w:r>
        <w:noBreakHyphen/>
        <w:t>course totalisator are to be accepted —</w:t>
      </w:r>
    </w:p>
    <w:p>
      <w:pPr>
        <w:pStyle w:val="Indenta"/>
        <w:spacing w:before="60"/>
      </w:pPr>
      <w:r>
        <w:tab/>
        <w:t>(a)</w:t>
      </w:r>
      <w:r>
        <w:tab/>
        <w:t>subject to these regulations and the rules of wagering; and</w:t>
      </w:r>
    </w:p>
    <w:p>
      <w:pPr>
        <w:pStyle w:val="Indenta"/>
        <w:spacing w:before="60"/>
      </w:pPr>
      <w:r>
        <w:tab/>
        <w:t>(b)</w:t>
      </w:r>
      <w:r>
        <w:tab/>
        <w:t>only in respect of such race meetings or races, or (where applicable) such sporting events, as RWWA authorises in relation to that on</w:t>
      </w:r>
      <w:r>
        <w:noBreakHyphen/>
        <w:t>course totalisator.</w:t>
      </w:r>
    </w:p>
    <w:p>
      <w:pPr>
        <w:pStyle w:val="Footnotesection"/>
        <w:spacing w:before="100"/>
      </w:pPr>
      <w:r>
        <w:tab/>
        <w:t>[Regulation 85 inserted: Gazette 21 Jul 2006 p. 2678</w:t>
      </w:r>
      <w:r>
        <w:noBreakHyphen/>
        <w:t>9.]</w:t>
      </w:r>
    </w:p>
    <w:p>
      <w:pPr>
        <w:pStyle w:val="Heading5"/>
        <w:spacing w:before="200"/>
      </w:pPr>
      <w:bookmarkStart w:id="80" w:name="_Toc122683387"/>
      <w:r>
        <w:rPr>
          <w:rStyle w:val="CharSectno"/>
        </w:rPr>
        <w:t>86</w:t>
      </w:r>
      <w:r>
        <w:t>.</w:t>
      </w:r>
      <w:r>
        <w:tab/>
        <w:t>Hours for opening</w:t>
      </w:r>
      <w:bookmarkEnd w:id="80"/>
    </w:p>
    <w:p>
      <w:pPr>
        <w:pStyle w:val="Subsection"/>
        <w:spacing w:before="140"/>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spacing w:before="140"/>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spacing w:before="140"/>
      </w:pPr>
      <w:r>
        <w:tab/>
        <w:t>(3)</w:t>
      </w:r>
      <w:r>
        <w:tab/>
        <w:t>A local on</w:t>
      </w:r>
      <w:r>
        <w:noBreakHyphen/>
        <w:t>course totalisator may at any time close that totalisator and decline to accepts bets or bets of a particular kind.</w:t>
      </w:r>
    </w:p>
    <w:p>
      <w:pPr>
        <w:pStyle w:val="Footnotesection"/>
        <w:spacing w:before="100"/>
      </w:pPr>
      <w:r>
        <w:tab/>
        <w:t>[Regulation 86 inserted: Gazette 21 Jul 2006 p. 2679.]</w:t>
      </w:r>
    </w:p>
    <w:p>
      <w:pPr>
        <w:pStyle w:val="Heading5"/>
        <w:spacing w:before="200"/>
      </w:pPr>
      <w:bookmarkStart w:id="81" w:name="_Toc122683388"/>
      <w:r>
        <w:rPr>
          <w:rStyle w:val="CharSectno"/>
        </w:rPr>
        <w:lastRenderedPageBreak/>
        <w:t>87</w:t>
      </w:r>
      <w:r>
        <w:t>.</w:t>
      </w:r>
      <w:r>
        <w:tab/>
        <w:t>Bets may be made by various methods</w:t>
      </w:r>
      <w:bookmarkEnd w:id="81"/>
    </w:p>
    <w:p>
      <w:pPr>
        <w:pStyle w:val="Subsection"/>
        <w:spacing w:before="140"/>
      </w:pPr>
      <w:r>
        <w:tab/>
        <w:t>(1)</w:t>
      </w:r>
      <w:r>
        <w:tab/>
        <w:t>Subject to these regulations and the rules of wagering, bets with or through an on</w:t>
      </w:r>
      <w:r>
        <w:noBreakHyphen/>
        <w:t>course totalisator will be accepted from a person at that totalisator —</w:t>
      </w:r>
    </w:p>
    <w:p>
      <w:pPr>
        <w:pStyle w:val="Indenta"/>
        <w:spacing w:before="60"/>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r>
        <w:tab/>
        <w:t>[Regulation 87 inserted: Gazette 21 Jul 2006 p. 2679</w:t>
      </w:r>
      <w:r>
        <w:noBreakHyphen/>
        <w:t>80.]</w:t>
      </w:r>
    </w:p>
    <w:p>
      <w:pPr>
        <w:pStyle w:val="Heading5"/>
      </w:pPr>
      <w:bookmarkStart w:id="82" w:name="_Toc122683389"/>
      <w:r>
        <w:rPr>
          <w:rStyle w:val="CharSectno"/>
        </w:rPr>
        <w:t>88</w:t>
      </w:r>
      <w:r>
        <w:t>.</w:t>
      </w:r>
      <w:r>
        <w:tab/>
        <w:t>On</w:t>
      </w:r>
      <w:r>
        <w:noBreakHyphen/>
        <w:t>course totalisator bets to be properly marked</w:t>
      </w:r>
      <w:bookmarkEnd w:id="82"/>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lastRenderedPageBreak/>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Gazette 21 Jul 2006 p. 2680.]</w:t>
      </w:r>
    </w:p>
    <w:p>
      <w:pPr>
        <w:pStyle w:val="Heading5"/>
        <w:spacing w:before="180"/>
      </w:pPr>
      <w:bookmarkStart w:id="83" w:name="_Toc122683390"/>
      <w:r>
        <w:rPr>
          <w:rStyle w:val="CharSectno"/>
        </w:rPr>
        <w:t>89</w:t>
      </w:r>
      <w:r>
        <w:t>.</w:t>
      </w:r>
      <w:r>
        <w:tab/>
        <w:t>Local on</w:t>
      </w:r>
      <w:r>
        <w:noBreakHyphen/>
        <w:t>course totalisator bets to be properly marked</w:t>
      </w:r>
      <w:bookmarkEnd w:id="83"/>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r>
        <w:tab/>
        <w:t>[Regulation 89 inserted: Gazette 21 Jul 2006 p. 2681.]</w:t>
      </w:r>
    </w:p>
    <w:p>
      <w:pPr>
        <w:pStyle w:val="Heading5"/>
        <w:spacing w:before="180"/>
      </w:pPr>
      <w:bookmarkStart w:id="84" w:name="_Toc122683391"/>
      <w:r>
        <w:rPr>
          <w:rStyle w:val="CharSectno"/>
        </w:rPr>
        <w:t>90</w:t>
      </w:r>
      <w:r>
        <w:t>.</w:t>
      </w:r>
      <w:r>
        <w:tab/>
        <w:t>Tickets to be properly marked</w:t>
      </w:r>
      <w:bookmarkEnd w:id="84"/>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lastRenderedPageBreak/>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Gazette 21 Jul 2006 p. 2681</w:t>
      </w:r>
      <w:r>
        <w:noBreakHyphen/>
        <w:t>2; amended: Gazette 18 Sep 2007 p. 4717</w:t>
      </w:r>
      <w:r>
        <w:noBreakHyphen/>
        <w:t>18.]</w:t>
      </w:r>
    </w:p>
    <w:p>
      <w:pPr>
        <w:pStyle w:val="Heading5"/>
        <w:spacing w:before="180"/>
      </w:pPr>
      <w:bookmarkStart w:id="85" w:name="_Toc122683392"/>
      <w:r>
        <w:rPr>
          <w:rStyle w:val="CharSectno"/>
        </w:rPr>
        <w:t>91</w:t>
      </w:r>
      <w:r>
        <w:t>.</w:t>
      </w:r>
      <w:r>
        <w:tab/>
        <w:t>Host racing club to exhibit notices at on</w:t>
      </w:r>
      <w:r>
        <w:noBreakHyphen/>
        <w:t>course totalisator and local on</w:t>
      </w:r>
      <w:r>
        <w:noBreakHyphen/>
        <w:t>course totalisator</w:t>
      </w:r>
      <w:bookmarkEnd w:id="85"/>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lastRenderedPageBreak/>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r>
        <w:tab/>
        <w:t>[Regulation 91 inserted: Gazette 21 Jul 2006 p. 2682.]</w:t>
      </w:r>
    </w:p>
    <w:p>
      <w:pPr>
        <w:pStyle w:val="Heading5"/>
      </w:pPr>
      <w:bookmarkStart w:id="86" w:name="_Toc122683393"/>
      <w:r>
        <w:rPr>
          <w:rStyle w:val="CharSectno"/>
        </w:rPr>
        <w:t>92</w:t>
      </w:r>
      <w:r>
        <w:t>.</w:t>
      </w:r>
      <w:r>
        <w:tab/>
        <w:t>Correction of errors and omissions and the giving of certain refunds</w:t>
      </w:r>
      <w:bookmarkEnd w:id="86"/>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lastRenderedPageBreak/>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 xml:space="preserve">When a ticket is presented for the payment of a dividend or refund or for the purpose of correcting an alleged error, if the ticket has been altered, mutilated or defaced, the relevant totalisator may reject the ticket and the person to whom the </w:t>
      </w:r>
      <w:r>
        <w:lastRenderedPageBreak/>
        <w:t>ticket belongs is not entitled to any dividend or refund in relation to that ticket.</w:t>
      </w:r>
    </w:p>
    <w:p>
      <w:pPr>
        <w:pStyle w:val="Footnotesection"/>
      </w:pPr>
      <w:r>
        <w:tab/>
        <w:t>[Regulation 92 inserted: Gazette 21 Jul 2006 p. 2683</w:t>
      </w:r>
      <w:r>
        <w:noBreakHyphen/>
        <w:t>4; amended: Gazette 10 Oct 2006 p. 4392.]</w:t>
      </w:r>
    </w:p>
    <w:p>
      <w:pPr>
        <w:pStyle w:val="Heading5"/>
      </w:pPr>
      <w:bookmarkStart w:id="87" w:name="_Toc122683394"/>
      <w:r>
        <w:rPr>
          <w:rStyle w:val="CharSectno"/>
        </w:rPr>
        <w:t>93</w:t>
      </w:r>
      <w:r>
        <w:t>.</w:t>
      </w:r>
      <w:r>
        <w:tab/>
        <w:t>Time for payment of dividends or refunds for cash bets</w:t>
      </w:r>
      <w:bookmarkEnd w:id="87"/>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r>
        <w:tab/>
        <w:t>[Regulation 93 inserted: Gazette 21 Jul 2006 p. 2684</w:t>
      </w:r>
      <w:r>
        <w:noBreakHyphen/>
        <w:t>5.]</w:t>
      </w:r>
    </w:p>
    <w:p>
      <w:pPr>
        <w:pStyle w:val="Heading5"/>
      </w:pPr>
      <w:bookmarkStart w:id="88" w:name="_Toc122683395"/>
      <w:r>
        <w:rPr>
          <w:rStyle w:val="CharSectno"/>
        </w:rPr>
        <w:t>94</w:t>
      </w:r>
      <w:r>
        <w:t>.</w:t>
      </w:r>
      <w:r>
        <w:tab/>
        <w:t>Presentation of tickets or claims</w:t>
      </w:r>
      <w:bookmarkEnd w:id="88"/>
    </w:p>
    <w:p>
      <w:pPr>
        <w:pStyle w:val="Subsection"/>
      </w:pPr>
      <w:r>
        <w:tab/>
        <w:t>(1)</w:t>
      </w:r>
      <w:r>
        <w:tab/>
        <w:t>Subject to subregulations (2) and (6), a dividend or refund in respect of a bet, other than a bet against a RWWA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lastRenderedPageBreak/>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r>
        <w:tab/>
        <w:t>[Regulation 94 inserted: Gazette 21 Jul 2006 p. 2685</w:t>
      </w:r>
      <w:r>
        <w:noBreakHyphen/>
        <w:t>6; amended: SL 2021/193 r. 5.]</w:t>
      </w:r>
    </w:p>
    <w:p>
      <w:pPr>
        <w:pStyle w:val="Heading5"/>
      </w:pPr>
      <w:bookmarkStart w:id="89" w:name="_Toc122683396"/>
      <w:r>
        <w:rPr>
          <w:rStyle w:val="CharSectno"/>
        </w:rPr>
        <w:t>95</w:t>
      </w:r>
      <w:r>
        <w:t>.</w:t>
      </w:r>
      <w:r>
        <w:tab/>
        <w:t>When refunds of bets are payable</w:t>
      </w:r>
      <w:bookmarkEnd w:id="89"/>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 xml:space="preserve">starter, a person </w:t>
      </w:r>
      <w:r>
        <w:lastRenderedPageBreak/>
        <w:t>who placed a bet on (or involving) that runner is entitled to a refund of that bet.</w:t>
      </w:r>
    </w:p>
    <w:p>
      <w:pPr>
        <w:pStyle w:val="Subsection"/>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 xml:space="preserve">course totalisator in other circumstances </w:t>
      </w:r>
      <w:r>
        <w:lastRenderedPageBreak/>
        <w:t>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Gazette 21 Jul 2006 p. 2686</w:t>
      </w:r>
      <w:r>
        <w:noBreakHyphen/>
        <w:t>8.]</w:t>
      </w:r>
    </w:p>
    <w:p>
      <w:pPr>
        <w:pStyle w:val="Heading3"/>
      </w:pPr>
      <w:bookmarkStart w:id="90" w:name="_Toc122078687"/>
      <w:bookmarkStart w:id="91" w:name="_Toc122079163"/>
      <w:bookmarkStart w:id="92" w:name="_Toc122683397"/>
      <w:r>
        <w:rPr>
          <w:rStyle w:val="CharDivNo"/>
        </w:rPr>
        <w:t>Division 3</w:t>
      </w:r>
      <w:r>
        <w:t> — </w:t>
      </w:r>
      <w:r>
        <w:rPr>
          <w:rStyle w:val="CharDivText"/>
        </w:rPr>
        <w:t>Miscellaneous discipline and offence provisions</w:t>
      </w:r>
      <w:bookmarkEnd w:id="90"/>
      <w:bookmarkEnd w:id="91"/>
      <w:bookmarkEnd w:id="92"/>
    </w:p>
    <w:p>
      <w:pPr>
        <w:pStyle w:val="Footnoteheading"/>
        <w:spacing w:before="100"/>
      </w:pPr>
      <w:r>
        <w:tab/>
        <w:t>[Heading inserted: Gazette 21 Jul 2006 p. 2688.]</w:t>
      </w:r>
    </w:p>
    <w:p>
      <w:pPr>
        <w:pStyle w:val="Heading5"/>
      </w:pPr>
      <w:bookmarkStart w:id="93" w:name="_Toc122683398"/>
      <w:r>
        <w:rPr>
          <w:rStyle w:val="CharSectno"/>
        </w:rPr>
        <w:t>96</w:t>
      </w:r>
      <w:r>
        <w:t>.</w:t>
      </w:r>
      <w:r>
        <w:tab/>
        <w:t>Person making bet bound by these regulations, the rules of wagering and instructions</w:t>
      </w:r>
      <w:bookmarkEnd w:id="93"/>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Gazette 21 Jul 2006 p. 2688.]</w:t>
      </w:r>
    </w:p>
    <w:p>
      <w:pPr>
        <w:pStyle w:val="Heading5"/>
      </w:pPr>
      <w:bookmarkStart w:id="94" w:name="_Toc122683399"/>
      <w:r>
        <w:rPr>
          <w:rStyle w:val="CharSectno"/>
        </w:rPr>
        <w:t>97</w:t>
      </w:r>
      <w:r>
        <w:t>.</w:t>
      </w:r>
      <w:r>
        <w:tab/>
        <w:t>Offences relating to making and accepting wagers</w:t>
      </w:r>
      <w:bookmarkEnd w:id="94"/>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lastRenderedPageBreak/>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Gazette 21 Jul 2006 p. 2688</w:t>
      </w:r>
      <w:r>
        <w:noBreakHyphen/>
        <w:t>9.]</w:t>
      </w:r>
    </w:p>
    <w:p>
      <w:pPr>
        <w:pStyle w:val="Heading2"/>
      </w:pPr>
      <w:bookmarkStart w:id="95" w:name="_Toc122078690"/>
      <w:bookmarkStart w:id="96" w:name="_Toc122079166"/>
      <w:bookmarkStart w:id="97" w:name="_Toc122683400"/>
      <w:r>
        <w:rPr>
          <w:rStyle w:val="CharPartNo"/>
        </w:rPr>
        <w:lastRenderedPageBreak/>
        <w:t>Part 5</w:t>
      </w:r>
      <w:r>
        <w:rPr>
          <w:rStyle w:val="CharDivNo"/>
        </w:rPr>
        <w:t> </w:t>
      </w:r>
      <w:r>
        <w:t>—</w:t>
      </w:r>
      <w:r>
        <w:rPr>
          <w:rStyle w:val="CharDivText"/>
        </w:rPr>
        <w:t> </w:t>
      </w:r>
      <w:r>
        <w:rPr>
          <w:rStyle w:val="CharPartText"/>
        </w:rPr>
        <w:t>Approval to publish or make available WA race fields</w:t>
      </w:r>
      <w:bookmarkEnd w:id="95"/>
      <w:bookmarkEnd w:id="96"/>
      <w:bookmarkEnd w:id="97"/>
    </w:p>
    <w:p>
      <w:pPr>
        <w:pStyle w:val="Footnoteheading"/>
      </w:pPr>
      <w:r>
        <w:tab/>
        <w:t>[Heading inserted: Gazette 22 Jun 2007 p. 2863.]</w:t>
      </w:r>
    </w:p>
    <w:p>
      <w:pPr>
        <w:pStyle w:val="Heading5"/>
      </w:pPr>
      <w:bookmarkStart w:id="98" w:name="_Toc122683401"/>
      <w:r>
        <w:rPr>
          <w:rStyle w:val="CharSectno"/>
        </w:rPr>
        <w:t>98</w:t>
      </w:r>
      <w:r>
        <w:t>.</w:t>
      </w:r>
      <w:r>
        <w:tab/>
        <w:t>Terms used</w:t>
      </w:r>
      <w:bookmarkEnd w:id="98"/>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Australia;</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Gazette 8 Jan 2010 p. 20.]</w:t>
      </w:r>
    </w:p>
    <w:p>
      <w:pPr>
        <w:pStyle w:val="Heading5"/>
      </w:pPr>
      <w:bookmarkStart w:id="99" w:name="_Toc122683402"/>
      <w:r>
        <w:rPr>
          <w:rStyle w:val="CharSectno"/>
        </w:rPr>
        <w:t>99</w:t>
      </w:r>
      <w:r>
        <w:t>.</w:t>
      </w:r>
      <w:r>
        <w:tab/>
        <w:t>Prescribed criteria: section 27D(5)</w:t>
      </w:r>
      <w:bookmarkEnd w:id="99"/>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keepNext/>
      </w:pPr>
      <w:r>
        <w:lastRenderedPageBreak/>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Gazette 8 Jan 2010 p. 20-1.]</w:t>
      </w:r>
    </w:p>
    <w:p>
      <w:pPr>
        <w:pStyle w:val="Heading5"/>
        <w:pageBreakBefore/>
        <w:spacing w:before="0"/>
      </w:pPr>
      <w:bookmarkStart w:id="100" w:name="_Toc122683403"/>
      <w:r>
        <w:rPr>
          <w:rStyle w:val="CharSectno"/>
        </w:rPr>
        <w:lastRenderedPageBreak/>
        <w:t>100</w:t>
      </w:r>
      <w:r>
        <w:t>.</w:t>
      </w:r>
      <w:r>
        <w:tab/>
        <w:t>Application for approval</w:t>
      </w:r>
      <w:bookmarkEnd w:id="100"/>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Gazette 22 Jun 2007 p. 2865; amended: Gazette 8 Jan 2010 p. 21.]</w:t>
      </w:r>
    </w:p>
    <w:p>
      <w:pPr>
        <w:pStyle w:val="Heading2"/>
      </w:pPr>
      <w:bookmarkStart w:id="101" w:name="_Toc122078694"/>
      <w:bookmarkStart w:id="102" w:name="_Toc122079170"/>
      <w:bookmarkStart w:id="103" w:name="_Toc122683404"/>
      <w:r>
        <w:rPr>
          <w:rStyle w:val="CharPartNo"/>
        </w:rPr>
        <w:lastRenderedPageBreak/>
        <w:t>Part 6</w:t>
      </w:r>
      <w:r>
        <w:rPr>
          <w:b w:val="0"/>
        </w:rPr>
        <w:t> </w:t>
      </w:r>
      <w:r>
        <w:t>—</w:t>
      </w:r>
      <w:r>
        <w:rPr>
          <w:b w:val="0"/>
        </w:rPr>
        <w:t> </w:t>
      </w:r>
      <w:r>
        <w:rPr>
          <w:rStyle w:val="CharPartText"/>
        </w:rPr>
        <w:t>Racing bets levy</w:t>
      </w:r>
      <w:bookmarkEnd w:id="101"/>
      <w:bookmarkEnd w:id="102"/>
      <w:bookmarkEnd w:id="103"/>
    </w:p>
    <w:p>
      <w:pPr>
        <w:pStyle w:val="Footnoteheading"/>
        <w:spacing w:before="100"/>
      </w:pPr>
      <w:r>
        <w:tab/>
        <w:t>[Heading inserted: Gazette 8 Jan 2010 p. 22.]</w:t>
      </w:r>
    </w:p>
    <w:p>
      <w:pPr>
        <w:pStyle w:val="Heading5"/>
        <w:spacing w:before="200"/>
      </w:pPr>
      <w:bookmarkStart w:id="104" w:name="_Toc122683405"/>
      <w:r>
        <w:rPr>
          <w:rStyle w:val="CharSectno"/>
        </w:rPr>
        <w:t>101</w:t>
      </w:r>
      <w:r>
        <w:t>.</w:t>
      </w:r>
      <w:r>
        <w:tab/>
        <w:t>Term used: approved offshore betting operator</w:t>
      </w:r>
      <w:bookmarkEnd w:id="104"/>
    </w:p>
    <w:p>
      <w:pPr>
        <w:pStyle w:val="Subsection"/>
        <w:spacing w:before="140"/>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spacing w:before="100"/>
      </w:pPr>
      <w:r>
        <w:tab/>
        <w:t>[Regulation 101 inserted: Gazette 8 Jan 2010 p. 22.]</w:t>
      </w:r>
    </w:p>
    <w:p>
      <w:pPr>
        <w:pStyle w:val="Heading5"/>
        <w:spacing w:before="200"/>
      </w:pPr>
      <w:bookmarkStart w:id="105" w:name="_Toc122683406"/>
      <w:r>
        <w:rPr>
          <w:rStyle w:val="CharSectno"/>
        </w:rPr>
        <w:t>102</w:t>
      </w:r>
      <w:r>
        <w:t>.</w:t>
      </w:r>
      <w:r>
        <w:tab/>
        <w:t>Prescribed period: section 14A(2)(a)</w:t>
      </w:r>
      <w:bookmarkEnd w:id="105"/>
    </w:p>
    <w:p>
      <w:pPr>
        <w:pStyle w:val="Subsection"/>
        <w:spacing w:before="140"/>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spacing w:before="140"/>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spacing w:before="100"/>
      </w:pPr>
      <w:r>
        <w:tab/>
        <w:t>[Regulation 102 inserted: Gazette 8 Jan 2010 p. 22.]</w:t>
      </w:r>
    </w:p>
    <w:p>
      <w:pPr>
        <w:pStyle w:val="Heading5"/>
        <w:spacing w:before="200"/>
      </w:pPr>
      <w:bookmarkStart w:id="106" w:name="_Toc122683407"/>
      <w:r>
        <w:rPr>
          <w:rStyle w:val="CharSectno"/>
        </w:rPr>
        <w:t>103</w:t>
      </w:r>
      <w:r>
        <w:t>.</w:t>
      </w:r>
      <w:r>
        <w:tab/>
        <w:t>Information prescribed: section 27D(4A)(a)</w:t>
      </w:r>
      <w:bookmarkEnd w:id="106"/>
    </w:p>
    <w:p>
      <w:pPr>
        <w:pStyle w:val="Subsection"/>
        <w:spacing w:before="140"/>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spacing w:before="100"/>
      </w:pPr>
      <w:r>
        <w:tab/>
        <w:t>[Regulation 103 inserted: Gazette 8 Jan 2010 p. 22.]</w:t>
      </w:r>
    </w:p>
    <w:p>
      <w:pPr>
        <w:pStyle w:val="Heading5"/>
        <w:spacing w:before="200"/>
      </w:pPr>
      <w:bookmarkStart w:id="107" w:name="_Toc122683408"/>
      <w:r>
        <w:rPr>
          <w:rStyle w:val="CharSectno"/>
        </w:rPr>
        <w:t>104</w:t>
      </w:r>
      <w:r>
        <w:t>.</w:t>
      </w:r>
      <w:r>
        <w:tab/>
        <w:t>Manner of access to prescribed information: section 27D(4A)(a)</w:t>
      </w:r>
      <w:bookmarkEnd w:id="107"/>
    </w:p>
    <w:p>
      <w:pPr>
        <w:pStyle w:val="Subsection"/>
        <w:spacing w:before="140"/>
      </w:pPr>
      <w:r>
        <w:tab/>
        <w:t>(1)</w:t>
      </w:r>
      <w:r>
        <w:tab/>
        <w:t xml:space="preserve">For the purposes of section 27D(4A)(a) of the Act, this regulation sets out the prescribed manner of access to </w:t>
      </w:r>
      <w:r>
        <w:lastRenderedPageBreak/>
        <w:t>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spacing w:before="70"/>
      </w:pPr>
      <w:r>
        <w:tab/>
        <w:t>(a)</w:t>
      </w:r>
      <w:r>
        <w:tab/>
        <w:t>allowing the Commission or the approved officer to have real</w:t>
      </w:r>
      <w:r>
        <w:noBreakHyphen/>
        <w:t>time access to any computerised betting system of the holder if it is reasonably practicable to do so; and</w:t>
      </w:r>
    </w:p>
    <w:p>
      <w:pPr>
        <w:pStyle w:val="Indenta"/>
        <w:spacing w:before="70"/>
      </w:pPr>
      <w:r>
        <w:tab/>
        <w:t>(b)</w:t>
      </w:r>
      <w:r>
        <w:tab/>
        <w:t>giving the Commission or the approved officer the capability to download and print out any such information.</w:t>
      </w:r>
    </w:p>
    <w:p>
      <w:pPr>
        <w:pStyle w:val="Footnotesection"/>
        <w:spacing w:before="100"/>
      </w:pPr>
      <w:r>
        <w:tab/>
        <w:t>[Regulation 104 inserted: Gazette 8 Jan 2010 p. 22-3]</w:t>
      </w:r>
    </w:p>
    <w:p>
      <w:pPr>
        <w:pStyle w:val="Heading5"/>
      </w:pPr>
      <w:bookmarkStart w:id="108" w:name="_Toc122683409"/>
      <w:r>
        <w:rPr>
          <w:rStyle w:val="CharSectno"/>
        </w:rPr>
        <w:t>105</w:t>
      </w:r>
      <w:r>
        <w:t>.</w:t>
      </w:r>
      <w:r>
        <w:tab/>
        <w:t>Prescribed conditions: section 27D(4A)(b)</w:t>
      </w:r>
      <w:bookmarkEnd w:id="108"/>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40"/>
      </w:pPr>
      <w:r>
        <w:lastRenderedPageBreak/>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40"/>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40"/>
      </w:pPr>
      <w:r>
        <w:tab/>
        <w:t>(5)</w:t>
      </w:r>
      <w:r>
        <w:tab/>
        <w:t>An approved offshore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spacing w:before="130"/>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spacing w:before="130"/>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spacing w:before="60"/>
      </w:pPr>
      <w:r>
        <w:tab/>
        <w:t>(a)</w:t>
      </w:r>
      <w:r>
        <w:tab/>
        <w:t>allow the person conducting the inquiry to view any document relevant to the inquiry; and</w:t>
      </w:r>
    </w:p>
    <w:p>
      <w:pPr>
        <w:pStyle w:val="Indenta"/>
        <w:spacing w:before="60"/>
      </w:pPr>
      <w:r>
        <w:tab/>
        <w:t>(b)</w:t>
      </w:r>
      <w:r>
        <w:tab/>
        <w:t>give the person conducting the inquiry a copy of any document relevant to the inquiry.</w:t>
      </w:r>
    </w:p>
    <w:p>
      <w:pPr>
        <w:pStyle w:val="Subsection"/>
        <w:spacing w:before="140"/>
      </w:pPr>
      <w:r>
        <w:tab/>
        <w:t>(8)</w:t>
      </w:r>
      <w:r>
        <w:tab/>
        <w:t>An approved offshore betting operator must in relation to races referred to in a WA race field maintain appropriate and adequate internal procedures, systems and controls to —</w:t>
      </w:r>
    </w:p>
    <w:p>
      <w:pPr>
        <w:pStyle w:val="Indenta"/>
        <w:spacing w:before="60"/>
      </w:pPr>
      <w:r>
        <w:tab/>
        <w:t>(a)</w:t>
      </w:r>
      <w:r>
        <w:tab/>
        <w:t>maintain and accurately record all betting transactions and account details of clients; and</w:t>
      </w:r>
    </w:p>
    <w:p>
      <w:pPr>
        <w:pStyle w:val="Indenta"/>
      </w:pPr>
      <w:r>
        <w:lastRenderedPageBreak/>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Gazette 8 Jan 2010 p. 23-4.]</w:t>
      </w:r>
    </w:p>
    <w:p>
      <w:pPr>
        <w:pStyle w:val="Heading5"/>
      </w:pPr>
      <w:bookmarkStart w:id="109" w:name="_Toc122683410"/>
      <w:r>
        <w:rPr>
          <w:rStyle w:val="CharSectno"/>
        </w:rPr>
        <w:t>105A</w:t>
      </w:r>
      <w:r>
        <w:t>.</w:t>
      </w:r>
      <w:r>
        <w:tab/>
        <w:t>Prescribed conditions for greyhound and harness races: section 27F(1)</w:t>
      </w:r>
      <w:bookmarkEnd w:id="109"/>
    </w:p>
    <w:p>
      <w:pPr>
        <w:pStyle w:val="Subsection"/>
      </w:pPr>
      <w:r>
        <w:tab/>
        <w:t>(1)</w:t>
      </w:r>
      <w:r>
        <w:tab/>
        <w:t xml:space="preserve">In this regulation — </w:t>
      </w:r>
    </w:p>
    <w:p>
      <w:pPr>
        <w:pStyle w:val="Defstart"/>
      </w:pPr>
      <w:r>
        <w:tab/>
      </w:r>
      <w:r>
        <w:rPr>
          <w:rStyle w:val="CharDefText"/>
        </w:rPr>
        <w:t>WAGRA greyhound race</w:t>
      </w:r>
      <w:r>
        <w:t xml:space="preserve"> means a greyhound race conducted on a Saturday by the Western Australian Greyhound Racing Association;</w:t>
      </w:r>
    </w:p>
    <w:p>
      <w:pPr>
        <w:pStyle w:val="Defstart"/>
      </w:pPr>
      <w:r>
        <w:tab/>
      </w:r>
      <w:r>
        <w:rPr>
          <w:rStyle w:val="CharDefText"/>
        </w:rPr>
        <w:t>WATA harness race</w:t>
      </w:r>
      <w:r>
        <w:t xml:space="preserve"> means —</w:t>
      </w:r>
    </w:p>
    <w:p>
      <w:pPr>
        <w:pStyle w:val="Defpara"/>
      </w:pPr>
      <w:r>
        <w:tab/>
        <w:t>(a)</w:t>
      </w:r>
      <w:r>
        <w:tab/>
        <w:t xml:space="preserve">a harness race conducted on a Friday by the Western Australian Trotting Association; or </w:t>
      </w:r>
    </w:p>
    <w:p>
      <w:pPr>
        <w:pStyle w:val="Defpara"/>
      </w:pPr>
      <w:r>
        <w:tab/>
        <w:t>(b)</w:t>
      </w:r>
      <w:r>
        <w:tab/>
        <w:t>a harness race conducted on a Saturday by the Western Australian Trotting Association, but only if a harness race was not conducted by the Western Australian Trotting Association on the day before that Saturday.</w:t>
      </w:r>
    </w:p>
    <w:p>
      <w:pPr>
        <w:pStyle w:val="Subsection"/>
      </w:pPr>
      <w:r>
        <w:tab/>
        <w:t>(2)</w:t>
      </w:r>
      <w:r>
        <w:tab/>
        <w:t xml:space="preserve">For the purposes of section 27F(1) of the Act, the prescribed conditions that a domestic betting operator must comply with in relation to a greyhound race or a harness race are — </w:t>
      </w:r>
    </w:p>
    <w:p>
      <w:pPr>
        <w:pStyle w:val="Indenta"/>
      </w:pPr>
      <w:r>
        <w:tab/>
        <w:t>(a)</w:t>
      </w:r>
      <w:r>
        <w:tab/>
        <w:t>set out in this regulation; and</w:t>
      </w:r>
    </w:p>
    <w:p>
      <w:pPr>
        <w:pStyle w:val="Indenta"/>
      </w:pPr>
      <w:r>
        <w:tab/>
        <w:t>(b)</w:t>
      </w:r>
      <w:r>
        <w:tab/>
        <w:t>subject to regulation 105C.</w:t>
      </w:r>
    </w:p>
    <w:p>
      <w:pPr>
        <w:pStyle w:val="Subsection"/>
      </w:pPr>
      <w:r>
        <w:tab/>
        <w:t>(3)</w:t>
      </w:r>
      <w:r>
        <w:tab/>
        <w:t xml:space="preserve">If in a racing year turnover of a domestic betting operator has not reached $3 000 000, the domestic betting operator must accept a fixed odds bet charged against a betting account if — </w:t>
      </w:r>
    </w:p>
    <w:p>
      <w:pPr>
        <w:pStyle w:val="Indenta"/>
      </w:pPr>
      <w:r>
        <w:tab/>
        <w:t>(a)</w:t>
      </w:r>
      <w:r>
        <w:tab/>
        <w:t>the bet is a win bet on a type of race described in column 1 of the Table; and</w:t>
      </w:r>
    </w:p>
    <w:p>
      <w:pPr>
        <w:pStyle w:val="Indenta"/>
        <w:keepNext/>
        <w:rPr>
          <w:rStyle w:val="DraftersNotes"/>
          <w:b w:val="0"/>
          <w:i w:val="0"/>
        </w:rPr>
      </w:pPr>
      <w:r>
        <w:lastRenderedPageBreak/>
        <w:tab/>
        <w:t>(b)</w:t>
      </w:r>
      <w:r>
        <w:tab/>
        <w:t>the amount the domestic betting operator may lose as a result of the bet does not exceed the amount set out in column 2 of the Table opposite that type of race.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4841"/>
        <w:gridCol w:w="1223"/>
      </w:tblGrid>
      <w:tr>
        <w:trPr>
          <w:tblHeader/>
        </w:trPr>
        <w:tc>
          <w:tcPr>
            <w:tcW w:w="0" w:type="auto"/>
          </w:tcPr>
          <w:p>
            <w:pPr>
              <w:pStyle w:val="TableNAm"/>
              <w:jc w:val="center"/>
              <w:rPr>
                <w:b/>
                <w:bCs/>
              </w:rPr>
            </w:pPr>
            <w:r>
              <w:rPr>
                <w:b/>
                <w:bCs/>
              </w:rPr>
              <w:t>Column 1</w:t>
            </w:r>
          </w:p>
          <w:p>
            <w:pPr>
              <w:pStyle w:val="TableNAm"/>
              <w:jc w:val="center"/>
              <w:rPr>
                <w:b/>
                <w:bCs/>
              </w:rPr>
            </w:pPr>
            <w:r>
              <w:rPr>
                <w:b/>
                <w:bCs/>
              </w:rPr>
              <w:t>Type of race</w:t>
            </w:r>
          </w:p>
        </w:tc>
        <w:tc>
          <w:tcPr>
            <w:tcW w:w="0" w:type="auto"/>
          </w:tcPr>
          <w:p>
            <w:pPr>
              <w:pStyle w:val="TableNAm"/>
              <w:jc w:val="center"/>
              <w:rPr>
                <w:b/>
                <w:bCs/>
              </w:rPr>
            </w:pPr>
            <w:r>
              <w:rPr>
                <w:b/>
                <w:bCs/>
              </w:rPr>
              <w:t>Column 2</w:t>
            </w:r>
          </w:p>
          <w:p>
            <w:pPr>
              <w:pStyle w:val="TableNAm"/>
              <w:jc w:val="center"/>
              <w:rPr>
                <w:b/>
                <w:bCs/>
              </w:rPr>
            </w:pPr>
            <w:r>
              <w:rPr>
                <w:b/>
                <w:bCs/>
              </w:rPr>
              <w:t>Amount</w:t>
            </w:r>
          </w:p>
        </w:tc>
      </w:tr>
      <w:tr>
        <w:tc>
          <w:tcPr>
            <w:tcW w:w="0" w:type="auto"/>
          </w:tcPr>
          <w:p>
            <w:pPr>
              <w:pStyle w:val="TableNAm"/>
            </w:pPr>
            <w:r>
              <w:t>A WATA harness race</w:t>
            </w:r>
          </w:p>
        </w:tc>
        <w:tc>
          <w:tcPr>
            <w:tcW w:w="0" w:type="auto"/>
          </w:tcPr>
          <w:p>
            <w:pPr>
              <w:pStyle w:val="TableNAm"/>
              <w:jc w:val="right"/>
            </w:pPr>
            <w:r>
              <w:t>$500</w:t>
            </w:r>
          </w:p>
        </w:tc>
      </w:tr>
      <w:tr>
        <w:tc>
          <w:tcPr>
            <w:tcW w:w="0" w:type="auto"/>
          </w:tcPr>
          <w:p>
            <w:pPr>
              <w:pStyle w:val="TableNAm"/>
            </w:pPr>
            <w:r>
              <w:t xml:space="preserve">A harness race other than a WATA harness race </w:t>
            </w:r>
          </w:p>
        </w:tc>
        <w:tc>
          <w:tcPr>
            <w:tcW w:w="0" w:type="auto"/>
          </w:tcPr>
          <w:p>
            <w:pPr>
              <w:pStyle w:val="TableNAm"/>
              <w:jc w:val="right"/>
            </w:pPr>
            <w:r>
              <w:t>$300</w:t>
            </w:r>
          </w:p>
        </w:tc>
      </w:tr>
      <w:tr>
        <w:tc>
          <w:tcPr>
            <w:tcW w:w="0" w:type="auto"/>
          </w:tcPr>
          <w:p>
            <w:pPr>
              <w:pStyle w:val="TableNAm"/>
            </w:pPr>
            <w:r>
              <w:t>A greyhound race</w:t>
            </w:r>
          </w:p>
        </w:tc>
        <w:tc>
          <w:tcPr>
            <w:tcW w:w="0" w:type="auto"/>
          </w:tcPr>
          <w:p>
            <w:pPr>
              <w:pStyle w:val="TableNAm"/>
              <w:jc w:val="right"/>
            </w:pPr>
            <w:r>
              <w:t>$300</w:t>
            </w:r>
          </w:p>
        </w:tc>
      </w:tr>
    </w:tbl>
    <w:p>
      <w:pPr>
        <w:pStyle w:val="Subsection"/>
      </w:pPr>
      <w:r>
        <w:tab/>
        <w:t>(4)</w:t>
      </w:r>
      <w:r>
        <w:tab/>
        <w:t>If in a racing year turnover of a domestic betting operator reaches $3 000 000, the domestic betting operator must comply with subregulation (5) for each fixed odds bet received during the racing year after turnover reaches $3 000 000.</w:t>
      </w:r>
    </w:p>
    <w:p>
      <w:pPr>
        <w:pStyle w:val="Subsection"/>
      </w:pPr>
      <w:r>
        <w:tab/>
        <w:t>(5)</w:t>
      </w:r>
      <w:r>
        <w:tab/>
        <w:t xml:space="preserve">The domestic betting operator must accept a fixed odds bet charged against a betting account if — </w:t>
      </w:r>
    </w:p>
    <w:p>
      <w:pPr>
        <w:pStyle w:val="Indenta"/>
      </w:pPr>
      <w:r>
        <w:tab/>
        <w:t>(a)</w:t>
      </w:r>
      <w:r>
        <w:tab/>
        <w:t>the bet is a win bet on a type of race described in column 1 of the Table; and</w:t>
      </w:r>
    </w:p>
    <w:p>
      <w:pPr>
        <w:pStyle w:val="Indenta"/>
        <w:rPr>
          <w:rStyle w:val="DraftersNotes"/>
          <w:b w:val="0"/>
          <w:i w:val="0"/>
        </w:rPr>
      </w:pPr>
      <w:r>
        <w:tab/>
        <w:t>(b)</w:t>
      </w:r>
      <w:r>
        <w:tab/>
        <w:t>the amount the domestic betting operator may lose as a result of the bet does not exceed the amount set out in column 2 of the Table opposite that type of race.</w:t>
      </w:r>
    </w:p>
    <w:p>
      <w:pPr>
        <w:pStyle w:val="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820"/>
        <w:gridCol w:w="1276"/>
      </w:tblGrid>
      <w:tr>
        <w:trPr>
          <w:tblHeader/>
        </w:trPr>
        <w:tc>
          <w:tcPr>
            <w:tcW w:w="4820" w:type="dxa"/>
          </w:tcPr>
          <w:p>
            <w:pPr>
              <w:pStyle w:val="TableNAm"/>
              <w:jc w:val="center"/>
              <w:rPr>
                <w:b/>
                <w:bCs/>
              </w:rPr>
            </w:pPr>
            <w:r>
              <w:rPr>
                <w:b/>
                <w:bCs/>
              </w:rPr>
              <w:t>Column 1</w:t>
            </w:r>
          </w:p>
          <w:p>
            <w:pPr>
              <w:pStyle w:val="TableNAm"/>
              <w:jc w:val="center"/>
              <w:rPr>
                <w:b/>
                <w:bCs/>
              </w:rPr>
            </w:pPr>
            <w:r>
              <w:rPr>
                <w:b/>
                <w:bCs/>
              </w:rPr>
              <w:t>Type of race</w:t>
            </w:r>
          </w:p>
        </w:tc>
        <w:tc>
          <w:tcPr>
            <w:tcW w:w="1276" w:type="dxa"/>
          </w:tcPr>
          <w:p>
            <w:pPr>
              <w:pStyle w:val="TableNAm"/>
              <w:jc w:val="center"/>
              <w:rPr>
                <w:b/>
                <w:bCs/>
              </w:rPr>
            </w:pPr>
            <w:r>
              <w:rPr>
                <w:b/>
                <w:bCs/>
              </w:rPr>
              <w:t>Column 2</w:t>
            </w:r>
          </w:p>
          <w:p>
            <w:pPr>
              <w:pStyle w:val="TableNAm"/>
              <w:jc w:val="center"/>
              <w:rPr>
                <w:b/>
                <w:bCs/>
              </w:rPr>
            </w:pPr>
            <w:r>
              <w:rPr>
                <w:b/>
                <w:bCs/>
              </w:rPr>
              <w:t>Amount</w:t>
            </w:r>
          </w:p>
        </w:tc>
      </w:tr>
      <w:tr>
        <w:tc>
          <w:tcPr>
            <w:tcW w:w="4820" w:type="dxa"/>
          </w:tcPr>
          <w:p>
            <w:pPr>
              <w:pStyle w:val="TableNAm"/>
            </w:pPr>
            <w:r>
              <w:t>A WATA harness race</w:t>
            </w:r>
          </w:p>
        </w:tc>
        <w:tc>
          <w:tcPr>
            <w:tcW w:w="1276" w:type="dxa"/>
          </w:tcPr>
          <w:p>
            <w:pPr>
              <w:pStyle w:val="TableNAm"/>
              <w:jc w:val="right"/>
            </w:pPr>
            <w:r>
              <w:t>$1 000</w:t>
            </w:r>
          </w:p>
        </w:tc>
      </w:tr>
      <w:tr>
        <w:tc>
          <w:tcPr>
            <w:tcW w:w="4820" w:type="dxa"/>
          </w:tcPr>
          <w:p>
            <w:pPr>
              <w:pStyle w:val="TableNAm"/>
            </w:pPr>
            <w:r>
              <w:t>A harness race other than a WATA harness race</w:t>
            </w:r>
          </w:p>
        </w:tc>
        <w:tc>
          <w:tcPr>
            <w:tcW w:w="1276" w:type="dxa"/>
            <w:vAlign w:val="bottom"/>
          </w:tcPr>
          <w:p>
            <w:pPr>
              <w:pStyle w:val="TableNAm"/>
              <w:jc w:val="right"/>
            </w:pPr>
            <w:r>
              <w:t>$500</w:t>
            </w:r>
          </w:p>
        </w:tc>
      </w:tr>
      <w:tr>
        <w:tc>
          <w:tcPr>
            <w:tcW w:w="4820" w:type="dxa"/>
          </w:tcPr>
          <w:p>
            <w:pPr>
              <w:pStyle w:val="TableNAm"/>
            </w:pPr>
            <w:r>
              <w:lastRenderedPageBreak/>
              <w:t>A WAGRA greyhound race</w:t>
            </w:r>
          </w:p>
        </w:tc>
        <w:tc>
          <w:tcPr>
            <w:tcW w:w="1276" w:type="dxa"/>
          </w:tcPr>
          <w:p>
            <w:pPr>
              <w:pStyle w:val="TableNAm"/>
              <w:jc w:val="right"/>
            </w:pPr>
            <w:r>
              <w:t>$750</w:t>
            </w:r>
          </w:p>
        </w:tc>
      </w:tr>
      <w:tr>
        <w:tc>
          <w:tcPr>
            <w:tcW w:w="4820" w:type="dxa"/>
          </w:tcPr>
          <w:p>
            <w:pPr>
              <w:pStyle w:val="TableNAm"/>
            </w:pPr>
            <w:r>
              <w:t>A greyhound race other than a WAGRA greyhound race</w:t>
            </w:r>
          </w:p>
        </w:tc>
        <w:tc>
          <w:tcPr>
            <w:tcW w:w="1276" w:type="dxa"/>
            <w:vAlign w:val="bottom"/>
          </w:tcPr>
          <w:p>
            <w:pPr>
              <w:pStyle w:val="TableNAm"/>
              <w:jc w:val="right"/>
            </w:pPr>
            <w:r>
              <w:t>$500</w:t>
            </w:r>
          </w:p>
        </w:tc>
      </w:tr>
    </w:tbl>
    <w:p>
      <w:pPr>
        <w:pStyle w:val="Footnotesection"/>
      </w:pPr>
      <w:r>
        <w:tab/>
        <w:t>[Regulation 105A inserted: SL 2021/193 r. 6.]</w:t>
      </w:r>
    </w:p>
    <w:p>
      <w:pPr>
        <w:pStyle w:val="Heading5"/>
      </w:pPr>
      <w:bookmarkStart w:id="110" w:name="_Toc122683411"/>
      <w:r>
        <w:rPr>
          <w:rStyle w:val="CharSectno"/>
        </w:rPr>
        <w:t>105B</w:t>
      </w:r>
      <w:r>
        <w:t>.</w:t>
      </w:r>
      <w:r>
        <w:tab/>
        <w:t>Prescribed conditions for thoroughbred races: section 27F(1)</w:t>
      </w:r>
      <w:bookmarkEnd w:id="110"/>
    </w:p>
    <w:p>
      <w:pPr>
        <w:pStyle w:val="Subsection"/>
      </w:pPr>
      <w:r>
        <w:tab/>
        <w:t>(1)</w:t>
      </w:r>
      <w:r>
        <w:tab/>
        <w:t xml:space="preserve">In this regulation — </w:t>
      </w:r>
    </w:p>
    <w:p>
      <w:pPr>
        <w:pStyle w:val="Defstart"/>
      </w:pPr>
      <w:r>
        <w:tab/>
      </w:r>
      <w:r>
        <w:rPr>
          <w:rStyle w:val="CharDefText"/>
        </w:rPr>
        <w:t>combined win/place bet</w:t>
      </w:r>
      <w:r>
        <w:t xml:space="preserve"> means a bet comprising 2 unequal amounts, 1 amount being for a win and 1 amount being for a place and both amounts being bet on the same runner at the same time, at stated odds for a win and place;</w:t>
      </w:r>
    </w:p>
    <w:p>
      <w:pPr>
        <w:pStyle w:val="Defstart"/>
      </w:pPr>
      <w:r>
        <w:tab/>
      </w:r>
      <w:r>
        <w:rPr>
          <w:rStyle w:val="CharDefText"/>
        </w:rPr>
        <w:t>place component</w:t>
      </w:r>
      <w:r>
        <w:t xml:space="preserve"> means the component of a combined win/place bet or an each way bet in which the person placing the bet selects a runner to achieve a place in a particular race;</w:t>
      </w:r>
    </w:p>
    <w:p>
      <w:pPr>
        <w:pStyle w:val="Defstart"/>
      </w:pPr>
      <w:r>
        <w:tab/>
      </w:r>
      <w:r>
        <w:rPr>
          <w:rStyle w:val="CharDefText"/>
        </w:rPr>
        <w:t>type 1 thoroughbred race</w:t>
      </w:r>
      <w:r>
        <w:t xml:space="preserve"> means a thoroughbred race conducted by The Western Australian Turf Club;</w:t>
      </w:r>
    </w:p>
    <w:p>
      <w:pPr>
        <w:pStyle w:val="Defstart"/>
      </w:pPr>
      <w:r>
        <w:tab/>
      </w:r>
      <w:r>
        <w:rPr>
          <w:rStyle w:val="CharDefText"/>
        </w:rPr>
        <w:t>type 2 thoroughbred race</w:t>
      </w:r>
      <w:r>
        <w:t xml:space="preserve"> means a thoroughbred race conducted on a Saturday by any of the following, but only if a thoroughbred race is not conducted on that Saturday by The Western Australian Turf Club — </w:t>
      </w:r>
    </w:p>
    <w:p>
      <w:pPr>
        <w:pStyle w:val="Defpara"/>
      </w:pPr>
      <w:r>
        <w:tab/>
        <w:t>(a)</w:t>
      </w:r>
      <w:r>
        <w:tab/>
        <w:t>the Bunbury Turf Club Inc;</w:t>
      </w:r>
    </w:p>
    <w:p>
      <w:pPr>
        <w:pStyle w:val="Defpara"/>
      </w:pPr>
      <w:r>
        <w:tab/>
        <w:t>(b)</w:t>
      </w:r>
      <w:r>
        <w:tab/>
        <w:t>the Kalgoorlie</w:t>
      </w:r>
      <w:r>
        <w:noBreakHyphen/>
        <w:t xml:space="preserve">Boulder Racing Club Incorporated; </w:t>
      </w:r>
    </w:p>
    <w:p>
      <w:pPr>
        <w:pStyle w:val="Defpara"/>
      </w:pPr>
      <w:r>
        <w:tab/>
        <w:t>(c)</w:t>
      </w:r>
      <w:r>
        <w:tab/>
        <w:t xml:space="preserve">the Northam Race Club; </w:t>
      </w:r>
    </w:p>
    <w:p>
      <w:pPr>
        <w:pStyle w:val="Defpara"/>
      </w:pPr>
      <w:r>
        <w:tab/>
        <w:t>(d)</w:t>
      </w:r>
      <w:r>
        <w:tab/>
        <w:t>the Pinjarra Race Club;</w:t>
      </w:r>
    </w:p>
    <w:p>
      <w:pPr>
        <w:pStyle w:val="Defstart"/>
      </w:pPr>
      <w:r>
        <w:tab/>
      </w:r>
      <w:r>
        <w:rPr>
          <w:rStyle w:val="CharDefText"/>
        </w:rPr>
        <w:t>type 3 thoroughbred race</w:t>
      </w:r>
      <w:r>
        <w:t xml:space="preserve"> means a thoroughbred race other than a type 1 thoroughbred race or a type 2 thoroughbred race.</w:t>
      </w:r>
    </w:p>
    <w:p>
      <w:pPr>
        <w:pStyle w:val="Subsection"/>
      </w:pPr>
      <w:r>
        <w:lastRenderedPageBreak/>
        <w:tab/>
        <w:t>(2)</w:t>
      </w:r>
      <w:r>
        <w:tab/>
        <w:t xml:space="preserve">For the purposes of section 27F(1) of the Act, the prescribed conditions that a domestic betting operator must comply with in relation to a thoroughbred race are — </w:t>
      </w:r>
    </w:p>
    <w:p>
      <w:pPr>
        <w:pStyle w:val="Indenta"/>
      </w:pPr>
      <w:r>
        <w:tab/>
        <w:t>(a)</w:t>
      </w:r>
      <w:r>
        <w:tab/>
        <w:t>set out in this regulation; and</w:t>
      </w:r>
    </w:p>
    <w:p>
      <w:pPr>
        <w:pStyle w:val="Indenta"/>
      </w:pPr>
      <w:r>
        <w:tab/>
        <w:t>(b)</w:t>
      </w:r>
      <w:r>
        <w:tab/>
        <w:t>subject to regulation 105C.</w:t>
      </w:r>
    </w:p>
    <w:p>
      <w:pPr>
        <w:pStyle w:val="Subsection"/>
      </w:pPr>
      <w:r>
        <w:tab/>
        <w:t>(3)</w:t>
      </w:r>
      <w:r>
        <w:tab/>
        <w:t xml:space="preserve">If in a racing year turnover of a domestic betting operator has not reached $3 000 000, the domestic betting operator must accept a fixed odds bet charged against a betting account if — </w:t>
      </w:r>
    </w:p>
    <w:p>
      <w:pPr>
        <w:pStyle w:val="Indenta"/>
      </w:pPr>
      <w:r>
        <w:tab/>
        <w:t>(a)</w:t>
      </w:r>
      <w:r>
        <w:tab/>
        <w:t>the bet is a win bet on a type of race described in column 1 of the Table; and</w:t>
      </w:r>
    </w:p>
    <w:p>
      <w:pPr>
        <w:pStyle w:val="Indenta"/>
        <w:rPr>
          <w:rStyle w:val="DraftersNotes"/>
          <w:b w:val="0"/>
          <w:i w:val="0"/>
        </w:rPr>
      </w:pPr>
      <w:r>
        <w:tab/>
        <w:t>(b)</w:t>
      </w:r>
      <w:r>
        <w:tab/>
        <w:t>the amount the domestic betting operator may lose as a result of the bet does not exceed the amount set out in column 2 of the Table opposite that type of race.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3828"/>
        <w:gridCol w:w="1843"/>
      </w:tblGrid>
      <w:tr>
        <w:trPr>
          <w:tblHeader/>
        </w:trPr>
        <w:tc>
          <w:tcPr>
            <w:tcW w:w="3828" w:type="dxa"/>
          </w:tcPr>
          <w:p>
            <w:pPr>
              <w:pStyle w:val="TableNAm"/>
              <w:jc w:val="center"/>
              <w:rPr>
                <w:b/>
                <w:bCs/>
              </w:rPr>
            </w:pPr>
            <w:r>
              <w:rPr>
                <w:b/>
                <w:bCs/>
              </w:rPr>
              <w:t>Column 1</w:t>
            </w:r>
          </w:p>
          <w:p>
            <w:pPr>
              <w:pStyle w:val="TableNAm"/>
              <w:jc w:val="center"/>
              <w:rPr>
                <w:b/>
                <w:bCs/>
              </w:rPr>
            </w:pPr>
            <w:r>
              <w:rPr>
                <w:b/>
                <w:bCs/>
              </w:rPr>
              <w:t>Type of race</w:t>
            </w:r>
          </w:p>
        </w:tc>
        <w:tc>
          <w:tcPr>
            <w:tcW w:w="1843" w:type="dxa"/>
          </w:tcPr>
          <w:p>
            <w:pPr>
              <w:pStyle w:val="TableNAm"/>
              <w:jc w:val="center"/>
              <w:rPr>
                <w:b/>
                <w:bCs/>
              </w:rPr>
            </w:pPr>
            <w:r>
              <w:rPr>
                <w:b/>
                <w:bCs/>
              </w:rPr>
              <w:t>Column 2</w:t>
            </w:r>
          </w:p>
          <w:p>
            <w:pPr>
              <w:pStyle w:val="TableNAm"/>
              <w:jc w:val="center"/>
              <w:rPr>
                <w:b/>
                <w:bCs/>
              </w:rPr>
            </w:pPr>
            <w:r>
              <w:rPr>
                <w:b/>
                <w:bCs/>
              </w:rPr>
              <w:t>Amount</w:t>
            </w:r>
          </w:p>
        </w:tc>
      </w:tr>
      <w:tr>
        <w:tc>
          <w:tcPr>
            <w:tcW w:w="3828" w:type="dxa"/>
          </w:tcPr>
          <w:p>
            <w:pPr>
              <w:pStyle w:val="TableNAm"/>
            </w:pPr>
            <w:r>
              <w:t>A type 1 thoroughbred race</w:t>
            </w:r>
          </w:p>
        </w:tc>
        <w:tc>
          <w:tcPr>
            <w:tcW w:w="1843" w:type="dxa"/>
          </w:tcPr>
          <w:p>
            <w:pPr>
              <w:pStyle w:val="TableNAm"/>
              <w:jc w:val="right"/>
            </w:pPr>
            <w:r>
              <w:t>$1 000</w:t>
            </w:r>
          </w:p>
        </w:tc>
      </w:tr>
      <w:tr>
        <w:tc>
          <w:tcPr>
            <w:tcW w:w="3828" w:type="dxa"/>
          </w:tcPr>
          <w:p>
            <w:pPr>
              <w:pStyle w:val="TableNAm"/>
            </w:pPr>
            <w:r>
              <w:t>A type 2 thoroughbred race</w:t>
            </w:r>
          </w:p>
        </w:tc>
        <w:tc>
          <w:tcPr>
            <w:tcW w:w="1843" w:type="dxa"/>
          </w:tcPr>
          <w:p>
            <w:pPr>
              <w:pStyle w:val="TableNAm"/>
              <w:jc w:val="right"/>
            </w:pPr>
            <w:r>
              <w:t>$1 000</w:t>
            </w:r>
          </w:p>
        </w:tc>
      </w:tr>
      <w:tr>
        <w:tc>
          <w:tcPr>
            <w:tcW w:w="3828" w:type="dxa"/>
          </w:tcPr>
          <w:p>
            <w:pPr>
              <w:pStyle w:val="TableNAm"/>
            </w:pPr>
            <w:r>
              <w:t>A type 3 thoroughbred race</w:t>
            </w:r>
          </w:p>
        </w:tc>
        <w:tc>
          <w:tcPr>
            <w:tcW w:w="1843" w:type="dxa"/>
          </w:tcPr>
          <w:p>
            <w:pPr>
              <w:pStyle w:val="TableNAm"/>
              <w:jc w:val="right"/>
            </w:pPr>
            <w:r>
              <w:t>$500</w:t>
            </w:r>
          </w:p>
        </w:tc>
      </w:tr>
    </w:tbl>
    <w:p>
      <w:pPr>
        <w:pStyle w:val="Subsection"/>
      </w:pPr>
      <w:r>
        <w:tab/>
        <w:t>(4)</w:t>
      </w:r>
      <w:r>
        <w:tab/>
        <w:t>If in a racing year turnover of a domestic betting operator reaches $3 000 000, the domestic betting operator must comply with subregulations (5) to (8) for each fixed odds bet received during the racing year after turnover reaches $3 000 000.</w:t>
      </w:r>
    </w:p>
    <w:p>
      <w:pPr>
        <w:pStyle w:val="Subsection"/>
      </w:pPr>
      <w:r>
        <w:tab/>
        <w:t>(5)</w:t>
      </w:r>
      <w:r>
        <w:tab/>
        <w:t xml:space="preserve">The domestic betting operator must accept a fixed odds bet on a type 1 thoroughbred race or a type 2 thoroughbred race charged against a betting account if — </w:t>
      </w:r>
    </w:p>
    <w:p>
      <w:pPr>
        <w:pStyle w:val="Indenta"/>
      </w:pPr>
      <w:r>
        <w:tab/>
        <w:t>(a)</w:t>
      </w:r>
      <w:r>
        <w:tab/>
        <w:t>the bet is a win bet, combined win/place bet or each way bet; and</w:t>
      </w:r>
    </w:p>
    <w:p>
      <w:pPr>
        <w:pStyle w:val="Indenta"/>
      </w:pPr>
      <w:r>
        <w:lastRenderedPageBreak/>
        <w:tab/>
        <w:t>(b)</w:t>
      </w:r>
      <w:r>
        <w:tab/>
        <w:t>the amount the domestic betting operator may lose as a result of the bet does not exceed $2 000; and</w:t>
      </w:r>
    </w:p>
    <w:p>
      <w:pPr>
        <w:pStyle w:val="Indenta"/>
      </w:pPr>
      <w:r>
        <w:tab/>
        <w:t>(c)</w:t>
      </w:r>
      <w:r>
        <w:tab/>
        <w:t>if the bet has a place component — the amount the domestic betting operator may lose as a result of the place component does not exceed $800.</w:t>
      </w:r>
    </w:p>
    <w:p>
      <w:pPr>
        <w:pStyle w:val="Subsection"/>
      </w:pPr>
      <w:r>
        <w:tab/>
        <w:t>(6)</w:t>
      </w:r>
      <w:r>
        <w:tab/>
        <w:t>The domestic betting operator must accept a fixed odds bet on a type 1 thoroughbred race or a type 2 thoroughbred race charged against a betting account if —</w:t>
      </w:r>
    </w:p>
    <w:p>
      <w:pPr>
        <w:pStyle w:val="Indenta"/>
      </w:pPr>
      <w:r>
        <w:tab/>
        <w:t>(a)</w:t>
      </w:r>
      <w:r>
        <w:tab/>
        <w:t>the bet is a place bet; and</w:t>
      </w:r>
    </w:p>
    <w:p>
      <w:pPr>
        <w:pStyle w:val="Indenta"/>
      </w:pPr>
      <w:r>
        <w:tab/>
        <w:t>(b)</w:t>
      </w:r>
      <w:r>
        <w:tab/>
        <w:t>the amount the domestic betting operator may lose as a result of the bet does not exceed $800.</w:t>
      </w:r>
    </w:p>
    <w:p>
      <w:pPr>
        <w:pStyle w:val="Subsection"/>
      </w:pPr>
      <w:r>
        <w:tab/>
        <w:t>(7)</w:t>
      </w:r>
      <w:r>
        <w:tab/>
        <w:t xml:space="preserve">The domestic betting operator must accept a fixed odds bet on a type 3 thoroughbred race charged against a betting account if — </w:t>
      </w:r>
    </w:p>
    <w:p>
      <w:pPr>
        <w:pStyle w:val="Indenta"/>
      </w:pPr>
      <w:r>
        <w:tab/>
        <w:t>(a)</w:t>
      </w:r>
      <w:r>
        <w:tab/>
        <w:t>the bet is a win bet, combined win/place bet or each way bet; and</w:t>
      </w:r>
    </w:p>
    <w:p>
      <w:pPr>
        <w:pStyle w:val="Indenta"/>
      </w:pPr>
      <w:r>
        <w:tab/>
        <w:t>(b)</w:t>
      </w:r>
      <w:r>
        <w:tab/>
        <w:t>the amount the domestic betting operator may lose as a result of the bet does not exceed $1 000; and</w:t>
      </w:r>
    </w:p>
    <w:p>
      <w:pPr>
        <w:pStyle w:val="Indenta"/>
      </w:pPr>
      <w:r>
        <w:tab/>
        <w:t>(c)</w:t>
      </w:r>
      <w:r>
        <w:tab/>
        <w:t>if the bet has a place component — the amount the domestic betting operator may lose as a result of the place component does not exceed $400.</w:t>
      </w:r>
    </w:p>
    <w:p>
      <w:pPr>
        <w:pStyle w:val="Subsection"/>
      </w:pPr>
      <w:r>
        <w:tab/>
        <w:t>(8)</w:t>
      </w:r>
      <w:r>
        <w:tab/>
        <w:t>The domestic betting operator must accept a fixed odds bet on a type 3 thoroughbred race charged against a betting account if —</w:t>
      </w:r>
    </w:p>
    <w:p>
      <w:pPr>
        <w:pStyle w:val="Indenta"/>
      </w:pPr>
      <w:r>
        <w:tab/>
        <w:t>(a)</w:t>
      </w:r>
      <w:r>
        <w:tab/>
        <w:t>the bet is a place bet; and</w:t>
      </w:r>
    </w:p>
    <w:p>
      <w:pPr>
        <w:pStyle w:val="Indenta"/>
      </w:pPr>
      <w:r>
        <w:tab/>
        <w:t>(b)</w:t>
      </w:r>
      <w:r>
        <w:tab/>
        <w:t>the amount the domestic betting operator may lose as a result of the bet does not exceed $400.</w:t>
      </w:r>
    </w:p>
    <w:p>
      <w:pPr>
        <w:pStyle w:val="Footnotesection"/>
      </w:pPr>
      <w:r>
        <w:tab/>
        <w:t>[Regulation 105B inserted: SL 2021/193 r. 6.]</w:t>
      </w:r>
    </w:p>
    <w:p>
      <w:pPr>
        <w:pStyle w:val="Heading5"/>
      </w:pPr>
      <w:bookmarkStart w:id="111" w:name="_Toc122683412"/>
      <w:r>
        <w:rPr>
          <w:rStyle w:val="CharSectno"/>
        </w:rPr>
        <w:lastRenderedPageBreak/>
        <w:t>105C</w:t>
      </w:r>
      <w:r>
        <w:t>.</w:t>
      </w:r>
      <w:r>
        <w:tab/>
        <w:t>Prescribed conditions under regulations 105A and 105B do not apply to certain bets</w:t>
      </w:r>
      <w:bookmarkEnd w:id="111"/>
    </w:p>
    <w:p>
      <w:pPr>
        <w:pStyle w:val="Subsection"/>
        <w:keepNext/>
      </w:pPr>
      <w:r>
        <w:tab/>
        <w:t>(1)</w:t>
      </w:r>
      <w:r>
        <w:tab/>
        <w:t xml:space="preserve">In this regulation — </w:t>
      </w:r>
    </w:p>
    <w:p>
      <w:pPr>
        <w:pStyle w:val="Defstart"/>
        <w:keepNext/>
      </w:pPr>
      <w:r>
        <w:tab/>
      </w:r>
      <w:r>
        <w:rPr>
          <w:rStyle w:val="CharDefText"/>
        </w:rPr>
        <w:t>fraudulent behaviour</w:t>
      </w:r>
      <w:r>
        <w:t xml:space="preserve"> includes the following — </w:t>
      </w:r>
    </w:p>
    <w:p>
      <w:pPr>
        <w:pStyle w:val="Defpara"/>
      </w:pPr>
      <w:r>
        <w:tab/>
        <w:t>(a)</w:t>
      </w:r>
      <w:r>
        <w:tab/>
        <w:t xml:space="preserve">cheating or otherwise employing any wrongful practice, trick, scheme or device; </w:t>
      </w:r>
    </w:p>
    <w:p>
      <w:pPr>
        <w:pStyle w:val="Defpara"/>
      </w:pPr>
      <w:r>
        <w:tab/>
        <w:t>(b)</w:t>
      </w:r>
      <w:r>
        <w:tab/>
        <w:t>making a statement that the person knows, or ought reasonably to know, is false or misleading in a material particular;</w:t>
      </w:r>
    </w:p>
    <w:p>
      <w:pPr>
        <w:pStyle w:val="Defpara"/>
      </w:pPr>
      <w:r>
        <w:tab/>
        <w:t>(c)</w:t>
      </w:r>
      <w:r>
        <w:tab/>
        <w:t>using a forged document;</w:t>
      </w:r>
    </w:p>
    <w:p>
      <w:pPr>
        <w:pStyle w:val="Defpara"/>
      </w:pPr>
      <w:r>
        <w:tab/>
        <w:t>(d)</w:t>
      </w:r>
      <w:r>
        <w:tab/>
        <w:t>using a false pretence.</w:t>
      </w:r>
    </w:p>
    <w:p>
      <w:pPr>
        <w:pStyle w:val="Subsection"/>
      </w:pPr>
      <w:r>
        <w:tab/>
        <w:t>(2)</w:t>
      </w:r>
      <w:r>
        <w:tab/>
        <w:t xml:space="preserve">A domestic betting operator is not required to accept a bet, on a race charged against a betting account, under regulation 105A or 105B, if any of the following apply — </w:t>
      </w:r>
    </w:p>
    <w:p>
      <w:pPr>
        <w:pStyle w:val="Indenta"/>
      </w:pPr>
      <w:r>
        <w:tab/>
        <w:t>(a)</w:t>
      </w:r>
      <w:r>
        <w:tab/>
        <w:t>the usual residential address of the person who established the betting account is outside Australia;</w:t>
      </w:r>
    </w:p>
    <w:p>
      <w:pPr>
        <w:pStyle w:val="Indenta"/>
      </w:pPr>
      <w:r>
        <w:tab/>
        <w:t>(b)</w:t>
      </w:r>
      <w:r>
        <w:tab/>
        <w:t xml:space="preserve">the person who established the betting account is — </w:t>
      </w:r>
    </w:p>
    <w:p>
      <w:pPr>
        <w:pStyle w:val="Indenti"/>
      </w:pPr>
      <w:r>
        <w:tab/>
        <w:t>(i)</w:t>
      </w:r>
      <w:r>
        <w:tab/>
        <w:t>not the beneficial owner of the bet; or</w:t>
      </w:r>
    </w:p>
    <w:p>
      <w:pPr>
        <w:pStyle w:val="Indenti"/>
      </w:pPr>
      <w:r>
        <w:tab/>
        <w:t>(ii)</w:t>
      </w:r>
      <w:r>
        <w:tab/>
        <w:t>another domestic betting operator; or</w:t>
      </w:r>
    </w:p>
    <w:p>
      <w:pPr>
        <w:pStyle w:val="Indenti"/>
      </w:pPr>
      <w:r>
        <w:tab/>
        <w:t>(iii)</w:t>
      </w:r>
      <w:r>
        <w:tab/>
        <w:t>an employee of another domestic betting operator; or</w:t>
      </w:r>
    </w:p>
    <w:p>
      <w:pPr>
        <w:pStyle w:val="Indenti"/>
      </w:pPr>
      <w:r>
        <w:tab/>
        <w:t>(iv)</w:t>
      </w:r>
      <w:r>
        <w:tab/>
        <w:t>a relative (as defined in section 7(1) of the Act) of an employee of another domestic betting operator; or</w:t>
      </w:r>
    </w:p>
    <w:p>
      <w:pPr>
        <w:pStyle w:val="Indenti"/>
      </w:pPr>
      <w:r>
        <w:tab/>
        <w:t>(v)</w:t>
      </w:r>
      <w:r>
        <w:tab/>
        <w:t>in breach of a term or condition of the betting account;</w:t>
      </w:r>
    </w:p>
    <w:p>
      <w:pPr>
        <w:pStyle w:val="Indenta"/>
      </w:pPr>
      <w:r>
        <w:tab/>
        <w:t>(c)</w:t>
      </w:r>
      <w:r>
        <w:tab/>
        <w:t>the person who established the betting account has notified the domestic betting operator that the person has voluntarily excluded themselves from betting with the domestic betting operator;</w:t>
      </w:r>
    </w:p>
    <w:p>
      <w:pPr>
        <w:pStyle w:val="Indenta"/>
      </w:pPr>
      <w:r>
        <w:tab/>
        <w:t>(d)</w:t>
      </w:r>
      <w:r>
        <w:tab/>
        <w:t xml:space="preserve">the betting account does not have a balance sufficient to pay the amount of the bet; </w:t>
      </w:r>
    </w:p>
    <w:p>
      <w:pPr>
        <w:pStyle w:val="Indenta"/>
      </w:pPr>
      <w:r>
        <w:lastRenderedPageBreak/>
        <w:tab/>
        <w:t>(e)</w:t>
      </w:r>
      <w:r>
        <w:tab/>
        <w:t xml:space="preserve">the domestic betting operator has closed another betting account of the person who established the betting account because — </w:t>
      </w:r>
    </w:p>
    <w:p>
      <w:pPr>
        <w:pStyle w:val="Indenti"/>
      </w:pPr>
      <w:r>
        <w:tab/>
        <w:t>(i)</w:t>
      </w:r>
      <w:r>
        <w:tab/>
        <w:t>the person was warned off or disqualified under the RWWA Act; or</w:t>
      </w:r>
    </w:p>
    <w:p>
      <w:pPr>
        <w:pStyle w:val="Indenti"/>
      </w:pPr>
      <w:r>
        <w:tab/>
        <w:t>(ii)</w:t>
      </w:r>
      <w:r>
        <w:tab/>
        <w:t>the person engaged in fraudulent behaviour;</w:t>
      </w:r>
    </w:p>
    <w:p>
      <w:pPr>
        <w:pStyle w:val="Indenta"/>
      </w:pPr>
      <w:r>
        <w:tab/>
        <w:t>(f)</w:t>
      </w:r>
      <w:r>
        <w:tab/>
        <w:t xml:space="preserve">the bet is — </w:t>
      </w:r>
    </w:p>
    <w:p>
      <w:pPr>
        <w:pStyle w:val="Indenti"/>
      </w:pPr>
      <w:r>
        <w:tab/>
        <w:t>(i)</w:t>
      </w:r>
      <w:r>
        <w:tab/>
        <w:t>made by means of a betting exchange; or</w:t>
      </w:r>
    </w:p>
    <w:p>
      <w:pPr>
        <w:pStyle w:val="Indenti"/>
      </w:pPr>
      <w:r>
        <w:tab/>
        <w:t>(ii)</w:t>
      </w:r>
      <w:r>
        <w:tab/>
        <w:t>a bet back as defined in section 14A(1) of the Act; or</w:t>
      </w:r>
    </w:p>
    <w:p>
      <w:pPr>
        <w:pStyle w:val="Indenti"/>
      </w:pPr>
      <w:r>
        <w:tab/>
        <w:t>(iii)</w:t>
      </w:r>
      <w:r>
        <w:tab/>
        <w:t>an internet bet placed using a proxy server;</w:t>
      </w:r>
    </w:p>
    <w:p>
      <w:pPr>
        <w:pStyle w:val="Indenta"/>
      </w:pPr>
      <w:r>
        <w:tab/>
        <w:t>(g)</w:t>
      </w:r>
      <w:r>
        <w:tab/>
        <w:t>the scheduled starting time of the 1</w:t>
      </w:r>
      <w:r>
        <w:rPr>
          <w:vertAlign w:val="superscript"/>
        </w:rPr>
        <w:t>st</w:t>
      </w:r>
      <w:r>
        <w:t xml:space="preserve"> race of the race meeting at which the race is run is before 4 pm and the bet is placed — </w:t>
      </w:r>
    </w:p>
    <w:p>
      <w:pPr>
        <w:pStyle w:val="Indenti"/>
      </w:pPr>
      <w:r>
        <w:tab/>
        <w:t>(i)</w:t>
      </w:r>
      <w:r>
        <w:tab/>
        <w:t>before 9 am on the day of the race; or</w:t>
      </w:r>
    </w:p>
    <w:p>
      <w:pPr>
        <w:pStyle w:val="Indenti"/>
      </w:pPr>
      <w:r>
        <w:tab/>
        <w:t>(ii)</w:t>
      </w:r>
      <w:r>
        <w:tab/>
        <w:t xml:space="preserve">on any day before the day of the race; </w:t>
      </w:r>
    </w:p>
    <w:p>
      <w:pPr>
        <w:pStyle w:val="Indenta"/>
      </w:pPr>
      <w:r>
        <w:tab/>
        <w:t>(h)</w:t>
      </w:r>
      <w:r>
        <w:tab/>
        <w:t>the scheduled starting time of the 1</w:t>
      </w:r>
      <w:r>
        <w:rPr>
          <w:vertAlign w:val="superscript"/>
        </w:rPr>
        <w:t>st</w:t>
      </w:r>
      <w:r>
        <w:t xml:space="preserve"> race of the race meeting at which the race is run is at or after 4 pm and the bet is placed — </w:t>
      </w:r>
    </w:p>
    <w:p>
      <w:pPr>
        <w:pStyle w:val="Indenti"/>
      </w:pPr>
      <w:r>
        <w:tab/>
        <w:t>(i)</w:t>
      </w:r>
      <w:r>
        <w:tab/>
        <w:t>before 2 pm on the day of the race; or</w:t>
      </w:r>
    </w:p>
    <w:p>
      <w:pPr>
        <w:pStyle w:val="Indenti"/>
      </w:pPr>
      <w:r>
        <w:tab/>
        <w:t>(ii)</w:t>
      </w:r>
      <w:r>
        <w:tab/>
        <w:t xml:space="preserve">on any day before the day of the race; </w:t>
      </w:r>
    </w:p>
    <w:p>
      <w:pPr>
        <w:pStyle w:val="Indenta"/>
      </w:pPr>
      <w:r>
        <w:tab/>
        <w:t>(i)</w:t>
      </w:r>
      <w:r>
        <w:tab/>
        <w:t xml:space="preserve">the bet involves the selection of a series of propositions in relation to races and the final dividend is — </w:t>
      </w:r>
    </w:p>
    <w:p>
      <w:pPr>
        <w:pStyle w:val="Indenti"/>
      </w:pPr>
      <w:r>
        <w:tab/>
        <w:t>(i)</w:t>
      </w:r>
      <w:r>
        <w:tab/>
        <w:t>reliant on all propositions being correctly selected; and</w:t>
      </w:r>
    </w:p>
    <w:p>
      <w:pPr>
        <w:pStyle w:val="Indenti"/>
      </w:pPr>
      <w:r>
        <w:tab/>
        <w:t>(ii)</w:t>
      </w:r>
      <w:r>
        <w:tab/>
        <w:t>determined by multiplying together the odds of each selection;</w:t>
      </w:r>
    </w:p>
    <w:p>
      <w:pPr>
        <w:pStyle w:val="Indenta"/>
      </w:pPr>
      <w:r>
        <w:tab/>
        <w:t>(j)</w:t>
      </w:r>
      <w:r>
        <w:tab/>
        <w:t xml:space="preserve">the bet is 1 of a number of bets that are all identical or similar and the bets have been placed in a systematic manner from the same internet protocol address; </w:t>
      </w:r>
    </w:p>
    <w:p>
      <w:pPr>
        <w:pStyle w:val="Indenta"/>
      </w:pPr>
      <w:r>
        <w:tab/>
        <w:t>(k)</w:t>
      </w:r>
      <w:r>
        <w:tab/>
        <w:t xml:space="preserve">a free component (as defined in the </w:t>
      </w:r>
      <w:r>
        <w:rPr>
          <w:i/>
        </w:rPr>
        <w:t>Betting Tax Assessment Act 2018</w:t>
      </w:r>
      <w:r>
        <w:t xml:space="preserve"> section 4) is used to place all or part of the bet;</w:t>
      </w:r>
    </w:p>
    <w:p>
      <w:pPr>
        <w:pStyle w:val="Indenta"/>
      </w:pPr>
      <w:r>
        <w:lastRenderedPageBreak/>
        <w:tab/>
        <w:t>(l)</w:t>
      </w:r>
      <w:r>
        <w:tab/>
        <w:t>the domestic betting operator has accepted another bet on the race in respect of the same runner that the bet was placed on and if the other bet and the bet had formed 1 bet the domestic betting operator would not have been required, under regulation 105A or 105B, to accept the bet.</w:t>
      </w:r>
    </w:p>
    <w:p>
      <w:pPr>
        <w:pStyle w:val="Footnotesection"/>
      </w:pPr>
      <w:r>
        <w:tab/>
        <w:t>[Regulation 105C inserted: SL 2021/193 r. 6.]</w:t>
      </w:r>
    </w:p>
    <w:p>
      <w:pPr>
        <w:pStyle w:val="Heading5"/>
      </w:pPr>
      <w:bookmarkStart w:id="112" w:name="_Toc122683413"/>
      <w:r>
        <w:rPr>
          <w:rStyle w:val="CharSectno"/>
        </w:rPr>
        <w:t>106</w:t>
      </w:r>
      <w:r>
        <w:t>.</w:t>
      </w:r>
      <w:r>
        <w:tab/>
        <w:t>Information prescribed: section 27F(2)(a)</w:t>
      </w:r>
      <w:bookmarkEnd w:id="112"/>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Gazette 8 Jan 2010 p. 24.]</w:t>
      </w:r>
    </w:p>
    <w:p>
      <w:pPr>
        <w:pStyle w:val="Heading5"/>
      </w:pPr>
      <w:bookmarkStart w:id="113" w:name="_Toc122683414"/>
      <w:r>
        <w:rPr>
          <w:rStyle w:val="CharSectno"/>
        </w:rPr>
        <w:t>107</w:t>
      </w:r>
      <w:r>
        <w:t>.</w:t>
      </w:r>
      <w:r>
        <w:tab/>
        <w:t>Manner of access to prescribed information: section 27F(2)(a)</w:t>
      </w:r>
      <w:bookmarkEnd w:id="113"/>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 xml:space="preserve">time access to any computerised betting </w:t>
      </w:r>
      <w:r>
        <w:lastRenderedPageBreak/>
        <w:t>system of the holder if it is reasonably practicable to do so; and</w:t>
      </w:r>
    </w:p>
    <w:p>
      <w:pPr>
        <w:pStyle w:val="Indenta"/>
        <w:spacing w:before="60"/>
      </w:pPr>
      <w:r>
        <w:tab/>
        <w:t>(b)</w:t>
      </w:r>
      <w:r>
        <w:tab/>
        <w:t>giving the Commission or the approved officer the capability to download and print out any such information.</w:t>
      </w:r>
    </w:p>
    <w:p>
      <w:pPr>
        <w:pStyle w:val="Footnotesection"/>
        <w:spacing w:before="100"/>
      </w:pPr>
      <w:r>
        <w:tab/>
        <w:t>[Regulation 107 inserted: Gazette 8 Jan 2010 p. 24-5.]</w:t>
      </w:r>
    </w:p>
    <w:p>
      <w:pPr>
        <w:pStyle w:val="Heading5"/>
      </w:pPr>
      <w:bookmarkStart w:id="114" w:name="_Toc122683415"/>
      <w:r>
        <w:rPr>
          <w:rStyle w:val="CharSectno"/>
        </w:rPr>
        <w:t>108</w:t>
      </w:r>
      <w:r>
        <w:t>.</w:t>
      </w:r>
      <w:r>
        <w:tab/>
        <w:t>Prescribed conditions: section 27F(2)(b)</w:t>
      </w:r>
      <w:bookmarkEnd w:id="114"/>
    </w:p>
    <w:p>
      <w:pPr>
        <w:pStyle w:val="Subsection"/>
        <w:spacing w:before="150"/>
      </w:pPr>
      <w:r>
        <w:tab/>
        <w:t>(1)</w:t>
      </w:r>
      <w:r>
        <w:tab/>
        <w:t>For the purposes of section 27F(2)(b) of the Act, the prescribed conditions that a domestic betting operator must comply with are set out in this regulation.</w:t>
      </w:r>
    </w:p>
    <w:p>
      <w:pPr>
        <w:pStyle w:val="Subsection"/>
        <w:spacing w:before="150"/>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50"/>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50"/>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50"/>
      </w:pPr>
      <w:r>
        <w:tab/>
        <w:t>(5)</w:t>
      </w:r>
      <w:r>
        <w:tab/>
        <w:t>A domestic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pPr>
      <w:r>
        <w:lastRenderedPageBreak/>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Gazette 8 Jan 2010 p. 25-6.]</w:t>
      </w:r>
    </w:p>
    <w:p>
      <w:pPr>
        <w:pStyle w:val="Heading5"/>
      </w:pPr>
      <w:bookmarkStart w:id="115" w:name="_Toc122683416"/>
      <w:r>
        <w:rPr>
          <w:rStyle w:val="CharSectno"/>
        </w:rPr>
        <w:t>109</w:t>
      </w:r>
      <w:r>
        <w:t>.</w:t>
      </w:r>
      <w:r>
        <w:tab/>
        <w:t>Prescribed criteria: section 27F(4)</w:t>
      </w:r>
      <w:bookmarkEnd w:id="115"/>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lastRenderedPageBreak/>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Gazette 8 Jan 2010 p. 26.]</w:t>
      </w:r>
    </w:p>
    <w:p>
      <w:pPr>
        <w:pStyle w:val="Heading5"/>
      </w:pPr>
      <w:bookmarkStart w:id="116" w:name="_Toc122683417"/>
      <w:r>
        <w:rPr>
          <w:rStyle w:val="CharSectno"/>
        </w:rPr>
        <w:t>110</w:t>
      </w:r>
      <w:r>
        <w:t>.</w:t>
      </w:r>
      <w:r>
        <w:tab/>
        <w:t>Audited return</w:t>
      </w:r>
      <w:bookmarkEnd w:id="116"/>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Gazette 8 Jan 2010 p. 27.]</w:t>
      </w:r>
    </w:p>
    <w:p>
      <w:pPr>
        <w:ind w:left="49" w:right="-20"/>
        <w:jc w:val="center"/>
        <w:rPr>
          <w:rStyle w:val="CharDivText"/>
        </w:rPr>
        <w:sectPr>
          <w:headerReference w:type="even" r:id="rId21"/>
          <w:headerReference w:type="default" r:id="rId22"/>
          <w:headerReference w:type="first" r:id="rId23"/>
          <w:pgSz w:w="11907" w:h="16840" w:code="9"/>
          <w:pgMar w:top="2269" w:right="2409" w:bottom="3543" w:left="2409" w:header="720" w:footer="3380" w:gutter="0"/>
          <w:pgNumType w:start="1"/>
          <w:cols w:space="720"/>
          <w:noEndnote/>
          <w:titlePg/>
          <w:docGrid w:linePitch="326"/>
        </w:sectPr>
      </w:pPr>
    </w:p>
    <w:p>
      <w:pPr>
        <w:pStyle w:val="yScheduleHeading"/>
        <w:pageBreakBefore w:val="0"/>
      </w:pPr>
      <w:bookmarkStart w:id="117" w:name="_Toc122078708"/>
      <w:bookmarkStart w:id="118" w:name="_Toc122079184"/>
      <w:bookmarkStart w:id="119" w:name="_Toc122683418"/>
      <w:r>
        <w:rPr>
          <w:rStyle w:val="CharSchNo"/>
        </w:rPr>
        <w:lastRenderedPageBreak/>
        <w:t>Appendix</w:t>
      </w:r>
      <w:bookmarkEnd w:id="117"/>
      <w:bookmarkEnd w:id="118"/>
      <w:bookmarkEnd w:id="119"/>
    </w:p>
    <w:p>
      <w:pPr>
        <w:pStyle w:val="yHeading2"/>
        <w:spacing w:before="120"/>
      </w:pPr>
      <w:bookmarkStart w:id="120" w:name="_Toc122078709"/>
      <w:bookmarkStart w:id="121" w:name="_Toc122079185"/>
      <w:bookmarkStart w:id="122" w:name="_Toc122683419"/>
      <w:r>
        <w:rPr>
          <w:rStyle w:val="CharSchText"/>
        </w:rPr>
        <w:t>Rules of Betting</w:t>
      </w:r>
      <w:bookmarkEnd w:id="120"/>
      <w:bookmarkEnd w:id="121"/>
      <w:bookmarkEnd w:id="122"/>
    </w:p>
    <w:p>
      <w:pPr>
        <w:pStyle w:val="yFootnoteheading"/>
      </w:pPr>
      <w:r>
        <w:tab/>
        <w:t>[Heading inserted: Gazette 14 Sep 1990 p. 4864.]</w:t>
      </w:r>
    </w:p>
    <w:p>
      <w:pPr>
        <w:pStyle w:val="yHeading3"/>
        <w:rPr>
          <w:sz w:val="22"/>
        </w:rPr>
      </w:pPr>
      <w:bookmarkStart w:id="123" w:name="_Toc122078710"/>
      <w:bookmarkStart w:id="124" w:name="_Toc122079186"/>
      <w:bookmarkStart w:id="125" w:name="_Toc122683420"/>
      <w:r>
        <w:rPr>
          <w:rStyle w:val="CharSDivNo"/>
        </w:rPr>
        <w:t>Part 1</w:t>
      </w:r>
      <w:r>
        <w:rPr>
          <w:sz w:val="22"/>
        </w:rPr>
        <w:t> — </w:t>
      </w:r>
      <w:r>
        <w:rPr>
          <w:rStyle w:val="CharSDivText"/>
        </w:rPr>
        <w:t>Betting under the rules of racing</w:t>
      </w:r>
      <w:bookmarkEnd w:id="123"/>
      <w:bookmarkEnd w:id="124"/>
      <w:bookmarkEnd w:id="125"/>
    </w:p>
    <w:p>
      <w:pPr>
        <w:pStyle w:val="yFootnoteheading"/>
        <w:rPr>
          <w:snapToGrid w:val="0"/>
        </w:rPr>
      </w:pPr>
      <w:r>
        <w:rPr>
          <w:snapToGrid w:val="0"/>
        </w:rPr>
        <w:tab/>
        <w:t>[Heading inserted: Gazette 21 Jul 1998 p. 3856.]</w:t>
      </w:r>
    </w:p>
    <w:p>
      <w:pPr>
        <w:pStyle w:val="yHeading5"/>
        <w:spacing w:before="260"/>
        <w:rPr>
          <w:snapToGrid w:val="0"/>
        </w:rPr>
      </w:pPr>
      <w:bookmarkStart w:id="126" w:name="_Toc122683421"/>
      <w:r>
        <w:rPr>
          <w:rStyle w:val="CharSClsNo"/>
        </w:rPr>
        <w:t>1</w:t>
      </w:r>
      <w:r>
        <w:rPr>
          <w:snapToGrid w:val="0"/>
        </w:rPr>
        <w:t>.</w:t>
      </w:r>
      <w:r>
        <w:rPr>
          <w:snapToGrid w:val="0"/>
        </w:rPr>
        <w:tab/>
        <w:t>Terms used</w:t>
      </w:r>
      <w:bookmarkEnd w:id="126"/>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Gazette 21 Jul 1998 p. 3855 and 3856; 30 Jan 2004 p. 406.]</w:t>
      </w:r>
    </w:p>
    <w:p>
      <w:pPr>
        <w:pStyle w:val="yHeading5"/>
        <w:rPr>
          <w:snapToGrid w:val="0"/>
        </w:rPr>
      </w:pPr>
      <w:bookmarkStart w:id="127" w:name="_Toc122683422"/>
      <w:r>
        <w:rPr>
          <w:rStyle w:val="CharSClsNo"/>
        </w:rPr>
        <w:lastRenderedPageBreak/>
        <w:t>2</w:t>
      </w:r>
      <w:r>
        <w:rPr>
          <w:snapToGrid w:val="0"/>
        </w:rPr>
        <w:t>.</w:t>
      </w:r>
      <w:r>
        <w:rPr>
          <w:snapToGrid w:val="0"/>
        </w:rPr>
        <w:tab/>
        <w:t>Bets void in certain circumstances</w:t>
      </w:r>
      <w:bookmarkEnd w:id="127"/>
    </w:p>
    <w:p>
      <w:pPr>
        <w:pStyle w:val="ySubsection"/>
        <w:spacing w:before="140"/>
        <w:rPr>
          <w:snapToGrid w:val="0"/>
        </w:rPr>
      </w:pPr>
      <w:r>
        <w:rPr>
          <w:snapToGrid w:val="0"/>
        </w:rPr>
        <w:tab/>
        <w:t>(1)</w:t>
      </w:r>
      <w:r>
        <w:rPr>
          <w:snapToGrid w:val="0"/>
        </w:rPr>
        <w:tab/>
        <w:t>A bet is void —</w:t>
      </w:r>
    </w:p>
    <w:p>
      <w:pPr>
        <w:pStyle w:val="yIndenta"/>
        <w:spacing w:before="60"/>
        <w:rPr>
          <w:snapToGrid w:val="0"/>
        </w:rPr>
      </w:pPr>
      <w:r>
        <w:rPr>
          <w:snapToGrid w:val="0"/>
        </w:rPr>
        <w:tab/>
        <w:t>(a)</w:t>
      </w:r>
      <w:r>
        <w:rPr>
          <w:snapToGrid w:val="0"/>
        </w:rPr>
        <w:tab/>
        <w:t>if, when it is made, it is not possible for the backer to win; or</w:t>
      </w:r>
    </w:p>
    <w:p>
      <w:pPr>
        <w:pStyle w:val="yIndenta"/>
        <w:spacing w:before="6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 or</w:t>
      </w:r>
    </w:p>
    <w:p>
      <w:pPr>
        <w:pStyle w:val="yIndenta"/>
        <w:spacing w:before="60"/>
        <w:rPr>
          <w:snapToGrid w:val="0"/>
        </w:rPr>
      </w:pPr>
      <w:r>
        <w:rPr>
          <w:snapToGrid w:val="0"/>
        </w:rPr>
        <w:tab/>
        <w:t>(c)</w:t>
      </w:r>
      <w:r>
        <w:rPr>
          <w:snapToGrid w:val="0"/>
        </w:rPr>
        <w:tab/>
        <w:t>if it is made on a runner in running; or</w:t>
      </w:r>
    </w:p>
    <w:p>
      <w:pPr>
        <w:pStyle w:val="yIndenta"/>
        <w:spacing w:before="6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 or</w:t>
      </w:r>
    </w:p>
    <w:p>
      <w:pPr>
        <w:pStyle w:val="yIndenta"/>
        <w:spacing w:before="60"/>
        <w:rPr>
          <w:snapToGrid w:val="0"/>
        </w:rPr>
      </w:pPr>
      <w:r>
        <w:rPr>
          <w:snapToGrid w:val="0"/>
        </w:rPr>
        <w:tab/>
        <w:t>(e)</w:t>
      </w:r>
      <w:r>
        <w:rPr>
          <w:snapToGrid w:val="0"/>
        </w:rPr>
        <w:tab/>
        <w:t>if, being made on a match between 2 runners the match results in a dead heat; or</w:t>
      </w:r>
    </w:p>
    <w:p>
      <w:pPr>
        <w:pStyle w:val="yIndenta"/>
        <w:spacing w:before="60"/>
        <w:rPr>
          <w:snapToGrid w:val="0"/>
        </w:rPr>
      </w:pPr>
      <w:r>
        <w:rPr>
          <w:snapToGrid w:val="0"/>
        </w:rPr>
        <w:tab/>
        <w:t>(f)</w:t>
      </w:r>
      <w:r>
        <w:rPr>
          <w:snapToGrid w:val="0"/>
        </w:rPr>
        <w:tab/>
        <w:t>if it is made after the determination of the race to which it relates; or</w:t>
      </w:r>
    </w:p>
    <w:p>
      <w:pPr>
        <w:pStyle w:val="yIndenta"/>
        <w:spacing w:before="60"/>
        <w:rPr>
          <w:snapToGrid w:val="0"/>
        </w:rPr>
      </w:pPr>
      <w:r>
        <w:rPr>
          <w:snapToGrid w:val="0"/>
        </w:rPr>
        <w:tab/>
        <w:t>(g)</w:t>
      </w:r>
      <w:r>
        <w:rPr>
          <w:snapToGrid w:val="0"/>
        </w:rPr>
        <w:tab/>
        <w:t>if it is so declared by</w:t>
      </w:r>
      <w:r>
        <w:t xml:space="preserve"> the rules of racing or wagering</w:t>
      </w:r>
      <w:r>
        <w:rPr>
          <w:snapToGrid w:val="0"/>
        </w:rPr>
        <w:t>; or</w:t>
      </w:r>
    </w:p>
    <w:p>
      <w:pPr>
        <w:pStyle w:val="yIndenta"/>
        <w:spacing w:before="60"/>
        <w:rPr>
          <w:snapToGrid w:val="0"/>
        </w:rPr>
      </w:pPr>
      <w:r>
        <w:rPr>
          <w:snapToGrid w:val="0"/>
        </w:rPr>
        <w:tab/>
        <w:t>(h)</w:t>
      </w:r>
      <w:r>
        <w:rPr>
          <w:snapToGrid w:val="0"/>
        </w:rPr>
        <w:tab/>
        <w:t>if it is declared to be void by the Commission pursuant to subrule (2); or</w:t>
      </w:r>
    </w:p>
    <w:p>
      <w:pPr>
        <w:pStyle w:val="yIndenta"/>
        <w:spacing w:before="60"/>
        <w:rPr>
          <w:snapToGrid w:val="0"/>
        </w:rPr>
      </w:pPr>
      <w:r>
        <w:rPr>
          <w:snapToGrid w:val="0"/>
        </w:rPr>
        <w:tab/>
        <w:t>(i)</w:t>
      </w:r>
      <w:r>
        <w:rPr>
          <w:snapToGrid w:val="0"/>
        </w:rPr>
        <w:tab/>
        <w:t>if it becomes void in the manner provided in rule 12.</w:t>
      </w:r>
    </w:p>
    <w:p>
      <w:pPr>
        <w:pStyle w:val="ySubsection"/>
        <w:spacing w:before="12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spacing w:before="80"/>
      </w:pPr>
      <w:r>
        <w:tab/>
        <w:t>[Rule 2 amended: Gazette 21 Jul 1998 p. 3855 and 3856; 18 Jan 2002 p. 284; 20 Sep 2002 p. 4704; 30 Jan 2004 p. 406 and 412.]</w:t>
      </w:r>
    </w:p>
    <w:p>
      <w:pPr>
        <w:pStyle w:val="yHeading5"/>
        <w:keepLines w:val="0"/>
        <w:spacing w:before="200"/>
        <w:rPr>
          <w:snapToGrid w:val="0"/>
        </w:rPr>
      </w:pPr>
      <w:bookmarkStart w:id="128" w:name="_Toc122683423"/>
      <w:r>
        <w:rPr>
          <w:rStyle w:val="CharSClsNo"/>
        </w:rPr>
        <w:t>3</w:t>
      </w:r>
      <w:r>
        <w:rPr>
          <w:snapToGrid w:val="0"/>
        </w:rPr>
        <w:t>.</w:t>
      </w:r>
      <w:r>
        <w:rPr>
          <w:snapToGrid w:val="0"/>
        </w:rPr>
        <w:tab/>
        <w:t>When bets are off</w:t>
      </w:r>
      <w:bookmarkEnd w:id="128"/>
    </w:p>
    <w:p>
      <w:pPr>
        <w:pStyle w:val="ySubsection"/>
        <w:keepNext/>
        <w:spacing w:before="120"/>
        <w:rPr>
          <w:snapToGrid w:val="0"/>
        </w:rPr>
      </w:pPr>
      <w:r>
        <w:rPr>
          <w:snapToGrid w:val="0"/>
        </w:rPr>
        <w:tab/>
        <w:t>(1)</w:t>
      </w:r>
      <w:r>
        <w:rPr>
          <w:snapToGrid w:val="0"/>
        </w:rPr>
        <w:tab/>
        <w:t>No bet can be declared off except by mutual consent or as hereinafter provided, that is to say —</w:t>
      </w:r>
    </w:p>
    <w:p>
      <w:pPr>
        <w:pStyle w:val="yIndenta"/>
        <w:spacing w:before="60"/>
        <w:rPr>
          <w:snapToGrid w:val="0"/>
        </w:rPr>
      </w:pPr>
      <w:r>
        <w:rPr>
          <w:snapToGrid w:val="0"/>
        </w:rPr>
        <w:tab/>
        <w:t>(a)</w:t>
      </w:r>
      <w:r>
        <w:rPr>
          <w:snapToGrid w:val="0"/>
        </w:rPr>
        <w:tab/>
        <w:t xml:space="preserve">either the backer or the bookmaker may demand bets to be confirmed before the race is run, upon proving to the committee or the stewards that he or she has just cause for so doing; if and when ordered by the committee or the stewards </w:t>
      </w:r>
      <w:r>
        <w:rPr>
          <w:snapToGrid w:val="0"/>
        </w:rPr>
        <w:lastRenderedPageBreak/>
        <w:t>the bets shall be covered or sufficient security given in default of which the bets will be off;</w:t>
      </w:r>
    </w:p>
    <w:p>
      <w:pPr>
        <w:pStyle w:val="yIndenta"/>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rPr>
          <w:snapToGrid w:val="0"/>
        </w:rPr>
      </w:pPr>
      <w:r>
        <w:rPr>
          <w:snapToGrid w:val="0"/>
        </w:rPr>
        <w:tab/>
        <w:t>(c)</w:t>
      </w:r>
      <w:r>
        <w:rPr>
          <w:snapToGrid w:val="0"/>
        </w:rPr>
        <w:tab/>
        <w:t>all wagers with any person who after the making of the wagers has been declared a defaulter, are off;</w:t>
      </w:r>
    </w:p>
    <w:p>
      <w:pPr>
        <w:pStyle w:val="yIndenta"/>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r>
        <w:tab/>
        <w:t>[Rule 3 amended: Gazette 21 Jul 1998 p. 3855; 20 Sep 2002 p. 4704; 30 Jan 2004 p. 407</w:t>
      </w:r>
      <w:r>
        <w:noBreakHyphen/>
        <w:t>8 and 412; 4 Jan 2013 p. 11.]</w:t>
      </w:r>
    </w:p>
    <w:p>
      <w:pPr>
        <w:pStyle w:val="yHeading5"/>
      </w:pPr>
      <w:bookmarkStart w:id="129" w:name="_Toc122683424"/>
      <w:r>
        <w:rPr>
          <w:rStyle w:val="CharSClsNo"/>
        </w:rPr>
        <w:t>4A</w:t>
      </w:r>
      <w:r>
        <w:t>.</w:t>
      </w:r>
      <w:r>
        <w:tab/>
        <w:t>Determination of bets where runner withdrawn</w:t>
      </w:r>
      <w:bookmarkEnd w:id="129"/>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keepNext/>
      </w:pPr>
      <w:r>
        <w:lastRenderedPageBreak/>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pPr>
      <w:r>
        <w:tab/>
        <w:t>(a)</w:t>
      </w:r>
      <w:r>
        <w:tab/>
        <w:t>refund all bets on the late scratched runner and those bets are, by operation of this rule, declared off;</w:t>
      </w:r>
    </w:p>
    <w:p>
      <w:pPr>
        <w:pStyle w:val="yIndenta"/>
      </w:pPr>
      <w:r>
        <w:tab/>
        <w:t>(b)</w:t>
      </w:r>
      <w:r>
        <w:tab/>
        <w:t xml:space="preserve">subject to subrule (5), pay bets on the runners calculated in accordance with the following formula — </w:t>
      </w:r>
    </w:p>
    <w:p>
      <w:pPr>
        <w:pStyle w:val="yIndenta"/>
      </w:pPr>
      <w:r>
        <w:tab/>
      </w:r>
      <w:r>
        <w:tab/>
      </w:r>
      <w:r>
        <w:rPr>
          <w:noProof/>
          <w:position w:val="-6"/>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pPr>
      <w:r>
        <w:tab/>
      </w:r>
      <w: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t>is the deduction declared by the stewards under subrule (3) or (4).</w:t>
      </w:r>
    </w:p>
    <w:p>
      <w:pPr>
        <w:pStyle w:val="ySubsection"/>
        <w:keepNext/>
      </w:pPr>
      <w:r>
        <w:tab/>
        <w:t>(3)</w:t>
      </w:r>
      <w:r>
        <w:tab/>
        <w:t xml:space="preserve">The stewards may — </w:t>
      </w:r>
    </w:p>
    <w:p>
      <w:pPr>
        <w:pStyle w:val="yIndenta"/>
        <w:keepNext/>
      </w:pPr>
      <w:r>
        <w:tab/>
        <w:t>(a)</w:t>
      </w:r>
      <w:r>
        <w:tab/>
        <w:t xml:space="preserve">if the sum percentage of runners is less than or equal to 140%, declare a deduction for the purposes of subrule (2)(b) calculated in accordance with the following formula — </w:t>
      </w:r>
    </w:p>
    <w:p>
      <w:pPr>
        <w:pStyle w:val="yIndenta"/>
      </w:pPr>
      <w:r>
        <w:tab/>
      </w:r>
      <w:r>
        <w:tab/>
      </w:r>
      <w:r>
        <w:rPr>
          <w:noProof/>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lastRenderedPageBreak/>
        <w:tab/>
      </w:r>
      <w:r>
        <w:rPr>
          <w:b/>
        </w:rPr>
        <w:t>sa</w:t>
      </w:r>
      <w:r>
        <w:tab/>
        <w:t>is the sum percentage of remaining runners and late scratched runners,</w:t>
      </w:r>
    </w:p>
    <w:p>
      <w:pPr>
        <w:pStyle w:val="yIndenta"/>
      </w:pPr>
      <w:r>
        <w:tab/>
      </w:r>
      <w:r>
        <w:tab/>
        <w:t>with the deductions applied to each remaining runner being proportional to the odds against that runner;</w:t>
      </w:r>
    </w:p>
    <w:p>
      <w:pPr>
        <w:pStyle w:val="yIndenta"/>
      </w:pPr>
      <w:r>
        <w:tab/>
        <w:t>(b)</w:t>
      </w:r>
      <w:r>
        <w:tab/>
        <w:t xml:space="preserve">if the sum percentage of runners is greater than 140%, declare a deduction for the purposes of subrule (2)(b) calculated in accordance with the following formula — </w:t>
      </w:r>
    </w:p>
    <w:p>
      <w:pPr>
        <w:pStyle w:val="yIndenta"/>
      </w:pPr>
      <w:r>
        <w:tab/>
      </w:r>
      <w:r>
        <w:tab/>
      </w:r>
      <w:r>
        <w:rPr>
          <w:noProof/>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pPr>
      <w:r>
        <w:tab/>
      </w:r>
      <w: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pPr>
      <w:r>
        <w:tab/>
        <w:t>(a)</w:t>
      </w:r>
      <w: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pPr>
      <w:r>
        <w:tab/>
      </w:r>
      <w:r>
        <w:tab/>
        <w:t>and</w:t>
      </w:r>
    </w:p>
    <w:p>
      <w:pPr>
        <w:pStyle w:val="yIndenta"/>
      </w:pPr>
      <w:r>
        <w:tab/>
        <w:t>(b)</w:t>
      </w:r>
      <w:r>
        <w:tab/>
        <w:t>in the case of a dead</w:t>
      </w:r>
      <w:r>
        <w:noBreakHyphen/>
        <w:t>heat for a particular place, be at least the amount of the stake divided by the number of runners participating in the dead</w:t>
      </w:r>
      <w:r>
        <w:noBreakHyphen/>
        <w:t>heat.</w:t>
      </w:r>
    </w:p>
    <w:p>
      <w:pPr>
        <w:pStyle w:val="ySubsection"/>
        <w:keepNext/>
      </w:pPr>
      <w:r>
        <w:lastRenderedPageBreak/>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pPr>
      <w:r>
        <w:tab/>
        <w:t>(a)</w:t>
      </w:r>
      <w:r>
        <w:tab/>
        <w:t>the declaration of correct weight for the race; or</w:t>
      </w:r>
    </w:p>
    <w:p>
      <w:pPr>
        <w:pStyle w:val="yIndenta"/>
      </w:pPr>
      <w:r>
        <w:tab/>
        <w:t>(b)</w:t>
      </w:r>
      <w: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spacing w:before="100"/>
      </w:pPr>
      <w:r>
        <w:tab/>
        <w:t>[Rule 4A inserted: Gazette 4 Jan 2013 p. 11-13.]</w:t>
      </w:r>
    </w:p>
    <w:p>
      <w:pPr>
        <w:pStyle w:val="yHeading5"/>
        <w:spacing w:before="200"/>
        <w:rPr>
          <w:snapToGrid w:val="0"/>
        </w:rPr>
      </w:pPr>
      <w:bookmarkStart w:id="130" w:name="_Toc122683425"/>
      <w:r>
        <w:rPr>
          <w:rStyle w:val="CharSClsNo"/>
        </w:rPr>
        <w:t>4</w:t>
      </w:r>
      <w:r>
        <w:rPr>
          <w:snapToGrid w:val="0"/>
        </w:rPr>
        <w:t>.</w:t>
      </w:r>
      <w:r>
        <w:rPr>
          <w:snapToGrid w:val="0"/>
        </w:rPr>
        <w:tab/>
        <w:t>Determination and settlement of bets</w:t>
      </w:r>
      <w:bookmarkEnd w:id="130"/>
    </w:p>
    <w:p>
      <w:pPr>
        <w:pStyle w:val="ySubsection"/>
        <w:spacing w:before="12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20"/>
        <w:rPr>
          <w:snapToGrid w:val="0"/>
        </w:rPr>
      </w:pPr>
      <w:r>
        <w:rPr>
          <w:snapToGrid w:val="0"/>
        </w:rPr>
        <w:tab/>
        <w:t>(2)</w:t>
      </w:r>
      <w:r>
        <w:rPr>
          <w:snapToGrid w:val="0"/>
        </w:rPr>
        <w:tab/>
        <w:t>Settlement of bets shall be made in accordance with the provisions of these rules.</w:t>
      </w:r>
    </w:p>
    <w:p>
      <w:pPr>
        <w:pStyle w:val="ySubsection"/>
        <w:spacing w:before="12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2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r>
        <w:tab/>
        <w:t>[Rule 4 amended: Gazette 21 Jul 1998 p 3856 and 3857; 18 Jan 2002 p. 284; 20 Sep 2002 p. 4704; 30 Jan 2004 p. 408.]</w:t>
      </w:r>
    </w:p>
    <w:p>
      <w:pPr>
        <w:pStyle w:val="yHeading5"/>
        <w:spacing w:before="200"/>
        <w:rPr>
          <w:snapToGrid w:val="0"/>
        </w:rPr>
      </w:pPr>
      <w:bookmarkStart w:id="131" w:name="_Toc122683426"/>
      <w:r>
        <w:rPr>
          <w:rStyle w:val="CharSClsNo"/>
        </w:rPr>
        <w:lastRenderedPageBreak/>
        <w:t>5</w:t>
      </w:r>
      <w:r>
        <w:rPr>
          <w:snapToGrid w:val="0"/>
        </w:rPr>
        <w:t>.</w:t>
      </w:r>
      <w:r>
        <w:rPr>
          <w:snapToGrid w:val="0"/>
        </w:rPr>
        <w:tab/>
        <w:t>Bets in respect of postponed race or race meeting</w:t>
      </w:r>
      <w:bookmarkEnd w:id="131"/>
    </w:p>
    <w:p>
      <w:pPr>
        <w:pStyle w:val="ySubsection"/>
        <w:spacing w:before="12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190"/>
        <w:rPr>
          <w:snapToGrid w:val="0"/>
        </w:rPr>
      </w:pPr>
      <w:bookmarkStart w:id="132" w:name="_Toc122683427"/>
      <w:r>
        <w:rPr>
          <w:rStyle w:val="CharSClsNo"/>
        </w:rPr>
        <w:t>6</w:t>
      </w:r>
      <w:r>
        <w:rPr>
          <w:snapToGrid w:val="0"/>
        </w:rPr>
        <w:t>.</w:t>
      </w:r>
      <w:r>
        <w:rPr>
          <w:snapToGrid w:val="0"/>
        </w:rPr>
        <w:tab/>
        <w:t>Each way bets</w:t>
      </w:r>
      <w:bookmarkEnd w:id="132"/>
    </w:p>
    <w:p>
      <w:pPr>
        <w:pStyle w:val="ySubsection"/>
        <w:spacing w:before="12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Gazette 14 Sep 1990 p. 4864; 21 Jul 1998 p. 3855 and 3856.]</w:t>
      </w:r>
    </w:p>
    <w:p>
      <w:pPr>
        <w:pStyle w:val="yHeading5"/>
        <w:rPr>
          <w:snapToGrid w:val="0"/>
        </w:rPr>
      </w:pPr>
      <w:bookmarkStart w:id="133" w:name="_Toc122683428"/>
      <w:r>
        <w:rPr>
          <w:rStyle w:val="CharSClsNo"/>
        </w:rPr>
        <w:t>7</w:t>
      </w:r>
      <w:r>
        <w:rPr>
          <w:snapToGrid w:val="0"/>
        </w:rPr>
        <w:t>.</w:t>
      </w:r>
      <w:r>
        <w:rPr>
          <w:snapToGrid w:val="0"/>
        </w:rPr>
        <w:tab/>
        <w:t>All bets to be “play or pay” except in certain circumstances</w:t>
      </w:r>
      <w:bookmarkEnd w:id="133"/>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 and</w:t>
      </w:r>
    </w:p>
    <w:p>
      <w:pPr>
        <w:pStyle w:val="yIndenta"/>
        <w:rPr>
          <w:snapToGrid w:val="0"/>
        </w:rPr>
      </w:pPr>
      <w:r>
        <w:rPr>
          <w:snapToGrid w:val="0"/>
        </w:rPr>
        <w:lastRenderedPageBreak/>
        <w:tab/>
        <w:t>(b)</w:t>
      </w:r>
      <w:r>
        <w:rPr>
          <w:snapToGrid w:val="0"/>
        </w:rPr>
        <w:tab/>
        <w:t>bets on matches; and</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 and</w:t>
      </w:r>
    </w:p>
    <w:p>
      <w:pPr>
        <w:pStyle w:val="yIndenta"/>
        <w:rPr>
          <w:snapToGrid w:val="0"/>
        </w:rPr>
      </w:pPr>
      <w:r>
        <w:rPr>
          <w:snapToGrid w:val="0"/>
        </w:rPr>
        <w:tab/>
        <w:t>(d)</w:t>
      </w:r>
      <w:r>
        <w:rPr>
          <w:snapToGrid w:val="0"/>
        </w:rPr>
        <w:tab/>
        <w:t>bets that are declared off by the stewards; and</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Gazette 21 Jul 1998 p. 3855.]</w:t>
      </w:r>
    </w:p>
    <w:p>
      <w:pPr>
        <w:pStyle w:val="yHeading5"/>
        <w:rPr>
          <w:snapToGrid w:val="0"/>
        </w:rPr>
      </w:pPr>
      <w:bookmarkStart w:id="134" w:name="_Toc122683429"/>
      <w:r>
        <w:rPr>
          <w:rStyle w:val="CharSClsNo"/>
        </w:rPr>
        <w:t>8</w:t>
      </w:r>
      <w:r>
        <w:rPr>
          <w:snapToGrid w:val="0"/>
        </w:rPr>
        <w:t>.</w:t>
      </w:r>
      <w:r>
        <w:rPr>
          <w:snapToGrid w:val="0"/>
        </w:rPr>
        <w:tab/>
        <w:t>Provisions as to settlement of bets following dead heat</w:t>
      </w:r>
      <w:bookmarkEnd w:id="134"/>
    </w:p>
    <w:p>
      <w:pPr>
        <w:pStyle w:val="ySubsection"/>
        <w:spacing w:before="100"/>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spacing w:before="70"/>
        <w:rPr>
          <w:snapToGrid w:val="0"/>
        </w:rPr>
      </w:pPr>
      <w:r>
        <w:rPr>
          <w:snapToGrid w:val="0"/>
        </w:rPr>
        <w:tab/>
        <w:t>(a)</w:t>
      </w:r>
      <w:r>
        <w:rPr>
          <w:snapToGrid w:val="0"/>
        </w:rPr>
        <w:tab/>
        <w:t>half of the amount wagered shall be regarded as “won” at the agreed odds; and</w:t>
      </w:r>
    </w:p>
    <w:p>
      <w:pPr>
        <w:pStyle w:val="yIndenta"/>
        <w:spacing w:before="70"/>
        <w:rPr>
          <w:snapToGrid w:val="0"/>
        </w:rPr>
      </w:pPr>
      <w:r>
        <w:rPr>
          <w:snapToGrid w:val="0"/>
        </w:rPr>
        <w:lastRenderedPageBreak/>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Gazette 21 Jul 1998 p. 3855, 3856 and 3857.]</w:t>
      </w:r>
    </w:p>
    <w:p>
      <w:pPr>
        <w:pStyle w:val="yHeading5"/>
        <w:rPr>
          <w:snapToGrid w:val="0"/>
        </w:rPr>
      </w:pPr>
      <w:bookmarkStart w:id="135" w:name="_Toc122683430"/>
      <w:r>
        <w:rPr>
          <w:rStyle w:val="CharSClsNo"/>
        </w:rPr>
        <w:t>9</w:t>
      </w:r>
      <w:r>
        <w:rPr>
          <w:snapToGrid w:val="0"/>
        </w:rPr>
        <w:t>.</w:t>
      </w:r>
      <w:r>
        <w:rPr>
          <w:snapToGrid w:val="0"/>
        </w:rPr>
        <w:tab/>
        <w:t>Doubles</w:t>
      </w:r>
      <w:bookmarkEnd w:id="135"/>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lastRenderedPageBreak/>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spacing w:before="70"/>
        <w:rPr>
          <w:snapToGrid w:val="0"/>
        </w:rPr>
      </w:pPr>
      <w:r>
        <w:rPr>
          <w:snapToGrid w:val="0"/>
        </w:rPr>
        <w:tab/>
        <w:t>(i)</w:t>
      </w:r>
      <w:r>
        <w:rPr>
          <w:snapToGrid w:val="0"/>
        </w:rPr>
        <w:tab/>
        <w:t>the runner chosen for the first race does not run in that race;</w:t>
      </w:r>
    </w:p>
    <w:p>
      <w:pPr>
        <w:pStyle w:val="yIndenti0"/>
        <w:spacing w:before="70"/>
        <w:rPr>
          <w:snapToGrid w:val="0"/>
        </w:rPr>
      </w:pPr>
      <w:r>
        <w:rPr>
          <w:snapToGrid w:val="0"/>
        </w:rPr>
        <w:tab/>
        <w:t>(ii)</w:t>
      </w:r>
      <w:r>
        <w:rPr>
          <w:snapToGrid w:val="0"/>
        </w:rPr>
        <w:tab/>
        <w:t>the runner chosen for the second race is scratched not later than the time of scratching for the first race;</w:t>
      </w:r>
    </w:p>
    <w:p>
      <w:pPr>
        <w:pStyle w:val="yIndenti0"/>
        <w:spacing w:before="7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r>
        <w:tab/>
        <w:t>[Rule 9 amended: Gazette 21 Jul 1998 p. 3855 and 3856; 30 Jan 2004 p. 408.]</w:t>
      </w:r>
    </w:p>
    <w:p>
      <w:pPr>
        <w:pStyle w:val="yHeading5"/>
        <w:rPr>
          <w:snapToGrid w:val="0"/>
        </w:rPr>
      </w:pPr>
      <w:bookmarkStart w:id="136" w:name="_Toc122683431"/>
      <w:r>
        <w:rPr>
          <w:rStyle w:val="CharSClsNo"/>
        </w:rPr>
        <w:lastRenderedPageBreak/>
        <w:t>10</w:t>
      </w:r>
      <w:r>
        <w:rPr>
          <w:snapToGrid w:val="0"/>
        </w:rPr>
        <w:t>.</w:t>
      </w:r>
      <w:r>
        <w:rPr>
          <w:snapToGrid w:val="0"/>
        </w:rPr>
        <w:tab/>
        <w:t>Multiple doubles</w:t>
      </w:r>
      <w:bookmarkEnd w:id="136"/>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spacing w:before="70"/>
        <w:rPr>
          <w:snapToGrid w:val="0"/>
        </w:rPr>
      </w:pPr>
      <w:r>
        <w:rPr>
          <w:snapToGrid w:val="0"/>
        </w:rPr>
        <w:tab/>
        <w:t>(a)</w:t>
      </w:r>
      <w:r>
        <w:rPr>
          <w:snapToGrid w:val="0"/>
        </w:rPr>
        <w:tab/>
        <w:t>bets are determined when a race to which the double relates is lost; and</w:t>
      </w:r>
    </w:p>
    <w:p>
      <w:pPr>
        <w:pStyle w:val="yIndenta"/>
        <w:spacing w:before="7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 and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r>
        <w:tab/>
        <w:t>[Rule 10 amended: Gazette 21 Jul 1998 p. 3856; 30 Jan 2004 p. 408.]</w:t>
      </w:r>
    </w:p>
    <w:p>
      <w:pPr>
        <w:pStyle w:val="yHeading5"/>
        <w:rPr>
          <w:snapToGrid w:val="0"/>
        </w:rPr>
      </w:pPr>
      <w:bookmarkStart w:id="137" w:name="_Toc122683432"/>
      <w:r>
        <w:rPr>
          <w:rStyle w:val="CharSClsNo"/>
        </w:rPr>
        <w:t>11</w:t>
      </w:r>
      <w:r>
        <w:rPr>
          <w:snapToGrid w:val="0"/>
        </w:rPr>
        <w:t>.</w:t>
      </w:r>
      <w:r>
        <w:rPr>
          <w:snapToGrid w:val="0"/>
        </w:rPr>
        <w:tab/>
        <w:t>“All up” bets</w:t>
      </w:r>
      <w:bookmarkEnd w:id="137"/>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138" w:name="_Toc122683433"/>
      <w:r>
        <w:rPr>
          <w:rStyle w:val="CharSClsNo"/>
        </w:rPr>
        <w:t>12</w:t>
      </w:r>
      <w:r>
        <w:rPr>
          <w:snapToGrid w:val="0"/>
        </w:rPr>
        <w:t>.</w:t>
      </w:r>
      <w:r>
        <w:rPr>
          <w:snapToGrid w:val="0"/>
        </w:rPr>
        <w:tab/>
        <w:t>Provisions as to races that are re</w:t>
      </w:r>
      <w:r>
        <w:rPr>
          <w:snapToGrid w:val="0"/>
        </w:rPr>
        <w:noBreakHyphen/>
        <w:t>run</w:t>
      </w:r>
      <w:bookmarkEnd w:id="138"/>
    </w:p>
    <w:p>
      <w:pPr>
        <w:pStyle w:val="ySubsection"/>
        <w:keepNext/>
        <w:rPr>
          <w:snapToGrid w:val="0"/>
        </w:rPr>
      </w:pPr>
      <w:r>
        <w:rPr>
          <w:snapToGrid w:val="0"/>
        </w:rPr>
        <w:tab/>
      </w:r>
      <w:r>
        <w:rPr>
          <w:snapToGrid w:val="0"/>
        </w:rPr>
        <w:tab/>
        <w:t>In the event of a race being ordered to be re</w:t>
      </w:r>
      <w:r>
        <w:rPr>
          <w:snapToGrid w:val="0"/>
        </w:rPr>
        <w:noBreakHyphen/>
        <w:t xml:space="preserve">run the same day, all bets in favour of any runner which started on the first run shall stand, </w:t>
      </w:r>
      <w:r>
        <w:rPr>
          <w:snapToGrid w:val="0"/>
        </w:rPr>
        <w:lastRenderedPageBreak/>
        <w:t>except that in special circumstances the stewards may make such other ruling as they think fit.</w:t>
      </w:r>
    </w:p>
    <w:p>
      <w:pPr>
        <w:pStyle w:val="yFootnotesection"/>
      </w:pPr>
      <w:r>
        <w:tab/>
        <w:t>[Rule 12 amended: Gazette 21 Jul 1998 p 3855.]</w:t>
      </w:r>
    </w:p>
    <w:p>
      <w:pPr>
        <w:pStyle w:val="yHeading5"/>
        <w:rPr>
          <w:snapToGrid w:val="0"/>
        </w:rPr>
      </w:pPr>
      <w:bookmarkStart w:id="139" w:name="_Toc122683434"/>
      <w:r>
        <w:rPr>
          <w:rStyle w:val="CharSClsNo"/>
        </w:rPr>
        <w:t>13</w:t>
      </w:r>
      <w:r>
        <w:rPr>
          <w:snapToGrid w:val="0"/>
        </w:rPr>
        <w:t>.</w:t>
      </w:r>
      <w:r>
        <w:rPr>
          <w:snapToGrid w:val="0"/>
        </w:rPr>
        <w:tab/>
        <w:t>Provisions as to bets on runners that are entered for 2 or more races on same day</w:t>
      </w:r>
      <w:bookmarkEnd w:id="139"/>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Gazette 21 Jul 1998 p. 3855.]</w:t>
      </w:r>
    </w:p>
    <w:p>
      <w:pPr>
        <w:pStyle w:val="yHeading5"/>
        <w:spacing w:before="260"/>
        <w:rPr>
          <w:snapToGrid w:val="0"/>
        </w:rPr>
      </w:pPr>
      <w:bookmarkStart w:id="140" w:name="_Toc122683435"/>
      <w:r>
        <w:rPr>
          <w:rStyle w:val="CharSClsNo"/>
        </w:rPr>
        <w:t>14</w:t>
      </w:r>
      <w:r>
        <w:rPr>
          <w:snapToGrid w:val="0"/>
        </w:rPr>
        <w:t>.</w:t>
      </w:r>
      <w:r>
        <w:rPr>
          <w:snapToGrid w:val="0"/>
        </w:rPr>
        <w:tab/>
        <w:t>Prohibition on betting after race</w:t>
      </w:r>
      <w:bookmarkEnd w:id="140"/>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r>
        <w:tab/>
        <w:t>[Rule 14 amended: Gazette 21 Jul 1998 p. 3855; 30 Jan 2004 p. 408.]</w:t>
      </w:r>
    </w:p>
    <w:p>
      <w:pPr>
        <w:pStyle w:val="yHeading5"/>
        <w:spacing w:before="260"/>
        <w:rPr>
          <w:snapToGrid w:val="0"/>
        </w:rPr>
      </w:pPr>
      <w:bookmarkStart w:id="141" w:name="_Toc122683436"/>
      <w:r>
        <w:rPr>
          <w:rStyle w:val="CharSClsNo"/>
        </w:rPr>
        <w:lastRenderedPageBreak/>
        <w:t>15</w:t>
      </w:r>
      <w:r>
        <w:rPr>
          <w:snapToGrid w:val="0"/>
        </w:rPr>
        <w:t>.</w:t>
      </w:r>
      <w:r>
        <w:rPr>
          <w:snapToGrid w:val="0"/>
        </w:rPr>
        <w:tab/>
        <w:t>Settlement of bets on deaths of parties thereto</w:t>
      </w:r>
      <w:bookmarkEnd w:id="141"/>
    </w:p>
    <w:p>
      <w:pPr>
        <w:pStyle w:val="ySubsection"/>
        <w:keepNext/>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142" w:name="_Toc122683437"/>
      <w:r>
        <w:rPr>
          <w:rStyle w:val="CharSClsNo"/>
        </w:rPr>
        <w:t>16</w:t>
      </w:r>
      <w:r>
        <w:rPr>
          <w:snapToGrid w:val="0"/>
        </w:rPr>
        <w:t>.</w:t>
      </w:r>
      <w:r>
        <w:rPr>
          <w:snapToGrid w:val="0"/>
        </w:rPr>
        <w:tab/>
        <w:t>Settlement of bets on suspension or cancellation of licence of bookmaker</w:t>
      </w:r>
      <w:bookmarkEnd w:id="142"/>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r>
        <w:tab/>
        <w:t>[Rule 16 amended: Gazette 20 Sep 2002 p. 4704; 30 Jan 2004 p. 412.]</w:t>
      </w:r>
    </w:p>
    <w:p>
      <w:pPr>
        <w:pStyle w:val="yHeading5"/>
        <w:rPr>
          <w:snapToGrid w:val="0"/>
        </w:rPr>
      </w:pPr>
      <w:bookmarkStart w:id="143" w:name="_Toc122683438"/>
      <w:r>
        <w:rPr>
          <w:rStyle w:val="CharSClsNo"/>
        </w:rPr>
        <w:t>17</w:t>
      </w:r>
      <w:r>
        <w:rPr>
          <w:snapToGrid w:val="0"/>
        </w:rPr>
        <w:t>.</w:t>
      </w:r>
      <w:r>
        <w:rPr>
          <w:snapToGrid w:val="0"/>
        </w:rPr>
        <w:tab/>
        <w:t>Settling</w:t>
      </w:r>
      <w:bookmarkEnd w:id="143"/>
    </w:p>
    <w:p>
      <w:pPr>
        <w:pStyle w:val="ySubsection"/>
      </w:pPr>
      <w:r>
        <w:rPr>
          <w:snapToGrid w:val="0"/>
        </w:rPr>
        <w:tab/>
      </w:r>
      <w:r>
        <w:rPr>
          <w:snapToGrid w:val="0"/>
        </w:rPr>
        <w:tab/>
        <w:t>Settling in terms of these rules shall not be disturbed except in cases of fraud.</w:t>
      </w:r>
    </w:p>
    <w:p>
      <w:pPr>
        <w:outlineLvl w:val="0"/>
        <w:sectPr>
          <w:headerReference w:type="even" r:id="rId28"/>
          <w:headerReference w:type="default" r:id="rId29"/>
          <w:pgSz w:w="11907" w:h="16840" w:code="9"/>
          <w:pgMar w:top="2381" w:right="2410" w:bottom="3544" w:left="2410" w:header="720" w:footer="3544" w:gutter="0"/>
          <w:cols w:space="720"/>
        </w:sectPr>
      </w:pPr>
    </w:p>
    <w:p>
      <w:pPr>
        <w:pStyle w:val="yHeading3"/>
        <w:rPr>
          <w:szCs w:val="24"/>
        </w:rPr>
      </w:pPr>
      <w:bookmarkStart w:id="145" w:name="_Toc122078729"/>
      <w:bookmarkStart w:id="146" w:name="_Toc122079205"/>
      <w:bookmarkStart w:id="147" w:name="_Toc122683439"/>
      <w:r>
        <w:rPr>
          <w:rStyle w:val="CharSDivNo"/>
          <w:szCs w:val="24"/>
        </w:rPr>
        <w:lastRenderedPageBreak/>
        <w:t>Part 2</w:t>
      </w:r>
      <w:r>
        <w:rPr>
          <w:szCs w:val="24"/>
        </w:rPr>
        <w:t> —</w:t>
      </w:r>
      <w:r>
        <w:rPr>
          <w:rStyle w:val="CharSClsNo"/>
          <w:sz w:val="24"/>
          <w:szCs w:val="24"/>
        </w:rPr>
        <w:t> </w:t>
      </w:r>
      <w:r>
        <w:rPr>
          <w:rStyle w:val="CharSDivText"/>
          <w:szCs w:val="24"/>
        </w:rPr>
        <w:t>Betting on approved events</w:t>
      </w:r>
      <w:bookmarkEnd w:id="145"/>
      <w:bookmarkEnd w:id="146"/>
      <w:bookmarkEnd w:id="147"/>
    </w:p>
    <w:p>
      <w:pPr>
        <w:pStyle w:val="yFootnoteheading"/>
        <w:tabs>
          <w:tab w:val="clear" w:pos="879"/>
          <w:tab w:val="left" w:pos="840"/>
        </w:tabs>
        <w:rPr>
          <w:snapToGrid w:val="0"/>
        </w:rPr>
      </w:pPr>
      <w:r>
        <w:rPr>
          <w:snapToGrid w:val="0"/>
        </w:rPr>
        <w:tab/>
        <w:t>[Heading inserted: Gazette 10 Jul 1992 p. 3294; amended: 25 Jan 2019 p. 200.]</w:t>
      </w:r>
    </w:p>
    <w:p>
      <w:pPr>
        <w:pStyle w:val="yNumberedItem"/>
        <w:rPr>
          <w:snapToGrid w:val="0"/>
        </w:rPr>
      </w:pPr>
      <w:r>
        <w:rPr>
          <w:b/>
        </w:rPr>
        <w:t>1</w:t>
      </w:r>
      <w:r>
        <w:rPr>
          <w:b/>
          <w:snapToGrid w:val="0"/>
        </w:rPr>
        <w:t>.</w:t>
      </w:r>
      <w:r>
        <w:rPr>
          <w:snapToGrid w:val="0"/>
        </w:rPr>
        <w:tab/>
        <w:t xml:space="preserve">Bets shall be determined on the official results as declared by the controlling authority responsible for conducting </w:t>
      </w:r>
      <w:r>
        <w:t>the approved event</w:t>
      </w:r>
      <w:r>
        <w:rPr>
          <w:snapToGrid w:val="0"/>
        </w:rPr>
        <w:t xml:space="preserve"> to which the bets relate.</w:t>
      </w:r>
    </w:p>
    <w:p>
      <w:pPr>
        <w:pStyle w:val="yFootnotesection"/>
      </w:pPr>
      <w:r>
        <w:tab/>
        <w:t>[Rule 1 inserted: Gazette 10 Jul 1992 p. 3294; amended: 25 Jan 2019 p. 201-2.]</w:t>
      </w:r>
    </w:p>
    <w:p>
      <w:pPr>
        <w:pStyle w:val="yNumberedItem"/>
        <w:rPr>
          <w:b/>
          <w:snapToGrid w:val="0"/>
        </w:rPr>
      </w:pPr>
      <w:r>
        <w:rPr>
          <w:b/>
          <w:bCs/>
        </w:rPr>
        <w:t>2</w:t>
      </w:r>
      <w:r>
        <w:rPr>
          <w:b/>
          <w:bCs/>
          <w:snapToGrid w:val="0"/>
        </w:rPr>
        <w:t>.</w:t>
      </w:r>
      <w:r>
        <w:rPr>
          <w:snapToGrid w:val="0"/>
        </w:rPr>
        <w:tab/>
        <w:t>Any</w:t>
      </w:r>
      <w:r>
        <w:rPr>
          <w:bCs/>
          <w:snapToGrid w:val="0"/>
        </w:rPr>
        <w:t xml:space="preserve"> outcome not covered by these rules shall be determined by the stewards acting at the race meeting where the bet was laid.</w:t>
      </w:r>
    </w:p>
    <w:p>
      <w:pPr>
        <w:pStyle w:val="yFootnotesection"/>
      </w:pPr>
      <w:r>
        <w:tab/>
        <w:t>[Rule 2 inserted: Gazette 10 Jul 1992 p. 3294.]</w:t>
      </w:r>
    </w:p>
    <w:p>
      <w:pPr>
        <w:pStyle w:val="yEdnotenumbereditem"/>
      </w:pPr>
      <w:r>
        <w:t>[</w:t>
      </w:r>
      <w:r>
        <w:rPr>
          <w:b/>
          <w:bCs/>
        </w:rPr>
        <w:t>3.</w:t>
      </w:r>
      <w:r>
        <w:tab/>
        <w:t>Deleted: Gazette 25 Sep 2009 p. 3752.]</w:t>
      </w:r>
    </w:p>
    <w:p>
      <w:pPr>
        <w:pStyle w:val="yNumberedItem"/>
        <w:rPr>
          <w:bCs/>
          <w:snapToGrid w:val="0"/>
        </w:rPr>
      </w:pPr>
      <w:r>
        <w:rPr>
          <w:b/>
          <w:bCs/>
        </w:rPr>
        <w:t>4.</w:t>
      </w:r>
      <w:r>
        <w:rPr>
          <w:snapToGrid w:val="0"/>
        </w:rPr>
        <w:tab/>
        <w:t>Where</w:t>
      </w:r>
      <w:r>
        <w:rPr>
          <w:bCs/>
          <w:snapToGrid w:val="0"/>
        </w:rPr>
        <w:t xml:space="preserve"> </w:t>
      </w:r>
      <w:r>
        <w:t>an approved event</w:t>
      </w:r>
      <w:r>
        <w:rPr>
          <w:bCs/>
          <w:snapToGrid w:val="0"/>
        </w:rPr>
        <w:t xml:space="preserve"> results in a tie, draw or dead heat, and odds are offered for that tie, draw or dead heat, any bet for a win is lost.</w:t>
      </w:r>
    </w:p>
    <w:p>
      <w:pPr>
        <w:pStyle w:val="yFootnotesection"/>
      </w:pPr>
      <w:r>
        <w:tab/>
        <w:t>[Rule 4 inserted: Gazette 10 Jul 1992 p. 3294; amended: 25 Jan 2019 p. 201.]</w:t>
      </w:r>
    </w:p>
    <w:p>
      <w:pPr>
        <w:pStyle w:val="yNumberedItem"/>
        <w:rPr>
          <w:snapToGrid w:val="0"/>
        </w:rPr>
      </w:pPr>
      <w:r>
        <w:rPr>
          <w:b/>
          <w:bCs/>
        </w:rPr>
        <w:t>5</w:t>
      </w:r>
      <w:r>
        <w:rPr>
          <w:b/>
          <w:bCs/>
          <w:snapToGrid w:val="0"/>
        </w:rPr>
        <w:t>.</w:t>
      </w:r>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p>
    <w:p>
      <w:pPr>
        <w:pStyle w:val="yNumberedItemPara"/>
        <w:rPr>
          <w:snapToGrid w:val="0"/>
        </w:rPr>
      </w:pPr>
      <w:r>
        <w:rPr>
          <w:snapToGrid w:val="0"/>
        </w:rPr>
        <w:tab/>
        <w:t>(i)</w:t>
      </w:r>
      <w:r>
        <w:rPr>
          <w:snapToGrid w:val="0"/>
        </w:rPr>
        <w:tab/>
        <w:t>half of the amount wagered shall be regarded as “won” at the agreed odds; and</w:t>
      </w:r>
    </w:p>
    <w:p>
      <w:pPr>
        <w:pStyle w:val="yNumberedItemPara"/>
        <w:rPr>
          <w:snapToGrid w:val="0"/>
        </w:rPr>
      </w:pPr>
      <w:r>
        <w:rPr>
          <w:snapToGrid w:val="0"/>
        </w:rPr>
        <w:tab/>
        <w:t>(ii)</w:t>
      </w:r>
      <w:r>
        <w:rPr>
          <w:snapToGrid w:val="0"/>
        </w:rPr>
        <w:tab/>
        <w:t>half of the amount wagered shall be lost.</w:t>
      </w:r>
    </w:p>
    <w:p>
      <w:pPr>
        <w:pStyle w:val="yFootnotesection"/>
      </w:pPr>
      <w:r>
        <w:tab/>
        <w:t>[Rule 5 inserted: Gazette 10 Jul 1992 p. 3294; amended: Gazette 25 Sep 2009 p. 3752.]</w:t>
      </w:r>
    </w:p>
    <w:p>
      <w:pPr>
        <w:pStyle w:val="yNumberedItem"/>
        <w:rPr>
          <w:bCs/>
          <w:snapToGrid w:val="0"/>
        </w:rPr>
      </w:pPr>
      <w:r>
        <w:rPr>
          <w:b/>
          <w:bCs/>
        </w:rPr>
        <w:t>6.</w:t>
      </w:r>
      <w:r>
        <w:rPr>
          <w:snapToGrid w:val="0"/>
        </w:rPr>
        <w:tab/>
      </w:r>
      <w:r>
        <w:rPr>
          <w:bCs/>
          <w:snapToGrid w:val="0"/>
        </w:rPr>
        <w:t xml:space="preserve">In bets </w:t>
      </w:r>
      <w:r>
        <w:rPr>
          <w:snapToGrid w:val="0"/>
        </w:rPr>
        <w:t>involving</w:t>
      </w:r>
      <w:r>
        <w:rPr>
          <w:bCs/>
          <w:snapToGrid w:val="0"/>
        </w:rPr>
        <w:t xml:space="preserve"> more than one contingency of, or relating to, the </w:t>
      </w:r>
      <w:r>
        <w:t>same approved event</w:t>
      </w:r>
      <w:r>
        <w:rPr>
          <w:bCs/>
          <w:snapToGrid w:val="0"/>
        </w:rPr>
        <w:t> —</w:t>
      </w:r>
    </w:p>
    <w:p>
      <w:pPr>
        <w:pStyle w:val="yNumberedItemPara"/>
        <w:rPr>
          <w:snapToGrid w:val="0"/>
        </w:rPr>
      </w:pPr>
      <w:r>
        <w:rPr>
          <w:snapToGrid w:val="0"/>
        </w:rPr>
        <w:tab/>
        <w:t>(a)</w:t>
      </w:r>
      <w:r>
        <w:rPr>
          <w:snapToGrid w:val="0"/>
        </w:rPr>
        <w:tab/>
        <w:t>if the first contingency is not decided in the backer’s favour, the bet is lost; and</w:t>
      </w:r>
    </w:p>
    <w:p>
      <w:pPr>
        <w:pStyle w:val="yNumberedItemPara"/>
        <w:rPr>
          <w:snapToGrid w:val="0"/>
        </w:rPr>
      </w:pPr>
      <w:r>
        <w:rPr>
          <w:snapToGrid w:val="0"/>
        </w:rPr>
        <w:tab/>
        <w:t>(b)</w:t>
      </w:r>
      <w:r>
        <w:rPr>
          <w:snapToGrid w:val="0"/>
        </w:rPr>
        <w:tab/>
        <w:t xml:space="preserve">where the bet covers 2 contingencies and either of those contingencies is decided in the backer’s favour and the other </w:t>
      </w:r>
      <w:r>
        <w:rPr>
          <w:snapToGrid w:val="0"/>
        </w:rPr>
        <w:lastRenderedPageBreak/>
        <w:t>results in a tie, the backer shall receive half the amount receivable had the bet been a winning bet; and</w:t>
      </w:r>
    </w:p>
    <w:p>
      <w:pPr>
        <w:pStyle w:val="yNumberedItemPara"/>
        <w:rPr>
          <w:snapToGrid w:val="0"/>
        </w:rPr>
      </w:pPr>
      <w:r>
        <w:rPr>
          <w:snapToGrid w:val="0"/>
        </w:rPr>
        <w:tab/>
        <w:t>(c)</w:t>
      </w:r>
      <w:r>
        <w:rPr>
          <w:snapToGrid w:val="0"/>
        </w:rPr>
        <w:tab/>
        <w:t>where the bet covers 2 contingencies and both are tied, the backer shall receive one fourth of the amount receivable had the bet been a winning bet; and</w:t>
      </w:r>
    </w:p>
    <w:p>
      <w:pPr>
        <w:pStyle w:val="yNumberedItemPar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 and</w:t>
      </w:r>
    </w:p>
    <w:p>
      <w:pPr>
        <w:pStyle w:val="yNumberedItemPar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NumberedItemPar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spacing w:before="100"/>
      </w:pPr>
      <w:r>
        <w:tab/>
        <w:t>[Rule 6 inserted: Gazette 10 Jul 1992 p. 3294; amended: 25 Jan 2019 p. 201-2.]</w:t>
      </w:r>
    </w:p>
    <w:p>
      <w:pPr>
        <w:pStyle w:val="yNumberedItem"/>
        <w:rPr>
          <w:snapToGrid w:val="0"/>
        </w:rPr>
      </w:pPr>
      <w:r>
        <w:rPr>
          <w:b/>
          <w:bCs/>
        </w:rPr>
        <w:t>7.</w:t>
      </w:r>
      <w:r>
        <w:rPr>
          <w:snapToGrid w:val="0"/>
        </w:rPr>
        <w:tab/>
        <w:t xml:space="preserve">Where </w:t>
      </w:r>
      <w:r>
        <w:t>an approved event</w:t>
      </w:r>
      <w:r>
        <w:rPr>
          <w:snapToGrid w:val="0"/>
        </w:rPr>
        <w:t xml:space="preserve"> is abandoned, all bets are to be refunded except those laid in respect of contingencies that have been decided totally or in part.</w:t>
      </w:r>
    </w:p>
    <w:p>
      <w:pPr>
        <w:pStyle w:val="yFootnotesection"/>
        <w:spacing w:before="100"/>
      </w:pPr>
      <w:r>
        <w:tab/>
        <w:t>[Rule 7 inserted: Gazette 10 Jul 1992 p. 3295; amended: 25 Jan 2019 p. 201-2.]</w:t>
      </w:r>
    </w:p>
    <w:p>
      <w:pPr>
        <w:pStyle w:val="yNumberedItem"/>
        <w:rPr>
          <w:snapToGrid w:val="0"/>
        </w:rPr>
      </w:pPr>
      <w:r>
        <w:rPr>
          <w:b/>
          <w:bCs/>
        </w:rPr>
        <w:t>8.</w:t>
      </w:r>
      <w:r>
        <w:rPr>
          <w:snapToGrid w:val="0"/>
        </w:rPr>
        <w:tab/>
        <w:t xml:space="preserve">Where </w:t>
      </w:r>
      <w:r>
        <w:t>an approved event</w:t>
      </w:r>
      <w:r>
        <w:rPr>
          <w:snapToGrid w:val="0"/>
        </w:rPr>
        <w:t xml:space="preserve"> is postponed to a later date, all bets on the event or contingent on the event shall stand.</w:t>
      </w:r>
    </w:p>
    <w:p>
      <w:pPr>
        <w:pStyle w:val="yFootnotesection"/>
        <w:spacing w:before="100"/>
      </w:pPr>
      <w:r>
        <w:tab/>
        <w:t>[Rule 8 inserted: Gazette 10 Jul 1992 p. 3295; amended: 25 Jan 2019 p. 201-2.]</w:t>
      </w:r>
    </w:p>
    <w:p>
      <w:pPr>
        <w:pStyle w:val="yNumberedItem"/>
        <w:rPr>
          <w:snapToGrid w:val="0"/>
        </w:rPr>
      </w:pPr>
      <w:r>
        <w:rPr>
          <w:b/>
          <w:bCs/>
        </w:rPr>
        <w:t>9.</w:t>
      </w:r>
      <w:r>
        <w:rPr>
          <w:snapToGrid w:val="0"/>
        </w:rPr>
        <w:tab/>
        <w:t xml:space="preserve">All bets in relation to </w:t>
      </w:r>
      <w:r>
        <w:t>approved events</w:t>
      </w:r>
      <w:r>
        <w:rPr>
          <w:snapToGrid w:val="0"/>
        </w:rPr>
        <w:t xml:space="preserve"> shall be “play or pay”, unless the parties mutually agree to the contrary.</w:t>
      </w:r>
    </w:p>
    <w:p>
      <w:pPr>
        <w:pStyle w:val="yFootnotesection"/>
        <w:spacing w:before="100"/>
      </w:pPr>
      <w:r>
        <w:tab/>
        <w:t>[Rule 9 inserted: Gazette 10 Jul 1992 p. 3295; amended: Gazette 30 Jan 2004 p. 408</w:t>
      </w:r>
      <w:r>
        <w:noBreakHyphen/>
        <w:t>11; 25 Jan 2019 p. 201-2.]</w:t>
      </w:r>
    </w:p>
    <w:p>
      <w:pPr>
        <w:pStyle w:val="yMiscellaneousHeading"/>
        <w:rPr>
          <w:b/>
        </w:rPr>
      </w:pPr>
      <w:r>
        <w:rPr>
          <w:b/>
        </w:rPr>
        <w:lastRenderedPageBreak/>
        <w:t>Scale of Deduction Table</w:t>
      </w:r>
    </w:p>
    <w:p>
      <w:pPr>
        <w:pStyle w:val="yNumberedItem"/>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pPr>
      <w:r>
        <w:t>2.</w:t>
      </w:r>
      <w:r>
        <w:tab/>
        <w:t>Generally, the deduction is applied to the face value of a bet made prior to the time it became known that a runner was a late scratched runner.</w:t>
      </w:r>
    </w:p>
    <w:p>
      <w:pPr>
        <w:pStyle w:val="yNumberedItem"/>
      </w:pPr>
      <w:r>
        <w:t>3.</w:t>
      </w:r>
      <w:r>
        <w:tab/>
        <w:t xml:space="preserve">In relation </w:t>
      </w:r>
      <w:r>
        <w:rPr>
          <w:snapToGrid w:val="0"/>
        </w:rPr>
        <w:t>to</w:t>
      </w:r>
      <w:r>
        <w:t xml:space="preserve"> concession bets, the deduction is applied only — </w:t>
      </w:r>
    </w:p>
    <w:p>
      <w:pPr>
        <w:pStyle w:val="yNumberedItemPara"/>
      </w:pPr>
      <w:r>
        <w:tab/>
        <w:t>(a)</w:t>
      </w:r>
      <w:r>
        <w:tab/>
        <w:t xml:space="preserve">in </w:t>
      </w:r>
      <w:r>
        <w:rPr>
          <w:snapToGrid w:val="0"/>
        </w:rPr>
        <w:t>respect</w:t>
      </w:r>
      <w:r>
        <w:t xml:space="preserve"> of a runner that comes first; and</w:t>
      </w:r>
    </w:p>
    <w:p>
      <w:pPr>
        <w:pStyle w:val="yNumberedItemPara"/>
      </w:pPr>
      <w:r>
        <w:tab/>
        <w:t>(b)</w:t>
      </w:r>
      <w:r>
        <w:tab/>
        <w:t>to the amount of winnings payable.</w:t>
      </w:r>
    </w:p>
    <w:p>
      <w:pPr>
        <w:pStyle w:val="yNumberedItem"/>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pPr>
      <w:r>
        <w:t>5.</w:t>
      </w:r>
      <w:r>
        <w:tab/>
        <w:t xml:space="preserve">Where 2 or more withdrawals occur simultaneously during wagering, successful wagers made prior to the time of withdrawal are to be paid the dividend </w:t>
      </w:r>
      <w:r>
        <w:rPr>
          <w:snapToGrid w:val="0"/>
        </w:rPr>
        <w:t>payable</w:t>
      </w:r>
      <w:r>
        <w:t xml:space="preserve"> in respect of the wager, less a deduction determined by adding together the rates of deduction applicable to each of the runners withdrawn.</w:t>
      </w:r>
    </w:p>
    <w:p>
      <w:pPr>
        <w:pStyle w:val="yNumberedItem"/>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Para"/>
      </w:pPr>
      <w:r>
        <w:tab/>
        <w:t>(a)</w:t>
      </w:r>
      <w:r>
        <w:tab/>
        <w:t xml:space="preserve">for wagers placed prior to the first withdrawal, the rate of </w:t>
      </w:r>
      <w:r>
        <w:rPr>
          <w:snapToGrid w:val="0"/>
        </w:rPr>
        <w:t>deduction</w:t>
      </w:r>
      <w:r>
        <w:t xml:space="preserve"> is to be determined by adding together the rates of deduction applicable to the dividends of all withdrawn runners;</w:t>
      </w:r>
    </w:p>
    <w:p>
      <w:pPr>
        <w:pStyle w:val="yNumberedItemPara"/>
      </w:pPr>
      <w:r>
        <w:lastRenderedPageBreak/>
        <w:tab/>
        <w:t>(b)</w:t>
      </w:r>
      <w:r>
        <w:tab/>
        <w:t xml:space="preserve">for wagers placed after the time of the first withdrawal — and prior to the time of the second withdrawal — the rate of </w:t>
      </w:r>
      <w:r>
        <w:rPr>
          <w:snapToGrid w:val="0"/>
        </w:rPr>
        <w:t>deduction</w:t>
      </w:r>
      <w:r>
        <w:t xml:space="preserve"> is to be </w:t>
      </w:r>
      <w:r>
        <w:rPr>
          <w:snapToGrid w:val="0"/>
        </w:rPr>
        <w:t>determined</w:t>
      </w:r>
      <w:r>
        <w:t xml:space="preserve"> by the deduction applicable on the scale of deductions in the Scale of Deduction Table to the dividends of the second withdrawal.</w:t>
      </w:r>
    </w:p>
    <w:p>
      <w:pPr>
        <w:pStyle w:val="yNumberedItem"/>
      </w:pPr>
      <w:r>
        <w:t>7.</w:t>
      </w:r>
      <w:r>
        <w:tab/>
        <w:t xml:space="preserve">Where the </w:t>
      </w:r>
      <w:r>
        <w:rPr>
          <w:snapToGrid w:val="0"/>
        </w:rPr>
        <w:t>runner</w:t>
      </w:r>
      <w:r>
        <w:t xml:space="preserve"> ordered or permitted to be withdrawn, or declared a non</w:t>
      </w:r>
      <w:r>
        <w:noBreakHyphen/>
        <w:t>starter, is shorter than the range of dividends set out in the Scale of Deduction Table, the stewards may —</w:t>
      </w:r>
    </w:p>
    <w:p>
      <w:pPr>
        <w:pStyle w:val="yNumberedItemPara"/>
      </w:pPr>
      <w:r>
        <w:tab/>
        <w:t>(a)</w:t>
      </w:r>
      <w:r>
        <w:tab/>
        <w:t>if there is sufficient time, declare all wagers made on the remaining runners to be void and order that wagering on the race be re</w:t>
      </w:r>
      <w:r>
        <w:noBreakHyphen/>
        <w:t>opened; or</w:t>
      </w:r>
    </w:p>
    <w:p>
      <w:pPr>
        <w:pStyle w:val="yNumberedItemPara"/>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lastRenderedPageBreak/>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lastRenderedPageBreak/>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lastRenderedPageBreak/>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r>
        <w:tab/>
        <w:t>[Scale of Deduction Table amended: Gazette 4 Jan 2013 p. 14-15.]</w:t>
      </w:r>
    </w:p>
    <w:p>
      <w:pPr>
        <w:pStyle w:val="yFootnotesection"/>
        <w:sectPr>
          <w:headerReference w:type="even" r:id="rId30"/>
          <w:headerReference w:type="default" r:id="rId31"/>
          <w:pgSz w:w="11907" w:h="16840" w:code="9"/>
          <w:pgMar w:top="2381" w:right="2410" w:bottom="3544" w:left="2410" w:header="720" w:footer="3544" w:gutter="0"/>
          <w:cols w:space="720"/>
        </w:sectPr>
      </w:pPr>
    </w:p>
    <w:p>
      <w:pPr>
        <w:pStyle w:val="yScheduleHeading"/>
      </w:pPr>
      <w:bookmarkStart w:id="148" w:name="_Toc122078730"/>
      <w:bookmarkStart w:id="149" w:name="_Toc122079206"/>
      <w:bookmarkStart w:id="150" w:name="_Toc122683440"/>
      <w:r>
        <w:rPr>
          <w:rStyle w:val="CharSchNo"/>
        </w:rPr>
        <w:lastRenderedPageBreak/>
        <w:t>Schedule 1</w:t>
      </w:r>
      <w:r>
        <w:rPr>
          <w:rStyle w:val="CharSDivNo"/>
        </w:rPr>
        <w:t> </w:t>
      </w:r>
      <w:r>
        <w:t>—</w:t>
      </w:r>
      <w:r>
        <w:rPr>
          <w:rStyle w:val="CharSDivText"/>
        </w:rPr>
        <w:t> </w:t>
      </w:r>
      <w:r>
        <w:rPr>
          <w:rStyle w:val="CharSchText"/>
        </w:rPr>
        <w:t>Forms</w:t>
      </w:r>
      <w:bookmarkEnd w:id="148"/>
      <w:bookmarkEnd w:id="149"/>
      <w:bookmarkEnd w:id="150"/>
    </w:p>
    <w:p>
      <w:pPr>
        <w:pStyle w:val="yShoulderClause"/>
      </w:pPr>
      <w:r>
        <w:t>[r. 77]</w:t>
      </w:r>
    </w:p>
    <w:p>
      <w:pPr>
        <w:pStyle w:val="yFootnoteheading"/>
        <w:rPr>
          <w:b/>
          <w:snapToGrid w:val="0"/>
        </w:rPr>
      </w:pPr>
      <w:r>
        <w:tab/>
        <w:t>[Heading inserted: Gazette 30 Jan 2004 p. 411.]</w:t>
      </w:r>
    </w:p>
    <w:p>
      <w:pPr>
        <w:pStyle w:val="yMiscellaneousHeading"/>
      </w:pPr>
      <w:r>
        <w:rPr>
          <w:rStyle w:val="CharSClsNo"/>
          <w:b/>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application by [insert name of </w:t>
      </w:r>
      <w:r>
        <w:t>applicant</w:t>
      </w:r>
      <w:r>
        <w:rPr>
          <w:snapToGrid w:val="0"/>
        </w:rPr>
        <w:t xml:space="preserve">]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r>
        <w:rPr>
          <w:snapToGrid w:val="0"/>
        </w:rPr>
        <w:b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Gazette 30 Jan 2004 p. 411; amended: Gazette 14 Jun 2013 p. 2243.]</w:t>
      </w:r>
    </w:p>
    <w:p>
      <w:pPr>
        <w:pStyle w:val="CentredBaseLine"/>
        <w:jc w:val="center"/>
      </w:pPr>
      <w:r>
        <w:rPr>
          <w:noProof/>
        </w:rPr>
        <w:drawing>
          <wp:inline distT="0" distB="0" distL="0" distR="0">
            <wp:extent cx="933450" cy="171450"/>
            <wp:effectExtent l="0" t="0" r="0"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default" r:id="rId33"/>
          <w:pgSz w:w="11907" w:h="16840" w:code="9"/>
          <w:pgMar w:top="2381" w:right="2410" w:bottom="3544" w:left="2410" w:header="720" w:footer="3544" w:gutter="0"/>
          <w:cols w:space="720"/>
        </w:sectPr>
      </w:pPr>
    </w:p>
    <w:p>
      <w:pPr>
        <w:pStyle w:val="nHeading2"/>
      </w:pPr>
      <w:bookmarkStart w:id="151" w:name="_Toc122078731"/>
      <w:bookmarkStart w:id="152" w:name="_Toc122079207"/>
      <w:bookmarkStart w:id="153" w:name="_Toc122683441"/>
      <w:r>
        <w:lastRenderedPageBreak/>
        <w:t>Notes</w:t>
      </w:r>
      <w:bookmarkEnd w:id="151"/>
      <w:bookmarkEnd w:id="152"/>
      <w:bookmarkEnd w:id="153"/>
    </w:p>
    <w:p>
      <w:pPr>
        <w:pStyle w:val="nStatement"/>
      </w:pPr>
      <w:r>
        <w:t xml:space="preserve">This is a compilation of the </w:t>
      </w:r>
      <w:r>
        <w:rPr>
          <w:i/>
          <w:noProof/>
        </w:rPr>
        <w:t>Betting Control Regulations 1978</w:t>
      </w:r>
      <w:r>
        <w:t xml:space="preserve"> and includes amendments made by other written laws. For provisions that have come into operation, and for information about any reprints, see the compilation table.</w:t>
      </w:r>
    </w:p>
    <w:p>
      <w:pPr>
        <w:pStyle w:val="nHeading3"/>
      </w:pPr>
      <w:bookmarkStart w:id="154" w:name="_Toc122683442"/>
      <w:r>
        <w:t>Compilation table</w:t>
      </w:r>
      <w:bookmarkEnd w:id="154"/>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Regulations 1978</w:t>
            </w:r>
          </w:p>
        </w:tc>
        <w:tc>
          <w:tcPr>
            <w:tcW w:w="1276" w:type="dxa"/>
            <w:gridSpan w:val="2"/>
          </w:tcPr>
          <w:p>
            <w:pPr>
              <w:pStyle w:val="nTable"/>
              <w:spacing w:after="40"/>
            </w:pPr>
            <w:r>
              <w:t>22 Jun 1978 p. 1991</w:t>
            </w:r>
            <w:r>
              <w:noBreakHyphen/>
              <w:t>2014</w:t>
            </w:r>
          </w:p>
        </w:tc>
        <w:tc>
          <w:tcPr>
            <w:tcW w:w="2693" w:type="dxa"/>
            <w:gridSpan w:val="2"/>
          </w:tcPr>
          <w:p>
            <w:pPr>
              <w:pStyle w:val="nTable"/>
              <w:spacing w:after="40"/>
            </w:pPr>
            <w:r>
              <w:t>22 Jun 1978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1983</w:t>
            </w:r>
          </w:p>
        </w:tc>
        <w:tc>
          <w:tcPr>
            <w:tcW w:w="1276" w:type="dxa"/>
            <w:gridSpan w:val="2"/>
          </w:tcPr>
          <w:p>
            <w:pPr>
              <w:pStyle w:val="nTable"/>
              <w:spacing w:after="40"/>
            </w:pPr>
            <w:r>
              <w:t>12 Aug 1983 p. 2918</w:t>
            </w:r>
          </w:p>
        </w:tc>
        <w:tc>
          <w:tcPr>
            <w:tcW w:w="2693" w:type="dxa"/>
            <w:gridSpan w:val="2"/>
          </w:tcPr>
          <w:p>
            <w:pPr>
              <w:pStyle w:val="nTable"/>
              <w:spacing w:after="40"/>
            </w:pPr>
            <w:r>
              <w:t>12 Aug 1983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1988</w:t>
            </w:r>
          </w:p>
        </w:tc>
        <w:tc>
          <w:tcPr>
            <w:tcW w:w="1276" w:type="dxa"/>
            <w:gridSpan w:val="2"/>
          </w:tcPr>
          <w:p>
            <w:pPr>
              <w:pStyle w:val="nTable"/>
              <w:spacing w:after="40"/>
            </w:pPr>
            <w:r>
              <w:t>4 Mar 1988 p. 667</w:t>
            </w:r>
            <w:r>
              <w:noBreakHyphen/>
              <w:t>8</w:t>
            </w:r>
          </w:p>
        </w:tc>
        <w:tc>
          <w:tcPr>
            <w:tcW w:w="2693" w:type="dxa"/>
            <w:gridSpan w:val="2"/>
          </w:tcPr>
          <w:p>
            <w:pPr>
              <w:pStyle w:val="nTable"/>
              <w:spacing w:after="40"/>
            </w:pPr>
            <w:r>
              <w:t>4 Mar 1988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1988</w:t>
            </w:r>
          </w:p>
        </w:tc>
        <w:tc>
          <w:tcPr>
            <w:tcW w:w="1276" w:type="dxa"/>
            <w:gridSpan w:val="2"/>
          </w:tcPr>
          <w:p>
            <w:pPr>
              <w:pStyle w:val="nTable"/>
              <w:spacing w:after="40"/>
            </w:pPr>
            <w:r>
              <w:t>24 Jun 1988 p. 2003</w:t>
            </w:r>
            <w:r>
              <w:noBreakHyphen/>
              <w:t>5</w:t>
            </w:r>
          </w:p>
        </w:tc>
        <w:tc>
          <w:tcPr>
            <w:tcW w:w="2693" w:type="dxa"/>
            <w:gridSpan w:val="2"/>
          </w:tcPr>
          <w:p>
            <w:pPr>
              <w:pStyle w:val="nTable"/>
              <w:spacing w:after="40"/>
            </w:pPr>
            <w:r>
              <w:t>24 Jun 1988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1989</w:t>
            </w:r>
          </w:p>
        </w:tc>
        <w:tc>
          <w:tcPr>
            <w:tcW w:w="1276" w:type="dxa"/>
            <w:gridSpan w:val="2"/>
          </w:tcPr>
          <w:p>
            <w:pPr>
              <w:pStyle w:val="nTable"/>
              <w:spacing w:after="40"/>
            </w:pPr>
            <w:r>
              <w:t>14 Jul 1989 p. 2133</w:t>
            </w:r>
          </w:p>
        </w:tc>
        <w:tc>
          <w:tcPr>
            <w:tcW w:w="2693" w:type="dxa"/>
            <w:gridSpan w:val="2"/>
          </w:tcPr>
          <w:p>
            <w:pPr>
              <w:pStyle w:val="nTable"/>
              <w:spacing w:after="40"/>
            </w:pPr>
            <w:r>
              <w:t>14 Jul 1989</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1990</w:t>
            </w:r>
          </w:p>
        </w:tc>
        <w:tc>
          <w:tcPr>
            <w:tcW w:w="1276" w:type="dxa"/>
            <w:gridSpan w:val="2"/>
          </w:tcPr>
          <w:p>
            <w:pPr>
              <w:pStyle w:val="nTable"/>
              <w:spacing w:after="40"/>
            </w:pPr>
            <w:r>
              <w:t>14 Sep 1990 p. 4863</w:t>
            </w:r>
            <w:r>
              <w:noBreakHyphen/>
              <w:t>4</w:t>
            </w:r>
          </w:p>
        </w:tc>
        <w:tc>
          <w:tcPr>
            <w:tcW w:w="2693" w:type="dxa"/>
            <w:gridSpan w:val="2"/>
          </w:tcPr>
          <w:p>
            <w:pPr>
              <w:pStyle w:val="nTable"/>
              <w:spacing w:after="40"/>
            </w:pPr>
            <w:r>
              <w:t>14 Sep 1990</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1991</w:t>
            </w:r>
          </w:p>
        </w:tc>
        <w:tc>
          <w:tcPr>
            <w:tcW w:w="1276" w:type="dxa"/>
            <w:gridSpan w:val="2"/>
          </w:tcPr>
          <w:p>
            <w:pPr>
              <w:pStyle w:val="nTable"/>
              <w:spacing w:after="40"/>
            </w:pPr>
            <w:r>
              <w:t>14 Feb 1992 p. 857</w:t>
            </w:r>
            <w:r>
              <w:noBreakHyphen/>
              <w:t>62</w:t>
            </w:r>
          </w:p>
        </w:tc>
        <w:tc>
          <w:tcPr>
            <w:tcW w:w="2693" w:type="dxa"/>
            <w:gridSpan w:val="2"/>
          </w:tcPr>
          <w:p>
            <w:pPr>
              <w:pStyle w:val="nTable"/>
              <w:spacing w:after="40"/>
            </w:pPr>
            <w:r>
              <w:t>14 Feb 1992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1992</w:t>
            </w:r>
          </w:p>
        </w:tc>
        <w:tc>
          <w:tcPr>
            <w:tcW w:w="1276" w:type="dxa"/>
            <w:gridSpan w:val="2"/>
          </w:tcPr>
          <w:p>
            <w:pPr>
              <w:pStyle w:val="nTable"/>
              <w:spacing w:after="40"/>
            </w:pPr>
            <w:r>
              <w:t>10 Jul 1992 p. 3286</w:t>
            </w:r>
            <w:r>
              <w:noBreakHyphen/>
              <w:t>95</w:t>
            </w:r>
          </w:p>
        </w:tc>
        <w:tc>
          <w:tcPr>
            <w:tcW w:w="2693" w:type="dxa"/>
            <w:gridSpan w:val="2"/>
          </w:tcPr>
          <w:p>
            <w:pPr>
              <w:pStyle w:val="nTable"/>
              <w:spacing w:after="40"/>
            </w:pPr>
            <w:r>
              <w:t>10 Jul 1992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1992</w:t>
            </w:r>
          </w:p>
        </w:tc>
        <w:tc>
          <w:tcPr>
            <w:tcW w:w="1276" w:type="dxa"/>
            <w:gridSpan w:val="2"/>
          </w:tcPr>
          <w:p>
            <w:pPr>
              <w:pStyle w:val="nTable"/>
              <w:spacing w:after="40"/>
            </w:pPr>
            <w:r>
              <w:t>31 Jul 1992 p. 3796</w:t>
            </w:r>
          </w:p>
        </w:tc>
        <w:tc>
          <w:tcPr>
            <w:tcW w:w="2693" w:type="dxa"/>
            <w:gridSpan w:val="2"/>
          </w:tcPr>
          <w:p>
            <w:pPr>
              <w:pStyle w:val="nTable"/>
              <w:spacing w:after="40"/>
            </w:pPr>
            <w:r>
              <w:t>31 Jul 1992</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20 Aug 1992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1993</w:t>
            </w:r>
          </w:p>
        </w:tc>
        <w:tc>
          <w:tcPr>
            <w:tcW w:w="1276" w:type="dxa"/>
            <w:gridSpan w:val="2"/>
          </w:tcPr>
          <w:p>
            <w:pPr>
              <w:pStyle w:val="nTable"/>
              <w:spacing w:after="40"/>
            </w:pPr>
            <w:r>
              <w:t>31 Aug 1993 p. 4677 (correction 10 Sep 1993 p. 4975)</w:t>
            </w:r>
          </w:p>
        </w:tc>
        <w:tc>
          <w:tcPr>
            <w:tcW w:w="2693" w:type="dxa"/>
            <w:gridSpan w:val="2"/>
          </w:tcPr>
          <w:p>
            <w:pPr>
              <w:pStyle w:val="nTable"/>
              <w:spacing w:after="40"/>
            </w:pPr>
            <w:r>
              <w:t>31 Aug 1993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(No. 2) 1993</w:t>
            </w:r>
          </w:p>
        </w:tc>
        <w:tc>
          <w:tcPr>
            <w:tcW w:w="1276" w:type="dxa"/>
            <w:gridSpan w:val="2"/>
          </w:tcPr>
          <w:p>
            <w:pPr>
              <w:pStyle w:val="nTable"/>
              <w:spacing w:after="40"/>
            </w:pPr>
            <w:r>
              <w:t>24 Dec 1993 p. 6839</w:t>
            </w:r>
            <w:r>
              <w:noBreakHyphen/>
              <w:t>40</w:t>
            </w:r>
          </w:p>
        </w:tc>
        <w:tc>
          <w:tcPr>
            <w:tcW w:w="2693" w:type="dxa"/>
            <w:gridSpan w:val="2"/>
          </w:tcPr>
          <w:p>
            <w:pPr>
              <w:pStyle w:val="nTable"/>
              <w:spacing w:after="40"/>
            </w:pPr>
            <w:r>
              <w:t>24 Dec 1993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1994</w:t>
            </w:r>
          </w:p>
        </w:tc>
        <w:tc>
          <w:tcPr>
            <w:tcW w:w="1276" w:type="dxa"/>
            <w:gridSpan w:val="2"/>
          </w:tcPr>
          <w:p>
            <w:pPr>
              <w:pStyle w:val="nTable"/>
              <w:spacing w:after="40"/>
            </w:pPr>
            <w:r>
              <w:t>2 Dec 1994 p. 6383</w:t>
            </w:r>
          </w:p>
        </w:tc>
        <w:tc>
          <w:tcPr>
            <w:tcW w:w="2693" w:type="dxa"/>
            <w:gridSpan w:val="2"/>
          </w:tcPr>
          <w:p>
            <w:pPr>
              <w:pStyle w:val="nTable"/>
              <w:spacing w:after="40"/>
            </w:pPr>
            <w:r>
              <w:t>2 Dec 1994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1996</w:t>
            </w:r>
          </w:p>
        </w:tc>
        <w:tc>
          <w:tcPr>
            <w:tcW w:w="1276" w:type="dxa"/>
            <w:gridSpan w:val="2"/>
          </w:tcPr>
          <w:p>
            <w:pPr>
              <w:pStyle w:val="nTable"/>
              <w:spacing w:after="40"/>
            </w:pPr>
            <w:r>
              <w:t>25 Jun 1996 p. 2974</w:t>
            </w:r>
            <w:r>
              <w:noBreakHyphen/>
              <w:t>8</w:t>
            </w:r>
          </w:p>
        </w:tc>
        <w:tc>
          <w:tcPr>
            <w:tcW w:w="2693" w:type="dxa"/>
            <w:gridSpan w:val="2"/>
          </w:tcPr>
          <w:p>
            <w:pPr>
              <w:pStyle w:val="nTable"/>
              <w:spacing w:after="40"/>
            </w:pPr>
            <w:r>
              <w:t xml:space="preserve">28 Jun 1996 (see r. 2 and </w:t>
            </w:r>
            <w:r>
              <w:rPr>
                <w:i/>
              </w:rPr>
              <w:t>Gazette</w:t>
            </w:r>
            <w:r>
              <w:t xml:space="preserve"> 25 Jun 1996 p. 2901)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lastRenderedPageBreak/>
              <w:t>Betting Control Amendment Regulations (No. 2) 1996</w:t>
            </w:r>
          </w:p>
        </w:tc>
        <w:tc>
          <w:tcPr>
            <w:tcW w:w="1276" w:type="dxa"/>
            <w:gridSpan w:val="2"/>
          </w:tcPr>
          <w:p>
            <w:pPr>
              <w:pStyle w:val="nTable"/>
              <w:spacing w:after="40"/>
            </w:pPr>
            <w:r>
              <w:t>22 Oct 1996 p. 5619</w:t>
            </w:r>
          </w:p>
        </w:tc>
        <w:tc>
          <w:tcPr>
            <w:tcW w:w="2693" w:type="dxa"/>
            <w:gridSpan w:val="2"/>
          </w:tcPr>
          <w:p>
            <w:pPr>
              <w:pStyle w:val="nTable"/>
              <w:spacing w:after="40"/>
            </w:pPr>
            <w:r>
              <w:t>22 Oct 1996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1997</w:t>
            </w:r>
          </w:p>
        </w:tc>
        <w:tc>
          <w:tcPr>
            <w:tcW w:w="1276" w:type="dxa"/>
            <w:gridSpan w:val="2"/>
          </w:tcPr>
          <w:p>
            <w:pPr>
              <w:pStyle w:val="nTable"/>
              <w:spacing w:after="40"/>
            </w:pPr>
            <w:r>
              <w:t>4 Mar 1997</w:t>
            </w:r>
            <w:r>
              <w:br/>
              <w:t>p. 1395</w:t>
            </w:r>
          </w:p>
        </w:tc>
        <w:tc>
          <w:tcPr>
            <w:tcW w:w="2693" w:type="dxa"/>
            <w:gridSpan w:val="2"/>
          </w:tcPr>
          <w:p>
            <w:pPr>
              <w:pStyle w:val="nTable"/>
              <w:spacing w:after="40"/>
            </w:pPr>
            <w:r>
              <w:t>4 Mar 1997</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keepNext/>
              <w:spacing w:after="40"/>
              <w:ind w:right="113"/>
            </w:pPr>
            <w:r>
              <w:rPr>
                <w:i/>
              </w:rPr>
              <w:t>Betting Control Amendment Regulations (No. 2) 1997</w:t>
            </w:r>
          </w:p>
        </w:tc>
        <w:tc>
          <w:tcPr>
            <w:tcW w:w="1276" w:type="dxa"/>
            <w:gridSpan w:val="2"/>
          </w:tcPr>
          <w:p>
            <w:pPr>
              <w:pStyle w:val="nTable"/>
              <w:keepNext/>
              <w:spacing w:after="40"/>
            </w:pPr>
            <w:r>
              <w:t>4 Mar 1997 p. 1396 (as amended 24 Jun 1997 p. 3014)</w:t>
            </w:r>
          </w:p>
        </w:tc>
        <w:tc>
          <w:tcPr>
            <w:tcW w:w="2693" w:type="dxa"/>
            <w:gridSpan w:val="2"/>
          </w:tcPr>
          <w:p>
            <w:pPr>
              <w:pStyle w:val="nTable"/>
              <w:keepNext/>
              <w:spacing w:after="40"/>
            </w:pPr>
            <w:r>
              <w:t>1 Aug 1997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(No. 3) 1997</w:t>
            </w:r>
          </w:p>
        </w:tc>
        <w:tc>
          <w:tcPr>
            <w:tcW w:w="1276" w:type="dxa"/>
            <w:gridSpan w:val="2"/>
          </w:tcPr>
          <w:p>
            <w:pPr>
              <w:pStyle w:val="nTable"/>
              <w:spacing w:after="40"/>
            </w:pPr>
            <w:r>
              <w:t>24 Jun 1997 p. 3014</w:t>
            </w:r>
          </w:p>
        </w:tc>
        <w:tc>
          <w:tcPr>
            <w:tcW w:w="2693" w:type="dxa"/>
            <w:gridSpan w:val="2"/>
          </w:tcPr>
          <w:p>
            <w:pPr>
              <w:pStyle w:val="nTable"/>
              <w:spacing w:after="40"/>
            </w:pPr>
            <w:r>
              <w:t>24 Jun 1997</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30 Sep 1997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1998</w:t>
            </w:r>
          </w:p>
        </w:tc>
        <w:tc>
          <w:tcPr>
            <w:tcW w:w="1276" w:type="dxa"/>
            <w:gridSpan w:val="2"/>
          </w:tcPr>
          <w:p>
            <w:pPr>
              <w:pStyle w:val="nTable"/>
              <w:spacing w:after="40"/>
            </w:pPr>
            <w:r>
              <w:t>13 Mar 1998 p. 1394</w:t>
            </w:r>
          </w:p>
        </w:tc>
        <w:tc>
          <w:tcPr>
            <w:tcW w:w="2693" w:type="dxa"/>
            <w:gridSpan w:val="2"/>
          </w:tcPr>
          <w:p>
            <w:pPr>
              <w:pStyle w:val="nTable"/>
              <w:spacing w:after="40"/>
            </w:pPr>
            <w:r>
              <w:t>13 Mar 1998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1998</w:t>
            </w:r>
          </w:p>
        </w:tc>
        <w:tc>
          <w:tcPr>
            <w:tcW w:w="1276" w:type="dxa"/>
            <w:gridSpan w:val="2"/>
          </w:tcPr>
          <w:p>
            <w:pPr>
              <w:pStyle w:val="nTable"/>
              <w:spacing w:after="40"/>
            </w:pPr>
            <w:r>
              <w:t>10 Jul 1998 p. 3647</w:t>
            </w:r>
          </w:p>
        </w:tc>
        <w:tc>
          <w:tcPr>
            <w:tcW w:w="2693" w:type="dxa"/>
            <w:gridSpan w:val="2"/>
          </w:tcPr>
          <w:p>
            <w:pPr>
              <w:pStyle w:val="nTable"/>
              <w:spacing w:after="40"/>
            </w:pPr>
            <w:r>
              <w:t>1 Aug 1998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1998</w:t>
            </w:r>
          </w:p>
        </w:tc>
        <w:tc>
          <w:tcPr>
            <w:tcW w:w="1276" w:type="dxa"/>
            <w:gridSpan w:val="2"/>
          </w:tcPr>
          <w:p>
            <w:pPr>
              <w:pStyle w:val="nTable"/>
              <w:spacing w:after="40"/>
            </w:pPr>
            <w:r>
              <w:t>21 Jul 1998 p. 3850</w:t>
            </w:r>
            <w:r>
              <w:noBreakHyphen/>
              <w:t>60</w:t>
            </w:r>
          </w:p>
        </w:tc>
        <w:tc>
          <w:tcPr>
            <w:tcW w:w="2693" w:type="dxa"/>
            <w:gridSpan w:val="2"/>
          </w:tcPr>
          <w:p>
            <w:pPr>
              <w:pStyle w:val="nTable"/>
              <w:spacing w:after="40"/>
            </w:pPr>
            <w:r>
              <w:t xml:space="preserve">1 Aug 1998 (see r. 2 and </w:t>
            </w:r>
            <w:r>
              <w:rPr>
                <w:i/>
              </w:rPr>
              <w:t xml:space="preserve">Gazette </w:t>
            </w:r>
            <w:r>
              <w:t>21 Jul 1998 p. 3825)</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1999</w:t>
            </w:r>
          </w:p>
        </w:tc>
        <w:tc>
          <w:tcPr>
            <w:tcW w:w="1276" w:type="dxa"/>
            <w:gridSpan w:val="2"/>
          </w:tcPr>
          <w:p>
            <w:pPr>
              <w:pStyle w:val="nTable"/>
              <w:spacing w:after="40"/>
            </w:pPr>
            <w:r>
              <w:t>26 Nov 1999 p. 5908</w:t>
            </w:r>
            <w:r>
              <w:noBreakHyphen/>
              <w:t>10</w:t>
            </w:r>
          </w:p>
        </w:tc>
        <w:tc>
          <w:tcPr>
            <w:tcW w:w="2693" w:type="dxa"/>
            <w:gridSpan w:val="2"/>
          </w:tcPr>
          <w:p>
            <w:pPr>
              <w:pStyle w:val="nTable"/>
              <w:spacing w:after="40"/>
            </w:pPr>
            <w:r>
              <w:t>26 Nov 1999</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 xml:space="preserve">Betting Control Amendment Regulations 2000 </w:t>
            </w:r>
          </w:p>
        </w:tc>
        <w:tc>
          <w:tcPr>
            <w:tcW w:w="1276" w:type="dxa"/>
            <w:gridSpan w:val="2"/>
          </w:tcPr>
          <w:p>
            <w:pPr>
              <w:pStyle w:val="nTable"/>
              <w:spacing w:after="40"/>
            </w:pPr>
            <w:r>
              <w:t>13 Oct 2000 p. 5726</w:t>
            </w:r>
            <w:r>
              <w:noBreakHyphen/>
              <w:t>7</w:t>
            </w:r>
          </w:p>
        </w:tc>
        <w:tc>
          <w:tcPr>
            <w:tcW w:w="2693" w:type="dxa"/>
            <w:gridSpan w:val="2"/>
          </w:tcPr>
          <w:p>
            <w:pPr>
              <w:pStyle w:val="nTable"/>
              <w:spacing w:after="40"/>
            </w:pPr>
            <w:r>
              <w:t xml:space="preserve">13 Oct 2000 </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6 Apr 2001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2001</w:t>
            </w:r>
          </w:p>
        </w:tc>
        <w:tc>
          <w:tcPr>
            <w:tcW w:w="1276" w:type="dxa"/>
            <w:gridSpan w:val="2"/>
          </w:tcPr>
          <w:p>
            <w:pPr>
              <w:pStyle w:val="nTable"/>
              <w:spacing w:after="40"/>
            </w:pPr>
            <w:r>
              <w:t>11 Sep 2001 p. 5001</w:t>
            </w:r>
          </w:p>
        </w:tc>
        <w:tc>
          <w:tcPr>
            <w:tcW w:w="2693" w:type="dxa"/>
            <w:gridSpan w:val="2"/>
          </w:tcPr>
          <w:p>
            <w:pPr>
              <w:pStyle w:val="nTable"/>
              <w:spacing w:after="40"/>
            </w:pPr>
            <w:r>
              <w:t>11 Sep 2001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2001</w:t>
            </w:r>
          </w:p>
        </w:tc>
        <w:tc>
          <w:tcPr>
            <w:tcW w:w="1276" w:type="dxa"/>
            <w:gridSpan w:val="2"/>
          </w:tcPr>
          <w:p>
            <w:pPr>
              <w:pStyle w:val="nTable"/>
              <w:spacing w:after="40"/>
            </w:pPr>
            <w:r>
              <w:t>2 Oct 2001 p. 5454</w:t>
            </w:r>
            <w:r>
              <w:noBreakHyphen/>
              <w:t>5</w:t>
            </w:r>
          </w:p>
        </w:tc>
        <w:tc>
          <w:tcPr>
            <w:tcW w:w="2693" w:type="dxa"/>
            <w:gridSpan w:val="2"/>
          </w:tcPr>
          <w:p>
            <w:pPr>
              <w:pStyle w:val="nTable"/>
              <w:spacing w:after="40"/>
            </w:pPr>
            <w:r>
              <w:t>2 Oct 2001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2001</w:t>
            </w:r>
          </w:p>
        </w:tc>
        <w:tc>
          <w:tcPr>
            <w:tcW w:w="1276" w:type="dxa"/>
            <w:gridSpan w:val="2"/>
          </w:tcPr>
          <w:p>
            <w:pPr>
              <w:pStyle w:val="nTable"/>
              <w:spacing w:after="40"/>
            </w:pPr>
            <w:r>
              <w:t>18 Jan 2002 p. 284</w:t>
            </w:r>
          </w:p>
        </w:tc>
        <w:tc>
          <w:tcPr>
            <w:tcW w:w="2693" w:type="dxa"/>
            <w:gridSpan w:val="2"/>
          </w:tcPr>
          <w:p>
            <w:pPr>
              <w:pStyle w:val="nTable"/>
              <w:spacing w:after="40"/>
            </w:pPr>
            <w:r>
              <w:t>21 Jan 2002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2002</w:t>
            </w:r>
          </w:p>
        </w:tc>
        <w:tc>
          <w:tcPr>
            <w:tcW w:w="1276" w:type="dxa"/>
            <w:gridSpan w:val="2"/>
          </w:tcPr>
          <w:p>
            <w:pPr>
              <w:pStyle w:val="nTable"/>
              <w:spacing w:after="40"/>
            </w:pPr>
            <w:r>
              <w:t>20 Sep 2002 p. 4697</w:t>
            </w:r>
            <w:r>
              <w:noBreakHyphen/>
              <w:t>704</w:t>
            </w:r>
          </w:p>
        </w:tc>
        <w:tc>
          <w:tcPr>
            <w:tcW w:w="2693" w:type="dxa"/>
            <w:gridSpan w:val="2"/>
          </w:tcPr>
          <w:p>
            <w:pPr>
              <w:pStyle w:val="nTable"/>
              <w:spacing w:after="40"/>
            </w:pPr>
            <w:r>
              <w:t xml:space="preserve">21 Sep 2002 (see r. 2 and </w:t>
            </w:r>
            <w:r>
              <w:rPr>
                <w:i/>
              </w:rPr>
              <w:t>Gazette</w:t>
            </w:r>
            <w:r>
              <w:t xml:space="preserve"> 20 Sep 2002 p. 4693)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2002</w:t>
            </w:r>
          </w:p>
        </w:tc>
        <w:tc>
          <w:tcPr>
            <w:tcW w:w="1276" w:type="dxa"/>
            <w:gridSpan w:val="2"/>
          </w:tcPr>
          <w:p>
            <w:pPr>
              <w:pStyle w:val="nTable"/>
              <w:spacing w:after="40"/>
            </w:pPr>
            <w:r>
              <w:t>17 Dec 2002 p. 5923</w:t>
            </w:r>
            <w:r>
              <w:noBreakHyphen/>
              <w:t>4</w:t>
            </w:r>
          </w:p>
        </w:tc>
        <w:tc>
          <w:tcPr>
            <w:tcW w:w="2693" w:type="dxa"/>
            <w:gridSpan w:val="2"/>
          </w:tcPr>
          <w:p>
            <w:pPr>
              <w:pStyle w:val="nTable"/>
              <w:spacing w:after="40"/>
            </w:pPr>
            <w:r>
              <w:t>17 Dec 2002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2003</w:t>
            </w:r>
          </w:p>
        </w:tc>
        <w:tc>
          <w:tcPr>
            <w:tcW w:w="1276" w:type="dxa"/>
            <w:gridSpan w:val="2"/>
          </w:tcPr>
          <w:p>
            <w:pPr>
              <w:pStyle w:val="nTable"/>
              <w:spacing w:after="40"/>
            </w:pPr>
            <w:r>
              <w:t>25 Mar 2003 p. 921</w:t>
            </w:r>
            <w:r>
              <w:noBreakHyphen/>
              <w:t>2</w:t>
            </w:r>
          </w:p>
        </w:tc>
        <w:tc>
          <w:tcPr>
            <w:tcW w:w="2693" w:type="dxa"/>
            <w:gridSpan w:val="2"/>
          </w:tcPr>
          <w:p>
            <w:pPr>
              <w:pStyle w:val="nTable"/>
              <w:spacing w:after="40"/>
            </w:pPr>
            <w:r>
              <w:t>1 Apr 2003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2003</w:t>
            </w:r>
          </w:p>
        </w:tc>
        <w:tc>
          <w:tcPr>
            <w:tcW w:w="1276" w:type="dxa"/>
            <w:gridSpan w:val="2"/>
          </w:tcPr>
          <w:p>
            <w:pPr>
              <w:pStyle w:val="nTable"/>
              <w:spacing w:after="40"/>
            </w:pPr>
            <w:r>
              <w:t>20 Jun 2003 p. 2250</w:t>
            </w:r>
            <w:r>
              <w:noBreakHyphen/>
              <w:t>1</w:t>
            </w:r>
          </w:p>
        </w:tc>
        <w:tc>
          <w:tcPr>
            <w:tcW w:w="2693" w:type="dxa"/>
            <w:gridSpan w:val="2"/>
          </w:tcPr>
          <w:p>
            <w:pPr>
              <w:pStyle w:val="nTable"/>
              <w:spacing w:after="40"/>
            </w:pPr>
            <w:r>
              <w:t>1 Jul 2003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lastRenderedPageBreak/>
              <w:t>Betting Control Amendment Regulations (No. 3) 2003</w:t>
            </w:r>
          </w:p>
        </w:tc>
        <w:tc>
          <w:tcPr>
            <w:tcW w:w="1276" w:type="dxa"/>
            <w:gridSpan w:val="2"/>
          </w:tcPr>
          <w:p>
            <w:pPr>
              <w:pStyle w:val="nTable"/>
              <w:spacing w:after="40"/>
            </w:pPr>
            <w:r>
              <w:t>26 Sep 2003 p. 4225</w:t>
            </w:r>
            <w:r>
              <w:noBreakHyphen/>
              <w:t>6</w:t>
            </w:r>
          </w:p>
        </w:tc>
        <w:tc>
          <w:tcPr>
            <w:tcW w:w="2693" w:type="dxa"/>
            <w:gridSpan w:val="2"/>
          </w:tcPr>
          <w:p>
            <w:pPr>
              <w:pStyle w:val="nTable"/>
              <w:spacing w:after="40"/>
            </w:pPr>
            <w:r>
              <w:t>1 Jan 2004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2003</w:t>
            </w:r>
          </w:p>
        </w:tc>
        <w:tc>
          <w:tcPr>
            <w:tcW w:w="1276" w:type="dxa"/>
            <w:gridSpan w:val="2"/>
          </w:tcPr>
          <w:p>
            <w:pPr>
              <w:pStyle w:val="nTable"/>
              <w:spacing w:after="40"/>
            </w:pPr>
            <w:r>
              <w:t>11 Nov 2003 p. 4673</w:t>
            </w:r>
            <w:r>
              <w:noBreakHyphen/>
              <w:t>4</w:t>
            </w:r>
          </w:p>
        </w:tc>
        <w:tc>
          <w:tcPr>
            <w:tcW w:w="2693" w:type="dxa"/>
            <w:gridSpan w:val="2"/>
          </w:tcPr>
          <w:p>
            <w:pPr>
              <w:pStyle w:val="nTable"/>
              <w:spacing w:after="40"/>
            </w:pPr>
            <w:r>
              <w:t>11 Nov 2003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2004</w:t>
            </w:r>
          </w:p>
        </w:tc>
        <w:tc>
          <w:tcPr>
            <w:tcW w:w="1276" w:type="dxa"/>
            <w:gridSpan w:val="2"/>
          </w:tcPr>
          <w:p>
            <w:pPr>
              <w:pStyle w:val="nTable"/>
              <w:spacing w:after="40"/>
            </w:pPr>
            <w:r>
              <w:t>30 Jan 2004 p. 403</w:t>
            </w:r>
            <w:r>
              <w:noBreakHyphen/>
              <w:t>12</w:t>
            </w:r>
          </w:p>
        </w:tc>
        <w:tc>
          <w:tcPr>
            <w:tcW w:w="2693" w:type="dxa"/>
            <w:gridSpan w:val="2"/>
          </w:tcPr>
          <w:p>
            <w:pPr>
              <w:pStyle w:val="nTable"/>
              <w:spacing w:after="40"/>
            </w:pPr>
            <w:r>
              <w:t>30 Jan 2004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2004</w:t>
            </w:r>
          </w:p>
        </w:tc>
        <w:tc>
          <w:tcPr>
            <w:tcW w:w="1276" w:type="dxa"/>
            <w:gridSpan w:val="2"/>
          </w:tcPr>
          <w:p>
            <w:pPr>
              <w:pStyle w:val="nTable"/>
              <w:spacing w:after="40"/>
            </w:pPr>
            <w:r>
              <w:t>1 Jul 2004 p. 2625</w:t>
            </w:r>
            <w:r>
              <w:noBreakHyphen/>
              <w:t>6</w:t>
            </w:r>
          </w:p>
        </w:tc>
        <w:tc>
          <w:tcPr>
            <w:tcW w:w="2693" w:type="dxa"/>
            <w:gridSpan w:val="2"/>
          </w:tcPr>
          <w:p>
            <w:pPr>
              <w:pStyle w:val="nTable"/>
              <w:spacing w:after="40"/>
            </w:pPr>
            <w:r>
              <w:t>1 Jul 2004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2004</w:t>
            </w:r>
            <w:r>
              <w:t xml:space="preserve"> </w:t>
            </w:r>
          </w:p>
        </w:tc>
        <w:tc>
          <w:tcPr>
            <w:tcW w:w="1276" w:type="dxa"/>
            <w:gridSpan w:val="2"/>
          </w:tcPr>
          <w:p>
            <w:pPr>
              <w:pStyle w:val="nTable"/>
              <w:spacing w:after="40"/>
            </w:pPr>
            <w:r>
              <w:t>9 Jul 2004 p. 2780</w:t>
            </w:r>
            <w:r>
              <w:noBreakHyphen/>
              <w:t>1</w:t>
            </w:r>
          </w:p>
        </w:tc>
        <w:tc>
          <w:tcPr>
            <w:tcW w:w="2693" w:type="dxa"/>
            <w:gridSpan w:val="2"/>
          </w:tcPr>
          <w:p>
            <w:pPr>
              <w:pStyle w:val="nTable"/>
              <w:spacing w:after="40"/>
            </w:pPr>
            <w:r>
              <w:t>1 Jan 2005 (see r. 2)</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4: The </w:t>
            </w:r>
            <w:r>
              <w:rPr>
                <w:b/>
                <w:i/>
              </w:rPr>
              <w:t xml:space="preserve">Betting Control Regulations 1978 </w:t>
            </w:r>
            <w:r>
              <w:rPr>
                <w:b/>
              </w:rPr>
              <w:t>as at 6 May 2005</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2005</w:t>
            </w:r>
          </w:p>
        </w:tc>
        <w:tc>
          <w:tcPr>
            <w:tcW w:w="1276" w:type="dxa"/>
            <w:gridSpan w:val="2"/>
          </w:tcPr>
          <w:p>
            <w:pPr>
              <w:pStyle w:val="nTable"/>
              <w:spacing w:after="40"/>
            </w:pPr>
            <w:r>
              <w:t>14 Oct 2005 p. 4558</w:t>
            </w:r>
            <w:r>
              <w:noBreakHyphen/>
              <w:t>9</w:t>
            </w:r>
          </w:p>
        </w:tc>
        <w:tc>
          <w:tcPr>
            <w:tcW w:w="2693" w:type="dxa"/>
            <w:gridSpan w:val="2"/>
          </w:tcPr>
          <w:p>
            <w:pPr>
              <w:pStyle w:val="nTable"/>
              <w:spacing w:after="40"/>
            </w:pPr>
            <w:r>
              <w:t>1 Jan 2006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2006</w:t>
            </w:r>
          </w:p>
        </w:tc>
        <w:tc>
          <w:tcPr>
            <w:tcW w:w="1276" w:type="dxa"/>
            <w:gridSpan w:val="2"/>
          </w:tcPr>
          <w:p>
            <w:pPr>
              <w:pStyle w:val="nTable"/>
              <w:spacing w:after="40"/>
            </w:pPr>
            <w:r>
              <w:t>28 Apr 2006 p. 1659</w:t>
            </w:r>
          </w:p>
        </w:tc>
        <w:tc>
          <w:tcPr>
            <w:tcW w:w="2693" w:type="dxa"/>
            <w:gridSpan w:val="2"/>
          </w:tcPr>
          <w:p>
            <w:pPr>
              <w:pStyle w:val="nTable"/>
              <w:spacing w:after="40"/>
            </w:pPr>
            <w:r>
              <w:t>28 Apr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2006</w:t>
            </w:r>
          </w:p>
        </w:tc>
        <w:tc>
          <w:tcPr>
            <w:tcW w:w="1276" w:type="dxa"/>
            <w:gridSpan w:val="2"/>
          </w:tcPr>
          <w:p>
            <w:pPr>
              <w:pStyle w:val="nTable"/>
              <w:spacing w:after="40"/>
            </w:pPr>
            <w:r>
              <w:t>21 Jul 2006 p. 2669</w:t>
            </w:r>
            <w:r>
              <w:noBreakHyphen/>
              <w:t>89</w:t>
            </w:r>
          </w:p>
        </w:tc>
        <w:tc>
          <w:tcPr>
            <w:tcW w:w="2693" w:type="dxa"/>
            <w:gridSpan w:val="2"/>
          </w:tcPr>
          <w:p>
            <w:pPr>
              <w:pStyle w:val="nTable"/>
              <w:spacing w:after="40"/>
            </w:pPr>
            <w:r>
              <w:t>21 Jul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2006</w:t>
            </w:r>
          </w:p>
        </w:tc>
        <w:tc>
          <w:tcPr>
            <w:tcW w:w="1276" w:type="dxa"/>
            <w:gridSpan w:val="2"/>
          </w:tcPr>
          <w:p>
            <w:pPr>
              <w:pStyle w:val="nTable"/>
              <w:spacing w:after="40"/>
            </w:pPr>
            <w:r>
              <w:t>10 Oct 2006 p. 4391</w:t>
            </w:r>
            <w:r>
              <w:noBreakHyphen/>
              <w:t>2</w:t>
            </w:r>
          </w:p>
        </w:tc>
        <w:tc>
          <w:tcPr>
            <w:tcW w:w="2693" w:type="dxa"/>
            <w:gridSpan w:val="2"/>
          </w:tcPr>
          <w:p>
            <w:pPr>
              <w:pStyle w:val="nTable"/>
              <w:spacing w:after="40"/>
            </w:pPr>
            <w:r>
              <w:t>10 Oct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2006</w:t>
            </w:r>
            <w:r>
              <w:rPr>
                <w:iCs/>
              </w:rPr>
              <w:t xml:space="preserve"> </w:t>
            </w:r>
          </w:p>
        </w:tc>
        <w:tc>
          <w:tcPr>
            <w:tcW w:w="1276" w:type="dxa"/>
            <w:gridSpan w:val="2"/>
          </w:tcPr>
          <w:p>
            <w:pPr>
              <w:pStyle w:val="nTable"/>
              <w:spacing w:after="40"/>
            </w:pPr>
            <w:r>
              <w:t>14 Nov 2006 p. 4729</w:t>
            </w:r>
            <w:r>
              <w:noBreakHyphen/>
              <w:t>30</w:t>
            </w:r>
          </w:p>
        </w:tc>
        <w:tc>
          <w:tcPr>
            <w:tcW w:w="2693" w:type="dxa"/>
            <w:gridSpan w:val="2"/>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2007</w:t>
            </w:r>
          </w:p>
        </w:tc>
        <w:tc>
          <w:tcPr>
            <w:tcW w:w="1276" w:type="dxa"/>
            <w:gridSpan w:val="2"/>
          </w:tcPr>
          <w:p>
            <w:pPr>
              <w:pStyle w:val="nTable"/>
              <w:spacing w:after="40"/>
            </w:pPr>
            <w:r>
              <w:t>22 Jun 2007 p. 2863</w:t>
            </w:r>
            <w:r>
              <w:noBreakHyphen/>
              <w:t>5</w:t>
            </w:r>
          </w:p>
        </w:tc>
        <w:tc>
          <w:tcPr>
            <w:tcW w:w="2693" w:type="dxa"/>
            <w:gridSpan w:val="2"/>
          </w:tcPr>
          <w:p>
            <w:pPr>
              <w:pStyle w:val="nTable"/>
              <w:spacing w:after="40"/>
              <w:rPr>
                <w:snapToGrid w:val="0"/>
              </w:rPr>
            </w:pPr>
            <w:r>
              <w:rPr>
                <w:snapToGrid w:val="0"/>
              </w:rPr>
              <w:t>r. 1 and 2: 22 Jun 2007 (see r. 2(a));</w:t>
            </w:r>
            <w:r>
              <w:rPr>
                <w:snapToGrid w:val="0"/>
              </w:rPr>
              <w:br/>
              <w:t xml:space="preserve">Regulations other than r. 1 and 2: 9 Jul 2007 (see r. 2(b) and </w:t>
            </w:r>
            <w:r>
              <w:rPr>
                <w:i/>
                <w:iCs/>
                <w:snapToGrid w:val="0"/>
              </w:rPr>
              <w:t>Gazette</w:t>
            </w:r>
            <w:r>
              <w:rPr>
                <w:snapToGrid w:val="0"/>
              </w:rPr>
              <w:t xml:space="preserve"> 22 Jun 2007 p. 2837)</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rPr>
                <w:snapToGrid w:val="0"/>
              </w:rPr>
            </w:pPr>
            <w:r>
              <w:rPr>
                <w:b/>
              </w:rPr>
              <w:t xml:space="preserve">Reprint 5: The </w:t>
            </w:r>
            <w:r>
              <w:rPr>
                <w:b/>
                <w:i/>
              </w:rPr>
              <w:t xml:space="preserve">Betting Control Regulations 1978 </w:t>
            </w:r>
            <w:r>
              <w:rPr>
                <w:b/>
              </w:rPr>
              <w:t>as at 24 Aug 2007</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2007</w:t>
            </w:r>
          </w:p>
        </w:tc>
        <w:tc>
          <w:tcPr>
            <w:tcW w:w="1276" w:type="dxa"/>
            <w:gridSpan w:val="2"/>
          </w:tcPr>
          <w:p>
            <w:pPr>
              <w:pStyle w:val="nTable"/>
              <w:spacing w:after="40"/>
            </w:pPr>
            <w:r>
              <w:t>18 Sep 2007 p. 4716</w:t>
            </w:r>
            <w:r>
              <w:noBreakHyphen/>
              <w:t>18</w:t>
            </w:r>
          </w:p>
        </w:tc>
        <w:tc>
          <w:tcPr>
            <w:tcW w:w="2693" w:type="dxa"/>
            <w:gridSpan w:val="2"/>
          </w:tcPr>
          <w:p>
            <w:pPr>
              <w:pStyle w:val="nTable"/>
              <w:spacing w:after="40"/>
              <w:rPr>
                <w:snapToGrid w:val="0"/>
              </w:rPr>
            </w:pPr>
            <w:r>
              <w:rPr>
                <w:snapToGrid w:val="0"/>
              </w:rPr>
              <w:t>r. 1 and 2: 18 Sep 2007 (see r. 2(a));</w:t>
            </w:r>
            <w:r>
              <w:rPr>
                <w:snapToGrid w:val="0"/>
              </w:rPr>
              <w:br/>
              <w:t>Regulations other than r. 1 and 2: 19 Sep 2007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Cs/>
              </w:rPr>
            </w:pPr>
            <w:r>
              <w:rPr>
                <w:i/>
              </w:rPr>
              <w:t>Betting Control Amendment Regulations (No. 4) 2007</w:t>
            </w:r>
            <w:r>
              <w:rPr>
                <w:iCs/>
              </w:rPr>
              <w:t xml:space="preserve"> </w:t>
            </w:r>
          </w:p>
        </w:tc>
        <w:tc>
          <w:tcPr>
            <w:tcW w:w="1276" w:type="dxa"/>
            <w:gridSpan w:val="2"/>
          </w:tcPr>
          <w:p>
            <w:pPr>
              <w:pStyle w:val="nTable"/>
              <w:spacing w:after="40"/>
            </w:pPr>
            <w:r>
              <w:t>9 Oct 2007 p. 5348-50</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lastRenderedPageBreak/>
              <w:t xml:space="preserve">Betting Control Amendment Regulations 2008 </w:t>
            </w:r>
          </w:p>
        </w:tc>
        <w:tc>
          <w:tcPr>
            <w:tcW w:w="1276" w:type="dxa"/>
            <w:gridSpan w:val="2"/>
          </w:tcPr>
          <w:p>
            <w:pPr>
              <w:pStyle w:val="nTable"/>
              <w:spacing w:after="40"/>
            </w:pPr>
            <w:r>
              <w:t>28 Oct 2008 p. 4732</w:t>
            </w:r>
            <w:r>
              <w:noBreakHyphen/>
              <w:t>3</w:t>
            </w:r>
          </w:p>
        </w:tc>
        <w:tc>
          <w:tcPr>
            <w:tcW w:w="2693" w:type="dxa"/>
            <w:gridSpan w:val="2"/>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2009</w:t>
            </w:r>
          </w:p>
        </w:tc>
        <w:tc>
          <w:tcPr>
            <w:tcW w:w="1276" w:type="dxa"/>
            <w:gridSpan w:val="2"/>
          </w:tcPr>
          <w:p>
            <w:pPr>
              <w:pStyle w:val="nTable"/>
              <w:spacing w:after="40"/>
            </w:pPr>
            <w:r>
              <w:t>25 Sep 2009 p. 3751-2</w:t>
            </w:r>
          </w:p>
        </w:tc>
        <w:tc>
          <w:tcPr>
            <w:tcW w:w="2693" w:type="dxa"/>
            <w:gridSpan w:val="2"/>
          </w:tcPr>
          <w:p>
            <w:pPr>
              <w:pStyle w:val="nTable"/>
              <w:spacing w:after="40"/>
              <w:rPr>
                <w:snapToGrid w:val="0"/>
              </w:rPr>
            </w:pPr>
            <w:r>
              <w:rPr>
                <w:snapToGrid w:val="0"/>
              </w:rPr>
              <w:t>r. 1 and 2: 25 Sep 2009 (see r. 2(a));</w:t>
            </w:r>
            <w:r>
              <w:rPr>
                <w:snapToGrid w:val="0"/>
              </w:rPr>
              <w:br/>
              <w:t>Regulations other than r. 1 and 2: 26 Sep 2009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2009</w:t>
            </w:r>
          </w:p>
        </w:tc>
        <w:tc>
          <w:tcPr>
            <w:tcW w:w="1276" w:type="dxa"/>
            <w:gridSpan w:val="2"/>
          </w:tcPr>
          <w:p>
            <w:pPr>
              <w:pStyle w:val="nTable"/>
              <w:spacing w:after="40"/>
            </w:pPr>
            <w:r>
              <w:t>30 Oct 2009 p. 4312-13</w:t>
            </w:r>
          </w:p>
        </w:tc>
        <w:tc>
          <w:tcPr>
            <w:tcW w:w="2693" w:type="dxa"/>
            <w:gridSpan w:val="2"/>
          </w:tcPr>
          <w:p>
            <w:pPr>
              <w:pStyle w:val="nTable"/>
              <w:spacing w:after="40"/>
              <w:rPr>
                <w:snapToGrid w:val="0"/>
              </w:rPr>
            </w:pPr>
            <w:r>
              <w:rPr>
                <w:snapToGrid w:val="0"/>
              </w:rPr>
              <w:t>r. 1 and 2: 30 Oct 2009 (see r. 2(a));</w:t>
            </w:r>
            <w:r>
              <w:rPr>
                <w:snapToGrid w:val="0"/>
              </w:rPr>
              <w:br/>
              <w:t>Regulations other than r. 1 and 2: 1 Jan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5) 2009</w:t>
            </w:r>
          </w:p>
        </w:tc>
        <w:tc>
          <w:tcPr>
            <w:tcW w:w="1276" w:type="dxa"/>
            <w:gridSpan w:val="2"/>
          </w:tcPr>
          <w:p>
            <w:pPr>
              <w:pStyle w:val="nTable"/>
              <w:spacing w:after="40"/>
            </w:pPr>
            <w:r>
              <w:t>8 Jan 2010 p. 19-27</w:t>
            </w:r>
          </w:p>
        </w:tc>
        <w:tc>
          <w:tcPr>
            <w:tcW w:w="2693" w:type="dxa"/>
            <w:gridSpan w:val="2"/>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9-10)</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rPr>
                <w:snapToGrid w:val="0"/>
                <w:spacing w:val="-2"/>
              </w:rPr>
            </w:pPr>
            <w:r>
              <w:rPr>
                <w:b/>
              </w:rPr>
              <w:t xml:space="preserve">Reprint 6: The </w:t>
            </w:r>
            <w:r>
              <w:rPr>
                <w:b/>
                <w:i/>
              </w:rPr>
              <w:t xml:space="preserve">Betting Control Regulations 1978 </w:t>
            </w:r>
            <w:r>
              <w:rPr>
                <w:b/>
              </w:rPr>
              <w:t>as at 9 Apr 2010</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Betting Control Amendment Regulations (No. 3) 2010</w:t>
            </w:r>
            <w:r>
              <w:rPr>
                <w:iCs/>
              </w:rPr>
              <w:t xml:space="preserve"> </w:t>
            </w:r>
          </w:p>
        </w:tc>
        <w:tc>
          <w:tcPr>
            <w:tcW w:w="1276" w:type="dxa"/>
            <w:gridSpan w:val="2"/>
          </w:tcPr>
          <w:p>
            <w:pPr>
              <w:pStyle w:val="nTable"/>
              <w:spacing w:after="40"/>
            </w:pPr>
            <w:r>
              <w:t>19 Nov 2010 p. 5739</w:t>
            </w:r>
            <w:r>
              <w:noBreakHyphen/>
              <w:t>40</w:t>
            </w:r>
          </w:p>
        </w:tc>
        <w:tc>
          <w:tcPr>
            <w:tcW w:w="2693" w:type="dxa"/>
            <w:gridSpan w:val="2"/>
          </w:tcPr>
          <w:p>
            <w:pPr>
              <w:pStyle w:val="nTable"/>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2011</w:t>
            </w:r>
            <w:r>
              <w:t xml:space="preserve"> </w:t>
            </w:r>
          </w:p>
        </w:tc>
        <w:tc>
          <w:tcPr>
            <w:tcW w:w="1276" w:type="dxa"/>
            <w:gridSpan w:val="2"/>
          </w:tcPr>
          <w:p>
            <w:pPr>
              <w:pStyle w:val="nTable"/>
              <w:spacing w:after="40"/>
            </w:pPr>
            <w:r>
              <w:t>4 Nov 2011 p. 4635-6</w:t>
            </w:r>
          </w:p>
        </w:tc>
        <w:tc>
          <w:tcPr>
            <w:tcW w:w="2693" w:type="dxa"/>
            <w:gridSpan w:val="2"/>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2012</w:t>
            </w:r>
          </w:p>
        </w:tc>
        <w:tc>
          <w:tcPr>
            <w:tcW w:w="1276" w:type="dxa"/>
            <w:gridSpan w:val="2"/>
          </w:tcPr>
          <w:p>
            <w:pPr>
              <w:pStyle w:val="nTable"/>
              <w:spacing w:after="40"/>
            </w:pPr>
            <w:r>
              <w:t>16 Nov 2012 p. 5646-7</w:t>
            </w:r>
          </w:p>
        </w:tc>
        <w:tc>
          <w:tcPr>
            <w:tcW w:w="2693"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2012</w:t>
            </w:r>
          </w:p>
        </w:tc>
        <w:tc>
          <w:tcPr>
            <w:tcW w:w="1276" w:type="dxa"/>
            <w:gridSpan w:val="2"/>
          </w:tcPr>
          <w:p>
            <w:pPr>
              <w:pStyle w:val="nTable"/>
              <w:spacing w:after="40"/>
            </w:pPr>
            <w:r>
              <w:t>4 Jan 2013 p. 11-15</w:t>
            </w:r>
          </w:p>
        </w:tc>
        <w:tc>
          <w:tcPr>
            <w:tcW w:w="2693" w:type="dxa"/>
            <w:gridSpan w:val="2"/>
          </w:tcPr>
          <w:p>
            <w:pPr>
              <w:pStyle w:val="nTable"/>
              <w:spacing w:after="40"/>
              <w:rPr>
                <w:snapToGrid w:val="0"/>
              </w:rPr>
            </w:pPr>
            <w:r>
              <w:rPr>
                <w:snapToGrid w:val="0"/>
              </w:rPr>
              <w:t>r. 1 and 2: 4 Jan 2013 (see r. 2(a));</w:t>
            </w:r>
            <w:r>
              <w:rPr>
                <w:snapToGrid w:val="0"/>
              </w:rPr>
              <w:br/>
              <w:t>Regulations other than r. 1 and 2: 5</w:t>
            </w:r>
            <w:r>
              <w:t>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2013</w:t>
            </w:r>
          </w:p>
        </w:tc>
        <w:tc>
          <w:tcPr>
            <w:tcW w:w="1276" w:type="dxa"/>
            <w:gridSpan w:val="2"/>
            <w:shd w:val="clear" w:color="auto" w:fill="auto"/>
          </w:tcPr>
          <w:p>
            <w:pPr>
              <w:pStyle w:val="nTable"/>
              <w:spacing w:after="40"/>
            </w:pPr>
            <w:r>
              <w:t>14 Jun 2013 p. 2240-3</w:t>
            </w:r>
          </w:p>
        </w:tc>
        <w:tc>
          <w:tcPr>
            <w:tcW w:w="2693" w:type="dxa"/>
            <w:gridSpan w:val="2"/>
            <w:shd w:val="clear" w:color="auto" w:fill="auto"/>
          </w:tcPr>
          <w:p>
            <w:pPr>
              <w:pStyle w:val="nTable"/>
              <w:spacing w:after="40"/>
              <w:rPr>
                <w:snapToGrid w:val="0"/>
              </w:rPr>
            </w:pPr>
            <w:r>
              <w:rPr>
                <w:snapToGrid w:val="0"/>
              </w:rPr>
              <w:t>r. 1 and 2: 14 Jun 2013 (see r. 2(a));</w:t>
            </w:r>
            <w:r>
              <w:rPr>
                <w:snapToGrid w:val="0"/>
              </w:rPr>
              <w:br/>
              <w:t>Regulations other than r. 1 and 2: 15</w:t>
            </w:r>
            <w:r>
              <w:t> Jun 2013 (see r. 2(b))</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shd w:val="clear" w:color="auto" w:fill="auto"/>
          </w:tcPr>
          <w:p>
            <w:pPr>
              <w:pStyle w:val="nTable"/>
              <w:spacing w:after="40"/>
              <w:rPr>
                <w:snapToGrid w:val="0"/>
              </w:rPr>
            </w:pPr>
            <w:r>
              <w:rPr>
                <w:b/>
              </w:rPr>
              <w:t xml:space="preserve">Reprint 7: The </w:t>
            </w:r>
            <w:r>
              <w:rPr>
                <w:b/>
                <w:i/>
              </w:rPr>
              <w:t xml:space="preserve">Betting Control Regulations 1978 </w:t>
            </w:r>
            <w:r>
              <w:rPr>
                <w:b/>
              </w:rPr>
              <w:t>as at 23 Aug 2013</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lastRenderedPageBreak/>
              <w:t>Betting Control Amendment Regulations (No. 3) 2013</w:t>
            </w:r>
          </w:p>
        </w:tc>
        <w:tc>
          <w:tcPr>
            <w:tcW w:w="1276" w:type="dxa"/>
            <w:gridSpan w:val="2"/>
            <w:shd w:val="clear" w:color="auto" w:fill="auto"/>
          </w:tcPr>
          <w:p>
            <w:pPr>
              <w:pStyle w:val="nTable"/>
              <w:spacing w:after="40"/>
            </w:pPr>
            <w:r>
              <w:t>8 Nov 2013 p. 4972</w:t>
            </w:r>
            <w:r>
              <w:noBreakHyphen/>
              <w:t>3</w:t>
            </w:r>
          </w:p>
        </w:tc>
        <w:tc>
          <w:tcPr>
            <w:tcW w:w="2693" w:type="dxa"/>
            <w:gridSpan w:val="2"/>
            <w:shd w:val="clear" w:color="auto" w:fill="auto"/>
          </w:tcPr>
          <w:p>
            <w:pPr>
              <w:pStyle w:val="nTable"/>
              <w:spacing w:after="40"/>
              <w:rPr>
                <w:b/>
                <w:bCs/>
                <w:snapToGrid w:val="0"/>
              </w:rPr>
            </w:pPr>
            <w:r>
              <w:rPr>
                <w:bCs/>
                <w:snapToGrid w:val="0"/>
              </w:rPr>
              <w:t>r. 1 and 2: 8 Nov 2013 (see r. 2(a));</w:t>
            </w:r>
            <w:r>
              <w:rPr>
                <w:bCs/>
                <w:snapToGrid w:val="0"/>
              </w:rPr>
              <w:br/>
              <w:t xml:space="preserve">Regulations other than r. 1 and 2: </w:t>
            </w:r>
            <w:r>
              <w:rPr>
                <w:snapToGrid w:val="0"/>
              </w:rPr>
              <w:t>1 Jan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(No. 2) 2013</w:t>
            </w:r>
          </w:p>
        </w:tc>
        <w:tc>
          <w:tcPr>
            <w:tcW w:w="1276" w:type="dxa"/>
            <w:gridSpan w:val="2"/>
            <w:shd w:val="clear" w:color="auto" w:fill="auto"/>
          </w:tcPr>
          <w:p>
            <w:pPr>
              <w:pStyle w:val="nTable"/>
              <w:spacing w:after="40"/>
            </w:pPr>
            <w:r>
              <w:t>29 Nov 2013 p. 5467</w:t>
            </w:r>
          </w:p>
        </w:tc>
        <w:tc>
          <w:tcPr>
            <w:tcW w:w="2693" w:type="dxa"/>
            <w:gridSpan w:val="2"/>
            <w:shd w:val="clear" w:color="auto" w:fill="auto"/>
          </w:tcPr>
          <w:p>
            <w:pPr>
              <w:pStyle w:val="nTable"/>
              <w:spacing w:after="40"/>
              <w:rPr>
                <w:bCs/>
                <w:snapToGrid w:val="0"/>
              </w:rPr>
            </w:pPr>
            <w:r>
              <w:rPr>
                <w:bCs/>
                <w:snapToGrid w:val="0"/>
              </w:rPr>
              <w:t>r. 1 and 2: 29 Nov 2013 (see r. 2(a));</w:t>
            </w:r>
            <w:r>
              <w:rPr>
                <w:bCs/>
                <w:snapToGrid w:val="0"/>
              </w:rPr>
              <w:br/>
              <w:t>Regulations other than r. 1 and 2: 30 Nov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Betting Control Amendment Regulations (No. 2) 2014 </w:t>
            </w:r>
          </w:p>
        </w:tc>
        <w:tc>
          <w:tcPr>
            <w:tcW w:w="1276" w:type="dxa"/>
            <w:gridSpan w:val="2"/>
            <w:shd w:val="clear" w:color="auto" w:fill="auto"/>
          </w:tcPr>
          <w:p>
            <w:pPr>
              <w:pStyle w:val="nTable"/>
              <w:spacing w:after="40"/>
            </w:pPr>
            <w:r>
              <w:t>14 Nov 2014 p. 4279</w:t>
            </w:r>
            <w:r>
              <w:noBreakHyphen/>
              <w:t>80</w:t>
            </w:r>
          </w:p>
        </w:tc>
        <w:tc>
          <w:tcPr>
            <w:tcW w:w="2693" w:type="dxa"/>
            <w:gridSpan w:val="2"/>
            <w:shd w:val="clear" w:color="auto" w:fill="auto"/>
          </w:tcPr>
          <w:p>
            <w:pPr>
              <w:pStyle w:val="nTable"/>
              <w:spacing w:after="40"/>
              <w:rPr>
                <w:bCs/>
                <w:snapToGrid w:val="0"/>
              </w:rPr>
            </w:pPr>
            <w:r>
              <w:t xml:space="preserve"> </w:t>
            </w:r>
            <w:r>
              <w:rPr>
                <w:bCs/>
                <w:snapToGrid w:val="0"/>
                <w:spacing w:val="-2"/>
              </w:rPr>
              <w:t>r. 1 and 2: 14 Nov 2014 (see r. 2(a));</w:t>
            </w:r>
            <w:r>
              <w:rPr>
                <w:bCs/>
                <w:snapToGrid w:val="0"/>
                <w:spacing w:val="-2"/>
              </w:rPr>
              <w:br/>
              <w:t xml:space="preserve">Regulations other than r. 1 and 2: </w:t>
            </w:r>
            <w:r>
              <w:t>1 Jan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Racing, Gaming and Liquor Regulations Amendment (Fees and Charges) Regulations 2015 </w:t>
            </w:r>
            <w:r>
              <w:t>Pt. 2</w:t>
            </w:r>
          </w:p>
        </w:tc>
        <w:tc>
          <w:tcPr>
            <w:tcW w:w="1276" w:type="dxa"/>
            <w:gridSpan w:val="2"/>
            <w:shd w:val="clear" w:color="auto" w:fill="auto"/>
          </w:tcPr>
          <w:p>
            <w:pPr>
              <w:pStyle w:val="nTable"/>
              <w:spacing w:after="40"/>
            </w:pPr>
            <w:r>
              <w:t>6 Nov 2015 p. 4581-8</w:t>
            </w:r>
          </w:p>
        </w:tc>
        <w:tc>
          <w:tcPr>
            <w:tcW w:w="2693" w:type="dxa"/>
            <w:gridSpan w:val="2"/>
            <w:shd w:val="clear" w:color="auto" w:fill="auto"/>
          </w:tcPr>
          <w:p>
            <w:pPr>
              <w:pStyle w:val="nTable"/>
              <w:spacing w:after="40"/>
            </w:pPr>
            <w:r>
              <w:rPr>
                <w:bCs/>
                <w:snapToGrid w:val="0"/>
              </w:rPr>
              <w:t>1 Jan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(No. 2) 2016</w:t>
            </w:r>
          </w:p>
        </w:tc>
        <w:tc>
          <w:tcPr>
            <w:tcW w:w="1276" w:type="dxa"/>
            <w:gridSpan w:val="2"/>
            <w:shd w:val="clear" w:color="auto" w:fill="auto"/>
          </w:tcPr>
          <w:p>
            <w:pPr>
              <w:pStyle w:val="nTable"/>
              <w:spacing w:after="40"/>
            </w:pPr>
            <w:r>
              <w:t>8 Mar 2016 p. 669</w:t>
            </w:r>
          </w:p>
        </w:tc>
        <w:tc>
          <w:tcPr>
            <w:tcW w:w="2693" w:type="dxa"/>
            <w:gridSpan w:val="2"/>
            <w:shd w:val="clear" w:color="auto" w:fill="auto"/>
          </w:tcPr>
          <w:p>
            <w:pPr>
              <w:pStyle w:val="nTable"/>
              <w:spacing w:after="40"/>
              <w:rPr>
                <w:bCs/>
                <w:snapToGrid w:val="0"/>
              </w:rPr>
            </w:pPr>
            <w:r>
              <w:rPr>
                <w:bCs/>
                <w:snapToGrid w:val="0"/>
                <w:spacing w:val="-2"/>
              </w:rPr>
              <w:t>r. 1 and 2: 8 Mar 2016 (see r. 2(a));</w:t>
            </w:r>
            <w:r>
              <w:rPr>
                <w:bCs/>
                <w:snapToGrid w:val="0"/>
                <w:spacing w:val="-2"/>
              </w:rPr>
              <w:br/>
              <w:t>Regulations other than r. 1 and 2: 9 Mar </w:t>
            </w:r>
            <w:r>
              <w:t>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2016</w:t>
            </w:r>
          </w:p>
        </w:tc>
        <w:tc>
          <w:tcPr>
            <w:tcW w:w="1276" w:type="dxa"/>
            <w:gridSpan w:val="2"/>
            <w:shd w:val="clear" w:color="auto" w:fill="auto"/>
          </w:tcPr>
          <w:p>
            <w:pPr>
              <w:pStyle w:val="nTable"/>
              <w:spacing w:after="40"/>
            </w:pPr>
            <w:r>
              <w:t>13 May 2016 p. 1427</w:t>
            </w:r>
          </w:p>
        </w:tc>
        <w:tc>
          <w:tcPr>
            <w:tcW w:w="2693" w:type="dxa"/>
            <w:gridSpan w:val="2"/>
            <w:shd w:val="clear" w:color="auto" w:fill="auto"/>
          </w:tcPr>
          <w:p>
            <w:pPr>
              <w:pStyle w:val="nTable"/>
              <w:spacing w:after="40"/>
              <w:rPr>
                <w:bCs/>
                <w:snapToGrid w:val="0"/>
                <w:spacing w:val="-2"/>
              </w:rPr>
            </w:pPr>
            <w:r>
              <w:rPr>
                <w:bCs/>
                <w:snapToGrid w:val="0"/>
                <w:spacing w:val="-2"/>
              </w:rPr>
              <w:t>r. 1 and 2: 13 May 2016 (see r. 2(a));</w:t>
            </w:r>
            <w:r>
              <w:rPr>
                <w:bCs/>
                <w:snapToGrid w:val="0"/>
                <w:spacing w:val="-2"/>
              </w:rPr>
              <w:br/>
              <w:t>Regulations other than r. 1 and 2: 14 May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2016</w:t>
            </w:r>
            <w:r>
              <w:t xml:space="preserve"> Pt. 2</w:t>
            </w:r>
          </w:p>
        </w:tc>
        <w:tc>
          <w:tcPr>
            <w:tcW w:w="1276" w:type="dxa"/>
            <w:gridSpan w:val="2"/>
            <w:shd w:val="clear" w:color="auto" w:fill="auto"/>
          </w:tcPr>
          <w:p>
            <w:pPr>
              <w:pStyle w:val="nTable"/>
              <w:spacing w:after="40"/>
            </w:pPr>
            <w:r>
              <w:t>28 Oct 2016 p. 4910</w:t>
            </w:r>
            <w:r>
              <w:noBreakHyphen/>
              <w:t>16</w:t>
            </w:r>
          </w:p>
        </w:tc>
        <w:tc>
          <w:tcPr>
            <w:tcW w:w="2693" w:type="dxa"/>
            <w:gridSpan w:val="2"/>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shd w:val="clear" w:color="auto" w:fill="auto"/>
          </w:tcPr>
          <w:p>
            <w:pPr>
              <w:pStyle w:val="nTable"/>
              <w:spacing w:after="40"/>
            </w:pPr>
            <w:r>
              <w:rPr>
                <w:b/>
              </w:rPr>
              <w:t xml:space="preserve">Reprint 8: The </w:t>
            </w:r>
            <w:r>
              <w:rPr>
                <w:b/>
                <w:i/>
                <w:noProof/>
              </w:rPr>
              <w:t>Betting Control Regulations 1978</w:t>
            </w:r>
            <w:r>
              <w:rPr>
                <w:b/>
              </w:rPr>
              <w:t xml:space="preserve"> as at 12 May 2017</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2017</w:t>
            </w:r>
            <w:r>
              <w:t xml:space="preserve"> Pt. 2</w:t>
            </w:r>
          </w:p>
        </w:tc>
        <w:tc>
          <w:tcPr>
            <w:tcW w:w="1276" w:type="dxa"/>
            <w:gridSpan w:val="2"/>
            <w:shd w:val="clear" w:color="auto" w:fill="auto"/>
          </w:tcPr>
          <w:p>
            <w:pPr>
              <w:pStyle w:val="nTable"/>
              <w:spacing w:after="40"/>
            </w:pPr>
            <w:r>
              <w:t>10 Nov 2017 p. 5579</w:t>
            </w:r>
            <w:r>
              <w:noBreakHyphen/>
              <w:t>94</w:t>
            </w:r>
          </w:p>
        </w:tc>
        <w:tc>
          <w:tcPr>
            <w:tcW w:w="2693" w:type="dxa"/>
            <w:gridSpan w:val="2"/>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2018</w:t>
            </w:r>
            <w:r>
              <w:t xml:space="preserve"> Pt. 2</w:t>
            </w:r>
          </w:p>
        </w:tc>
        <w:tc>
          <w:tcPr>
            <w:tcW w:w="1276" w:type="dxa"/>
            <w:gridSpan w:val="2"/>
            <w:shd w:val="clear" w:color="auto" w:fill="auto"/>
          </w:tcPr>
          <w:p>
            <w:pPr>
              <w:pStyle w:val="nTable"/>
              <w:spacing w:after="40"/>
            </w:pPr>
            <w:r>
              <w:t>7 Sep 2018 p. 3192-200</w:t>
            </w:r>
          </w:p>
        </w:tc>
        <w:tc>
          <w:tcPr>
            <w:tcW w:w="2693" w:type="dxa"/>
            <w:gridSpan w:val="2"/>
            <w:shd w:val="clear" w:color="auto" w:fill="auto"/>
          </w:tcPr>
          <w:p>
            <w:pPr>
              <w:pStyle w:val="nTable"/>
              <w:spacing w:after="40"/>
            </w:pPr>
            <w:r>
              <w:t>1 Jan 2019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2019</w:t>
            </w:r>
          </w:p>
        </w:tc>
        <w:tc>
          <w:tcPr>
            <w:tcW w:w="1276" w:type="dxa"/>
            <w:gridSpan w:val="2"/>
            <w:shd w:val="clear" w:color="auto" w:fill="auto"/>
          </w:tcPr>
          <w:p>
            <w:pPr>
              <w:pStyle w:val="nTable"/>
              <w:spacing w:after="40"/>
            </w:pPr>
            <w:r>
              <w:t>25 Jan 2019 p. 199-202</w:t>
            </w:r>
          </w:p>
        </w:tc>
        <w:tc>
          <w:tcPr>
            <w:tcW w:w="2693" w:type="dxa"/>
            <w:gridSpan w:val="2"/>
            <w:shd w:val="clear" w:color="auto" w:fill="auto"/>
          </w:tcPr>
          <w:p>
            <w:pPr>
              <w:pStyle w:val="nTable"/>
              <w:spacing w:after="40"/>
            </w:pPr>
            <w:r>
              <w:t>r. 1 and 2: 25 Jan 2019 (see r. 2(a));</w:t>
            </w:r>
            <w:r>
              <w:br/>
              <w:t xml:space="preserve">Regulations other than r. 1 and 2: 1 Feb 2019 (see r. 2(b) and </w:t>
            </w:r>
            <w:r>
              <w:rPr>
                <w:i/>
              </w:rPr>
              <w:t xml:space="preserve">Gazette </w:t>
            </w:r>
            <w:r>
              <w:t>25 Jan 2019 p. 193</w:t>
            </w:r>
            <w:r>
              <w:noBreakHyphen/>
              <w:t>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Racing and Gaming Regulations Amendment Regulations 2019 </w:t>
            </w:r>
            <w:r>
              <w:t>Pt. 2</w:t>
            </w:r>
          </w:p>
        </w:tc>
        <w:tc>
          <w:tcPr>
            <w:tcW w:w="1276" w:type="dxa"/>
            <w:gridSpan w:val="2"/>
            <w:shd w:val="clear" w:color="auto" w:fill="auto"/>
          </w:tcPr>
          <w:p>
            <w:pPr>
              <w:pStyle w:val="nTable"/>
              <w:spacing w:after="40"/>
            </w:pPr>
            <w:r>
              <w:t>25 Jan 2019 p. 202-3</w:t>
            </w:r>
          </w:p>
        </w:tc>
        <w:tc>
          <w:tcPr>
            <w:tcW w:w="2693" w:type="dxa"/>
            <w:gridSpan w:val="2"/>
            <w:shd w:val="clear" w:color="auto" w:fill="auto"/>
          </w:tcPr>
          <w:p>
            <w:pPr>
              <w:pStyle w:val="nTable"/>
              <w:spacing w:after="40"/>
            </w:pPr>
            <w:r>
              <w:t xml:space="preserve">1 Feb 2019 (see r. 2(b) and </w:t>
            </w:r>
            <w:r>
              <w:rPr>
                <w:i/>
              </w:rPr>
              <w:t xml:space="preserve">Gazette </w:t>
            </w:r>
            <w:r>
              <w:t>25 Jan 2019 p. 193)</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lastRenderedPageBreak/>
              <w:t>Racing, Gaming and Liquor Regulations Amendment (Fees and Charges) Regulations 2019</w:t>
            </w:r>
            <w:r>
              <w:t xml:space="preserve"> Pt. 2</w:t>
            </w:r>
          </w:p>
        </w:tc>
        <w:tc>
          <w:tcPr>
            <w:tcW w:w="1276" w:type="dxa"/>
            <w:gridSpan w:val="2"/>
            <w:tcBorders>
              <w:top w:val="nil"/>
              <w:bottom w:val="nil"/>
            </w:tcBorders>
            <w:shd w:val="clear" w:color="auto" w:fill="auto"/>
          </w:tcPr>
          <w:p>
            <w:pPr>
              <w:pStyle w:val="nTable"/>
              <w:spacing w:after="40"/>
            </w:pPr>
            <w:r>
              <w:t>22 Oct 2019 p. 3720</w:t>
            </w:r>
            <w:r>
              <w:noBreakHyphen/>
              <w:t>9</w:t>
            </w:r>
          </w:p>
        </w:tc>
        <w:tc>
          <w:tcPr>
            <w:tcW w:w="2693" w:type="dxa"/>
            <w:gridSpan w:val="2"/>
            <w:tcBorders>
              <w:top w:val="nil"/>
              <w:bottom w:val="nil"/>
            </w:tcBorders>
            <w:shd w:val="clear" w:color="auto" w:fill="auto"/>
          </w:tcPr>
          <w:p>
            <w:pPr>
              <w:pStyle w:val="nTable"/>
              <w:spacing w:after="40"/>
            </w:pPr>
            <w:r>
              <w:t>1 Jan 2020 (see r. 2(b))</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t>Betting Control Amendment Regulations 2021</w:t>
            </w:r>
          </w:p>
        </w:tc>
        <w:tc>
          <w:tcPr>
            <w:tcW w:w="1276" w:type="dxa"/>
            <w:gridSpan w:val="2"/>
            <w:tcBorders>
              <w:top w:val="nil"/>
              <w:bottom w:val="nil"/>
            </w:tcBorders>
            <w:shd w:val="clear" w:color="auto" w:fill="auto"/>
          </w:tcPr>
          <w:p>
            <w:pPr>
              <w:pStyle w:val="nTable"/>
              <w:spacing w:after="40"/>
            </w:pPr>
            <w:r>
              <w:t>SL 2021/193 19 Nov 2021</w:t>
            </w:r>
          </w:p>
        </w:tc>
        <w:tc>
          <w:tcPr>
            <w:tcW w:w="2693" w:type="dxa"/>
            <w:gridSpan w:val="2"/>
            <w:tcBorders>
              <w:top w:val="nil"/>
              <w:bottom w:val="nil"/>
            </w:tcBorders>
            <w:shd w:val="clear" w:color="auto" w:fill="auto"/>
          </w:tcPr>
          <w:p>
            <w:pPr>
              <w:pStyle w:val="nTable"/>
              <w:spacing w:after="40"/>
            </w:pPr>
            <w:r>
              <w:rPr>
                <w:snapToGrid w:val="0"/>
              </w:rPr>
              <w:t xml:space="preserve">r. 1 and 2: </w:t>
            </w:r>
            <w:r>
              <w:t>19 Nov 2021</w:t>
            </w:r>
            <w:r>
              <w:rPr>
                <w:snapToGrid w:val="0"/>
              </w:rPr>
              <w:t xml:space="preserve"> (see r. 2(a));</w:t>
            </w:r>
            <w:r>
              <w:rPr>
                <w:snapToGrid w:val="0"/>
              </w:rPr>
              <w:br/>
              <w:t xml:space="preserve">Regulations other than r. 1 and 2: </w:t>
            </w:r>
            <w:r>
              <w:t>20 Nov 2021</w:t>
            </w:r>
            <w:r>
              <w:rPr>
                <w:noProof/>
              </w:rPr>
              <w:t xml:space="preserve">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Borders>
              <w:bottom w:val="single" w:sz="4" w:space="0" w:color="auto"/>
            </w:tcBorders>
            <w:shd w:val="clear" w:color="auto" w:fill="auto"/>
          </w:tcPr>
          <w:p>
            <w:pPr>
              <w:pStyle w:val="nTable"/>
              <w:spacing w:after="40"/>
              <w:ind w:right="113"/>
              <w:rPr>
                <w:i/>
              </w:rPr>
            </w:pPr>
            <w:r>
              <w:rPr>
                <w:i/>
              </w:rPr>
              <w:t>Racing and Gaming Regulations Amendment (Fees and Charges) Regulations 2022</w:t>
            </w:r>
            <w:r>
              <w:t xml:space="preserve"> Pt. 2</w:t>
            </w:r>
          </w:p>
        </w:tc>
        <w:tc>
          <w:tcPr>
            <w:tcW w:w="1276" w:type="dxa"/>
            <w:gridSpan w:val="2"/>
            <w:tcBorders>
              <w:bottom w:val="single" w:sz="4" w:space="0" w:color="auto"/>
            </w:tcBorders>
            <w:shd w:val="clear" w:color="auto" w:fill="auto"/>
          </w:tcPr>
          <w:p>
            <w:pPr>
              <w:pStyle w:val="nTable"/>
              <w:spacing w:after="40"/>
            </w:pPr>
            <w:r>
              <w:t>SL 2022/144 12 Aug 2022</w:t>
            </w:r>
          </w:p>
        </w:tc>
        <w:tc>
          <w:tcPr>
            <w:tcW w:w="2693" w:type="dxa"/>
            <w:gridSpan w:val="2"/>
            <w:tcBorders>
              <w:bottom w:val="single" w:sz="4" w:space="0" w:color="auto"/>
            </w:tcBorders>
            <w:shd w:val="clear" w:color="auto" w:fill="auto"/>
          </w:tcPr>
          <w:p>
            <w:pPr>
              <w:pStyle w:val="nTable"/>
              <w:spacing w:after="40"/>
              <w:rPr>
                <w:snapToGrid w:val="0"/>
              </w:rPr>
            </w:pPr>
            <w:r>
              <w:t>1 Jan 2023 (see r. 2(b))</w:t>
            </w:r>
          </w:p>
        </w:tc>
      </w:tr>
    </w:tbl>
    <w:p/>
    <w:p>
      <w:pPr>
        <w:sectPr>
          <w:headerReference w:type="even" r:id="rId34"/>
          <w:headerReference w:type="default" r:id="rId35"/>
          <w:pgSz w:w="11907" w:h="16840" w:code="9"/>
          <w:pgMar w:top="2376" w:right="2404" w:bottom="3544" w:left="2404" w:header="720" w:footer="3380" w:gutter="0"/>
          <w:cols w:space="720"/>
          <w:noEndnote/>
          <w:docGrid w:linePitch="326"/>
        </w:sectPr>
      </w:pPr>
    </w:p>
    <w:p>
      <w:pPr>
        <w:pStyle w:val="nHeading2"/>
        <w:rPr>
          <w:sz w:val="28"/>
        </w:rPr>
      </w:pPr>
      <w:bookmarkStart w:id="156" w:name="_Toc122078734"/>
      <w:bookmarkStart w:id="157" w:name="_Toc122079209"/>
      <w:bookmarkStart w:id="158" w:name="_Toc122683443"/>
      <w:r>
        <w:rPr>
          <w:sz w:val="28"/>
        </w:rPr>
        <w:lastRenderedPageBreak/>
        <w:t>Defined terms</w:t>
      </w:r>
      <w:bookmarkEnd w:id="156"/>
      <w:bookmarkEnd w:id="157"/>
      <w:bookmarkEnd w:id="1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 up bet</w:t>
      </w:r>
      <w:r>
        <w:tab/>
        <w:t>App. cl. 1(1)</w:t>
      </w:r>
    </w:p>
    <w:p>
      <w:pPr>
        <w:pStyle w:val="DefinedTerms"/>
      </w:pPr>
      <w:r>
        <w:t>another jurisdiction</w:t>
      </w:r>
      <w:r>
        <w:tab/>
        <w:t>98</w:t>
      </w:r>
    </w:p>
    <w:p>
      <w:pPr>
        <w:pStyle w:val="DefinedTerms"/>
      </w:pPr>
      <w:r>
        <w:t>approval</w:t>
      </w:r>
      <w:r>
        <w:tab/>
        <w:t>98</w:t>
      </w:r>
    </w:p>
    <w:p>
      <w:pPr>
        <w:pStyle w:val="DefinedTerms"/>
      </w:pPr>
      <w:r>
        <w:t>approved event</w:t>
      </w:r>
      <w:r>
        <w:tab/>
        <w:t>3(1)</w:t>
      </w:r>
    </w:p>
    <w:p>
      <w:pPr>
        <w:pStyle w:val="DefinedTerms"/>
      </w:pPr>
      <w:r>
        <w:t>approved officer</w:t>
      </w:r>
      <w:r>
        <w:tab/>
        <w:t>104(2), 107(2)</w:t>
      </w:r>
    </w:p>
    <w:p>
      <w:pPr>
        <w:pStyle w:val="DefinedTerms"/>
      </w:pPr>
      <w:r>
        <w:t>approved offshore betting operator</w:t>
      </w:r>
      <w:r>
        <w:tab/>
        <w:t>101</w:t>
      </w:r>
    </w:p>
    <w:p>
      <w:pPr>
        <w:pStyle w:val="DefinedTerms"/>
      </w:pPr>
      <w:r>
        <w:t>Australian Greyhound Racing Rules</w:t>
      </w:r>
      <w:r>
        <w:tab/>
        <w:t>78(1)</w:t>
      </w:r>
    </w:p>
    <w:p>
      <w:pPr>
        <w:pStyle w:val="DefinedTerms"/>
      </w:pPr>
      <w:r>
        <w:t>Australian Rules of Harness Racing</w:t>
      </w:r>
      <w:r>
        <w:tab/>
        <w:t>78(1)</w:t>
      </w:r>
    </w:p>
    <w:p>
      <w:pPr>
        <w:pStyle w:val="DefinedTerms"/>
      </w:pPr>
      <w:r>
        <w:t>Australian Rules of Racing</w:t>
      </w:r>
      <w:r>
        <w:tab/>
        <w:t>78(1)</w:t>
      </w:r>
    </w:p>
    <w:p>
      <w:pPr>
        <w:pStyle w:val="DefinedTerms"/>
      </w:pPr>
      <w:r>
        <w:t>authorisation</w:t>
      </w:r>
      <w:r>
        <w:tab/>
        <w:t>98</w:t>
      </w:r>
    </w:p>
    <w:p>
      <w:pPr>
        <w:pStyle w:val="DefinedTerms"/>
      </w:pPr>
      <w:r>
        <w:t>barrier</w:t>
      </w:r>
      <w:r>
        <w:tab/>
        <w:t>App. cl. 1(1)</w:t>
      </w:r>
    </w:p>
    <w:p>
      <w:pPr>
        <w:pStyle w:val="DefinedTerms"/>
      </w:pPr>
      <w:r>
        <w:t>bet</w:t>
      </w:r>
      <w:r>
        <w:tab/>
        <w:t>App. cl. 4A(1)</w:t>
      </w:r>
    </w:p>
    <w:p>
      <w:pPr>
        <w:pStyle w:val="DefinedTerms"/>
      </w:pPr>
      <w:r>
        <w:t>bet back</w:t>
      </w:r>
      <w:r>
        <w:tab/>
        <w:t>3(1)</w:t>
      </w:r>
    </w:p>
    <w:p>
      <w:pPr>
        <w:pStyle w:val="DefinedTerms"/>
      </w:pPr>
      <w:r>
        <w:t>betting</w:t>
      </w:r>
      <w:r>
        <w:tab/>
        <w:t>98</w:t>
      </w:r>
    </w:p>
    <w:p>
      <w:pPr>
        <w:pStyle w:val="DefinedTerms"/>
      </w:pPr>
      <w:r>
        <w:t>betting account</w:t>
      </w:r>
      <w:r>
        <w:tab/>
        <w:t>3(1)</w:t>
      </w:r>
    </w:p>
    <w:p>
      <w:pPr>
        <w:pStyle w:val="DefinedTerms"/>
      </w:pPr>
      <w:r>
        <w:t>betting sheet</w:t>
      </w:r>
      <w:r>
        <w:tab/>
        <w:t>App. cl. 1(1)</w:t>
      </w:r>
    </w:p>
    <w:p>
      <w:pPr>
        <w:pStyle w:val="DefinedTerms"/>
      </w:pPr>
      <w:r>
        <w:t>cash</w:t>
      </w:r>
      <w:r>
        <w:tab/>
        <w:t>3(1)</w:t>
      </w:r>
    </w:p>
    <w:p>
      <w:pPr>
        <w:pStyle w:val="DefinedTerms"/>
      </w:pPr>
      <w:r>
        <w:t>combined win/place bet</w:t>
      </w:r>
      <w:r>
        <w:tab/>
        <w:t>105B(1)</w:t>
      </w:r>
    </w:p>
    <w:p>
      <w:pPr>
        <w:pStyle w:val="DefinedTerms"/>
      </w:pPr>
      <w:r>
        <w:t>commencement day</w:t>
      </w:r>
      <w:r>
        <w:tab/>
        <w:t>102(1)</w:t>
      </w:r>
    </w:p>
    <w:p>
      <w:pPr>
        <w:pStyle w:val="DefinedTerms"/>
      </w:pPr>
      <w:r>
        <w:t>committee</w:t>
      </w:r>
      <w:r>
        <w:tab/>
        <w:t>App. cl. 1(1)</w:t>
      </w:r>
    </w:p>
    <w:p>
      <w:pPr>
        <w:pStyle w:val="DefinedTerms"/>
      </w:pPr>
      <w:r>
        <w:t>concession bet</w:t>
      </w:r>
      <w:r>
        <w:tab/>
        <w:t>3(1)</w:t>
      </w:r>
    </w:p>
    <w:p>
      <w:pPr>
        <w:pStyle w:val="DefinedTerms"/>
      </w:pPr>
      <w:r>
        <w:t>country</w:t>
      </w:r>
      <w:r>
        <w:tab/>
        <w:t>3(1)</w:t>
      </w:r>
    </w:p>
    <w:p>
      <w:pPr>
        <w:pStyle w:val="DefinedTerms"/>
      </w:pPr>
      <w:r>
        <w:t>double</w:t>
      </w:r>
      <w:r>
        <w:tab/>
        <w:t>App. cl. 1(1)</w:t>
      </w:r>
    </w:p>
    <w:p>
      <w:pPr>
        <w:pStyle w:val="DefinedTerms"/>
      </w:pPr>
      <w:r>
        <w:t>each way bet</w:t>
      </w:r>
      <w:r>
        <w:tab/>
        <w:t>3(1)</w:t>
      </w:r>
    </w:p>
    <w:p>
      <w:pPr>
        <w:pStyle w:val="DefinedTerms"/>
      </w:pPr>
      <w:r>
        <w:t>Flexi Bet</w:t>
      </w:r>
      <w:r>
        <w:tab/>
        <w:t>3(1)</w:t>
      </w:r>
    </w:p>
    <w:p>
      <w:pPr>
        <w:pStyle w:val="DefinedTerms"/>
      </w:pPr>
      <w:r>
        <w:t>fraudulent behaviour</w:t>
      </w:r>
      <w:r>
        <w:tab/>
        <w:t>105C(1)</w:t>
      </w:r>
    </w:p>
    <w:p>
      <w:pPr>
        <w:pStyle w:val="DefinedTerms"/>
      </w:pPr>
      <w:r>
        <w:t>grandstand enclosure</w:t>
      </w:r>
      <w:r>
        <w:tab/>
        <w:t>3(1)</w:t>
      </w:r>
    </w:p>
    <w:p>
      <w:pPr>
        <w:pStyle w:val="DefinedTerms"/>
      </w:pPr>
      <w:r>
        <w:t>greyhound race</w:t>
      </w:r>
      <w:r>
        <w:tab/>
        <w:t>3(1)</w:t>
      </w:r>
    </w:p>
    <w:p>
      <w:pPr>
        <w:pStyle w:val="DefinedTerms"/>
      </w:pPr>
      <w:r>
        <w:t>harness race</w:t>
      </w:r>
      <w:r>
        <w:tab/>
        <w:t>3(1)</w:t>
      </w:r>
    </w:p>
    <w:p>
      <w:pPr>
        <w:pStyle w:val="DefinedTerms"/>
      </w:pPr>
      <w:r>
        <w:t>host club</w:t>
      </w:r>
      <w:r>
        <w:tab/>
        <w:t>91(1)</w:t>
      </w:r>
    </w:p>
    <w:p>
      <w:pPr>
        <w:pStyle w:val="DefinedTerms"/>
      </w:pPr>
      <w:r>
        <w:t>internet betting</w:t>
      </w:r>
      <w:r>
        <w:tab/>
        <w:t>3(1)</w:t>
      </w:r>
    </w:p>
    <w:p>
      <w:pPr>
        <w:pStyle w:val="DefinedTerms"/>
      </w:pPr>
      <w:r>
        <w:t>late scratched runner</w:t>
      </w:r>
      <w:r>
        <w:tab/>
        <w:t>App. cl. 4A(1)</w:t>
      </w:r>
    </w:p>
    <w:p>
      <w:pPr>
        <w:pStyle w:val="DefinedTerms"/>
      </w:pPr>
      <w:r>
        <w:t>leger</w:t>
      </w:r>
      <w:r>
        <w:tab/>
        <w:t>3(1)</w:t>
      </w:r>
    </w:p>
    <w:p>
      <w:pPr>
        <w:pStyle w:val="DefinedTerms"/>
      </w:pPr>
      <w:r>
        <w:t>local on-course totalisator</w:t>
      </w:r>
      <w:r>
        <w:tab/>
        <w:t>78(1)</w:t>
      </w:r>
    </w:p>
    <w:p>
      <w:pPr>
        <w:pStyle w:val="DefinedTerms"/>
      </w:pPr>
      <w:r>
        <w:t>multiple double</w:t>
      </w:r>
      <w:r>
        <w:tab/>
        <w:t>App. cl. 10(2)</w:t>
      </w:r>
    </w:p>
    <w:p>
      <w:pPr>
        <w:pStyle w:val="DefinedTerms"/>
      </w:pPr>
      <w:r>
        <w:t>objection</w:t>
      </w:r>
      <w:r>
        <w:tab/>
        <w:t>App. cl. 1(1)</w:t>
      </w:r>
    </w:p>
    <w:p>
      <w:pPr>
        <w:pStyle w:val="DefinedTerms"/>
      </w:pPr>
      <w:r>
        <w:t>odds</w:t>
      </w:r>
      <w:r>
        <w:tab/>
        <w:t>App. cl. 4A(1)</w:t>
      </w:r>
    </w:p>
    <w:p>
      <w:pPr>
        <w:pStyle w:val="DefinedTerms"/>
      </w:pPr>
      <w:r>
        <w:t>on-course totalisator</w:t>
      </w:r>
      <w:r>
        <w:tab/>
        <w:t>78(1)</w:t>
      </w:r>
    </w:p>
    <w:p>
      <w:pPr>
        <w:pStyle w:val="DefinedTerms"/>
      </w:pPr>
      <w:r>
        <w:t>percentage</w:t>
      </w:r>
      <w:r>
        <w:tab/>
        <w:t>App. cl. 4A(1)</w:t>
      </w:r>
    </w:p>
    <w:p>
      <w:pPr>
        <w:pStyle w:val="DefinedTerms"/>
      </w:pPr>
      <w:r>
        <w:t>place bet</w:t>
      </w:r>
      <w:r>
        <w:tab/>
        <w:t>3(1)</w:t>
      </w:r>
    </w:p>
    <w:p>
      <w:pPr>
        <w:pStyle w:val="DefinedTerms"/>
      </w:pPr>
      <w:r>
        <w:lastRenderedPageBreak/>
        <w:t>place component</w:t>
      </w:r>
      <w:r>
        <w:tab/>
        <w:t>105B(1)</w:t>
      </w:r>
    </w:p>
    <w:p>
      <w:pPr>
        <w:pStyle w:val="DefinedTerms"/>
      </w:pPr>
      <w:r>
        <w:t>play or pay</w:t>
      </w:r>
      <w:r>
        <w:tab/>
        <w:t>App. cl. 1(1)</w:t>
      </w:r>
    </w:p>
    <w:p>
      <w:pPr>
        <w:pStyle w:val="DefinedTerms"/>
      </w:pPr>
      <w:r>
        <w:t>prescribed information</w:t>
      </w:r>
      <w:r>
        <w:tab/>
        <w:t>104(1), 107(1)</w:t>
      </w:r>
    </w:p>
    <w:p>
      <w:pPr>
        <w:pStyle w:val="DefinedTerms"/>
      </w:pPr>
      <w:r>
        <w:t>racing year</w:t>
      </w:r>
      <w:r>
        <w:tab/>
        <w:t>3(1)</w:t>
      </w:r>
    </w:p>
    <w:p>
      <w:pPr>
        <w:pStyle w:val="DefinedTerms"/>
      </w:pPr>
      <w:r>
        <w:t>relevant person</w:t>
      </w:r>
      <w:r>
        <w:tab/>
        <w:t>98</w:t>
      </w:r>
    </w:p>
    <w:p>
      <w:pPr>
        <w:pStyle w:val="DefinedTerms"/>
      </w:pPr>
      <w:r>
        <w:t>rules of racing</w:t>
      </w:r>
      <w:r>
        <w:tab/>
        <w:t>3(1)</w:t>
      </w:r>
    </w:p>
    <w:p>
      <w:pPr>
        <w:pStyle w:val="DefinedTerms"/>
      </w:pPr>
      <w:r>
        <w:t>rules of wagering</w:t>
      </w:r>
      <w:r>
        <w:tab/>
        <w:t>3(1)</w:t>
      </w:r>
    </w:p>
    <w:p>
      <w:pPr>
        <w:pStyle w:val="DefinedTerms"/>
      </w:pPr>
      <w:r>
        <w:t>runner</w:t>
      </w:r>
      <w:r>
        <w:tab/>
        <w:t>3(1)</w:t>
      </w:r>
    </w:p>
    <w:p>
      <w:pPr>
        <w:pStyle w:val="DefinedTerms"/>
      </w:pPr>
      <w:r>
        <w:t>Scale of Deduction Table</w:t>
      </w:r>
      <w:r>
        <w:tab/>
        <w:t>App. cl. 1(1)</w:t>
      </w:r>
    </w:p>
    <w:p>
      <w:pPr>
        <w:pStyle w:val="DefinedTerms"/>
      </w:pPr>
      <w:r>
        <w:t>scheduled starting time</w:t>
      </w:r>
      <w:r>
        <w:tab/>
        <w:t>3(1)</w:t>
      </w:r>
    </w:p>
    <w:p>
      <w:pPr>
        <w:pStyle w:val="DefinedTerms"/>
      </w:pPr>
      <w:r>
        <w:t>sporting event</w:t>
      </w:r>
      <w:r>
        <w:tab/>
        <w:t>3(1)</w:t>
      </w:r>
    </w:p>
    <w:p>
      <w:pPr>
        <w:pStyle w:val="DefinedTerms"/>
      </w:pPr>
      <w:r>
        <w:t>sum percentage</w:t>
      </w:r>
      <w:r>
        <w:tab/>
        <w:t>App. cl. 4A(1)</w:t>
      </w:r>
    </w:p>
    <w:p>
      <w:pPr>
        <w:pStyle w:val="DefinedTerms"/>
      </w:pPr>
      <w:r>
        <w:t>thoroughbred race</w:t>
      </w:r>
      <w:r>
        <w:tab/>
        <w:t>3(1)</w:t>
      </w:r>
    </w:p>
    <w:p>
      <w:pPr>
        <w:pStyle w:val="DefinedTerms"/>
      </w:pPr>
      <w:r>
        <w:t>totalisator</w:t>
      </w:r>
      <w:r>
        <w:tab/>
        <w:t>63(1A)</w:t>
      </w:r>
    </w:p>
    <w:p>
      <w:pPr>
        <w:pStyle w:val="DefinedTerms"/>
      </w:pPr>
      <w:r>
        <w:t>treble</w:t>
      </w:r>
      <w:r>
        <w:tab/>
        <w:t>App. cl. 1(1)</w:t>
      </w:r>
    </w:p>
    <w:p>
      <w:pPr>
        <w:pStyle w:val="DefinedTerms"/>
      </w:pPr>
      <w:r>
        <w:t>type 1 thoroughbred race</w:t>
      </w:r>
      <w:r>
        <w:tab/>
        <w:t>105B(1)</w:t>
      </w:r>
    </w:p>
    <w:p>
      <w:pPr>
        <w:pStyle w:val="DefinedTerms"/>
      </w:pPr>
      <w:r>
        <w:t>type 2 thoroughbred race</w:t>
      </w:r>
      <w:r>
        <w:tab/>
        <w:t>105B(1)</w:t>
      </w:r>
    </w:p>
    <w:p>
      <w:pPr>
        <w:pStyle w:val="DefinedTerms"/>
      </w:pPr>
      <w:r>
        <w:t>type 3 thoroughbred race</w:t>
      </w:r>
      <w:r>
        <w:tab/>
        <w:t>105B(1)</w:t>
      </w:r>
    </w:p>
    <w:p>
      <w:pPr>
        <w:pStyle w:val="DefinedTerms"/>
      </w:pPr>
      <w:r>
        <w:t>WAGRA greyhound race</w:t>
      </w:r>
      <w:r>
        <w:tab/>
        <w:t>105A(1)</w:t>
      </w:r>
    </w:p>
    <w:p>
      <w:pPr>
        <w:pStyle w:val="DefinedTerms"/>
      </w:pPr>
      <w:r>
        <w:t>walk-over</w:t>
      </w:r>
      <w:r>
        <w:tab/>
        <w:t>App. cl. 1(1)</w:t>
      </w:r>
    </w:p>
    <w:p>
      <w:pPr>
        <w:pStyle w:val="DefinedTerms"/>
      </w:pPr>
      <w:r>
        <w:t>WATA harness race</w:t>
      </w:r>
      <w:r>
        <w:tab/>
        <w:t>105A(1)</w:t>
      </w:r>
    </w:p>
    <w:p>
      <w:pPr>
        <w:pStyle w:val="DefinedTerms"/>
      </w:pPr>
      <w:r>
        <w:t>Western Australian Greyhound Racing Association</w:t>
      </w:r>
      <w:r>
        <w:tab/>
        <w:t>3(1)</w:t>
      </w:r>
    </w:p>
    <w:p>
      <w:pPr>
        <w:pStyle w:val="DefinedTerms"/>
      </w:pPr>
      <w:r>
        <w:t>Western Australian Trotting Association</w:t>
      </w:r>
      <w:r>
        <w:tab/>
        <w:t>3(1)</w:t>
      </w:r>
    </w:p>
    <w:p>
      <w:pPr>
        <w:pStyle w:val="DefinedTerms"/>
      </w:pPr>
      <w:r>
        <w:t>win bet</w:t>
      </w:r>
      <w:r>
        <w:tab/>
        <w:t>3(1)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08-l0-00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08-l0-00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392"/>
      <w:gridCol w:w="58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rPr>
        <w:jc w:val="center"/>
      </w:trPr>
      <w:tc>
        <w:tcPr>
          <w:tcW w:w="1392" w:type="dxa"/>
        </w:tcPr>
        <w:p>
          <w:pPr>
            <w:pStyle w:val="Header"/>
            <w:spacing w:before="40"/>
          </w:pPr>
          <w:r>
            <w:rPr>
              <w:b/>
            </w:rPr>
            <w:fldChar w:fldCharType="begin"/>
          </w:r>
          <w:r>
            <w:rPr>
              <w:b/>
            </w:rPr>
            <w:instrText>styleref CharPartNo</w:instrText>
          </w:r>
          <w:r>
            <w:rPr>
              <w:b/>
            </w:rPr>
            <w:fldChar w:fldCharType="end"/>
          </w:r>
        </w:p>
      </w:tc>
      <w:tc>
        <w:tcPr>
          <w:tcW w:w="5871" w:type="dxa"/>
          <w:vAlign w:val="bottom"/>
        </w:tcPr>
        <w:p>
          <w:pPr>
            <w:pStyle w:val="Header"/>
            <w:spacing w:before="40"/>
          </w:pPr>
          <w:r>
            <w:fldChar w:fldCharType="begin"/>
          </w:r>
          <w:r>
            <w:instrText>styleref CharPartText</w:instrText>
          </w:r>
          <w:r>
            <w:fldChar w:fldCharType="end"/>
          </w:r>
        </w:p>
      </w:tc>
    </w:tr>
    <w:tr>
      <w:trPr>
        <w:jc w:val="center"/>
      </w:trPr>
      <w:tc>
        <w:tcPr>
          <w:tcW w:w="1392" w:type="dxa"/>
        </w:tcPr>
        <w:p>
          <w:pPr>
            <w:pStyle w:val="Header"/>
            <w:spacing w:before="40"/>
          </w:pPr>
          <w:r>
            <w:rPr>
              <w:b/>
            </w:rPr>
            <w:fldChar w:fldCharType="begin"/>
          </w:r>
          <w:r>
            <w:rPr>
              <w:b/>
            </w:rPr>
            <w:instrText xml:space="preserve"> styleref CharDivNo </w:instrText>
          </w:r>
          <w:r>
            <w:rPr>
              <w:b/>
            </w:rPr>
            <w:fldChar w:fldCharType="end"/>
          </w:r>
        </w:p>
      </w:tc>
      <w:tc>
        <w:tcPr>
          <w:tcW w:w="5871"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952"/>
      <w:gridCol w:w="13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rPr>
        <w:jc w:val="center"/>
      </w:trPr>
      <w:tc>
        <w:tcPr>
          <w:tcW w:w="5952" w:type="dxa"/>
          <w:vAlign w:val="bottom"/>
        </w:tcPr>
        <w:p>
          <w:pPr>
            <w:pStyle w:val="Header"/>
            <w:spacing w:before="40"/>
            <w:jc w:val="right"/>
          </w:pPr>
          <w:r>
            <w:fldChar w:fldCharType="begin"/>
          </w:r>
          <w:r>
            <w:instrText>styleref CharPartText</w:instrText>
          </w:r>
          <w:r>
            <w:fldChar w:fldCharType="end"/>
          </w:r>
        </w:p>
      </w:tc>
      <w:tc>
        <w:tcPr>
          <w:tcW w:w="131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52" w:type="dxa"/>
          <w:vAlign w:val="bottom"/>
        </w:tcPr>
        <w:p>
          <w:pPr>
            <w:pStyle w:val="Header"/>
            <w:spacing w:before="40"/>
            <w:jc w:val="right"/>
          </w:pPr>
          <w:r>
            <w:fldChar w:fldCharType="begin"/>
          </w:r>
          <w:r>
            <w:instrText xml:space="preserve"> styleref CharDivText </w:instrText>
          </w:r>
          <w:r>
            <w:fldChar w:fldCharType="end"/>
          </w:r>
        </w:p>
      </w:tc>
      <w:tc>
        <w:tcPr>
          <w:tcW w:w="131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r>
    <w:tr>
      <w:trPr>
        <w:jc w:val="center"/>
      </w:trPr>
      <w:tc>
        <w:tcPr>
          <w:tcW w:w="7160"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44" w:name="Schedule"/>
    <w:bookmarkEnd w:id="14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Rules of Betting</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Betting under the rules of racing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Betting under the rules of racing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r>
    <w:tr>
      <w:trPr>
        <w:jc w:val="center"/>
      </w:trPr>
      <w:tc>
        <w:tcPr>
          <w:tcW w:w="7160" w:type="dxa"/>
          <w:gridSpan w:val="2"/>
        </w:tcPr>
        <w:p>
          <w:pPr>
            <w:pStyle w:val="Header"/>
            <w:spacing w:before="40"/>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Betting on approved events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2</w:t>
          </w:r>
          <w:r>
            <w:rPr>
              <w:b/>
            </w:rPr>
            <w:fldChar w:fldCharType="end"/>
          </w:r>
        </w:p>
      </w:tc>
    </w:tr>
    <w:tr>
      <w:trPr>
        <w:jc w:val="center"/>
      </w:trPr>
      <w:tc>
        <w:tcPr>
          <w:tcW w:w="7160" w:type="dxa"/>
          <w:gridSpan w:val="2"/>
        </w:tcPr>
        <w:p>
          <w:pPr>
            <w:pStyle w:val="Header"/>
            <w:spacing w:before="40"/>
            <w:jc w:val="right"/>
          </w:pP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0</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5" w:name="Compilation"/>
    <w:bookmarkEnd w:id="15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9" w:name="DefinedTerms"/>
    <w:bookmarkEnd w:id="15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0" w:name="Coversheet"/>
    <w:bookmarkEnd w:id="1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206AC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82662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352E2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C5EDD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099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E0F49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D247A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EAE6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D008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4FA02A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438E64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15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16102155"/>
    <w:docVar w:name="WAFER_20131217105747" w:val="RemoveTocBookmarks,RemoveUnusedBookmarks,RemoveLanguageTags,UsedStyles,ResetPageSize,UpdateArrangement"/>
    <w:docVar w:name="WAFER_20131217105747_GUID" w:val="9e0019c9-0acf-44ce-b7f0-3bf1c214d2dd"/>
    <w:docVar w:name="WAFER_20141113150115" w:val="RemoveTocBookmarks,RemoveUnusedBookmarks,RemoveLanguageTags,UsedStyles,ResetPageSize,UpdateArrangement"/>
    <w:docVar w:name="WAFER_20141113150115_GUID" w:val="661133c9-2740-4495-8373-2167015f1d73"/>
    <w:docVar w:name="WAFER_20141229113115" w:val="RemoveTocBookmarks,RemoveUnusedBookmarks,RemoveLanguageTags,UsedStyles,ResetPageSize,UpdateArrangement"/>
    <w:docVar w:name="WAFER_20141229113115_GUID" w:val="f4a8f943-24dd-4bd0-91fb-a606d07be89b"/>
    <w:docVar w:name="WAFER_20141230083417" w:val="RemoveTocBookmarks,RunningHeaders"/>
    <w:docVar w:name="WAFER_20141230083417_GUID" w:val="11660bef-1195-418b-a056-f85a07ca4ebc"/>
    <w:docVar w:name="WAFER_20150324113944" w:val="ResetPageSize,UpdateArrangement,UpdateNTable"/>
    <w:docVar w:name="WAFER_20150324113944_GUID" w:val="2246688f-3aa9-4195-93e4-7acc1a1ea704"/>
    <w:docVar w:name="WAFER_20151105141953" w:val="UpdateStyles"/>
    <w:docVar w:name="WAFER_20151105141953_GUID" w:val="dec5f7b1-5296-4a7f-b5c2-eecbdb0126de"/>
    <w:docVar w:name="WAFER_20151105142314" w:val="UsedStyles"/>
    <w:docVar w:name="WAFER_20151105142314_GUID" w:val="a7501a44-236e-4b4c-90f6-8325f432f14c"/>
    <w:docVar w:name="WAFER_20170210160101" w:val="UsedStyles"/>
    <w:docVar w:name="WAFER_20170210160101_GUID" w:val="26266a23-0a24-40ef-b240-dd1c2b9abb65"/>
    <w:docVar w:name="WAFER_20170321154025" w:val="RemoveTocBookmarks,RemoveUnusedBookmarks,RemoveLanguageTags,UsedStyles,ResetPageSize,RemoveCustomizations"/>
    <w:docVar w:name="WAFER_20170321154025_GUID" w:val="12aa5337-deb2-4859-85d3-a8fa07edb804"/>
    <w:docVar w:name="WAFER_20171110134654" w:val="RemoveTocBookmarks,RemoveUnusedBookmarks,RemoveLanguageTags,UsedStyles,ResetPageSize"/>
    <w:docVar w:name="WAFER_20171110134654_GUID" w:val="19045f40-d3be-438b-a2e6-c1e7cb709794"/>
    <w:docVar w:name="WAFER_20181204103318" w:val="RemoveTocBookmarks,RemoveUnusedBookmarks,RemoveLanguageTags,UsedStyles,ResetPageSize"/>
    <w:docVar w:name="WAFER_20181204103318_GUID" w:val="15cd9a3b-4c81-480f-b904-086e611d8c05"/>
    <w:docVar w:name="WAFER_20190124152805" w:val="RemoveTocBookmarks,RemoveUnusedBookmarks,RemoveLanguageTags,UsedStyles,ResetPageSize"/>
    <w:docVar w:name="WAFER_20190124152805_GUID" w:val="9e7a7113-33f0-4213-8070-492dd3f5125d"/>
    <w:docVar w:name="WAFER_20191022142131" w:val="RemoveTocBookmarks,RemoveUnusedBookmarks,RemoveLanguageTags,ResetPageSize,RunningHeaders,UpdateStyles,UsedStyles"/>
    <w:docVar w:name="WAFER_20191022142131_GUID" w:val="e1f8be55-d1f3-4484-aeda-841ab570b697"/>
    <w:docVar w:name="WAFER_20191203144149" w:val="RemoveTocBookmarks,RemoveUnusedBookmarks,RemoveLanguageTags,ResetPageSize,RunningHeaders,UpdateStyles,UsedStyles"/>
    <w:docVar w:name="WAFER_20191203144149_GUID" w:val="a08238fe-9fa4-45cb-a08c-18f3333feda6"/>
    <w:docVar w:name="WAFER_202002101232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23229_GUID" w:val="8bf01268-a23b-43b6-8fc8-6fc5b151cd1a"/>
    <w:docVar w:name="WAFER_202111161433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6143300_GUID" w:val="c6749c32-71a2-46b1-9dcb-71ce77cceb30"/>
    <w:docVar w:name="WAFER_202208091543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4310_GUID" w:val="1b6a859d-e592-4d05-91ef-f178007cde59"/>
    <w:docVar w:name="WAFER_202212161021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2155_GUID" w:val="b5ad5b7c-d64c-470e-ad84-c29765423d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1553"/>
    <o:shapelayout v:ext="edit">
      <o:idmap v:ext="edit" data="1"/>
    </o:shapelayout>
  </w:shapeDefaults>
  <w:decimalSymbol w:val="."/>
  <w:listSeparator w:val=","/>
  <w15:docId w15:val="{C4EA06E4-3B88-4B4C-948A-EEE24F4EE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172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wmf"/><Relationship Id="rId39" Type="http://schemas.openxmlformats.org/officeDocument/2006/relationships/header" Target="header20.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header" Target="header2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image" Target="media/image6.png"/><Relationship Id="rId37" Type="http://schemas.openxmlformats.org/officeDocument/2006/relationships/header" Target="header18.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wmf"/><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wmf"/><Relationship Id="rId33" Type="http://schemas.openxmlformats.org/officeDocument/2006/relationships/header" Target="header14.xml"/><Relationship Id="rId38" Type="http://schemas.openxmlformats.org/officeDocument/2006/relationships/header" Target="header19.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D5BD1C-9D50-4158-965F-18C230DAD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27352</Words>
  <Characters>126371</Characters>
  <Application>Microsoft Office Word</Application>
  <DocSecurity>0</DocSecurity>
  <Lines>3949</Lines>
  <Paragraphs>2479</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151244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1978 - 08-l0-00</dc:title>
  <dc:subject/>
  <dc:creator/>
  <cp:keywords/>
  <dc:description/>
  <cp:lastModifiedBy>Master Repository Process</cp:lastModifiedBy>
  <cp:revision>4</cp:revision>
  <cp:lastPrinted>2019-12-05T01:11:00Z</cp:lastPrinted>
  <dcterms:created xsi:type="dcterms:W3CDTF">2022-12-30T00:47:00Z</dcterms:created>
  <dcterms:modified xsi:type="dcterms:W3CDTF">2022-12-30T00:47:00Z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DocumentType">
    <vt:lpwstr>Reg</vt:lpwstr>
  </property>
  <property fmtid="{D5CDD505-2E9C-101B-9397-08002B2CF9AE}" pid="4" name="OwlsUID">
    <vt:i4>4296</vt:i4>
  </property>
  <property fmtid="{D5CDD505-2E9C-101B-9397-08002B2CF9AE}" pid="5" name="ReprintedAsAt">
    <vt:filetime>2017-05-11T16:00:00Z</vt:filetime>
  </property>
  <property fmtid="{D5CDD505-2E9C-101B-9397-08002B2CF9AE}" pid="6" name="ReprintNo">
    <vt:lpwstr>8</vt:lpwstr>
  </property>
  <property fmtid="{D5CDD505-2E9C-101B-9397-08002B2CF9AE}" pid="7" name="AsAtDate">
    <vt:lpwstr>01 Jan 2023</vt:lpwstr>
  </property>
  <property fmtid="{D5CDD505-2E9C-101B-9397-08002B2CF9AE}" pid="8" name="Suffix">
    <vt:lpwstr>08-l0-00</vt:lpwstr>
  </property>
  <property fmtid="{D5CDD505-2E9C-101B-9397-08002B2CF9AE}" pid="9" name="CommencementDate">
    <vt:lpwstr>20230101</vt:lpwstr>
  </property>
</Properties>
</file>