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Casino Control Act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_Toc122683612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Terms used, forms</w:t>
      </w:r>
      <w:r>
        <w:tab/>
      </w:r>
      <w:r>
        <w:fldChar w:fldCharType="begin"/>
      </w:r>
      <w:r>
        <w:instrText xml:space="preserve"> PAGEREF _Toc122683613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_Toc122683614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 for licence as employee</w:t>
      </w:r>
      <w:r>
        <w:tab/>
      </w:r>
      <w:r>
        <w:fldChar w:fldCharType="begin"/>
      </w:r>
      <w:r>
        <w:instrText xml:space="preserve"> PAGEREF _Toc122683615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Investigation by police</w:t>
      </w:r>
      <w:r>
        <w:tab/>
      </w:r>
      <w:r>
        <w:fldChar w:fldCharType="begin"/>
      </w:r>
      <w:r>
        <w:instrText xml:space="preserve"> PAGEREF _Toc122683616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Licence fees</w:t>
      </w:r>
      <w:r>
        <w:tab/>
      </w:r>
      <w:r>
        <w:fldChar w:fldCharType="begin"/>
      </w:r>
      <w:r>
        <w:instrText xml:space="preserve"> PAGEREF _Toc122683617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Consideration of application</w:t>
      </w:r>
      <w:r>
        <w:tab/>
      </w:r>
      <w:r>
        <w:fldChar w:fldCharType="begin"/>
      </w:r>
      <w:r>
        <w:instrText xml:space="preserve"> PAGEREF _Toc122683618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Commission may grant or refuse licence</w:t>
      </w:r>
      <w:r>
        <w:tab/>
      </w:r>
      <w:r>
        <w:fldChar w:fldCharType="begin"/>
      </w:r>
      <w:r>
        <w:instrText xml:space="preserve"> PAGEREF _Toc122683619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Issue of licence</w:t>
      </w:r>
      <w:r>
        <w:tab/>
      </w:r>
      <w:r>
        <w:fldChar w:fldCharType="begin"/>
      </w:r>
      <w:r>
        <w:instrText xml:space="preserve"> PAGEREF _Toc122683620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Custody of licence</w:t>
      </w:r>
      <w:r>
        <w:tab/>
      </w:r>
      <w:r>
        <w:fldChar w:fldCharType="begin"/>
      </w:r>
      <w:r>
        <w:instrText xml:space="preserve"> PAGEREF _Toc122683621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Display of identification</w:t>
      </w:r>
      <w:r>
        <w:tab/>
      </w:r>
      <w:r>
        <w:fldChar w:fldCharType="begin"/>
      </w:r>
      <w:r>
        <w:instrText xml:space="preserve"> PAGEREF _Toc122683622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Notification of commencement of employment</w:t>
      </w:r>
      <w:r>
        <w:tab/>
      </w:r>
      <w:r>
        <w:fldChar w:fldCharType="begin"/>
      </w:r>
      <w:r>
        <w:instrText xml:space="preserve"> PAGEREF _Toc122683623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_Toc122683624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Duration of licence</w:t>
      </w:r>
      <w:r>
        <w:tab/>
      </w:r>
      <w:r>
        <w:fldChar w:fldCharType="begin"/>
      </w:r>
      <w:r>
        <w:instrText xml:space="preserve"> PAGEREF _Toc122683625 \h </w:instrText>
      </w:r>
      <w:r>
        <w:fldChar w:fldCharType="separate"/>
      </w:r>
      <w:r>
        <w:t>12</w:t>
      </w:r>
      <w:r>
        <w:fldChar w:fldCharType="end"/>
      </w:r>
    </w:p>
    <w:p>
      <w:pPr>
        <w:pStyle w:val="TOC8"/>
        <w:rPr>
          <w:rFonts w:asciiTheme="minorHAnsi" w:eastAsiaTheme="minorEastAsia" w:hAnsiTheme="minorHAnsi" w:cstheme="minorBidi"/>
          <w:szCs w:val="22"/>
        </w:rPr>
      </w:pPr>
      <w:r>
        <w:t>14A.</w:t>
      </w:r>
      <w:r>
        <w:tab/>
        <w:t>Renewal of licence</w:t>
      </w:r>
      <w:r>
        <w:tab/>
      </w:r>
      <w:r>
        <w:fldChar w:fldCharType="begin"/>
      </w:r>
      <w:r>
        <w:instrText xml:space="preserve"> PAGEREF _Toc122683626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Cancellation or suspension of licence</w:t>
      </w:r>
      <w:r>
        <w:tab/>
      </w:r>
      <w:r>
        <w:fldChar w:fldCharType="begin"/>
      </w:r>
      <w:r>
        <w:instrText xml:space="preserve"> PAGEREF _Toc122683627 \h </w:instrText>
      </w:r>
      <w:r>
        <w:fldChar w:fldCharType="separate"/>
      </w:r>
      <w:r>
        <w:t>14</w:t>
      </w:r>
      <w:r>
        <w:fldChar w:fldCharType="end"/>
      </w:r>
    </w:p>
    <w:p>
      <w:pPr>
        <w:pStyle w:val="TOC8"/>
        <w:rPr>
          <w:rFonts w:asciiTheme="minorHAnsi" w:eastAsiaTheme="minorEastAsia" w:hAnsiTheme="minorHAnsi" w:cstheme="minorBidi"/>
          <w:szCs w:val="22"/>
        </w:rPr>
      </w:pPr>
      <w:r>
        <w:t>16.</w:t>
      </w:r>
      <w:r>
        <w:tab/>
        <w:t>Letter of censure</w:t>
      </w:r>
      <w:r>
        <w:tab/>
      </w:r>
      <w:r>
        <w:fldChar w:fldCharType="begin"/>
      </w:r>
      <w:r>
        <w:instrText xml:space="preserve"> PAGEREF _Toc122683628 \h </w:instrText>
      </w:r>
      <w:r>
        <w:fldChar w:fldCharType="separate"/>
      </w:r>
      <w:r>
        <w:t>16</w:t>
      </w:r>
      <w:r>
        <w:fldChar w:fldCharType="end"/>
      </w:r>
    </w:p>
    <w:p>
      <w:pPr>
        <w:pStyle w:val="TOC8"/>
        <w:rPr>
          <w:rFonts w:asciiTheme="minorHAnsi" w:eastAsiaTheme="minorEastAsia" w:hAnsiTheme="minorHAnsi" w:cstheme="minorBidi"/>
          <w:szCs w:val="22"/>
        </w:rPr>
      </w:pPr>
      <w:r>
        <w:t>16A.</w:t>
      </w:r>
      <w:r>
        <w:tab/>
        <w:t>Imposition of fine</w:t>
      </w:r>
      <w:r>
        <w:tab/>
      </w:r>
      <w:r>
        <w:fldChar w:fldCharType="begin"/>
      </w:r>
      <w:r>
        <w:instrText xml:space="preserve"> PAGEREF _Toc122683629 \h </w:instrText>
      </w:r>
      <w:r>
        <w:fldChar w:fldCharType="separate"/>
      </w:r>
      <w:r>
        <w:t>16</w:t>
      </w:r>
      <w:r>
        <w:fldChar w:fldCharType="end"/>
      </w:r>
    </w:p>
    <w:p>
      <w:pPr>
        <w:pStyle w:val="TOC8"/>
        <w:rPr>
          <w:rFonts w:asciiTheme="minorHAnsi" w:eastAsiaTheme="minorEastAsia" w:hAnsiTheme="minorHAnsi" w:cstheme="minorBidi"/>
          <w:szCs w:val="22"/>
        </w:rPr>
      </w:pPr>
      <w:r>
        <w:t>16B.</w:t>
      </w:r>
      <w:r>
        <w:tab/>
        <w:t>Combination of punitive measures</w:t>
      </w:r>
      <w:r>
        <w:tab/>
      </w:r>
      <w:r>
        <w:fldChar w:fldCharType="begin"/>
      </w:r>
      <w:r>
        <w:instrText xml:space="preserve"> PAGEREF _Toc122683630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Surrender of licence</w:t>
      </w:r>
      <w:r>
        <w:tab/>
      </w:r>
      <w:r>
        <w:fldChar w:fldCharType="begin"/>
      </w:r>
      <w:r>
        <w:instrText xml:space="preserve"> PAGEREF _Toc122683631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Termination of employment and notification of termination</w:t>
      </w:r>
      <w:r>
        <w:tab/>
      </w:r>
      <w:r>
        <w:fldChar w:fldCharType="begin"/>
      </w:r>
      <w:r>
        <w:instrText xml:space="preserve"> PAGEREF _Toc122683632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Provisional licences</w:t>
      </w:r>
      <w:r>
        <w:tab/>
      </w:r>
      <w:r>
        <w:fldChar w:fldCharType="begin"/>
      </w:r>
      <w:r>
        <w:instrText xml:space="preserve"> PAGEREF _Toc122683633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w:t>
      </w:r>
    </w:p>
    <w:p>
      <w:pPr>
        <w:pStyle w:val="TOC4"/>
        <w:tabs>
          <w:tab w:val="right" w:leader="dot" w:pos="7077"/>
        </w:tabs>
        <w:rPr>
          <w:rFonts w:asciiTheme="minorHAnsi" w:eastAsiaTheme="minorEastAsia" w:hAnsiTheme="minorHAnsi" w:cstheme="minorBidi"/>
          <w:b w:val="0"/>
          <w:szCs w:val="22"/>
        </w:rPr>
      </w:pPr>
      <w:r>
        <w:t>Form 2</w:t>
      </w:r>
    </w:p>
    <w:p>
      <w:pPr>
        <w:pStyle w:val="TOC4"/>
        <w:tabs>
          <w:tab w:val="right" w:leader="dot" w:pos="7077"/>
        </w:tabs>
        <w:rPr>
          <w:rFonts w:asciiTheme="minorHAnsi" w:eastAsiaTheme="minorEastAsia" w:hAnsiTheme="minorHAnsi" w:cstheme="minorBidi"/>
          <w:b w:val="0"/>
          <w:szCs w:val="22"/>
        </w:rPr>
      </w:pPr>
      <w:r>
        <w:t>Form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_Toc122683638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(Burswood Island) (Licensing of Employees) Regulations 1985</w:t>
      </w:r>
    </w:p>
    <w:p>
      <w:pPr>
        <w:pStyle w:val="Heading5"/>
        <w:spacing w:before="240"/>
        <w:rPr>
          <w:snapToGrid w:val="0"/>
        </w:rPr>
      </w:pPr>
      <w:bookmarkStart w:id="3" w:name="_Toc122683612"/>
      <w:r>
        <w:rPr>
          <w:rStyle w:val="CharSectno"/>
        </w:rPr>
        <w:t>1</w:t>
      </w:r>
      <w:r>
        <w:rPr>
          <w:snapToGrid w:val="0"/>
        </w:rPr>
        <w:t xml:space="preserve">. </w:t>
      </w:r>
      <w:r>
        <w:rPr>
          <w:snapToGrid w:val="0"/>
        </w:rPr>
        <w:tab/>
        <w:t>Citation</w:t>
      </w:r>
      <w:bookmarkEnd w:id="3"/>
      <w:r>
        <w:rPr>
          <w:snapToGrid w:val="0"/>
        </w:rPr>
        <w:t xml:space="preserve"> </w:t>
      </w:r>
    </w:p>
    <w:p>
      <w:pPr>
        <w:pStyle w:val="Subsection"/>
      </w:pPr>
      <w:r>
        <w:tab/>
      </w:r>
      <w:r>
        <w:tab/>
        <w:t xml:space="preserve">These regulations may be cited as the </w:t>
      </w:r>
      <w:r>
        <w:rPr>
          <w:i/>
        </w:rPr>
        <w:t>Casino Control (Burswood Island) (Licensing of Employees) Regulations 1985</w:t>
      </w:r>
      <w:r>
        <w:t>.</w:t>
      </w:r>
    </w:p>
    <w:p>
      <w:pPr>
        <w:pStyle w:val="Heading5"/>
        <w:spacing w:before="240"/>
        <w:rPr>
          <w:snapToGrid w:val="0"/>
        </w:rPr>
      </w:pPr>
      <w:bookmarkStart w:id="4" w:name="_Toc122683613"/>
      <w:r>
        <w:rPr>
          <w:rStyle w:val="CharSectno"/>
        </w:rPr>
        <w:t>2</w:t>
      </w:r>
      <w:r>
        <w:rPr>
          <w:snapToGrid w:val="0"/>
        </w:rPr>
        <w:t xml:space="preserve">. </w:t>
      </w:r>
      <w:r>
        <w:rPr>
          <w:snapToGrid w:val="0"/>
        </w:rPr>
        <w:tab/>
        <w:t>Terms used, forms</w:t>
      </w:r>
      <w:bookmarkEnd w:id="4"/>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keepNex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Gazette 4 May 1990 p. 2237; 2 Jul 1999 p. 2922; 30 Jan 2004 p. 414.] </w:t>
      </w:r>
    </w:p>
    <w:p>
      <w:pPr>
        <w:pStyle w:val="Heading5"/>
        <w:spacing w:before="240"/>
        <w:rPr>
          <w:snapToGrid w:val="0"/>
        </w:rPr>
      </w:pPr>
      <w:bookmarkStart w:id="5" w:name="_Toc122683614"/>
      <w:r>
        <w:rPr>
          <w:rStyle w:val="CharSectno"/>
        </w:rPr>
        <w:t>3</w:t>
      </w:r>
      <w:r>
        <w:rPr>
          <w:snapToGrid w:val="0"/>
        </w:rPr>
        <w:t xml:space="preserve">. </w:t>
      </w:r>
      <w:r>
        <w:rPr>
          <w:snapToGrid w:val="0"/>
        </w:rPr>
        <w:tab/>
        <w:t>Unlicensed persons not to be casino key employees or casino employees</w:t>
      </w:r>
      <w:bookmarkEnd w:id="5"/>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lastRenderedPageBreak/>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Gazette 4 May 1990 p. 2238.] </w:t>
      </w:r>
    </w:p>
    <w:p>
      <w:pPr>
        <w:pStyle w:val="Heading5"/>
        <w:rPr>
          <w:snapToGrid w:val="0"/>
        </w:rPr>
      </w:pPr>
      <w:bookmarkStart w:id="6" w:name="_Toc122683615"/>
      <w:r>
        <w:rPr>
          <w:rStyle w:val="CharSectno"/>
        </w:rPr>
        <w:lastRenderedPageBreak/>
        <w:t>4</w:t>
      </w:r>
      <w:r>
        <w:rPr>
          <w:snapToGrid w:val="0"/>
        </w:rPr>
        <w:t xml:space="preserve">. </w:t>
      </w:r>
      <w:r>
        <w:rPr>
          <w:snapToGrid w:val="0"/>
        </w:rPr>
        <w:tab/>
        <w:t>Application for licence as employee</w:t>
      </w:r>
      <w:bookmarkEnd w:id="6"/>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lastRenderedPageBreak/>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Gazette 29 May 1987 p. 2217; 4 May 1990 p. 2238; 8 Feb 1991 p. 650; 7 Sep 2004 p. 3882; 14 Oct 2005 p. 4558; 4 Oct 2016 p. 4241.] </w:t>
      </w:r>
    </w:p>
    <w:p>
      <w:pPr>
        <w:pStyle w:val="Heading5"/>
        <w:rPr>
          <w:snapToGrid w:val="0"/>
        </w:rPr>
      </w:pPr>
      <w:bookmarkStart w:id="7" w:name="_Toc122683616"/>
      <w:r>
        <w:rPr>
          <w:rStyle w:val="CharSectno"/>
        </w:rPr>
        <w:t>5</w:t>
      </w:r>
      <w:r>
        <w:rPr>
          <w:snapToGrid w:val="0"/>
        </w:rPr>
        <w:t xml:space="preserve">. </w:t>
      </w:r>
      <w:r>
        <w:rPr>
          <w:snapToGrid w:val="0"/>
        </w:rPr>
        <w:tab/>
        <w:t>Investigation by police</w:t>
      </w:r>
      <w:bookmarkEnd w:id="7"/>
      <w:r>
        <w:rPr>
          <w:snapToGrid w:val="0"/>
        </w:rPr>
        <w:t xml:space="preserve"> </w:t>
      </w:r>
    </w:p>
    <w:p>
      <w:pPr>
        <w:pStyle w:val="Subsection"/>
      </w:pPr>
      <w:r>
        <w:tab/>
        <w:t>(1)</w:t>
      </w:r>
      <w:r>
        <w:tab/>
        <w:t xml:space="preserve">The Chief Casino Officer may submit particulars of any application for a casino key employee licence or casino </w:t>
      </w:r>
      <w:r>
        <w:lastRenderedPageBreak/>
        <w:t>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Gazette 8 Feb 1991 p. 650; 7 Sep 2004 p. 3882; 12 Apr 2011 p. 1325.] </w:t>
      </w:r>
    </w:p>
    <w:p>
      <w:pPr>
        <w:pStyle w:val="Heading5"/>
        <w:rPr>
          <w:snapToGrid w:val="0"/>
        </w:rPr>
      </w:pPr>
      <w:bookmarkStart w:id="8" w:name="_Toc122683617"/>
      <w:r>
        <w:rPr>
          <w:rStyle w:val="CharSectno"/>
        </w:rPr>
        <w:t>6</w:t>
      </w:r>
      <w:r>
        <w:rPr>
          <w:snapToGrid w:val="0"/>
        </w:rPr>
        <w:t>.</w:t>
      </w:r>
      <w:r>
        <w:rPr>
          <w:snapToGrid w:val="0"/>
        </w:rPr>
        <w:tab/>
        <w:t>Licence fees</w:t>
      </w:r>
      <w:bookmarkEnd w:id="8"/>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$482; and</w:t>
      </w:r>
    </w:p>
    <w:p>
      <w:pPr>
        <w:pStyle w:val="Indenta"/>
        <w:rPr>
          <w:snapToGrid w:val="0"/>
        </w:rPr>
      </w:pPr>
      <w:r>
        <w:rPr>
          <w:snapToGrid w:val="0"/>
        </w:rPr>
        <w:lastRenderedPageBreak/>
        <w:tab/>
        <w:t>(b)</w:t>
      </w:r>
      <w:r>
        <w:rPr>
          <w:snapToGrid w:val="0"/>
        </w:rPr>
        <w:tab/>
        <w:t xml:space="preserve">for a casino employee licence, is </w:t>
      </w:r>
      <w:r>
        <w:t>$315.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$138.50; and</w:t>
      </w:r>
    </w:p>
    <w:p>
      <w:pPr>
        <w:pStyle w:val="Indenta"/>
        <w:rPr>
          <w:snapToGrid w:val="0"/>
        </w:rPr>
      </w:pPr>
      <w:r>
        <w:rPr>
          <w:snapToGrid w:val="0"/>
        </w:rPr>
        <w:tab/>
        <w:t>(b)</w:t>
      </w:r>
      <w:r>
        <w:rPr>
          <w:snapToGrid w:val="0"/>
        </w:rPr>
        <w:tab/>
        <w:t xml:space="preserve">for the renewal of a casino employee licence, is </w:t>
      </w:r>
      <w:r>
        <w:t>$138.50.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$333;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$55.</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 28 Oct 2016 p. 4912; 10 Nov 2017 p. 5582; 7 Sep 2018 p. 3193; 22 Oct 2019 p. 3721</w:t>
      </w:r>
      <w:r>
        <w:noBreakHyphen/>
        <w:t xml:space="preserve">2; SL 2022/144 r. 6.] </w:t>
      </w:r>
    </w:p>
    <w:p>
      <w:pPr>
        <w:pStyle w:val="Heading5"/>
        <w:rPr>
          <w:snapToGrid w:val="0"/>
        </w:rPr>
      </w:pPr>
      <w:bookmarkStart w:id="9" w:name="_Toc122683618"/>
      <w:r>
        <w:rPr>
          <w:rStyle w:val="CharSectno"/>
        </w:rPr>
        <w:lastRenderedPageBreak/>
        <w:t>7</w:t>
      </w:r>
      <w:r>
        <w:rPr>
          <w:snapToGrid w:val="0"/>
        </w:rPr>
        <w:t xml:space="preserve">. </w:t>
      </w:r>
      <w:r>
        <w:rPr>
          <w:snapToGrid w:val="0"/>
        </w:rPr>
        <w:tab/>
        <w:t>Consideration of application</w:t>
      </w:r>
      <w:bookmarkEnd w:id="9"/>
      <w:r>
        <w:rPr>
          <w:snapToGrid w:val="0"/>
        </w:rPr>
        <w:t xml:space="preserve"> </w:t>
      </w:r>
    </w:p>
    <w:p>
      <w:pPr>
        <w:pStyle w:val="Subsection"/>
        <w:keepNext/>
        <w:keepLines/>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keepNext/>
        <w:keepLines/>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lastRenderedPageBreak/>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Gazette 4 May 1990 p. 2238; 2 Jul 1999 p. 2923.] </w:t>
      </w:r>
    </w:p>
    <w:p>
      <w:pPr>
        <w:pStyle w:val="Heading5"/>
        <w:rPr>
          <w:snapToGrid w:val="0"/>
        </w:rPr>
      </w:pPr>
      <w:bookmarkStart w:id="10" w:name="_Toc122683619"/>
      <w:r>
        <w:rPr>
          <w:rStyle w:val="CharSectno"/>
        </w:rPr>
        <w:t>8</w:t>
      </w:r>
      <w:r>
        <w:rPr>
          <w:snapToGrid w:val="0"/>
        </w:rPr>
        <w:t xml:space="preserve">. </w:t>
      </w:r>
      <w:r>
        <w:rPr>
          <w:snapToGrid w:val="0"/>
        </w:rPr>
        <w:tab/>
        <w:t>Commission may grant or refuse licence</w:t>
      </w:r>
      <w:bookmarkEnd w:id="10"/>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Gazette 4 May 1990 p. 2238; 2 Jul 1999 p. 2923.] </w:t>
      </w:r>
    </w:p>
    <w:p>
      <w:pPr>
        <w:pStyle w:val="Heading5"/>
        <w:rPr>
          <w:snapToGrid w:val="0"/>
        </w:rPr>
      </w:pPr>
      <w:bookmarkStart w:id="11" w:name="_Toc122683620"/>
      <w:r>
        <w:rPr>
          <w:rStyle w:val="CharSectno"/>
        </w:rPr>
        <w:t>9</w:t>
      </w:r>
      <w:r>
        <w:rPr>
          <w:snapToGrid w:val="0"/>
        </w:rPr>
        <w:t xml:space="preserve">. </w:t>
      </w:r>
      <w:r>
        <w:rPr>
          <w:snapToGrid w:val="0"/>
        </w:rPr>
        <w:tab/>
        <w:t>Issue of licence</w:t>
      </w:r>
      <w:bookmarkEnd w:id="11"/>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lastRenderedPageBreak/>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Gazette 4 May 1990 p. 2238; 2 Jul 1999 p. 2923; 24 Jun 2005 p. 2773.] </w:t>
      </w:r>
    </w:p>
    <w:p>
      <w:pPr>
        <w:pStyle w:val="Heading5"/>
        <w:rPr>
          <w:snapToGrid w:val="0"/>
        </w:rPr>
      </w:pPr>
      <w:bookmarkStart w:id="12" w:name="_Toc122683621"/>
      <w:r>
        <w:rPr>
          <w:rStyle w:val="CharSectno"/>
        </w:rPr>
        <w:t>10</w:t>
      </w:r>
      <w:r>
        <w:rPr>
          <w:snapToGrid w:val="0"/>
        </w:rPr>
        <w:t xml:space="preserve">. </w:t>
      </w:r>
      <w:r>
        <w:rPr>
          <w:snapToGrid w:val="0"/>
        </w:rPr>
        <w:tab/>
        <w:t>Custody of licence</w:t>
      </w:r>
      <w:bookmarkEnd w:id="1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Gazette 4 May 1990 p. 2238.] </w:t>
      </w:r>
    </w:p>
    <w:p>
      <w:pPr>
        <w:pStyle w:val="Heading5"/>
        <w:rPr>
          <w:snapToGrid w:val="0"/>
        </w:rPr>
      </w:pPr>
      <w:bookmarkStart w:id="13" w:name="_Toc122683622"/>
      <w:r>
        <w:rPr>
          <w:rStyle w:val="CharSectno"/>
        </w:rPr>
        <w:lastRenderedPageBreak/>
        <w:t>11</w:t>
      </w:r>
      <w:r>
        <w:rPr>
          <w:snapToGrid w:val="0"/>
        </w:rPr>
        <w:t xml:space="preserve">. </w:t>
      </w:r>
      <w:r>
        <w:rPr>
          <w:snapToGrid w:val="0"/>
        </w:rPr>
        <w:tab/>
        <w:t>Display of identification</w:t>
      </w:r>
      <w:bookmarkEnd w:id="13"/>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Gazette 4 May 1990 p. 2238; 17 Mar 1998 p. 1492.] </w:t>
      </w:r>
    </w:p>
    <w:p>
      <w:pPr>
        <w:pStyle w:val="Heading5"/>
        <w:rPr>
          <w:snapToGrid w:val="0"/>
        </w:rPr>
      </w:pPr>
      <w:bookmarkStart w:id="14" w:name="_Toc122683623"/>
      <w:r>
        <w:rPr>
          <w:rStyle w:val="CharSectno"/>
        </w:rPr>
        <w:t>12</w:t>
      </w:r>
      <w:r>
        <w:rPr>
          <w:snapToGrid w:val="0"/>
        </w:rPr>
        <w:t xml:space="preserve">. </w:t>
      </w:r>
      <w:r>
        <w:rPr>
          <w:snapToGrid w:val="0"/>
        </w:rPr>
        <w:tab/>
        <w:t>Notification of commencement of employment</w:t>
      </w:r>
      <w:bookmarkEnd w:id="14"/>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15" w:name="_Toc122683624"/>
      <w:r>
        <w:rPr>
          <w:rStyle w:val="CharSectno"/>
        </w:rPr>
        <w:t>13</w:t>
      </w:r>
      <w:r>
        <w:rPr>
          <w:snapToGrid w:val="0"/>
        </w:rPr>
        <w:t xml:space="preserve">. </w:t>
      </w:r>
      <w:r>
        <w:rPr>
          <w:snapToGrid w:val="0"/>
        </w:rPr>
        <w:tab/>
        <w:t>Submission of information as to licensees and maintenance of register</w:t>
      </w:r>
      <w:bookmarkEnd w:id="15"/>
      <w:r>
        <w:rPr>
          <w:snapToGrid w:val="0"/>
        </w:rPr>
        <w:t xml:space="preserve"> </w:t>
      </w:r>
    </w:p>
    <w:p>
      <w:pPr>
        <w:pStyle w:val="Subsection"/>
      </w:pPr>
      <w:r>
        <w:tab/>
        <w:t>(1)</w:t>
      </w:r>
      <w:r>
        <w:tab/>
        <w:t xml:space="preserve">The Operator shall submit to the Chief Casino Officer, on demand being made in writing by the Chief Casino Officer, </w:t>
      </w:r>
      <w:r>
        <w:lastRenderedPageBreak/>
        <w:t>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16" w:name="_Toc122683625"/>
      <w:r>
        <w:rPr>
          <w:rStyle w:val="CharSectno"/>
        </w:rPr>
        <w:t>14</w:t>
      </w:r>
      <w:r>
        <w:rPr>
          <w:snapToGrid w:val="0"/>
        </w:rPr>
        <w:t xml:space="preserve">. </w:t>
      </w:r>
      <w:r>
        <w:rPr>
          <w:snapToGrid w:val="0"/>
        </w:rPr>
        <w:tab/>
        <w:t>Duration of licence</w:t>
      </w:r>
      <w:bookmarkEnd w:id="16"/>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lastRenderedPageBreak/>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Gazette 4 May 1990 p. 2238; 2 Jul 1999 p. 2923</w:t>
      </w:r>
      <w:r>
        <w:noBreakHyphen/>
        <w:t xml:space="preserve">4; 27 Oct 2000 p. 6029.] </w:t>
      </w:r>
    </w:p>
    <w:p>
      <w:pPr>
        <w:pStyle w:val="Heading5"/>
      </w:pPr>
      <w:bookmarkStart w:id="17" w:name="_Toc122683626"/>
      <w:r>
        <w:rPr>
          <w:rStyle w:val="CharSectno"/>
        </w:rPr>
        <w:t>14A</w:t>
      </w:r>
      <w:r>
        <w:t>.</w:t>
      </w:r>
      <w:r>
        <w:tab/>
        <w:t>Renewal of licence</w:t>
      </w:r>
      <w:bookmarkEnd w:id="17"/>
    </w:p>
    <w:p>
      <w:pPr>
        <w:pStyle w:val="Subsection"/>
      </w:pPr>
      <w:r>
        <w:tab/>
        <w:t>(1)</w:t>
      </w:r>
      <w:r>
        <w:tab/>
        <w:t>A person who wishes to renew a casino key employee licence or a casino employee licence shall apply for the renewal before the expiration of the licence.</w:t>
      </w:r>
    </w:p>
    <w:p>
      <w:pPr>
        <w:pStyle w:val="Subsection"/>
      </w:pPr>
      <w:r>
        <w:lastRenderedPageBreak/>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Gazette 2 Jul 1999 p. 2924.]</w:t>
      </w:r>
    </w:p>
    <w:p>
      <w:pPr>
        <w:pStyle w:val="Heading5"/>
        <w:rPr>
          <w:snapToGrid w:val="0"/>
        </w:rPr>
      </w:pPr>
      <w:bookmarkStart w:id="18" w:name="_Toc122683627"/>
      <w:r>
        <w:rPr>
          <w:rStyle w:val="CharSectno"/>
        </w:rPr>
        <w:t>15</w:t>
      </w:r>
      <w:r>
        <w:rPr>
          <w:snapToGrid w:val="0"/>
        </w:rPr>
        <w:t xml:space="preserve">. </w:t>
      </w:r>
      <w:r>
        <w:rPr>
          <w:snapToGrid w:val="0"/>
        </w:rPr>
        <w:tab/>
        <w:t>Cancellation or suspension of licence</w:t>
      </w:r>
      <w:bookmarkEnd w:id="18"/>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 xml:space="preserve">It is a condition of every licence issued under these regulations that the Chief Casino Officer or the Commission may require </w:t>
      </w:r>
      <w:r>
        <w:lastRenderedPageBreak/>
        <w:t>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lastRenderedPageBreak/>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Gazette 13 Nov 1987 p. 4142; 4 May 1990 p. 2238; 12 Dec 1997 p. 7288; 4 Oct 2016 p. 4241.] </w:t>
      </w:r>
    </w:p>
    <w:p>
      <w:pPr>
        <w:pStyle w:val="Heading5"/>
      </w:pPr>
      <w:bookmarkStart w:id="19" w:name="_Toc122683628"/>
      <w:r>
        <w:rPr>
          <w:rStyle w:val="CharSectno"/>
        </w:rPr>
        <w:t>16</w:t>
      </w:r>
      <w:r>
        <w:t>.</w:t>
      </w:r>
      <w:r>
        <w:tab/>
        <w:t>Letter of censure</w:t>
      </w:r>
      <w:bookmarkEnd w:id="19"/>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Gazette 5 Feb 1999 p. 406.]</w:t>
      </w:r>
    </w:p>
    <w:p>
      <w:pPr>
        <w:pStyle w:val="Heading5"/>
      </w:pPr>
      <w:bookmarkStart w:id="20" w:name="_Toc122683629"/>
      <w:r>
        <w:rPr>
          <w:rStyle w:val="CharSectno"/>
        </w:rPr>
        <w:t>16A</w:t>
      </w:r>
      <w:r>
        <w:t>.</w:t>
      </w:r>
      <w:r>
        <w:tab/>
        <w:t>Imposition of fine</w:t>
      </w:r>
      <w:bookmarkEnd w:id="2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Gazette 5 Feb 1999 p. 406.]</w:t>
      </w:r>
    </w:p>
    <w:p>
      <w:pPr>
        <w:pStyle w:val="Heading5"/>
      </w:pPr>
      <w:bookmarkStart w:id="21" w:name="_Toc122683630"/>
      <w:r>
        <w:rPr>
          <w:rStyle w:val="CharSectno"/>
        </w:rPr>
        <w:t>16B</w:t>
      </w:r>
      <w:r>
        <w:t>.</w:t>
      </w:r>
      <w:r>
        <w:tab/>
        <w:t>Combination of punitive measures</w:t>
      </w:r>
      <w:bookmarkEnd w:id="21"/>
    </w:p>
    <w:p>
      <w:pPr>
        <w:pStyle w:val="Subsection"/>
      </w:pPr>
      <w:r>
        <w:tab/>
      </w:r>
      <w:r>
        <w:tab/>
        <w:t xml:space="preserve">Where the Commission considers it appropriate, and in response to a matter described in regulation 15(1), the Commission may combine 2 or all of the punitive measures set out in regulations 15, 16 and 16A, and impose that combination of </w:t>
      </w:r>
      <w:r>
        <w:lastRenderedPageBreak/>
        <w:t>measures on a casino key employee licence holder or casino employee licence holder.</w:t>
      </w:r>
    </w:p>
    <w:p>
      <w:pPr>
        <w:pStyle w:val="Footnotesection"/>
      </w:pPr>
      <w:r>
        <w:tab/>
        <w:t>[Regulation 16B inserted: Gazette 5 Feb 1999 p. 406</w:t>
      </w:r>
      <w:r>
        <w:noBreakHyphen/>
        <w:t>7.]</w:t>
      </w:r>
    </w:p>
    <w:p>
      <w:pPr>
        <w:pStyle w:val="Heading5"/>
        <w:rPr>
          <w:snapToGrid w:val="0"/>
        </w:rPr>
      </w:pPr>
      <w:bookmarkStart w:id="22" w:name="_Toc122683631"/>
      <w:r>
        <w:rPr>
          <w:rStyle w:val="CharSectno"/>
        </w:rPr>
        <w:t>17</w:t>
      </w:r>
      <w:r>
        <w:rPr>
          <w:snapToGrid w:val="0"/>
        </w:rPr>
        <w:t xml:space="preserve">. </w:t>
      </w:r>
      <w:r>
        <w:rPr>
          <w:snapToGrid w:val="0"/>
        </w:rPr>
        <w:tab/>
        <w:t>Surrender of licence</w:t>
      </w:r>
      <w:bookmarkEnd w:id="2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Gazette 4 May 1990 p. 2238.] </w:t>
      </w:r>
    </w:p>
    <w:p>
      <w:pPr>
        <w:pStyle w:val="Heading5"/>
        <w:rPr>
          <w:snapToGrid w:val="0"/>
        </w:rPr>
      </w:pPr>
      <w:bookmarkStart w:id="23" w:name="_Toc122683632"/>
      <w:r>
        <w:rPr>
          <w:rStyle w:val="CharSectno"/>
        </w:rPr>
        <w:t>18</w:t>
      </w:r>
      <w:r>
        <w:rPr>
          <w:snapToGrid w:val="0"/>
        </w:rPr>
        <w:t xml:space="preserve">. </w:t>
      </w:r>
      <w:r>
        <w:rPr>
          <w:snapToGrid w:val="0"/>
        </w:rPr>
        <w:tab/>
        <w:t>Termination of employment and notification of termination</w:t>
      </w:r>
      <w:bookmarkEnd w:id="23"/>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24" w:name="_Toc122683633"/>
      <w:r>
        <w:rPr>
          <w:rStyle w:val="CharSectno"/>
        </w:rPr>
        <w:t>19</w:t>
      </w:r>
      <w:r>
        <w:rPr>
          <w:snapToGrid w:val="0"/>
        </w:rPr>
        <w:t>.</w:t>
      </w:r>
      <w:r>
        <w:rPr>
          <w:snapToGrid w:val="0"/>
        </w:rPr>
        <w:tab/>
        <w:t>Provisional licences</w:t>
      </w:r>
      <w:bookmarkEnd w:id="24"/>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w:t>
      </w:r>
      <w:r>
        <w:lastRenderedPageBreak/>
        <w:t xml:space="preserve">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lastRenderedPageBreak/>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Gazette 4 May 1990 p. 2238; 13 Sep 1991 p. 4831; 12 Dec 1997 p. 7289; 2 May 2006 p. 1707; 11 Apr 2014 p. 1019.]</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5" w:name="_Toc122079482"/>
      <w:bookmarkStart w:id="26" w:name="_Toc122079715"/>
      <w:bookmarkStart w:id="27" w:name="_Toc122683634"/>
      <w:r>
        <w:rPr>
          <w:rStyle w:val="CharSchNo"/>
        </w:rPr>
        <w:lastRenderedPageBreak/>
        <w:t>Schedule</w:t>
      </w:r>
      <w:bookmarkEnd w:id="25"/>
      <w:bookmarkEnd w:id="26"/>
      <w:bookmarkEnd w:id="27"/>
    </w:p>
    <w:p>
      <w:pPr>
        <w:pStyle w:val="yEdnotedivision"/>
      </w:pPr>
      <w:r>
        <w:t>[Form 1 deleted: Gazette 14 Oct 2005 p. 4558.]</w:t>
      </w:r>
    </w:p>
    <w:p>
      <w:pPr>
        <w:pStyle w:val="yHeading3"/>
      </w:pPr>
      <w:bookmarkStart w:id="28" w:name="_Toc122079483"/>
      <w:bookmarkStart w:id="29" w:name="_Toc122079716"/>
      <w:bookmarkStart w:id="30" w:name="_Toc122683635"/>
      <w:r>
        <w:rPr>
          <w:rStyle w:val="CharSClsNo"/>
        </w:rPr>
        <w:t>Form 2</w:t>
      </w:r>
      <w:bookmarkEnd w:id="28"/>
      <w:bookmarkEnd w:id="29"/>
      <w:bookmarkEnd w:id="30"/>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[Form 2 amended: Gazette 4 May 1990 p. 2243; 30 Jan 2004 p. 414; 24 Jun 2005 p. 2773.]</w:t>
      </w:r>
    </w:p>
    <w:p>
      <w:pPr>
        <w:pStyle w:val="yHeading3"/>
        <w:keepNext w:val="0"/>
        <w:pageBreakBefore/>
        <w:widowControl w:val="0"/>
        <w:rPr>
          <w:b w:val="0"/>
        </w:rPr>
      </w:pPr>
      <w:bookmarkStart w:id="31" w:name="_Toc122079484"/>
      <w:bookmarkStart w:id="32" w:name="_Toc122079717"/>
      <w:bookmarkStart w:id="33" w:name="_Toc122683636"/>
      <w:r>
        <w:rPr>
          <w:rStyle w:val="CharSClsNo"/>
        </w:rPr>
        <w:lastRenderedPageBreak/>
        <w:t>Form 3</w:t>
      </w:r>
      <w:bookmarkEnd w:id="31"/>
      <w:bookmarkEnd w:id="32"/>
      <w:bookmarkEnd w:id="33"/>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t>Western Australia</w:t>
      </w:r>
    </w:p>
    <w:p>
      <w:pPr>
        <w:pStyle w:val="yFootnotesection"/>
        <w:keepLines w:val="0"/>
      </w:pPr>
      <w:r>
        <w:tab/>
        <w:t xml:space="preserve">[Form 3 amended: Gazette 4 May 1990 p. 2243; 30 Jan 2004 p. 414; 24 Jun 2005 p. 2773.] </w:t>
      </w:r>
    </w:p>
    <w:p>
      <w:pPr>
        <w:pStyle w:val="yMiscellaneousHeading"/>
        <w:pageBreakBefore/>
        <w:spacing w:before="240"/>
        <w:rPr>
          <w:b/>
          <w:bCs/>
          <w:snapToGrid w:val="0"/>
        </w:rPr>
      </w:pPr>
      <w:r>
        <w:rPr>
          <w:rStyle w:val="CharSClsNo"/>
          <w:b/>
        </w:rPr>
        <w:lastRenderedPageBreak/>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Gazette 4 May 1990 p. 2243; 30 Jan 2004 p. 414.]</w:t>
      </w:r>
    </w:p>
    <w:p>
      <w:pPr>
        <w:pStyle w:val="yMiscellaneousHeading"/>
        <w:pageBreakBefore/>
        <w:spacing w:before="0"/>
        <w:rPr>
          <w:b/>
        </w:rPr>
      </w:pPr>
      <w:r>
        <w:rPr>
          <w:rStyle w:val="CharSClsNo"/>
          <w:b/>
        </w:rPr>
        <w:lastRenderedPageBreak/>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(Burswood Island)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(Burswood Island)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Western Australia.</w:t>
      </w:r>
    </w:p>
    <w:p>
      <w:pPr>
        <w:pStyle w:val="yFootnotesection"/>
        <w:rPr>
          <w:b/>
        </w:rPr>
      </w:pPr>
      <w:r>
        <w:tab/>
        <w:t>[Form 6 amended: Gazette 4 May 1990 p. 2243; 30 Jan 2004 p. 415; 24 Jun 2005 p. 2773.]</w:t>
      </w:r>
    </w:p>
    <w:p>
      <w:pPr>
        <w:pStyle w:val="yMiscellaneousHeading"/>
        <w:keepLines/>
        <w:pageBreakBefore/>
        <w:rPr>
          <w:b/>
          <w:bCs/>
          <w:snapToGrid w:val="0"/>
        </w:rPr>
      </w:pPr>
      <w:r>
        <w:rPr>
          <w:rStyle w:val="CharSClsNo"/>
          <w:b/>
        </w:rPr>
        <w:lastRenderedPageBreak/>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pStyle w:val="yFootnotesection"/>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35" w:name="_Toc122079485"/>
      <w:bookmarkStart w:id="36" w:name="_Toc122079718"/>
      <w:bookmarkStart w:id="37" w:name="_Toc122683637"/>
      <w:r>
        <w:lastRenderedPageBreak/>
        <w:t>Notes</w:t>
      </w:r>
      <w:bookmarkEnd w:id="35"/>
      <w:bookmarkEnd w:id="36"/>
      <w:bookmarkEnd w:id="37"/>
    </w:p>
    <w:p>
      <w:pPr>
        <w:pStyle w:val="nStatement"/>
      </w:pPr>
      <w:r>
        <w:t xml:space="preserve">This is a compilation of the </w:t>
      </w:r>
      <w:r>
        <w:rPr>
          <w:i/>
          <w:noProof/>
        </w:rPr>
        <w:t>Casino Control (Burswood Island) (Licensing of Employees) Regulations 1985</w:t>
      </w:r>
      <w:r>
        <w:t xml:space="preserve"> and includes amendments made by other written laws. For provisions that have come into operation, and for information about any reprints, see the compilation table.</w:t>
      </w:r>
    </w:p>
    <w:p>
      <w:pPr>
        <w:pStyle w:val="nHeading3"/>
      </w:pPr>
      <w:bookmarkStart w:id="38" w:name="_Toc122683638"/>
      <w:r>
        <w:t>Compilation table</w:t>
      </w:r>
      <w:bookmarkEnd w:id="38"/>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Borders>
              <w:top w:val="single" w:sz="8" w:space="0" w:color="auto"/>
            </w:tcBorders>
          </w:tcPr>
          <w:p>
            <w:pPr>
              <w:pStyle w:val="nTable"/>
              <w:spacing w:after="40"/>
              <w:ind w:right="113"/>
            </w:pPr>
            <w:r>
              <w:rPr>
                <w:i/>
              </w:rPr>
              <w:t>Casino Control (Burswood Island)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Casino Control (Burswood Island)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lastRenderedPageBreak/>
              <w:t>Casino Control (Burswood Island)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of the </w:t>
            </w:r>
            <w:r>
              <w:rPr>
                <w:b/>
                <w:bCs/>
                <w:i/>
              </w:rPr>
              <w:t>Casino Control (Burswood Island) (Licensing of Employees) Regulations 1985</w:t>
            </w:r>
            <w:r>
              <w:rPr>
                <w:b/>
                <w:bCs/>
              </w:rPr>
              <w:t xml:space="preserve"> as at 2 Jan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
              </w:rPr>
            </w:pPr>
            <w:r>
              <w:rPr>
                <w:i/>
              </w:rPr>
              <w:t>Casino Control (Burswood Island)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rPr>
              <w:t>Casino Control (Burswood Island) (Licensing of Employees) Regulations 1985</w:t>
            </w:r>
            <w:r>
              <w:rPr>
                <w:b/>
                <w:bCs/>
              </w:rPr>
              <w:t xml:space="preserve"> as at 23 Jun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vertAlign w:val="superscript"/>
              </w:rPr>
            </w:pPr>
            <w:r>
              <w:rPr>
                <w:i/>
              </w:rPr>
              <w:t>Casino Control (Burswood Island)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t>Casino Control (Burswood Island)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rPr>
            </w:pPr>
            <w:r>
              <w:rPr>
                <w:i/>
              </w:rPr>
              <w:lastRenderedPageBreak/>
              <w:t>Casino Control (Burswood Island)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3119" w:type="dxa"/>
            <w:gridSpan w:val="2"/>
          </w:tcPr>
          <w:p>
            <w:pPr>
              <w:pStyle w:val="nTable"/>
              <w:spacing w:after="40"/>
              <w:ind w:right="113"/>
              <w:rPr>
                <w:iCs/>
                <w:vertAlign w:val="superscript"/>
              </w:rPr>
            </w:pPr>
            <w:r>
              <w:rPr>
                <w:i/>
              </w:rPr>
              <w:t>Casino Control (Burswood Island)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3: The </w:t>
            </w:r>
            <w:r>
              <w:rPr>
                <w:b/>
                <w:bCs/>
                <w:i/>
              </w:rPr>
              <w:t>Casino Control (Burswood Island) (Licensing of Employees) Regulations 1985</w:t>
            </w:r>
            <w:r>
              <w:rPr>
                <w:b/>
                <w:bCs/>
              </w:rPr>
              <w:t xml:space="preserve"> as at 20 Aug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vertAlign w:val="superscript"/>
              </w:rPr>
            </w:pPr>
            <w:r>
              <w:rPr>
                <w:i/>
              </w:rPr>
              <w:t xml:space="preserve">Casino Control (Burswood Island) (Licensing of Employees) Amendment Regulations (No. 2) 2010 </w:t>
            </w:r>
          </w:p>
        </w:tc>
        <w:tc>
          <w:tcPr>
            <w:tcW w:w="1276" w:type="dxa"/>
            <w:gridSpan w:val="2"/>
          </w:tcPr>
          <w:p>
            <w:pPr>
              <w:pStyle w:val="nTable"/>
              <w:spacing w:after="40"/>
            </w:pPr>
            <w:r>
              <w:t>19 Nov 2010 p. 5741</w:t>
            </w:r>
            <w:r>
              <w:noBreakHyphen/>
              <w:t>2</w:t>
            </w:r>
          </w:p>
        </w:tc>
        <w:tc>
          <w:tcPr>
            <w:tcW w:w="2694"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2011</w:t>
            </w:r>
          </w:p>
        </w:tc>
        <w:tc>
          <w:tcPr>
            <w:tcW w:w="1276" w:type="dxa"/>
            <w:gridSpan w:val="2"/>
          </w:tcPr>
          <w:p>
            <w:pPr>
              <w:pStyle w:val="nTable"/>
              <w:spacing w:after="40"/>
            </w:pPr>
            <w:r>
              <w:t>12 Apr 2011 p. 1324-5</w:t>
            </w:r>
          </w:p>
        </w:tc>
        <w:tc>
          <w:tcPr>
            <w:tcW w:w="2694"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(No. 2) 2011</w:t>
            </w:r>
          </w:p>
        </w:tc>
        <w:tc>
          <w:tcPr>
            <w:tcW w:w="1276" w:type="dxa"/>
            <w:gridSpan w:val="2"/>
          </w:tcPr>
          <w:p>
            <w:pPr>
              <w:pStyle w:val="nTable"/>
              <w:spacing w:after="40"/>
            </w:pPr>
            <w:r>
              <w:t>4 Nov 2011 p. 4638-9</w:t>
            </w:r>
          </w:p>
        </w:tc>
        <w:tc>
          <w:tcPr>
            <w:tcW w:w="2694"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2012</w:t>
            </w:r>
          </w:p>
        </w:tc>
        <w:tc>
          <w:tcPr>
            <w:tcW w:w="1276" w:type="dxa"/>
            <w:gridSpan w:val="2"/>
          </w:tcPr>
          <w:p>
            <w:pPr>
              <w:pStyle w:val="nTable"/>
              <w:spacing w:after="40"/>
            </w:pPr>
            <w:r>
              <w:t>16 Nov 2012 p. 5648-9</w:t>
            </w:r>
          </w:p>
        </w:tc>
        <w:tc>
          <w:tcPr>
            <w:tcW w:w="2694"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4"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4"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bCs/>
              </w:rPr>
              <w:t xml:space="preserve">Reprint 4: The </w:t>
            </w:r>
            <w:r>
              <w:rPr>
                <w:b/>
                <w:bCs/>
                <w:i/>
              </w:rPr>
              <w:t>Casino Control (Burswood Island) (Licensing of Employees) Regulations 1985</w:t>
            </w:r>
            <w:r>
              <w:rPr>
                <w:b/>
                <w:bCs/>
              </w:rPr>
              <w:t xml:space="preserve"> as at 6 Jun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4"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4" w:type="dxa"/>
            <w:gridSpan w:val="2"/>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4"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2016</w:t>
            </w:r>
            <w:r>
              <w:t xml:space="preserve"> Pt. 3</w:t>
            </w:r>
          </w:p>
        </w:tc>
        <w:tc>
          <w:tcPr>
            <w:tcW w:w="1276" w:type="dxa"/>
            <w:gridSpan w:val="2"/>
          </w:tcPr>
          <w:p>
            <w:pPr>
              <w:pStyle w:val="nTable"/>
              <w:spacing w:after="40"/>
            </w:pPr>
            <w:r>
              <w:t>28 Oct 2016 p. 4910</w:t>
            </w:r>
            <w:r>
              <w:noBreakHyphen/>
              <w:t>16</w:t>
            </w:r>
          </w:p>
        </w:tc>
        <w:tc>
          <w:tcPr>
            <w:tcW w:w="2694" w:type="dxa"/>
            <w:gridSpan w:val="2"/>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2017</w:t>
            </w:r>
            <w:r>
              <w:t xml:space="preserve"> Pt. 3</w:t>
            </w:r>
          </w:p>
        </w:tc>
        <w:tc>
          <w:tcPr>
            <w:tcW w:w="1276" w:type="dxa"/>
            <w:gridSpan w:val="2"/>
          </w:tcPr>
          <w:p>
            <w:pPr>
              <w:pStyle w:val="nTable"/>
              <w:spacing w:after="40"/>
            </w:pPr>
            <w:r>
              <w:t>10 Nov 2017 p. 5579</w:t>
            </w:r>
            <w:r>
              <w:noBreakHyphen/>
              <w:t>94</w:t>
            </w:r>
          </w:p>
        </w:tc>
        <w:tc>
          <w:tcPr>
            <w:tcW w:w="2694"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Racing, Gaming and Liquor Regulations Amendment (Fees and Charges) Regulations 2018</w:t>
            </w:r>
            <w:r>
              <w:t xml:space="preserve"> Pt. 3</w:t>
            </w:r>
          </w:p>
        </w:tc>
        <w:tc>
          <w:tcPr>
            <w:tcW w:w="1276" w:type="dxa"/>
            <w:gridSpan w:val="2"/>
          </w:tcPr>
          <w:p>
            <w:pPr>
              <w:pStyle w:val="nTable"/>
              <w:spacing w:after="40"/>
            </w:pPr>
            <w:r>
              <w:t>7 Sep 2018 p. 3192</w:t>
            </w:r>
            <w:r>
              <w:noBreakHyphen/>
              <w:t>200</w:t>
            </w:r>
          </w:p>
        </w:tc>
        <w:tc>
          <w:tcPr>
            <w:tcW w:w="2694" w:type="dxa"/>
            <w:gridSpan w:val="2"/>
          </w:tcPr>
          <w:p>
            <w:pPr>
              <w:pStyle w:val="nTable"/>
              <w:spacing w:after="40"/>
            </w:pPr>
            <w:r>
              <w:t>1 Jan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Racing, Gaming and Liquor Regulations Amendment (Fees and Charges) Regulations 2019</w:t>
            </w:r>
            <w:r>
              <w:t xml:space="preserve"> Pt. 3</w:t>
            </w:r>
          </w:p>
        </w:tc>
        <w:tc>
          <w:tcPr>
            <w:tcW w:w="1276" w:type="dxa"/>
            <w:gridSpan w:val="2"/>
            <w:tcBorders>
              <w:top w:val="nil"/>
              <w:bottom w:val="nil"/>
            </w:tcBorders>
          </w:tcPr>
          <w:p>
            <w:pPr>
              <w:pStyle w:val="nTable"/>
              <w:spacing w:after="40"/>
            </w:pPr>
            <w:r>
              <w:t>22 Oct 2019 p. 3720</w:t>
            </w:r>
            <w:r>
              <w:noBreakHyphen/>
              <w:t>9</w:t>
            </w:r>
          </w:p>
        </w:tc>
        <w:tc>
          <w:tcPr>
            <w:tcW w:w="2694" w:type="dxa"/>
            <w:gridSpan w:val="2"/>
            <w:tcBorders>
              <w:top w:val="nil"/>
              <w:bottom w:val="nil"/>
            </w:tcBorders>
          </w:tcPr>
          <w:p>
            <w:pPr>
              <w:pStyle w:val="nTable"/>
              <w:spacing w:after="40"/>
            </w:pPr>
            <w:r>
              <w:t>1 Jan 2020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pPr>
              <w:pStyle w:val="nTable"/>
              <w:spacing w:after="40"/>
              <w:ind w:right="113"/>
              <w:rPr>
                <w:i/>
              </w:rPr>
            </w:pPr>
            <w:r>
              <w:rPr>
                <w:i/>
              </w:rPr>
              <w:t>Racing and Gaming Regulations Amendment (Fees and Charges) Regulations 2022</w:t>
            </w:r>
            <w:r>
              <w:t xml:space="preserve"> Pt. 3</w:t>
            </w:r>
          </w:p>
        </w:tc>
        <w:tc>
          <w:tcPr>
            <w:tcW w:w="1276" w:type="dxa"/>
            <w:gridSpan w:val="2"/>
            <w:tcBorders>
              <w:bottom w:val="single" w:sz="4" w:space="0" w:color="auto"/>
            </w:tcBorders>
          </w:tcPr>
          <w:p>
            <w:pPr>
              <w:pStyle w:val="nTable"/>
              <w:spacing w:after="40"/>
            </w:pPr>
            <w:r>
              <w:t>SL 2022/144 12 Aug 2022</w:t>
            </w:r>
          </w:p>
        </w:tc>
        <w:tc>
          <w:tcPr>
            <w:tcW w:w="2694" w:type="dxa"/>
            <w:gridSpan w:val="2"/>
            <w:tcBorders>
              <w:bottom w:val="single" w:sz="4" w:space="0" w:color="auto"/>
            </w:tcBorders>
          </w:tcPr>
          <w:p>
            <w:pPr>
              <w:pStyle w:val="nTable"/>
              <w:spacing w:after="40"/>
            </w:pPr>
            <w:r>
              <w:t>1 Jan 2023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40" w:name="_Toc122079488"/>
      <w:bookmarkStart w:id="41" w:name="_Toc122079720"/>
      <w:bookmarkStart w:id="42" w:name="_Toc122683639"/>
      <w:r>
        <w:rPr>
          <w:sz w:val="28"/>
        </w:rPr>
        <w:lastRenderedPageBreak/>
        <w:t>Defined terms</w:t>
      </w:r>
      <w:bookmarkEnd w:id="40"/>
      <w:bookmarkEnd w:id="41"/>
      <w:bookmarkEnd w:id="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Casino</w:t>
      </w:r>
      <w:r>
        <w:tab/>
        <w:t>2(1)</w:t>
      </w:r>
    </w:p>
    <w:p>
      <w:pPr>
        <w:pStyle w:val="DefinedTerms"/>
      </w:pPr>
      <w:r>
        <w:t>Casino Gaming Licence</w:t>
      </w:r>
      <w:r>
        <w:tab/>
        <w:t>2(1)</w:t>
      </w:r>
    </w:p>
    <w:p>
      <w:pPr>
        <w:pStyle w:val="DefinedTerms"/>
      </w:pPr>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Operator</w:t>
      </w:r>
      <w:r>
        <w:tab/>
        <w:t>2(1)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5713"/>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713"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jc w:val="center"/>
      </w:trPr>
      <w:tc>
        <w:tcPr>
          <w:tcW w:w="701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58" w:type="dxa"/>
      <w:jc w:val="center"/>
      <w:tblLayout w:type="fixed"/>
      <w:tblCellMar>
        <w:left w:w="72" w:type="dxa"/>
        <w:right w:w="72" w:type="dxa"/>
      </w:tblCellMar>
      <w:tblLook w:val="0000" w:firstRow="0" w:lastRow="0" w:firstColumn="0" w:lastColumn="0" w:noHBand="0" w:noVBand="0"/>
    </w:tblPr>
    <w:tblGrid>
      <w:gridCol w:w="5771"/>
      <w:gridCol w:w="1287"/>
    </w:tblGrid>
    <w:tr>
      <w:trPr>
        <w:cantSplit/>
        <w:jc w:val="center"/>
      </w:trPr>
      <w:tc>
        <w:tcPr>
          <w:tcW w:w="70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5771"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71"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0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470"/>
    </w:tblGrid>
    <w:tr>
      <w:trPr>
        <w:cantSplit/>
        <w:jc w:val="center"/>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470" w:type="dxa"/>
        </w:tcPr>
        <w:p>
          <w:pPr>
            <w:pStyle w:val="Header"/>
            <w:spacing w:before="40"/>
          </w:pPr>
        </w:p>
      </w:tc>
    </w:tr>
    <w:tr>
      <w:trPr>
        <w:jc w:val="center"/>
      </w:trPr>
      <w:tc>
        <w:tcPr>
          <w:tcW w:w="1548" w:type="dxa"/>
        </w:tcPr>
        <w:p>
          <w:pPr>
            <w:pStyle w:val="Header"/>
            <w:spacing w:before="40"/>
          </w:pPr>
        </w:p>
      </w:tc>
      <w:tc>
        <w:tcPr>
          <w:tcW w:w="5470" w:type="dxa"/>
        </w:tcPr>
        <w:p>
          <w:pPr>
            <w:pStyle w:val="Header"/>
            <w:spacing w:before="40"/>
          </w:pPr>
        </w:p>
      </w:tc>
    </w:tr>
    <w:tr>
      <w:trPr>
        <w:cantSplit/>
        <w:jc w:val="center"/>
      </w:trPr>
      <w:tc>
        <w:tcPr>
          <w:tcW w:w="701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Look w:val="0000" w:firstRow="0" w:lastRow="0" w:firstColumn="0" w:lastColumn="0" w:noHBand="0" w:noVBand="0"/>
    </w:tblPr>
    <w:tblGrid>
      <w:gridCol w:w="5546"/>
      <w:gridCol w:w="1516"/>
    </w:tblGrid>
    <w:tr>
      <w:trPr>
        <w:cantSplit/>
        <w:jc w:val="center"/>
      </w:trPr>
      <w:tc>
        <w:tcPr>
          <w:tcW w:w="706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jc w:val="center"/>
      </w:trPr>
      <w:tc>
        <w:tcPr>
          <w:tcW w:w="5546" w:type="dxa"/>
        </w:tcPr>
        <w:p>
          <w:pPr>
            <w:pStyle w:val="Header"/>
            <w:spacing w:before="40"/>
            <w:jc w:val="right"/>
          </w:pPr>
        </w:p>
      </w:tc>
      <w:tc>
        <w:tcPr>
          <w:tcW w:w="1516" w:type="dxa"/>
        </w:tcPr>
        <w:p>
          <w:pPr>
            <w:pStyle w:val="Header"/>
            <w:spacing w:before="40"/>
            <w:ind w:right="17"/>
            <w:jc w:val="right"/>
          </w:pPr>
        </w:p>
      </w:tc>
    </w:tr>
    <w:tr>
      <w:trPr>
        <w:cantSplit/>
        <w:jc w:val="center"/>
      </w:trPr>
      <w:tc>
        <w:tcPr>
          <w:tcW w:w="7062"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4" w:name="Schedule"/>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49" w:type="dxa"/>
      <w:jc w:val="center"/>
      <w:tblLayout w:type="fixed"/>
      <w:tblCellMar>
        <w:left w:w="72" w:type="dxa"/>
        <w:right w:w="72" w:type="dxa"/>
      </w:tblCellMar>
      <w:tblLook w:val="0000" w:firstRow="0" w:lastRow="0" w:firstColumn="0" w:lastColumn="0" w:noHBand="0" w:noVBand="0"/>
    </w:tblPr>
    <w:tblGrid>
      <w:gridCol w:w="5670"/>
      <w:gridCol w:w="1379"/>
    </w:tblGrid>
    <w:tr>
      <w:trPr>
        <w:cantSplit/>
        <w:jc w:val="center"/>
      </w:trPr>
      <w:tc>
        <w:tcPr>
          <w:tcW w:w="7049"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jc w:val="center"/>
      </w:trPr>
      <w:tc>
        <w:tcPr>
          <w:tcW w:w="5670" w:type="dxa"/>
        </w:tcPr>
        <w:p>
          <w:pPr>
            <w:pStyle w:val="Header"/>
            <w:spacing w:before="40"/>
            <w:jc w:val="right"/>
          </w:pPr>
        </w:p>
      </w:tc>
      <w:tc>
        <w:tcPr>
          <w:tcW w:w="1379" w:type="dxa"/>
        </w:tcPr>
        <w:p>
          <w:pPr>
            <w:pStyle w:val="Header"/>
            <w:spacing w:before="40"/>
            <w:ind w:right="17"/>
            <w:jc w:val="right"/>
          </w:pPr>
        </w:p>
      </w:tc>
    </w:tr>
    <w:tr>
      <w:trPr>
        <w:cantSplit/>
        <w:jc w:val="center"/>
      </w:trPr>
      <w:tc>
        <w:tcPr>
          <w:tcW w:w="7049" w:type="dxa"/>
          <w:gridSpan w:val="2"/>
        </w:tcPr>
        <w:p>
          <w:pPr>
            <w:pStyle w:val="Header"/>
            <w:spacing w:before="40"/>
            <w:ind w:right="17"/>
            <w:jc w:val="right"/>
          </w:pPr>
          <w:r>
            <w:t>Defined terms</w:t>
          </w:r>
        </w:p>
      </w:tc>
    </w:tr>
  </w:tbl>
  <w:p>
    <w:pPr>
      <w:pStyle w:val="Header"/>
      <w:pBdr>
        <w:top w:val="single" w:sz="4" w:space="1" w:color="auto"/>
      </w:pBdr>
    </w:pPr>
    <w:bookmarkStart w:id="43" w:name="DefinedTerms"/>
    <w:bookmarkEnd w:id="4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 w:name="Coversheet"/>
    <w:bookmarkEnd w:id="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6103615"/>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 w:name="WAFER_20171110134712" w:val="RemoveTocBookmarks,RemoveUnusedBookmarks,RemoveLanguageTags,UsedStyles,ResetPageSize"/>
    <w:docVar w:name="WAFER_20171110134712_GUID" w:val="04f5ecb7-d801-4b2a-b25f-dba86292a37c"/>
    <w:docVar w:name="WAFER_20181204115052" w:val="RemoveTocBookmarks,RemoveUnusedBookmarks,RemoveLanguageTags,UsedStyles,ResetPageSize"/>
    <w:docVar w:name="WAFER_20181204115052_GUID" w:val="856dbca1-d691-408d-a65b-b802c4be17b1"/>
    <w:docVar w:name="WAFER_20191022150312" w:val="RemoveTocBookmarks,RemoveUnusedBookmarks,RemoveLanguageTags,ResetPageSize,RunningHeaders,UpdateStyles,UsedStyles"/>
    <w:docVar w:name="WAFER_20191022150312_GUID" w:val="360663fb-c8cd-4b23-9285-2ccdf1277b0d"/>
    <w:docVar w:name="WAFER_20191203152247" w:val="RemoveTocBookmarks,RemoveUnusedBookmarks,RemoveLanguageTags,ResetPageSize,RunningHeaders,UpdateStyles,UsedStyles"/>
    <w:docVar w:name="WAFER_20191203152247_GUID" w:val="fce8491b-2f9d-4443-98b8-4bacd5fceb1f"/>
    <w:docVar w:name="WAFER_2020021013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229_GUID" w:val="83be0413-edf3-45aa-8295-409809aec15a"/>
    <w:docVar w:name="WAFER_20220809155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348_GUID" w:val="11a82b40-8cc4-489c-9379-02b8132fe5f1"/>
    <w:docVar w:name="WAFER_202212161036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3615_GUID" w:val="76d6843e-978f-4e30-a16a-93ddb04cf4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95480FF5-6BAC-429A-9C8D-DD2646C13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7298</Words>
  <Characters>38830</Characters>
  <Application>Microsoft Office Word</Application>
  <DocSecurity>0</DocSecurity>
  <Lines>1109</Lines>
  <Paragraphs>606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1985 - 04-p0-00</dc:title>
  <dc:subject/>
  <dc:creator/>
  <cp:keywords/>
  <dc:description/>
  <cp:lastModifiedBy>Master Repository Process</cp:lastModifiedBy>
  <cp:revision>4</cp:revision>
  <cp:lastPrinted>2014-06-09T07:53:00Z</cp:lastPrinted>
  <dcterms:created xsi:type="dcterms:W3CDTF">2022-12-30T00:48:00Z</dcterms:created>
  <dcterms:modified xsi:type="dcterms:W3CDTF">2022-12-30T00:48:00Z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AsAtDate">
    <vt:lpwstr>01 Jan 2023</vt:lpwstr>
  </property>
  <property fmtid="{D5CDD505-2E9C-101B-9397-08002B2CF9AE}" pid="8" name="Suffix">
    <vt:lpwstr>04-p0-00</vt:lpwstr>
  </property>
  <property fmtid="{D5CDD505-2E9C-101B-9397-08002B2CF9AE}" pid="9" name="CommencementDate">
    <vt:lpwstr>20230101</vt:lpwstr>
  </property>
</Properties>
</file>